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AB791" w14:textId="77777777" w:rsidR="00492688" w:rsidRDefault="00492688">
      <w:pPr>
        <w:pStyle w:val="Textoindependiente"/>
        <w:rPr>
          <w:rFonts w:ascii="Times New Roman"/>
        </w:rPr>
      </w:pPr>
    </w:p>
    <w:p w14:paraId="2F211EF4" w14:textId="77777777" w:rsidR="00492688" w:rsidRDefault="00492688">
      <w:pPr>
        <w:pStyle w:val="Textoindependiente"/>
        <w:spacing w:before="8"/>
        <w:rPr>
          <w:rFonts w:ascii="Times New Roman"/>
          <w:sz w:val="27"/>
        </w:rPr>
      </w:pPr>
    </w:p>
    <w:p w14:paraId="24AD3210" w14:textId="77777777" w:rsidR="00492688" w:rsidRDefault="00C9584B">
      <w:pPr>
        <w:spacing w:before="100"/>
        <w:ind w:left="124" w:right="126"/>
        <w:jc w:val="center"/>
        <w:rPr>
          <w:b/>
          <w:sz w:val="20"/>
        </w:rPr>
      </w:pPr>
      <w:bookmarkStart w:id="0" w:name="seriec_421_esp"/>
      <w:bookmarkEnd w:id="0"/>
      <w:r>
        <w:rPr>
          <w:b/>
          <w:sz w:val="20"/>
        </w:rPr>
        <w:t>CORTE INTERAMERICANA DE DERECHOS HUMANOS</w:t>
      </w:r>
    </w:p>
    <w:p w14:paraId="236644DD" w14:textId="77777777" w:rsidR="00492688" w:rsidRDefault="00492688">
      <w:pPr>
        <w:pStyle w:val="Textoindependiente"/>
        <w:rPr>
          <w:b/>
          <w:sz w:val="24"/>
        </w:rPr>
      </w:pPr>
    </w:p>
    <w:p w14:paraId="256C9CD7" w14:textId="77777777" w:rsidR="00492688" w:rsidRDefault="00492688">
      <w:pPr>
        <w:pStyle w:val="Textoindependiente"/>
        <w:spacing w:before="12"/>
        <w:rPr>
          <w:b/>
          <w:sz w:val="35"/>
        </w:rPr>
      </w:pPr>
    </w:p>
    <w:p w14:paraId="52C9B3AE" w14:textId="77777777" w:rsidR="00492688" w:rsidRDefault="00C9584B">
      <w:pPr>
        <w:ind w:left="124" w:right="125"/>
        <w:jc w:val="center"/>
        <w:rPr>
          <w:b/>
          <w:sz w:val="20"/>
        </w:rPr>
      </w:pPr>
      <w:r>
        <w:rPr>
          <w:b/>
          <w:sz w:val="20"/>
        </w:rPr>
        <w:t>CASO CORDERO BERNAL VS. PERÚ</w:t>
      </w:r>
    </w:p>
    <w:p w14:paraId="1EFEF04E" w14:textId="77777777" w:rsidR="00492688" w:rsidRDefault="00492688">
      <w:pPr>
        <w:pStyle w:val="Textoindependiente"/>
        <w:rPr>
          <w:b/>
          <w:sz w:val="24"/>
        </w:rPr>
      </w:pPr>
    </w:p>
    <w:p w14:paraId="3555AEDD" w14:textId="77777777" w:rsidR="00492688" w:rsidRDefault="00492688">
      <w:pPr>
        <w:pStyle w:val="Textoindependiente"/>
        <w:spacing w:before="12"/>
        <w:rPr>
          <w:b/>
          <w:sz w:val="35"/>
        </w:rPr>
      </w:pPr>
    </w:p>
    <w:p w14:paraId="3322158C" w14:textId="77777777" w:rsidR="00492688" w:rsidRDefault="00C9584B">
      <w:pPr>
        <w:ind w:left="124" w:right="126"/>
        <w:jc w:val="center"/>
        <w:rPr>
          <w:b/>
          <w:sz w:val="20"/>
        </w:rPr>
      </w:pPr>
      <w:r>
        <w:rPr>
          <w:b/>
          <w:sz w:val="20"/>
        </w:rPr>
        <w:t>SENTENCIA DE 16 DE FEBRERO DE 2021</w:t>
      </w:r>
    </w:p>
    <w:p w14:paraId="3DA17DB7" w14:textId="77777777" w:rsidR="00492688" w:rsidRDefault="00492688">
      <w:pPr>
        <w:pStyle w:val="Textoindependiente"/>
        <w:spacing w:before="10"/>
        <w:rPr>
          <w:b/>
          <w:sz w:val="19"/>
        </w:rPr>
      </w:pPr>
    </w:p>
    <w:p w14:paraId="7760B7DC" w14:textId="77777777" w:rsidR="00492688" w:rsidRDefault="00C9584B">
      <w:pPr>
        <w:spacing w:before="1"/>
        <w:ind w:left="124" w:right="124"/>
        <w:jc w:val="center"/>
        <w:rPr>
          <w:b/>
          <w:sz w:val="20"/>
        </w:rPr>
      </w:pPr>
      <w:r>
        <w:rPr>
          <w:b/>
          <w:sz w:val="20"/>
        </w:rPr>
        <w:t>(Excepción Preliminar y Fondo)</w:t>
      </w:r>
    </w:p>
    <w:p w14:paraId="547A5FB8" w14:textId="77777777" w:rsidR="00492688" w:rsidRDefault="00492688">
      <w:pPr>
        <w:pStyle w:val="Textoindependiente"/>
        <w:rPr>
          <w:b/>
          <w:sz w:val="24"/>
        </w:rPr>
      </w:pPr>
    </w:p>
    <w:p w14:paraId="75B6E5CA" w14:textId="77777777" w:rsidR="00492688" w:rsidRDefault="00492688">
      <w:pPr>
        <w:pStyle w:val="Textoindependiente"/>
        <w:rPr>
          <w:b/>
          <w:sz w:val="24"/>
        </w:rPr>
      </w:pPr>
    </w:p>
    <w:p w14:paraId="049A6F52" w14:textId="77777777" w:rsidR="00492688" w:rsidRDefault="00492688">
      <w:pPr>
        <w:pStyle w:val="Textoindependiente"/>
        <w:spacing w:before="1"/>
        <w:rPr>
          <w:b/>
          <w:sz w:val="32"/>
        </w:rPr>
      </w:pPr>
    </w:p>
    <w:p w14:paraId="33AD56DC" w14:textId="77777777" w:rsidR="00492688" w:rsidRDefault="00C9584B">
      <w:pPr>
        <w:ind w:left="121"/>
        <w:rPr>
          <w:sz w:val="20"/>
        </w:rPr>
      </w:pPr>
      <w:r>
        <w:rPr>
          <w:sz w:val="20"/>
        </w:rPr>
        <w:t xml:space="preserve">En el </w:t>
      </w:r>
      <w:r>
        <w:rPr>
          <w:i/>
          <w:sz w:val="20"/>
        </w:rPr>
        <w:t>Caso Cordero Bernal Vs. Perú</w:t>
      </w:r>
      <w:r>
        <w:rPr>
          <w:sz w:val="20"/>
        </w:rPr>
        <w:t>,</w:t>
      </w:r>
    </w:p>
    <w:p w14:paraId="1BEA06FF" w14:textId="77777777" w:rsidR="00492688" w:rsidRDefault="00492688">
      <w:pPr>
        <w:pStyle w:val="Textoindependiente"/>
        <w:spacing w:before="11"/>
        <w:rPr>
          <w:sz w:val="19"/>
        </w:rPr>
      </w:pPr>
    </w:p>
    <w:p w14:paraId="7C1B2CA4" w14:textId="77777777" w:rsidR="00492688" w:rsidRDefault="00C9584B">
      <w:pPr>
        <w:pStyle w:val="Textoindependiente"/>
        <w:ind w:left="121"/>
      </w:pPr>
      <w:r>
        <w:t>la Corte Interamericana de Derechos Humanos (en adelante “la Corte Interamericana”, “la Corte” o “este Tribunal”), integrada por los siguientes jueces:</w:t>
      </w:r>
    </w:p>
    <w:p w14:paraId="398C7EC6" w14:textId="77777777" w:rsidR="00492688" w:rsidRDefault="00492688">
      <w:pPr>
        <w:pStyle w:val="Textoindependiente"/>
      </w:pPr>
    </w:p>
    <w:p w14:paraId="5DE83AAF" w14:textId="77777777" w:rsidR="00492688" w:rsidRDefault="00C9584B">
      <w:pPr>
        <w:pStyle w:val="Textoindependiente"/>
        <w:spacing w:before="1" w:line="243" w:lineRule="exact"/>
        <w:ind w:left="121"/>
      </w:pPr>
      <w:r>
        <w:t>Elizabeth Odio Benito, Presidenta;</w:t>
      </w:r>
    </w:p>
    <w:p w14:paraId="312033BA" w14:textId="77777777" w:rsidR="00492688" w:rsidRDefault="00C9584B">
      <w:pPr>
        <w:pStyle w:val="Textoindependiente"/>
        <w:ind w:left="121" w:right="3887"/>
      </w:pPr>
      <w:r>
        <w:t>L. Patricio Pazmiño Freire, Vicepresidente; Eduardo Vio Grossi, Juez;</w:t>
      </w:r>
    </w:p>
    <w:p w14:paraId="3B6D2C7B" w14:textId="77777777" w:rsidR="00492688" w:rsidRDefault="00C9584B">
      <w:pPr>
        <w:pStyle w:val="Textoindependiente"/>
        <w:ind w:left="121" w:right="4838"/>
      </w:pPr>
      <w:r>
        <w:t>Humberto Antonio Sierra Porto, Juez; Eduardo Ferrer Mac-Gregor Poisot, Juez; Eugenio Raúl Zaffaroni, Juez, y</w:t>
      </w:r>
    </w:p>
    <w:p w14:paraId="66503037" w14:textId="77777777" w:rsidR="00492688" w:rsidRDefault="00C9584B">
      <w:pPr>
        <w:pStyle w:val="Textoindependiente"/>
        <w:spacing w:before="1"/>
        <w:ind w:left="121"/>
      </w:pPr>
      <w:r>
        <w:t>Ricardo Pérez Manrique, Juez;</w:t>
      </w:r>
    </w:p>
    <w:p w14:paraId="2D569D66" w14:textId="77777777" w:rsidR="00492688" w:rsidRDefault="00492688">
      <w:pPr>
        <w:pStyle w:val="Textoindependiente"/>
        <w:rPr>
          <w:sz w:val="24"/>
        </w:rPr>
      </w:pPr>
    </w:p>
    <w:p w14:paraId="6EE12FB6" w14:textId="77777777" w:rsidR="00492688" w:rsidRDefault="00C9584B">
      <w:pPr>
        <w:pStyle w:val="Textoindependiente"/>
        <w:spacing w:before="195"/>
        <w:ind w:left="121"/>
      </w:pPr>
      <w:r>
        <w:t>presentes, además,</w:t>
      </w:r>
    </w:p>
    <w:p w14:paraId="4FF05B44" w14:textId="77777777" w:rsidR="00492688" w:rsidRDefault="00492688">
      <w:pPr>
        <w:pStyle w:val="Textoindependiente"/>
        <w:spacing w:before="10"/>
        <w:rPr>
          <w:sz w:val="19"/>
        </w:rPr>
      </w:pPr>
    </w:p>
    <w:p w14:paraId="52EA2D2C" w14:textId="77777777" w:rsidR="00492688" w:rsidRDefault="00C9584B">
      <w:pPr>
        <w:pStyle w:val="Textoindependiente"/>
        <w:spacing w:before="1"/>
        <w:ind w:left="121" w:right="4764"/>
      </w:pPr>
      <w:r>
        <w:t>Pablo Saavedra Alessandri,</w:t>
      </w:r>
      <w:r>
        <w:t xml:space="preserve"> Secretario, y Romina I. Sijniensky, Secretaria Adjunta,</w:t>
      </w:r>
    </w:p>
    <w:p w14:paraId="7CD3D948" w14:textId="77777777" w:rsidR="00492688" w:rsidRDefault="00492688">
      <w:pPr>
        <w:pStyle w:val="Textoindependiente"/>
      </w:pPr>
    </w:p>
    <w:p w14:paraId="6643995D" w14:textId="77777777" w:rsidR="00492688" w:rsidRDefault="00C9584B">
      <w:pPr>
        <w:pStyle w:val="Textoindependiente"/>
        <w:ind w:left="121" w:right="117"/>
        <w:jc w:val="both"/>
      </w:pPr>
      <w:r>
        <w:t>de conformidad con los artículos 62.3 y 63.1 de la Convención Americana sobre Derechos Humanos (en adelante “la Convención Americana” o “la Convención”) y con los artículos 31, 32, 42, 65 y 67 del R</w:t>
      </w:r>
      <w:r>
        <w:t>eglamento de la Corte (en adelante “el Reglamento” o “el Reglamento de la Corte”), dicta la presente Sentencia, que se estructura en el siguiente orden:</w:t>
      </w:r>
    </w:p>
    <w:p w14:paraId="4A5F6884" w14:textId="77777777" w:rsidR="00492688" w:rsidRDefault="00492688">
      <w:pPr>
        <w:jc w:val="both"/>
        <w:sectPr w:rsidR="00492688">
          <w:type w:val="continuous"/>
          <w:pgSz w:w="12240" w:h="15840"/>
          <w:pgMar w:top="1500" w:right="1580" w:bottom="280" w:left="1580" w:header="720" w:footer="720" w:gutter="0"/>
          <w:cols w:space="720"/>
        </w:sectPr>
      </w:pPr>
    </w:p>
    <w:p w14:paraId="493960BA" w14:textId="77777777" w:rsidR="00492688" w:rsidRDefault="00C9584B">
      <w:pPr>
        <w:spacing w:before="161"/>
        <w:ind w:left="124" w:right="124"/>
        <w:jc w:val="center"/>
        <w:rPr>
          <w:b/>
          <w:sz w:val="20"/>
        </w:rPr>
      </w:pPr>
      <w:r>
        <w:rPr>
          <w:b/>
          <w:sz w:val="20"/>
        </w:rPr>
        <w:lastRenderedPageBreak/>
        <w:t>TABLA DE CONTENIDO</w:t>
      </w:r>
    </w:p>
    <w:sdt>
      <w:sdtPr>
        <w:id w:val="332038117"/>
        <w:docPartObj>
          <w:docPartGallery w:val="Table of Contents"/>
          <w:docPartUnique/>
        </w:docPartObj>
      </w:sdtPr>
      <w:sdtEndPr/>
      <w:sdtContent>
        <w:p w14:paraId="39409211" w14:textId="77777777" w:rsidR="00492688" w:rsidRDefault="00C9584B">
          <w:pPr>
            <w:pStyle w:val="TDC1"/>
            <w:numPr>
              <w:ilvl w:val="0"/>
              <w:numId w:val="18"/>
            </w:numPr>
            <w:tabs>
              <w:tab w:val="left" w:pos="297"/>
              <w:tab w:val="left" w:pos="8807"/>
            </w:tabs>
            <w:spacing w:before="251"/>
          </w:pPr>
          <w:hyperlink w:anchor="_bookmark0" w:history="1">
            <w:r>
              <w:t>INTRODUCCIÓN DE LA CAUSA Y OBJETO DE</w:t>
            </w:r>
            <w:r>
              <w:rPr>
                <w:spacing w:val="-11"/>
              </w:rPr>
              <w:t xml:space="preserve"> </w:t>
            </w:r>
            <w:r>
              <w:t>LA</w:t>
            </w:r>
            <w:r>
              <w:rPr>
                <w:spacing w:val="-1"/>
              </w:rPr>
              <w:t xml:space="preserve"> </w:t>
            </w:r>
            <w:r>
              <w:t>CO</w:t>
            </w:r>
            <w:r>
              <w:t>NTROVERSIA</w:t>
            </w:r>
            <w:r>
              <w:tab/>
              <w:t>3</w:t>
            </w:r>
          </w:hyperlink>
        </w:p>
        <w:p w14:paraId="7D306F7D" w14:textId="77777777" w:rsidR="00492688" w:rsidRDefault="00C9584B">
          <w:pPr>
            <w:pStyle w:val="TDC1"/>
            <w:numPr>
              <w:ilvl w:val="0"/>
              <w:numId w:val="18"/>
            </w:numPr>
            <w:tabs>
              <w:tab w:val="left" w:pos="408"/>
              <w:tab w:val="left" w:pos="8807"/>
            </w:tabs>
            <w:spacing w:before="38"/>
            <w:ind w:left="407" w:hanging="287"/>
          </w:pPr>
          <w:hyperlink w:anchor="_bookmark2" w:history="1">
            <w:r>
              <w:t>PROCEDIMIENTO ANTE</w:t>
            </w:r>
            <w:r>
              <w:rPr>
                <w:spacing w:val="-4"/>
              </w:rPr>
              <w:t xml:space="preserve"> </w:t>
            </w:r>
            <w:r>
              <w:t>LA</w:t>
            </w:r>
            <w:r>
              <w:rPr>
                <w:spacing w:val="-6"/>
              </w:rPr>
              <w:t xml:space="preserve"> </w:t>
            </w:r>
            <w:r>
              <w:t>CORTE</w:t>
            </w:r>
            <w:r>
              <w:tab/>
              <w:t>4</w:t>
            </w:r>
          </w:hyperlink>
        </w:p>
        <w:p w14:paraId="4631FC08" w14:textId="77777777" w:rsidR="00492688" w:rsidRDefault="00C9584B">
          <w:pPr>
            <w:pStyle w:val="TDC1"/>
            <w:numPr>
              <w:ilvl w:val="0"/>
              <w:numId w:val="18"/>
            </w:numPr>
            <w:tabs>
              <w:tab w:val="left" w:pos="516"/>
              <w:tab w:val="left" w:pos="8807"/>
            </w:tabs>
            <w:ind w:left="515" w:hanging="395"/>
          </w:pPr>
          <w:hyperlink w:anchor="_bookmark7" w:history="1">
            <w:r>
              <w:t>COMPETENCIA</w:t>
            </w:r>
            <w:r>
              <w:tab/>
              <w:t>5</w:t>
            </w:r>
          </w:hyperlink>
        </w:p>
        <w:p w14:paraId="069E8EDC" w14:textId="77777777" w:rsidR="00492688" w:rsidRDefault="00C9584B">
          <w:pPr>
            <w:pStyle w:val="TDC1"/>
            <w:numPr>
              <w:ilvl w:val="0"/>
              <w:numId w:val="18"/>
            </w:numPr>
            <w:tabs>
              <w:tab w:val="left" w:pos="451"/>
              <w:tab w:val="left" w:pos="8807"/>
            </w:tabs>
            <w:spacing w:before="37"/>
            <w:ind w:left="450" w:hanging="330"/>
          </w:pPr>
          <w:hyperlink w:anchor="_bookmark13" w:history="1">
            <w:r>
              <w:t>EXCEPCIÓN</w:t>
            </w:r>
            <w:r>
              <w:rPr>
                <w:spacing w:val="-5"/>
              </w:rPr>
              <w:t xml:space="preserve"> </w:t>
            </w:r>
            <w:r>
              <w:t>PRELIMINAR</w:t>
            </w:r>
            <w:r>
              <w:tab/>
              <w:t>6</w:t>
            </w:r>
          </w:hyperlink>
        </w:p>
        <w:p w14:paraId="0BDB3A22" w14:textId="77777777" w:rsidR="00492688" w:rsidRDefault="00C9584B">
          <w:pPr>
            <w:pStyle w:val="TDC1"/>
            <w:numPr>
              <w:ilvl w:val="0"/>
              <w:numId w:val="17"/>
            </w:numPr>
            <w:tabs>
              <w:tab w:val="left" w:pos="601"/>
              <w:tab w:val="left" w:pos="603"/>
              <w:tab w:val="left" w:pos="8807"/>
            </w:tabs>
            <w:spacing w:line="278" w:lineRule="auto"/>
            <w:ind w:right="128" w:hanging="1"/>
          </w:pPr>
          <w:hyperlink w:anchor="_bookmark14" w:history="1">
            <w:r>
              <w:t xml:space="preserve">Alegada incompetencia </w:t>
            </w:r>
            <w:r>
              <w:rPr>
                <w:i/>
              </w:rPr>
              <w:t xml:space="preserve">ratione materiae </w:t>
            </w:r>
            <w:r>
              <w:t>de la Corte Interamericana para</w:t>
            </w:r>
          </w:hyperlink>
          <w:hyperlink w:anchor="_bookmark14" w:history="1">
            <w:r>
              <w:t xml:space="preserve"> revisar decisiones internas (excepción de</w:t>
            </w:r>
            <w:r>
              <w:rPr>
                <w:spacing w:val="-22"/>
              </w:rPr>
              <w:t xml:space="preserve"> </w:t>
            </w:r>
            <w:r>
              <w:t>“cuarta</w:t>
            </w:r>
            <w:r>
              <w:rPr>
                <w:spacing w:val="-4"/>
              </w:rPr>
              <w:t xml:space="preserve"> </w:t>
            </w:r>
            <w:r>
              <w:t>instancia”)</w:t>
            </w:r>
            <w:r>
              <w:tab/>
            </w:r>
            <w:r>
              <w:rPr>
                <w:spacing w:val="-17"/>
              </w:rPr>
              <w:t>6</w:t>
            </w:r>
          </w:hyperlink>
        </w:p>
        <w:p w14:paraId="7451E445" w14:textId="77777777" w:rsidR="00492688" w:rsidRDefault="00C9584B">
          <w:pPr>
            <w:pStyle w:val="TDC2"/>
            <w:numPr>
              <w:ilvl w:val="1"/>
              <w:numId w:val="17"/>
            </w:numPr>
            <w:tabs>
              <w:tab w:val="left" w:pos="840"/>
              <w:tab w:val="left" w:pos="8821"/>
            </w:tabs>
            <w:spacing w:line="239" w:lineRule="exact"/>
          </w:pPr>
          <w:hyperlink w:anchor="_bookmark15" w:history="1">
            <w:r>
              <w:t>Alegatos del Estado, observaciones de la Comisión y de</w:t>
            </w:r>
            <w:r>
              <w:rPr>
                <w:spacing w:val="-25"/>
              </w:rPr>
              <w:t xml:space="preserve"> </w:t>
            </w:r>
            <w:r>
              <w:t>las</w:t>
            </w:r>
            <w:r>
              <w:rPr>
                <w:spacing w:val="-1"/>
              </w:rPr>
              <w:t xml:space="preserve"> </w:t>
            </w:r>
            <w:r>
              <w:t>representantes</w:t>
            </w:r>
            <w:r>
              <w:tab/>
              <w:t>6</w:t>
            </w:r>
          </w:hyperlink>
        </w:p>
        <w:p w14:paraId="04AF1492" w14:textId="77777777" w:rsidR="00492688" w:rsidRDefault="00C9584B">
          <w:pPr>
            <w:pStyle w:val="TDC2"/>
            <w:numPr>
              <w:ilvl w:val="1"/>
              <w:numId w:val="17"/>
            </w:numPr>
            <w:tabs>
              <w:tab w:val="left" w:pos="840"/>
              <w:tab w:val="left" w:pos="8822"/>
            </w:tabs>
            <w:spacing w:before="35"/>
          </w:pPr>
          <w:hyperlink w:anchor="_bookmark16" w:history="1">
            <w:r>
              <w:t>Consideraciones de</w:t>
            </w:r>
            <w:r>
              <w:rPr>
                <w:spacing w:val="-6"/>
              </w:rPr>
              <w:t xml:space="preserve"> </w:t>
            </w:r>
            <w:r>
              <w:t>la</w:t>
            </w:r>
            <w:r>
              <w:rPr>
                <w:spacing w:val="-2"/>
              </w:rPr>
              <w:t xml:space="preserve"> </w:t>
            </w:r>
            <w:r>
              <w:t>Corte</w:t>
            </w:r>
            <w:r>
              <w:tab/>
              <w:t>6</w:t>
            </w:r>
          </w:hyperlink>
        </w:p>
        <w:p w14:paraId="4BB4CEEC" w14:textId="77777777" w:rsidR="00492688" w:rsidRDefault="00C9584B">
          <w:pPr>
            <w:pStyle w:val="TDC1"/>
            <w:numPr>
              <w:ilvl w:val="0"/>
              <w:numId w:val="18"/>
            </w:numPr>
            <w:tabs>
              <w:tab w:val="left" w:pos="341"/>
              <w:tab w:val="left" w:pos="8808"/>
            </w:tabs>
            <w:spacing w:before="38"/>
            <w:ind w:left="340" w:hanging="219"/>
          </w:pPr>
          <w:hyperlink w:anchor="_bookmark17" w:history="1">
            <w:r>
              <w:t>PRUEBA</w:t>
            </w:r>
            <w:r>
              <w:tab/>
              <w:t>7</w:t>
            </w:r>
          </w:hyperlink>
        </w:p>
        <w:p w14:paraId="7273222D" w14:textId="77777777" w:rsidR="00492688" w:rsidRDefault="00C9584B">
          <w:pPr>
            <w:pStyle w:val="TDC1"/>
            <w:numPr>
              <w:ilvl w:val="0"/>
              <w:numId w:val="16"/>
            </w:numPr>
            <w:tabs>
              <w:tab w:val="left" w:pos="602"/>
              <w:tab w:val="left" w:pos="603"/>
              <w:tab w:val="left" w:pos="8808"/>
            </w:tabs>
            <w:spacing w:before="35"/>
          </w:pPr>
          <w:hyperlink w:anchor="_bookmark18" w:history="1">
            <w:r>
              <w:t>Admisibilidad de la</w:t>
            </w:r>
            <w:r>
              <w:rPr>
                <w:spacing w:val="-11"/>
              </w:rPr>
              <w:t xml:space="preserve"> </w:t>
            </w:r>
            <w:r>
              <w:t>prueba</w:t>
            </w:r>
            <w:r>
              <w:rPr>
                <w:spacing w:val="-6"/>
              </w:rPr>
              <w:t xml:space="preserve"> </w:t>
            </w:r>
            <w:r>
              <w:t>documental</w:t>
            </w:r>
            <w:r>
              <w:tab/>
              <w:t>7</w:t>
            </w:r>
          </w:hyperlink>
        </w:p>
        <w:p w14:paraId="45F30E82" w14:textId="77777777" w:rsidR="00492688" w:rsidRDefault="00C9584B">
          <w:pPr>
            <w:pStyle w:val="TDC1"/>
            <w:numPr>
              <w:ilvl w:val="0"/>
              <w:numId w:val="16"/>
            </w:numPr>
            <w:tabs>
              <w:tab w:val="left" w:pos="602"/>
              <w:tab w:val="left" w:pos="603"/>
              <w:tab w:val="left" w:pos="8808"/>
            </w:tabs>
            <w:spacing w:before="38"/>
          </w:pPr>
          <w:hyperlink w:anchor="_bookmark24" w:history="1">
            <w:r>
              <w:t>Admisibilidad de las</w:t>
            </w:r>
            <w:r>
              <w:rPr>
                <w:spacing w:val="-13"/>
              </w:rPr>
              <w:t xml:space="preserve"> </w:t>
            </w:r>
            <w:r>
              <w:t>declaraciones</w:t>
            </w:r>
            <w:r>
              <w:rPr>
                <w:spacing w:val="-6"/>
              </w:rPr>
              <w:t xml:space="preserve"> </w:t>
            </w:r>
            <w:r>
              <w:t>ofrecidas</w:t>
            </w:r>
            <w:r>
              <w:tab/>
              <w:t>8</w:t>
            </w:r>
          </w:hyperlink>
        </w:p>
        <w:p w14:paraId="18807C4D" w14:textId="77777777" w:rsidR="00492688" w:rsidRDefault="00C9584B">
          <w:pPr>
            <w:pStyle w:val="TDC1"/>
            <w:numPr>
              <w:ilvl w:val="0"/>
              <w:numId w:val="18"/>
            </w:numPr>
            <w:tabs>
              <w:tab w:val="left" w:pos="452"/>
              <w:tab w:val="left" w:pos="8808"/>
            </w:tabs>
            <w:ind w:left="451" w:hanging="330"/>
          </w:pPr>
          <w:hyperlink w:anchor="_bookmark25" w:history="1">
            <w:r>
              <w:t>HECHOS</w:t>
            </w:r>
            <w:r>
              <w:tab/>
              <w:t>8</w:t>
            </w:r>
          </w:hyperlink>
        </w:p>
        <w:p w14:paraId="142D5F1B" w14:textId="77777777" w:rsidR="00492688" w:rsidRDefault="00C9584B">
          <w:pPr>
            <w:pStyle w:val="TDC1"/>
            <w:numPr>
              <w:ilvl w:val="0"/>
              <w:numId w:val="15"/>
            </w:numPr>
            <w:tabs>
              <w:tab w:val="left" w:pos="602"/>
              <w:tab w:val="left" w:pos="604"/>
              <w:tab w:val="left" w:pos="8808"/>
            </w:tabs>
            <w:spacing w:before="37" w:line="276" w:lineRule="auto"/>
            <w:ind w:left="122" w:right="127" w:firstLine="0"/>
          </w:pPr>
          <w:hyperlink w:anchor="_bookmark28" w:history="1">
            <w:r>
              <w:t>Marco normativo aplicable al procedimiento disciplinario sancionatorio en</w:t>
            </w:r>
          </w:hyperlink>
          <w:hyperlink w:anchor="_bookmark28" w:history="1">
            <w:r>
              <w:t xml:space="preserve"> contra de jueces y juezas en Perú, vigente para la fecha de</w:t>
            </w:r>
            <w:r>
              <w:rPr>
                <w:spacing w:val="-26"/>
              </w:rPr>
              <w:t xml:space="preserve"> </w:t>
            </w:r>
            <w:r>
              <w:t>los</w:t>
            </w:r>
            <w:r>
              <w:rPr>
                <w:spacing w:val="-2"/>
              </w:rPr>
              <w:t xml:space="preserve"> </w:t>
            </w:r>
            <w:r>
              <w:t>hechos</w:t>
            </w:r>
            <w:r>
              <w:tab/>
            </w:r>
            <w:r>
              <w:rPr>
                <w:spacing w:val="-17"/>
              </w:rPr>
              <w:t>9</w:t>
            </w:r>
          </w:hyperlink>
        </w:p>
        <w:p w14:paraId="2BA64D13" w14:textId="77777777" w:rsidR="00492688" w:rsidRDefault="00C9584B">
          <w:pPr>
            <w:pStyle w:val="TDC1"/>
            <w:numPr>
              <w:ilvl w:val="0"/>
              <w:numId w:val="15"/>
            </w:numPr>
            <w:tabs>
              <w:tab w:val="left" w:pos="602"/>
              <w:tab w:val="left" w:pos="604"/>
              <w:tab w:val="left" w:pos="8666"/>
            </w:tabs>
            <w:spacing w:before="1" w:line="276" w:lineRule="auto"/>
            <w:ind w:right="127" w:hanging="1"/>
          </w:pPr>
          <w:hyperlink w:anchor="_bookmark31" w:history="1">
            <w:r>
              <w:t>Nombramiento de Héctor Fidel Cordero Bernal como Juez Cuarto</w:t>
            </w:r>
          </w:hyperlink>
          <w:hyperlink w:anchor="_bookmark31" w:history="1">
            <w:r>
              <w:t xml:space="preserve"> Especializado en lo Penal de la ciudad</w:t>
            </w:r>
            <w:r>
              <w:rPr>
                <w:spacing w:val="-19"/>
              </w:rPr>
              <w:t xml:space="preserve"> </w:t>
            </w:r>
            <w:r>
              <w:t>de Huánuco</w:t>
            </w:r>
            <w:r>
              <w:tab/>
            </w:r>
            <w:r>
              <w:rPr>
                <w:spacing w:val="-9"/>
              </w:rPr>
              <w:t>10</w:t>
            </w:r>
          </w:hyperlink>
        </w:p>
        <w:p w14:paraId="25E7A992" w14:textId="77777777" w:rsidR="00492688" w:rsidRDefault="00C9584B">
          <w:pPr>
            <w:pStyle w:val="TDC1"/>
            <w:numPr>
              <w:ilvl w:val="0"/>
              <w:numId w:val="15"/>
            </w:numPr>
            <w:tabs>
              <w:tab w:val="left" w:pos="602"/>
              <w:tab w:val="left" w:pos="603"/>
              <w:tab w:val="left" w:pos="8666"/>
            </w:tabs>
            <w:spacing w:before="0"/>
            <w:ind w:left="602"/>
          </w:pPr>
          <w:hyperlink w:anchor="_bookmark37" w:history="1">
            <w:r>
              <w:t>Decisión de conceder la libertad incondicional a</w:t>
            </w:r>
            <w:r>
              <w:rPr>
                <w:spacing w:val="-19"/>
              </w:rPr>
              <w:t xml:space="preserve"> </w:t>
            </w:r>
            <w:r>
              <w:t>dos</w:t>
            </w:r>
            <w:r>
              <w:rPr>
                <w:spacing w:val="-2"/>
              </w:rPr>
              <w:t xml:space="preserve"> </w:t>
            </w:r>
            <w:r>
              <w:t>procesados</w:t>
            </w:r>
            <w:r>
              <w:tab/>
              <w:t>11</w:t>
            </w:r>
          </w:hyperlink>
        </w:p>
        <w:p w14:paraId="43610D72" w14:textId="77777777" w:rsidR="00492688" w:rsidRDefault="00C9584B">
          <w:pPr>
            <w:pStyle w:val="TDC1"/>
            <w:numPr>
              <w:ilvl w:val="0"/>
              <w:numId w:val="15"/>
            </w:numPr>
            <w:tabs>
              <w:tab w:val="left" w:pos="602"/>
              <w:tab w:val="left" w:pos="603"/>
              <w:tab w:val="left" w:pos="8666"/>
            </w:tabs>
            <w:spacing w:before="35"/>
            <w:ind w:left="602"/>
          </w:pPr>
          <w:hyperlink w:anchor="_bookmark47" w:history="1">
            <w:r>
              <w:t>Proceso</w:t>
            </w:r>
            <w:r>
              <w:rPr>
                <w:spacing w:val="-4"/>
              </w:rPr>
              <w:t xml:space="preserve"> </w:t>
            </w:r>
            <w:r>
              <w:t>disciplinario</w:t>
            </w:r>
            <w:r>
              <w:tab/>
              <w:t>12</w:t>
            </w:r>
          </w:hyperlink>
        </w:p>
        <w:p w14:paraId="7D4DAC39" w14:textId="77777777" w:rsidR="00492688" w:rsidRDefault="00C9584B">
          <w:pPr>
            <w:pStyle w:val="TDC2"/>
            <w:numPr>
              <w:ilvl w:val="1"/>
              <w:numId w:val="15"/>
            </w:numPr>
            <w:tabs>
              <w:tab w:val="left" w:pos="786"/>
              <w:tab w:val="left" w:pos="8695"/>
            </w:tabs>
            <w:spacing w:before="38"/>
            <w:ind w:hanging="424"/>
          </w:pPr>
          <w:hyperlink w:anchor="_bookmark48" w:history="1">
            <w:r>
              <w:t>Proceso seguido a</w:t>
            </w:r>
            <w:r>
              <w:t>nte la Oficina de Control de la</w:t>
            </w:r>
            <w:r>
              <w:rPr>
                <w:spacing w:val="-21"/>
              </w:rPr>
              <w:t xml:space="preserve"> </w:t>
            </w:r>
            <w:r>
              <w:t>Magistratura</w:t>
            </w:r>
            <w:r>
              <w:rPr>
                <w:spacing w:val="1"/>
              </w:rPr>
              <w:t xml:space="preserve"> </w:t>
            </w:r>
            <w:r>
              <w:t>(OCMA)</w:t>
            </w:r>
            <w:r>
              <w:tab/>
              <w:t>12</w:t>
            </w:r>
          </w:hyperlink>
        </w:p>
        <w:p w14:paraId="27D4F06F" w14:textId="77777777" w:rsidR="00492688" w:rsidRDefault="00C9584B">
          <w:pPr>
            <w:pStyle w:val="TDC2"/>
            <w:numPr>
              <w:ilvl w:val="1"/>
              <w:numId w:val="15"/>
            </w:numPr>
            <w:tabs>
              <w:tab w:val="left" w:pos="786"/>
              <w:tab w:val="left" w:pos="8695"/>
            </w:tabs>
            <w:spacing w:before="36"/>
            <w:ind w:hanging="424"/>
          </w:pPr>
          <w:hyperlink w:anchor="_bookmark59" w:history="1">
            <w:r>
              <w:t>Procedimiento seguido ante el Consejo Nacional de la</w:t>
            </w:r>
            <w:r>
              <w:rPr>
                <w:spacing w:val="-24"/>
              </w:rPr>
              <w:t xml:space="preserve"> </w:t>
            </w:r>
            <w:r>
              <w:t>Magistratura (CNM)</w:t>
            </w:r>
            <w:r>
              <w:tab/>
              <w:t>14</w:t>
            </w:r>
          </w:hyperlink>
        </w:p>
        <w:p w14:paraId="2F189131" w14:textId="77777777" w:rsidR="00492688" w:rsidRDefault="00C9584B">
          <w:pPr>
            <w:pStyle w:val="TDC1"/>
            <w:numPr>
              <w:ilvl w:val="0"/>
              <w:numId w:val="15"/>
            </w:numPr>
            <w:tabs>
              <w:tab w:val="left" w:pos="602"/>
              <w:tab w:val="left" w:pos="603"/>
              <w:tab w:val="left" w:pos="8666"/>
            </w:tabs>
            <w:spacing w:before="38"/>
            <w:ind w:left="602"/>
          </w:pPr>
          <w:hyperlink w:anchor="_bookmark60" w:history="1">
            <w:r>
              <w:t>Proceso</w:t>
            </w:r>
            <w:r>
              <w:rPr>
                <w:spacing w:val="-2"/>
              </w:rPr>
              <w:t xml:space="preserve"> </w:t>
            </w:r>
            <w:r>
              <w:t>de</w:t>
            </w:r>
            <w:r>
              <w:rPr>
                <w:spacing w:val="-3"/>
              </w:rPr>
              <w:t xml:space="preserve"> </w:t>
            </w:r>
            <w:r>
              <w:t>amparo</w:t>
            </w:r>
            <w:r>
              <w:tab/>
              <w:t>14</w:t>
            </w:r>
          </w:hyperlink>
        </w:p>
        <w:p w14:paraId="5C86C77C" w14:textId="77777777" w:rsidR="00492688" w:rsidRDefault="00C9584B">
          <w:pPr>
            <w:pStyle w:val="TDC1"/>
            <w:numPr>
              <w:ilvl w:val="0"/>
              <w:numId w:val="15"/>
            </w:numPr>
            <w:tabs>
              <w:tab w:val="left" w:pos="602"/>
              <w:tab w:val="left" w:pos="603"/>
              <w:tab w:val="left" w:pos="8666"/>
            </w:tabs>
            <w:spacing w:before="35"/>
            <w:ind w:left="602"/>
          </w:pPr>
          <w:hyperlink w:anchor="_bookmark67" w:history="1">
            <w:r>
              <w:t>Proceso</w:t>
            </w:r>
            <w:r>
              <w:rPr>
                <w:spacing w:val="-2"/>
              </w:rPr>
              <w:t xml:space="preserve"> </w:t>
            </w:r>
            <w:r>
              <w:t>pena</w:t>
            </w:r>
            <w:r>
              <w:t>l</w:t>
            </w:r>
            <w:r>
              <w:tab/>
              <w:t>15</w:t>
            </w:r>
          </w:hyperlink>
        </w:p>
        <w:p w14:paraId="399FD336" w14:textId="77777777" w:rsidR="00492688" w:rsidRDefault="00C9584B">
          <w:pPr>
            <w:pStyle w:val="TDC1"/>
            <w:numPr>
              <w:ilvl w:val="0"/>
              <w:numId w:val="15"/>
            </w:numPr>
            <w:tabs>
              <w:tab w:val="left" w:pos="602"/>
              <w:tab w:val="left" w:pos="603"/>
              <w:tab w:val="left" w:pos="8666"/>
            </w:tabs>
            <w:spacing w:before="38"/>
            <w:ind w:left="602"/>
          </w:pPr>
          <w:hyperlink w:anchor="_bookmark87" w:history="1">
            <w:r>
              <w:t>Recurso</w:t>
            </w:r>
            <w:r>
              <w:rPr>
                <w:spacing w:val="-2"/>
              </w:rPr>
              <w:t xml:space="preserve"> </w:t>
            </w:r>
            <w:r>
              <w:t>de</w:t>
            </w:r>
            <w:r>
              <w:rPr>
                <w:spacing w:val="-3"/>
              </w:rPr>
              <w:t xml:space="preserve"> </w:t>
            </w:r>
            <w:r>
              <w:t>Nulidad</w:t>
            </w:r>
            <w:r>
              <w:tab/>
              <w:t>17</w:t>
            </w:r>
          </w:hyperlink>
        </w:p>
        <w:p w14:paraId="43769F6D" w14:textId="77777777" w:rsidR="00492688" w:rsidRDefault="00C9584B">
          <w:pPr>
            <w:pStyle w:val="TDC1"/>
            <w:numPr>
              <w:ilvl w:val="0"/>
              <w:numId w:val="18"/>
            </w:numPr>
            <w:tabs>
              <w:tab w:val="left" w:pos="560"/>
              <w:tab w:val="left" w:pos="8666"/>
            </w:tabs>
            <w:spacing w:before="35"/>
            <w:ind w:left="559" w:hanging="438"/>
          </w:pPr>
          <w:hyperlink w:anchor="_bookmark95" w:history="1">
            <w:r>
              <w:t>FONDO</w:t>
            </w:r>
            <w:r>
              <w:tab/>
              <w:t>18</w:t>
            </w:r>
          </w:hyperlink>
        </w:p>
        <w:p w14:paraId="38CEE626" w14:textId="77777777" w:rsidR="00492688" w:rsidRDefault="00C9584B">
          <w:pPr>
            <w:pStyle w:val="TDC1"/>
            <w:numPr>
              <w:ilvl w:val="1"/>
              <w:numId w:val="18"/>
            </w:numPr>
            <w:tabs>
              <w:tab w:val="left" w:pos="800"/>
              <w:tab w:val="left" w:pos="8666"/>
            </w:tabs>
            <w:spacing w:line="276" w:lineRule="auto"/>
            <w:ind w:right="127" w:firstLine="0"/>
          </w:pPr>
          <w:hyperlink w:anchor="_bookmark96" w:history="1">
            <w:r>
              <w:t>GARANTÍAS JUDICIALES, PRINCIPIO DE LEGALIDAD Y DERECHOS</w:t>
            </w:r>
          </w:hyperlink>
          <w:hyperlink w:anchor="_bookmark96" w:history="1">
            <w:r>
              <w:t xml:space="preserve"> POLÍTICOS, EN RELACIÓN CON LAS OBLIGACIONES DE RESPETAR Y</w:t>
            </w:r>
          </w:hyperlink>
          <w:hyperlink w:anchor="_bookmark96" w:history="1">
            <w:r>
              <w:t xml:space="preserve"> GARANTIZAR LOS DERECHOS Y ADOPTAR DISPOSICIONES DE DERECHO</w:t>
            </w:r>
          </w:hyperlink>
          <w:hyperlink w:anchor="_bookmark96" w:history="1">
            <w:r>
              <w:t xml:space="preserve"> INTERNO</w:t>
            </w:r>
            <w:r>
              <w:tab/>
            </w:r>
            <w:r>
              <w:rPr>
                <w:spacing w:val="-9"/>
              </w:rPr>
              <w:t>18</w:t>
            </w:r>
          </w:hyperlink>
        </w:p>
        <w:p w14:paraId="74601991" w14:textId="77777777" w:rsidR="00492688" w:rsidRDefault="00C9584B">
          <w:pPr>
            <w:pStyle w:val="TDC1"/>
            <w:numPr>
              <w:ilvl w:val="0"/>
              <w:numId w:val="14"/>
            </w:numPr>
            <w:tabs>
              <w:tab w:val="left" w:pos="602"/>
              <w:tab w:val="left" w:pos="603"/>
              <w:tab w:val="left" w:pos="8666"/>
            </w:tabs>
            <w:spacing w:before="0"/>
          </w:pPr>
          <w:hyperlink w:anchor="_bookmark97" w:history="1">
            <w:r>
              <w:t>Alegatos de las partes y de</w:t>
            </w:r>
            <w:r>
              <w:rPr>
                <w:spacing w:val="-15"/>
              </w:rPr>
              <w:t xml:space="preserve"> </w:t>
            </w:r>
            <w:r>
              <w:t>la</w:t>
            </w:r>
            <w:r>
              <w:rPr>
                <w:spacing w:val="-2"/>
              </w:rPr>
              <w:t xml:space="preserve"> </w:t>
            </w:r>
            <w:r>
              <w:t>Comisión</w:t>
            </w:r>
            <w:r>
              <w:tab/>
              <w:t>18</w:t>
            </w:r>
          </w:hyperlink>
        </w:p>
        <w:p w14:paraId="25C1C0BF" w14:textId="77777777" w:rsidR="00492688" w:rsidRDefault="00C9584B">
          <w:pPr>
            <w:pStyle w:val="TDC1"/>
            <w:numPr>
              <w:ilvl w:val="0"/>
              <w:numId w:val="14"/>
            </w:numPr>
            <w:tabs>
              <w:tab w:val="left" w:pos="602"/>
              <w:tab w:val="left" w:pos="603"/>
              <w:tab w:val="left" w:pos="8666"/>
            </w:tabs>
            <w:spacing w:before="38"/>
          </w:pPr>
          <w:hyperlink w:anchor="_bookmark101" w:history="1">
            <w:r>
              <w:t>Consideraciones de</w:t>
            </w:r>
            <w:r>
              <w:rPr>
                <w:spacing w:val="-7"/>
              </w:rPr>
              <w:t xml:space="preserve"> </w:t>
            </w:r>
            <w:r>
              <w:t>la</w:t>
            </w:r>
            <w:r>
              <w:rPr>
                <w:spacing w:val="-3"/>
              </w:rPr>
              <w:t xml:space="preserve"> </w:t>
            </w:r>
            <w:r>
              <w:t>Corte</w:t>
            </w:r>
            <w:r>
              <w:tab/>
              <w:t>20</w:t>
            </w:r>
          </w:hyperlink>
        </w:p>
        <w:p w14:paraId="150C169D" w14:textId="77777777" w:rsidR="00492688" w:rsidRDefault="00C9584B">
          <w:pPr>
            <w:pStyle w:val="TDC2"/>
            <w:numPr>
              <w:ilvl w:val="1"/>
              <w:numId w:val="14"/>
            </w:numPr>
            <w:tabs>
              <w:tab w:val="left" w:pos="769"/>
              <w:tab w:val="left" w:pos="8695"/>
            </w:tabs>
            <w:spacing w:before="35" w:line="278" w:lineRule="auto"/>
            <w:ind w:right="128" w:firstLine="0"/>
          </w:pPr>
          <w:hyperlink w:anchor="_bookmark102" w:history="1">
            <w:r>
              <w:t>La garantía de independencia judicial en relación con el principio de legalidad,</w:t>
            </w:r>
          </w:hyperlink>
          <w:hyperlink w:anchor="_bookmark102" w:history="1">
            <w:r>
              <w:t xml:space="preserve"> los d</w:t>
            </w:r>
            <w:r>
              <w:t>erechos políticos y la garantía</w:t>
            </w:r>
            <w:r>
              <w:rPr>
                <w:spacing w:val="-16"/>
              </w:rPr>
              <w:t xml:space="preserve"> </w:t>
            </w:r>
            <w:r>
              <w:t>de</w:t>
            </w:r>
            <w:r>
              <w:rPr>
                <w:spacing w:val="-2"/>
              </w:rPr>
              <w:t xml:space="preserve"> </w:t>
            </w:r>
            <w:r>
              <w:t>motivación</w:t>
            </w:r>
            <w:r>
              <w:tab/>
            </w:r>
            <w:r>
              <w:rPr>
                <w:spacing w:val="-9"/>
              </w:rPr>
              <w:t>20</w:t>
            </w:r>
          </w:hyperlink>
        </w:p>
        <w:p w14:paraId="0BCC337F" w14:textId="77777777" w:rsidR="00492688" w:rsidRDefault="00C9584B">
          <w:pPr>
            <w:pStyle w:val="TDC2"/>
            <w:numPr>
              <w:ilvl w:val="1"/>
              <w:numId w:val="14"/>
            </w:numPr>
            <w:tabs>
              <w:tab w:val="left" w:pos="769"/>
              <w:tab w:val="left" w:pos="8695"/>
            </w:tabs>
            <w:spacing w:line="239" w:lineRule="exact"/>
            <w:ind w:left="768" w:hanging="407"/>
          </w:pPr>
          <w:hyperlink w:anchor="_bookmark121" w:history="1">
            <w:r>
              <w:t>El principio de aplicación de la ley sancionatoria</w:t>
            </w:r>
            <w:r>
              <w:rPr>
                <w:spacing w:val="-20"/>
              </w:rPr>
              <w:t xml:space="preserve"> </w:t>
            </w:r>
            <w:r>
              <w:t>más</w:t>
            </w:r>
            <w:r>
              <w:rPr>
                <w:spacing w:val="-4"/>
              </w:rPr>
              <w:t xml:space="preserve"> </w:t>
            </w:r>
            <w:r>
              <w:t>favorable</w:t>
            </w:r>
            <w:r>
              <w:tab/>
              <w:t>26</w:t>
            </w:r>
          </w:hyperlink>
        </w:p>
        <w:p w14:paraId="33E033ED" w14:textId="77777777" w:rsidR="00492688" w:rsidRDefault="00C9584B">
          <w:pPr>
            <w:pStyle w:val="TDC2"/>
            <w:tabs>
              <w:tab w:val="left" w:pos="8695"/>
            </w:tabs>
            <w:spacing w:before="38"/>
            <w:ind w:left="363" w:firstLine="0"/>
          </w:pPr>
          <w:hyperlink w:anchor="_bookmark128" w:history="1">
            <w:r>
              <w:t>B.5</w:t>
            </w:r>
            <w:r>
              <w:rPr>
                <w:spacing w:val="-4"/>
              </w:rPr>
              <w:t xml:space="preserve"> </w:t>
            </w:r>
            <w:r>
              <w:t>Conclusión</w:t>
            </w:r>
            <w:r>
              <w:tab/>
              <w:t>28</w:t>
            </w:r>
          </w:hyperlink>
        </w:p>
        <w:p w14:paraId="3B34EC0E" w14:textId="77777777" w:rsidR="00492688" w:rsidRDefault="00C9584B">
          <w:pPr>
            <w:pStyle w:val="TDC1"/>
            <w:numPr>
              <w:ilvl w:val="1"/>
              <w:numId w:val="18"/>
            </w:numPr>
            <w:tabs>
              <w:tab w:val="left" w:pos="798"/>
              <w:tab w:val="left" w:pos="8666"/>
            </w:tabs>
            <w:spacing w:line="276" w:lineRule="auto"/>
            <w:ind w:right="127" w:firstLine="0"/>
          </w:pPr>
          <w:hyperlink w:anchor="_bookmark129" w:history="1">
            <w:r>
              <w:t>PROTECCIÓN JUDICIAL, EN R</w:t>
            </w:r>
            <w:r>
              <w:t>ELACIÓN CON LAS OBLIGACIONES DE</w:t>
            </w:r>
          </w:hyperlink>
          <w:hyperlink w:anchor="_bookmark129" w:history="1">
            <w:r>
              <w:t xml:space="preserve"> RESPETAR Y GARANTIZAR LOS DERECHOS Y ADOPTAR DISPOSICIONES DE</w:t>
            </w:r>
          </w:hyperlink>
          <w:hyperlink w:anchor="_bookmark129" w:history="1">
            <w:r>
              <w:t xml:space="preserve"> DERECHO</w:t>
            </w:r>
            <w:r>
              <w:rPr>
                <w:spacing w:val="-5"/>
              </w:rPr>
              <w:t xml:space="preserve"> </w:t>
            </w:r>
            <w:r>
              <w:t>INTERNO</w:t>
            </w:r>
            <w:r>
              <w:tab/>
            </w:r>
            <w:r>
              <w:rPr>
                <w:spacing w:val="-9"/>
              </w:rPr>
              <w:t>28</w:t>
            </w:r>
          </w:hyperlink>
        </w:p>
        <w:p w14:paraId="7850B092" w14:textId="77777777" w:rsidR="00492688" w:rsidRDefault="00C9584B">
          <w:pPr>
            <w:pStyle w:val="TDC1"/>
            <w:numPr>
              <w:ilvl w:val="0"/>
              <w:numId w:val="13"/>
            </w:numPr>
            <w:tabs>
              <w:tab w:val="left" w:pos="602"/>
              <w:tab w:val="left" w:pos="604"/>
              <w:tab w:val="left" w:pos="8666"/>
            </w:tabs>
            <w:spacing w:before="1"/>
            <w:ind w:hanging="482"/>
          </w:pPr>
          <w:hyperlink w:anchor="_bookmark130" w:history="1">
            <w:r>
              <w:t>Alegatos de las partes y de</w:t>
            </w:r>
            <w:r>
              <w:rPr>
                <w:spacing w:val="-15"/>
              </w:rPr>
              <w:t xml:space="preserve"> </w:t>
            </w:r>
            <w:r>
              <w:t>la</w:t>
            </w:r>
            <w:r>
              <w:rPr>
                <w:spacing w:val="-2"/>
              </w:rPr>
              <w:t xml:space="preserve"> </w:t>
            </w:r>
            <w:r>
              <w:t>Comisión</w:t>
            </w:r>
            <w:r>
              <w:tab/>
              <w:t>28</w:t>
            </w:r>
          </w:hyperlink>
        </w:p>
        <w:p w14:paraId="4A92C8ED" w14:textId="77777777" w:rsidR="00492688" w:rsidRDefault="00C9584B">
          <w:pPr>
            <w:pStyle w:val="TDC1"/>
            <w:numPr>
              <w:ilvl w:val="0"/>
              <w:numId w:val="13"/>
            </w:numPr>
            <w:tabs>
              <w:tab w:val="left" w:pos="602"/>
              <w:tab w:val="left" w:pos="604"/>
              <w:tab w:val="left" w:pos="8666"/>
            </w:tabs>
            <w:ind w:hanging="482"/>
          </w:pPr>
          <w:hyperlink w:anchor="_bookmark131" w:history="1">
            <w:r>
              <w:t>Consideraciones de</w:t>
            </w:r>
            <w:r>
              <w:rPr>
                <w:spacing w:val="-7"/>
              </w:rPr>
              <w:t xml:space="preserve"> </w:t>
            </w:r>
            <w:r>
              <w:t>la</w:t>
            </w:r>
            <w:r>
              <w:rPr>
                <w:spacing w:val="-3"/>
              </w:rPr>
              <w:t xml:space="preserve"> </w:t>
            </w:r>
            <w:r>
              <w:t>Corte</w:t>
            </w:r>
            <w:r>
              <w:tab/>
              <w:t>28</w:t>
            </w:r>
          </w:hyperlink>
        </w:p>
        <w:p w14:paraId="7C32F78C" w14:textId="77777777" w:rsidR="00492688" w:rsidRDefault="00C9584B">
          <w:pPr>
            <w:pStyle w:val="TDC1"/>
            <w:numPr>
              <w:ilvl w:val="0"/>
              <w:numId w:val="18"/>
            </w:numPr>
            <w:tabs>
              <w:tab w:val="left" w:pos="671"/>
              <w:tab w:val="left" w:pos="8666"/>
            </w:tabs>
            <w:spacing w:before="37"/>
            <w:ind w:left="670" w:hanging="549"/>
          </w:pPr>
          <w:hyperlink w:anchor="_bookmark137" w:history="1">
            <w:r>
              <w:t>PUNTOS</w:t>
            </w:r>
            <w:r>
              <w:rPr>
                <w:spacing w:val="-3"/>
              </w:rPr>
              <w:t xml:space="preserve"> </w:t>
            </w:r>
            <w:r>
              <w:t>RESOLUTIVOS</w:t>
            </w:r>
            <w:r>
              <w:tab/>
              <w:t>30</w:t>
            </w:r>
          </w:hyperlink>
        </w:p>
      </w:sdtContent>
    </w:sdt>
    <w:p w14:paraId="4A4FB2B1" w14:textId="77777777" w:rsidR="00492688" w:rsidRDefault="00492688">
      <w:pPr>
        <w:sectPr w:rsidR="00492688">
          <w:pgSz w:w="12240" w:h="15840"/>
          <w:pgMar w:top="1500" w:right="1580" w:bottom="280" w:left="1580" w:header="720" w:footer="720" w:gutter="0"/>
          <w:cols w:space="720"/>
        </w:sectPr>
      </w:pPr>
    </w:p>
    <w:p w14:paraId="6E86FB74" w14:textId="77777777" w:rsidR="00492688" w:rsidRDefault="00C9584B">
      <w:pPr>
        <w:spacing w:before="197"/>
        <w:ind w:right="1"/>
        <w:jc w:val="center"/>
        <w:rPr>
          <w:b/>
          <w:sz w:val="20"/>
        </w:rPr>
      </w:pPr>
      <w:bookmarkStart w:id="1" w:name="I_INTRODUCCIÓN_DE_LA_CAUSA_Y_OBJETO_DE_L"/>
      <w:bookmarkStart w:id="2" w:name="_bookmark0"/>
      <w:bookmarkEnd w:id="1"/>
      <w:bookmarkEnd w:id="2"/>
      <w:r>
        <w:rPr>
          <w:b/>
          <w:w w:val="99"/>
          <w:sz w:val="20"/>
        </w:rPr>
        <w:lastRenderedPageBreak/>
        <w:t>I</w:t>
      </w:r>
    </w:p>
    <w:p w14:paraId="4B697219" w14:textId="77777777" w:rsidR="00492688" w:rsidRDefault="00C9584B">
      <w:pPr>
        <w:spacing w:before="2"/>
        <w:ind w:left="124" w:right="125"/>
        <w:jc w:val="center"/>
        <w:rPr>
          <w:b/>
          <w:sz w:val="20"/>
        </w:rPr>
      </w:pPr>
      <w:r>
        <w:rPr>
          <w:b/>
          <w:sz w:val="20"/>
        </w:rPr>
        <w:t>INTRODUCCIÓN DE LA CAUSA Y OBJETO DE LA CONTROVERSIA</w:t>
      </w:r>
    </w:p>
    <w:p w14:paraId="274B04B9" w14:textId="77777777" w:rsidR="00492688" w:rsidRDefault="00492688">
      <w:pPr>
        <w:pStyle w:val="Textoindependiente"/>
        <w:spacing w:before="11"/>
        <w:rPr>
          <w:b/>
          <w:sz w:val="19"/>
        </w:rPr>
      </w:pPr>
    </w:p>
    <w:p w14:paraId="0400E64E" w14:textId="77777777" w:rsidR="00492688" w:rsidRDefault="00C9584B">
      <w:pPr>
        <w:pStyle w:val="Prrafodelista"/>
        <w:numPr>
          <w:ilvl w:val="0"/>
          <w:numId w:val="12"/>
        </w:numPr>
        <w:tabs>
          <w:tab w:val="left" w:pos="688"/>
        </w:tabs>
        <w:ind w:right="116" w:firstLine="0"/>
        <w:jc w:val="both"/>
        <w:rPr>
          <w:sz w:val="20"/>
        </w:rPr>
      </w:pPr>
      <w:r>
        <w:rPr>
          <w:i/>
          <w:sz w:val="20"/>
        </w:rPr>
        <w:t xml:space="preserve">El caso sometido a la Corte. </w:t>
      </w:r>
      <w:r>
        <w:rPr>
          <w:sz w:val="20"/>
        </w:rPr>
        <w:t>– El 16 de agosto de 2019, la Comisión Interamericana de Derechos Humanos (en adelante “la Comisión”), sometió el caso Cordero Bernal contra la República de Perú (en adelante “el Estado”, “Perú” o “el Estado peruano”) ante la Corte. De acuerdo con la Comis</w:t>
      </w:r>
      <w:r>
        <w:rPr>
          <w:sz w:val="20"/>
        </w:rPr>
        <w:t>ión, el caso se relaciona con las presuntas violaciones a la Convención Americana sobre Derechos Humanos que habrían sido cometidas dentro del proceso disciplinario seguido en contra del señor Héctor Fidel Cordero Bernal, el cual tuvo como resultado su des</w:t>
      </w:r>
      <w:r>
        <w:rPr>
          <w:sz w:val="20"/>
        </w:rPr>
        <w:t>titución como Juez Cuarto Especializado en lo Penal de la ciudad de Huánuco, Perú, en 1996. La Comisión consideró que el proceso disciplinario seguido contra la presunta víctima violó el principio de independencia judicial y el derecho a contar con decisio</w:t>
      </w:r>
      <w:r>
        <w:rPr>
          <w:sz w:val="20"/>
        </w:rPr>
        <w:t>nes motivadas, debido a que la destitución habría sido consecuencia de la decisión del señor Cordero Bernal de conceder la libertad incondicional a dos procesados, y a que el fallo disciplinario no ofrecía una motivación adecuada. También alegó que se viol</w:t>
      </w:r>
      <w:r>
        <w:rPr>
          <w:sz w:val="20"/>
        </w:rPr>
        <w:t>ó el principio de legalidad, por la significativa amplitud y vaguedad de la causal por la que se destituyó a la presunta víctima, y el principio de favorabilidad porque, a juicio de la Comisión, había dos normas vigentes y el ente disciplinario optó por ap</w:t>
      </w:r>
      <w:r>
        <w:rPr>
          <w:sz w:val="20"/>
        </w:rPr>
        <w:t>licar una desfavorable a los intereses del señor Cordero Bernal. Finalmente, la Comisión encontró que el Estado violó los derechos a recurrir el fallo y a la protección judicial, porque no existía un recurso en la vía administrativa o judicial que permitie</w:t>
      </w:r>
      <w:r>
        <w:rPr>
          <w:sz w:val="20"/>
        </w:rPr>
        <w:t>ra la revisión integral del fallo</w:t>
      </w:r>
      <w:r>
        <w:rPr>
          <w:spacing w:val="-5"/>
          <w:sz w:val="20"/>
        </w:rPr>
        <w:t xml:space="preserve"> </w:t>
      </w:r>
      <w:r>
        <w:rPr>
          <w:sz w:val="20"/>
        </w:rPr>
        <w:t>sancionatorio.</w:t>
      </w:r>
    </w:p>
    <w:p w14:paraId="3190018C" w14:textId="77777777" w:rsidR="00492688" w:rsidRDefault="00492688">
      <w:pPr>
        <w:pStyle w:val="Textoindependiente"/>
      </w:pPr>
    </w:p>
    <w:p w14:paraId="7C982F13" w14:textId="77777777" w:rsidR="00492688" w:rsidRDefault="00C9584B">
      <w:pPr>
        <w:pStyle w:val="Prrafodelista"/>
        <w:numPr>
          <w:ilvl w:val="0"/>
          <w:numId w:val="12"/>
        </w:numPr>
        <w:tabs>
          <w:tab w:val="left" w:pos="688"/>
        </w:tabs>
        <w:spacing w:before="1"/>
        <w:ind w:left="687"/>
        <w:jc w:val="both"/>
        <w:rPr>
          <w:sz w:val="20"/>
        </w:rPr>
      </w:pPr>
      <w:r>
        <w:rPr>
          <w:i/>
          <w:sz w:val="20"/>
        </w:rPr>
        <w:t xml:space="preserve">Trámite ante la Comisión. </w:t>
      </w:r>
      <w:r>
        <w:rPr>
          <w:sz w:val="20"/>
        </w:rPr>
        <w:t>– El trámite ante la Comisión fue el</w:t>
      </w:r>
      <w:r>
        <w:rPr>
          <w:spacing w:val="-14"/>
          <w:sz w:val="20"/>
        </w:rPr>
        <w:t xml:space="preserve"> </w:t>
      </w:r>
      <w:r>
        <w:rPr>
          <w:sz w:val="20"/>
        </w:rPr>
        <w:t>siguiente:</w:t>
      </w:r>
    </w:p>
    <w:p w14:paraId="7552D639" w14:textId="77777777" w:rsidR="00492688" w:rsidRDefault="00492688">
      <w:pPr>
        <w:pStyle w:val="Textoindependiente"/>
        <w:spacing w:before="1"/>
      </w:pPr>
    </w:p>
    <w:p w14:paraId="05F13F53" w14:textId="77777777" w:rsidR="00492688" w:rsidRDefault="00C9584B">
      <w:pPr>
        <w:pStyle w:val="Prrafodelista"/>
        <w:numPr>
          <w:ilvl w:val="1"/>
          <w:numId w:val="12"/>
        </w:numPr>
        <w:tabs>
          <w:tab w:val="left" w:pos="1116"/>
        </w:tabs>
        <w:ind w:right="119" w:hanging="361"/>
        <w:jc w:val="both"/>
        <w:rPr>
          <w:sz w:val="20"/>
        </w:rPr>
      </w:pPr>
      <w:r>
        <w:rPr>
          <w:i/>
          <w:sz w:val="20"/>
        </w:rPr>
        <w:t xml:space="preserve">Petición. - </w:t>
      </w:r>
      <w:r>
        <w:rPr>
          <w:sz w:val="20"/>
        </w:rPr>
        <w:t>El 11 de noviembre de 1998 el señor Héctor Fidel Cordero Bernal presentó una petición ante la Comisión</w:t>
      </w:r>
      <w:r>
        <w:rPr>
          <w:spacing w:val="-7"/>
          <w:sz w:val="20"/>
        </w:rPr>
        <w:t xml:space="preserve"> </w:t>
      </w:r>
      <w:r>
        <w:rPr>
          <w:sz w:val="20"/>
        </w:rPr>
        <w:t>Interamericana.</w:t>
      </w:r>
    </w:p>
    <w:p w14:paraId="1316F4F3" w14:textId="77777777" w:rsidR="00492688" w:rsidRDefault="00492688">
      <w:pPr>
        <w:pStyle w:val="Textoindependiente"/>
        <w:spacing w:before="10"/>
        <w:rPr>
          <w:sz w:val="19"/>
        </w:rPr>
      </w:pPr>
    </w:p>
    <w:p w14:paraId="72BFBEAE" w14:textId="77777777" w:rsidR="00492688" w:rsidRDefault="00C9584B">
      <w:pPr>
        <w:pStyle w:val="Prrafodelista"/>
        <w:numPr>
          <w:ilvl w:val="1"/>
          <w:numId w:val="12"/>
        </w:numPr>
        <w:tabs>
          <w:tab w:val="left" w:pos="1116"/>
        </w:tabs>
        <w:ind w:right="119"/>
        <w:jc w:val="both"/>
        <w:rPr>
          <w:sz w:val="20"/>
        </w:rPr>
      </w:pPr>
      <w:r>
        <w:rPr>
          <w:i/>
          <w:sz w:val="20"/>
        </w:rPr>
        <w:t xml:space="preserve">Informe de Admisibilidad. - </w:t>
      </w:r>
      <w:r>
        <w:rPr>
          <w:sz w:val="20"/>
        </w:rPr>
        <w:t>El 22 de julio de 2011 la Comisión declaró la admisibilidad del caso mediante Informe No.</w:t>
      </w:r>
      <w:r>
        <w:rPr>
          <w:spacing w:val="-9"/>
          <w:sz w:val="20"/>
        </w:rPr>
        <w:t xml:space="preserve"> </w:t>
      </w:r>
      <w:r>
        <w:rPr>
          <w:sz w:val="20"/>
        </w:rPr>
        <w:t>112/11.</w:t>
      </w:r>
    </w:p>
    <w:p w14:paraId="41030016" w14:textId="77777777" w:rsidR="00492688" w:rsidRDefault="00492688">
      <w:pPr>
        <w:pStyle w:val="Textoindependiente"/>
      </w:pPr>
    </w:p>
    <w:p w14:paraId="2B2734F8" w14:textId="77777777" w:rsidR="00492688" w:rsidRDefault="00C9584B">
      <w:pPr>
        <w:pStyle w:val="Prrafodelista"/>
        <w:numPr>
          <w:ilvl w:val="1"/>
          <w:numId w:val="12"/>
        </w:numPr>
        <w:tabs>
          <w:tab w:val="left" w:pos="1116"/>
        </w:tabs>
        <w:ind w:right="118" w:hanging="361"/>
        <w:jc w:val="both"/>
        <w:rPr>
          <w:sz w:val="20"/>
        </w:rPr>
      </w:pPr>
      <w:r>
        <w:rPr>
          <w:i/>
          <w:sz w:val="20"/>
        </w:rPr>
        <w:t xml:space="preserve">Informe de Fondo. - </w:t>
      </w:r>
      <w:r>
        <w:rPr>
          <w:sz w:val="20"/>
        </w:rPr>
        <w:t>El 5 de octubre de 2018 la Comisión aprobó el Informe de Fondo No. 115/18, conforme al artículo 50 de la Convención (en adelante “Informe de Fondo” o “Informe No.</w:t>
      </w:r>
      <w:r>
        <w:rPr>
          <w:spacing w:val="-3"/>
          <w:sz w:val="20"/>
        </w:rPr>
        <w:t xml:space="preserve"> </w:t>
      </w:r>
      <w:r>
        <w:rPr>
          <w:sz w:val="20"/>
        </w:rPr>
        <w:t>115/18”).</w:t>
      </w:r>
    </w:p>
    <w:p w14:paraId="1A27D3EE" w14:textId="77777777" w:rsidR="00492688" w:rsidRDefault="00492688">
      <w:pPr>
        <w:pStyle w:val="Textoindependiente"/>
      </w:pPr>
    </w:p>
    <w:p w14:paraId="04FA1008" w14:textId="77777777" w:rsidR="00492688" w:rsidRDefault="00C9584B">
      <w:pPr>
        <w:pStyle w:val="Prrafodelista"/>
        <w:numPr>
          <w:ilvl w:val="1"/>
          <w:numId w:val="12"/>
        </w:numPr>
        <w:tabs>
          <w:tab w:val="left" w:pos="1116"/>
        </w:tabs>
        <w:ind w:right="115"/>
        <w:jc w:val="both"/>
        <w:rPr>
          <w:sz w:val="20"/>
        </w:rPr>
      </w:pPr>
      <w:r>
        <w:rPr>
          <w:i/>
          <w:sz w:val="20"/>
        </w:rPr>
        <w:t xml:space="preserve">Notificación al Estado. - </w:t>
      </w:r>
      <w:r>
        <w:rPr>
          <w:sz w:val="20"/>
        </w:rPr>
        <w:t>El Informe de Fondo fue notificado al Estado mediante co</w:t>
      </w:r>
      <w:r>
        <w:rPr>
          <w:sz w:val="20"/>
        </w:rPr>
        <w:t>municación de 16 de noviembre de 2018, en la que se le otorgó un plazo de dos meses para informar sobre el cumplimiento de las recomendaciones. El 13 de febrero de 2019 la Comisión dio una prórroga de tres meses al Estado para cumplir las recomendaciones d</w:t>
      </w:r>
      <w:r>
        <w:rPr>
          <w:sz w:val="20"/>
        </w:rPr>
        <w:t>el Informe de Fondo y el 16 de mayo del mismo año concedió una segunda prórroga de tres meses. La Comisión resolvió no conceder la tercera solicitud de prórroga y someter el caso a la jurisdicción de la Corte</w:t>
      </w:r>
      <w:r>
        <w:rPr>
          <w:spacing w:val="-9"/>
          <w:sz w:val="20"/>
        </w:rPr>
        <w:t xml:space="preserve"> </w:t>
      </w:r>
      <w:r>
        <w:rPr>
          <w:sz w:val="20"/>
        </w:rPr>
        <w:t>Interamericana.</w:t>
      </w:r>
    </w:p>
    <w:p w14:paraId="0845A9B9" w14:textId="77777777" w:rsidR="00492688" w:rsidRDefault="00492688">
      <w:pPr>
        <w:pStyle w:val="Textoindependiente"/>
        <w:spacing w:before="1"/>
      </w:pPr>
    </w:p>
    <w:p w14:paraId="738CD520" w14:textId="77777777" w:rsidR="00492688" w:rsidRDefault="00C9584B">
      <w:pPr>
        <w:pStyle w:val="Prrafodelista"/>
        <w:numPr>
          <w:ilvl w:val="0"/>
          <w:numId w:val="12"/>
        </w:numPr>
        <w:tabs>
          <w:tab w:val="left" w:pos="688"/>
        </w:tabs>
        <w:spacing w:before="1"/>
        <w:ind w:right="118" w:hanging="1"/>
        <w:jc w:val="both"/>
        <w:rPr>
          <w:sz w:val="20"/>
        </w:rPr>
      </w:pPr>
      <w:r>
        <w:rPr>
          <w:i/>
          <w:sz w:val="20"/>
        </w:rPr>
        <w:t xml:space="preserve">Sometimiento a la Corte. </w:t>
      </w:r>
      <w:r>
        <w:rPr>
          <w:sz w:val="20"/>
        </w:rPr>
        <w:t xml:space="preserve">– El </w:t>
      </w:r>
      <w:r>
        <w:rPr>
          <w:sz w:val="20"/>
        </w:rPr>
        <w:t>16 de agosto de 2019 la Comisión sometió ante la Corte Interamericana la totalidad de los hechos y de las alegadas violaciones de derechos humanos descritas en el Informe Nº 115/18, “por la necesidad de obtención de justicia para la [presunta]</w:t>
      </w:r>
      <w:r>
        <w:rPr>
          <w:spacing w:val="-5"/>
          <w:sz w:val="20"/>
        </w:rPr>
        <w:t xml:space="preserve"> </w:t>
      </w:r>
      <w:r>
        <w:rPr>
          <w:sz w:val="20"/>
        </w:rPr>
        <w:t>víctima”</w:t>
      </w:r>
      <w:hyperlink w:anchor="_bookmark1" w:history="1">
        <w:r>
          <w:rPr>
            <w:position w:val="7"/>
            <w:sz w:val="13"/>
          </w:rPr>
          <w:t>1</w:t>
        </w:r>
      </w:hyperlink>
      <w:r>
        <w:rPr>
          <w:sz w:val="20"/>
        </w:rPr>
        <w:t>.</w:t>
      </w:r>
    </w:p>
    <w:p w14:paraId="7CD9324B" w14:textId="5CF10F38" w:rsidR="00492688" w:rsidRDefault="00C9584B">
      <w:pPr>
        <w:pStyle w:val="Textoindependiente"/>
        <w:spacing w:before="9"/>
        <w:rPr>
          <w:sz w:val="13"/>
        </w:rPr>
      </w:pPr>
      <w:r>
        <w:rPr>
          <w:noProof/>
        </w:rPr>
        <mc:AlternateContent>
          <mc:Choice Requires="wps">
            <w:drawing>
              <wp:anchor distT="0" distB="0" distL="0" distR="0" simplePos="0" relativeHeight="251658240" behindDoc="1" locked="0" layoutInCell="1" allowOverlap="1" wp14:anchorId="4E4E46EA" wp14:editId="38DBA260">
                <wp:simplePos x="0" y="0"/>
                <wp:positionH relativeFrom="page">
                  <wp:posOffset>1080770</wp:posOffset>
                </wp:positionH>
                <wp:positionV relativeFrom="paragraph">
                  <wp:posOffset>135255</wp:posOffset>
                </wp:positionV>
                <wp:extent cx="1828800" cy="1270"/>
                <wp:effectExtent l="0" t="0" r="0" b="0"/>
                <wp:wrapTopAndBottom/>
                <wp:docPr id="41"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57884" id="Freeform 42" o:spid="_x0000_s1026" style="position:absolute;margin-left:85.1pt;margin-top:10.65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" path="m,l2880,e" filled="f" strokeweight=".6pt">
                <v:path arrowok="t" o:connecttype="custom" o:connectlocs="0,0;1828800,0" o:connectangles="0,0"/>
                <w10:wrap type="topAndBottom" anchorx="page"/>
              </v:shape>
            </w:pict>
          </mc:Fallback>
        </mc:AlternateContent>
      </w:r>
    </w:p>
    <w:p w14:paraId="336B693F" w14:textId="77777777" w:rsidR="00492688" w:rsidRDefault="00492688">
      <w:pPr>
        <w:pStyle w:val="Textoindependiente"/>
        <w:spacing w:before="1"/>
        <w:rPr>
          <w:sz w:val="6"/>
        </w:rPr>
      </w:pPr>
    </w:p>
    <w:p w14:paraId="3AB1756C" w14:textId="77777777" w:rsidR="00492688" w:rsidRDefault="00C9584B">
      <w:pPr>
        <w:tabs>
          <w:tab w:val="left" w:pos="829"/>
        </w:tabs>
        <w:spacing w:before="101"/>
        <w:ind w:left="122" w:right="114" w:hanging="2"/>
        <w:rPr>
          <w:sz w:val="16"/>
        </w:rPr>
      </w:pPr>
      <w:bookmarkStart w:id="3" w:name="_bookmark1"/>
      <w:bookmarkEnd w:id="3"/>
      <w:r>
        <w:rPr>
          <w:position w:val="6"/>
          <w:sz w:val="10"/>
        </w:rPr>
        <w:t>1</w:t>
      </w:r>
      <w:r>
        <w:rPr>
          <w:position w:val="6"/>
          <w:sz w:val="10"/>
        </w:rPr>
        <w:tab/>
      </w:r>
      <w:r>
        <w:rPr>
          <w:sz w:val="16"/>
        </w:rPr>
        <w:t>La Comisión designó como sus delegados al Comisionado Joel Hernández y al entonces Secretario Ejecutivo</w:t>
      </w:r>
      <w:r>
        <w:rPr>
          <w:spacing w:val="14"/>
          <w:sz w:val="16"/>
        </w:rPr>
        <w:t xml:space="preserve"> </w:t>
      </w:r>
      <w:r>
        <w:rPr>
          <w:sz w:val="16"/>
        </w:rPr>
        <w:t>Paulo</w:t>
      </w:r>
      <w:r>
        <w:rPr>
          <w:spacing w:val="14"/>
          <w:sz w:val="16"/>
        </w:rPr>
        <w:t xml:space="preserve"> </w:t>
      </w:r>
      <w:r>
        <w:rPr>
          <w:sz w:val="16"/>
        </w:rPr>
        <w:t>Abrão.</w:t>
      </w:r>
      <w:r>
        <w:rPr>
          <w:spacing w:val="13"/>
          <w:sz w:val="16"/>
        </w:rPr>
        <w:t xml:space="preserve"> </w:t>
      </w:r>
      <w:r>
        <w:rPr>
          <w:sz w:val="16"/>
        </w:rPr>
        <w:t>Asimismo,</w:t>
      </w:r>
      <w:r>
        <w:rPr>
          <w:spacing w:val="12"/>
          <w:sz w:val="16"/>
        </w:rPr>
        <w:t xml:space="preserve"> </w:t>
      </w:r>
      <w:r>
        <w:rPr>
          <w:sz w:val="16"/>
        </w:rPr>
        <w:t>señaló</w:t>
      </w:r>
      <w:r>
        <w:rPr>
          <w:spacing w:val="14"/>
          <w:sz w:val="16"/>
        </w:rPr>
        <w:t xml:space="preserve"> </w:t>
      </w:r>
      <w:r>
        <w:rPr>
          <w:sz w:val="16"/>
        </w:rPr>
        <w:t>a</w:t>
      </w:r>
      <w:r>
        <w:rPr>
          <w:spacing w:val="16"/>
          <w:sz w:val="16"/>
        </w:rPr>
        <w:t xml:space="preserve"> </w:t>
      </w:r>
      <w:r>
        <w:rPr>
          <w:sz w:val="16"/>
        </w:rPr>
        <w:t>Jorge</w:t>
      </w:r>
      <w:r>
        <w:rPr>
          <w:spacing w:val="11"/>
          <w:sz w:val="16"/>
        </w:rPr>
        <w:t xml:space="preserve"> </w:t>
      </w:r>
      <w:r>
        <w:rPr>
          <w:sz w:val="16"/>
        </w:rPr>
        <w:t>Meza</w:t>
      </w:r>
      <w:r>
        <w:rPr>
          <w:spacing w:val="14"/>
          <w:sz w:val="16"/>
        </w:rPr>
        <w:t xml:space="preserve"> </w:t>
      </w:r>
      <w:r>
        <w:rPr>
          <w:sz w:val="16"/>
        </w:rPr>
        <w:t>Flores</w:t>
      </w:r>
      <w:r>
        <w:rPr>
          <w:spacing w:val="14"/>
          <w:sz w:val="16"/>
        </w:rPr>
        <w:t xml:space="preserve"> </w:t>
      </w:r>
      <w:r>
        <w:rPr>
          <w:sz w:val="16"/>
        </w:rPr>
        <w:t>y</w:t>
      </w:r>
      <w:r>
        <w:rPr>
          <w:spacing w:val="14"/>
          <w:sz w:val="16"/>
        </w:rPr>
        <w:t xml:space="preserve"> </w:t>
      </w:r>
      <w:r>
        <w:rPr>
          <w:sz w:val="16"/>
        </w:rPr>
        <w:t>Christian</w:t>
      </w:r>
      <w:r>
        <w:rPr>
          <w:spacing w:val="16"/>
          <w:sz w:val="16"/>
        </w:rPr>
        <w:t xml:space="preserve"> </w:t>
      </w:r>
      <w:r>
        <w:rPr>
          <w:sz w:val="16"/>
        </w:rPr>
        <w:t>González</w:t>
      </w:r>
      <w:r>
        <w:rPr>
          <w:spacing w:val="13"/>
          <w:sz w:val="16"/>
        </w:rPr>
        <w:t xml:space="preserve"> </w:t>
      </w:r>
      <w:r>
        <w:rPr>
          <w:sz w:val="16"/>
        </w:rPr>
        <w:t>Chacón,</w:t>
      </w:r>
      <w:r>
        <w:rPr>
          <w:spacing w:val="15"/>
          <w:sz w:val="16"/>
        </w:rPr>
        <w:t xml:space="preserve"> </w:t>
      </w:r>
      <w:r>
        <w:rPr>
          <w:sz w:val="16"/>
        </w:rPr>
        <w:t>abogados</w:t>
      </w:r>
      <w:r>
        <w:rPr>
          <w:spacing w:val="15"/>
          <w:sz w:val="16"/>
        </w:rPr>
        <w:t xml:space="preserve"> </w:t>
      </w:r>
      <w:r>
        <w:rPr>
          <w:sz w:val="16"/>
        </w:rPr>
        <w:t>de</w:t>
      </w:r>
      <w:r>
        <w:rPr>
          <w:spacing w:val="14"/>
          <w:sz w:val="16"/>
        </w:rPr>
        <w:t xml:space="preserve"> </w:t>
      </w:r>
      <w:r>
        <w:rPr>
          <w:sz w:val="16"/>
        </w:rPr>
        <w:t>la</w:t>
      </w:r>
    </w:p>
    <w:p w14:paraId="44F27A6A" w14:textId="77777777" w:rsidR="00492688" w:rsidRDefault="00492688">
      <w:pPr>
        <w:rPr>
          <w:sz w:val="16"/>
        </w:rPr>
        <w:sectPr w:rsidR="00492688">
          <w:pgSz w:w="12240" w:h="15840"/>
          <w:pgMar w:top="1500" w:right="1580" w:bottom="280" w:left="1580" w:header="720" w:footer="720" w:gutter="0"/>
          <w:cols w:space="720"/>
        </w:sectPr>
      </w:pPr>
    </w:p>
    <w:p w14:paraId="254F079B" w14:textId="77777777" w:rsidR="00492688" w:rsidRDefault="00C9584B">
      <w:pPr>
        <w:pStyle w:val="Prrafodelista"/>
        <w:numPr>
          <w:ilvl w:val="0"/>
          <w:numId w:val="12"/>
        </w:numPr>
        <w:tabs>
          <w:tab w:val="left" w:pos="688"/>
        </w:tabs>
        <w:spacing w:before="161"/>
        <w:ind w:right="115" w:firstLine="0"/>
        <w:jc w:val="both"/>
        <w:rPr>
          <w:sz w:val="20"/>
        </w:rPr>
      </w:pPr>
      <w:r>
        <w:rPr>
          <w:i/>
          <w:sz w:val="20"/>
        </w:rPr>
        <w:lastRenderedPageBreak/>
        <w:t xml:space="preserve">Solicitudes de la Comisión Interamericana. </w:t>
      </w:r>
      <w:r>
        <w:rPr>
          <w:sz w:val="20"/>
        </w:rPr>
        <w:t>– La Comisión solicitó a la Corte que declare al Estado peruano responsable por la violación de los derechos a las garantías judiciales, principio de legalidad, derechos políticos y protección judicial, contenidos</w:t>
      </w:r>
      <w:r>
        <w:rPr>
          <w:sz w:val="20"/>
        </w:rPr>
        <w:t xml:space="preserve"> en los artículos 8.1, 8.2 h), 9, 23.1 c) y 25.1 de la Convención Americana, en relación con las obligaciones establecidas en los artículos 1.1 y 2 del mismo instrumento. Este Tribunal nota con preocupación que, entre la presentación de la petición inicial</w:t>
      </w:r>
      <w:r>
        <w:rPr>
          <w:sz w:val="20"/>
        </w:rPr>
        <w:t xml:space="preserve"> ante la Comisión y el sometimiento del caso ante la Corte, han transcurrido más de veinte años.</w:t>
      </w:r>
    </w:p>
    <w:p w14:paraId="63E389A4" w14:textId="77777777" w:rsidR="00492688" w:rsidRDefault="00492688">
      <w:pPr>
        <w:pStyle w:val="Textoindependiente"/>
        <w:spacing w:before="1"/>
      </w:pPr>
    </w:p>
    <w:p w14:paraId="2B244B98" w14:textId="77777777" w:rsidR="00492688" w:rsidRDefault="00C9584B">
      <w:pPr>
        <w:pStyle w:val="Ttulo1"/>
        <w:ind w:left="2653" w:right="2648" w:firstLine="1776"/>
        <w:jc w:val="left"/>
      </w:pPr>
      <w:bookmarkStart w:id="4" w:name="II_PROCEDIMIENTO_ANTE_LA_CORTE"/>
      <w:bookmarkStart w:id="5" w:name="_bookmark2"/>
      <w:bookmarkEnd w:id="4"/>
      <w:bookmarkEnd w:id="5"/>
      <w:r>
        <w:t>II PROCEDIMIENTO ANTE LA</w:t>
      </w:r>
      <w:r>
        <w:rPr>
          <w:spacing w:val="-12"/>
        </w:rPr>
        <w:t xml:space="preserve"> </w:t>
      </w:r>
      <w:r>
        <w:t>CORTE</w:t>
      </w:r>
    </w:p>
    <w:p w14:paraId="2A74D917" w14:textId="77777777" w:rsidR="00492688" w:rsidRDefault="00492688">
      <w:pPr>
        <w:pStyle w:val="Textoindependiente"/>
        <w:spacing w:before="11"/>
        <w:rPr>
          <w:b/>
          <w:sz w:val="19"/>
        </w:rPr>
      </w:pPr>
    </w:p>
    <w:p w14:paraId="5FB91D26" w14:textId="77777777" w:rsidR="00492688" w:rsidRDefault="00C9584B">
      <w:pPr>
        <w:pStyle w:val="Prrafodelista"/>
        <w:numPr>
          <w:ilvl w:val="0"/>
          <w:numId w:val="12"/>
        </w:numPr>
        <w:tabs>
          <w:tab w:val="left" w:pos="688"/>
        </w:tabs>
        <w:ind w:right="120" w:hanging="1"/>
        <w:jc w:val="both"/>
        <w:rPr>
          <w:sz w:val="20"/>
        </w:rPr>
      </w:pPr>
      <w:r>
        <w:rPr>
          <w:i/>
          <w:sz w:val="20"/>
        </w:rPr>
        <w:t xml:space="preserve">Notificación al Estado y a la presunta víctima. </w:t>
      </w:r>
      <w:r>
        <w:rPr>
          <w:sz w:val="20"/>
        </w:rPr>
        <w:t>– El sometimiento del caso fue notificado al Estado y a la presunta víctima el 19 de septiembre de</w:t>
      </w:r>
      <w:r>
        <w:rPr>
          <w:spacing w:val="-17"/>
          <w:sz w:val="20"/>
        </w:rPr>
        <w:t xml:space="preserve"> </w:t>
      </w:r>
      <w:r>
        <w:rPr>
          <w:sz w:val="20"/>
        </w:rPr>
        <w:t>2019.</w:t>
      </w:r>
    </w:p>
    <w:p w14:paraId="5BA013D1" w14:textId="77777777" w:rsidR="00492688" w:rsidRDefault="00492688">
      <w:pPr>
        <w:pStyle w:val="Textoindependiente"/>
      </w:pPr>
    </w:p>
    <w:p w14:paraId="2725310A" w14:textId="77777777" w:rsidR="00492688" w:rsidRDefault="00C9584B">
      <w:pPr>
        <w:pStyle w:val="Prrafodelista"/>
        <w:numPr>
          <w:ilvl w:val="0"/>
          <w:numId w:val="12"/>
        </w:numPr>
        <w:tabs>
          <w:tab w:val="left" w:pos="688"/>
        </w:tabs>
        <w:ind w:right="116" w:firstLine="0"/>
        <w:jc w:val="both"/>
        <w:rPr>
          <w:sz w:val="20"/>
        </w:rPr>
      </w:pPr>
      <w:r>
        <w:rPr>
          <w:i/>
          <w:sz w:val="20"/>
        </w:rPr>
        <w:t xml:space="preserve">Escrito de solicitudes, argumentos y pruebas. </w:t>
      </w:r>
      <w:r>
        <w:rPr>
          <w:sz w:val="20"/>
        </w:rPr>
        <w:t>– El 5 de noviembre de 2019 la presunta víctima presentó su escrito de solicitudes, argumentos y pruebas</w:t>
      </w:r>
      <w:r>
        <w:rPr>
          <w:sz w:val="20"/>
        </w:rPr>
        <w:t xml:space="preserve"> (en adelante “escrito de solicitudes y argumentos”), en los términos de los artículos 25 y 40 del Reglamento de la Corte. Solicitó que se determine la responsabilidad del Estado peruano por la violación de los derechos a las garantías judiciales, principi</w:t>
      </w:r>
      <w:r>
        <w:rPr>
          <w:sz w:val="20"/>
        </w:rPr>
        <w:t xml:space="preserve">o de legalidad, derechos políticos y protección judicial, consagrados en los artículos 8.1, 8.2 h), 9, 23.1 c) y 25.1 de la Convención Americana. Adicionalmente, solicitó que se ordene al Estado peruano el pago de una indemnización por los daños sufridos. </w:t>
      </w:r>
      <w:r>
        <w:rPr>
          <w:sz w:val="20"/>
        </w:rPr>
        <w:t>Recalcó que, como consecuencia de los procesos judiciales, resultó afectado su derecho a la salud. Indicó que tiene dificultades para hablar y movilizarse y que es imposible su reincorporación como Juez debido a su estado de</w:t>
      </w:r>
      <w:r>
        <w:rPr>
          <w:spacing w:val="-7"/>
          <w:sz w:val="20"/>
        </w:rPr>
        <w:t xml:space="preserve"> </w:t>
      </w:r>
      <w:r>
        <w:rPr>
          <w:sz w:val="20"/>
        </w:rPr>
        <w:t>salud.</w:t>
      </w:r>
    </w:p>
    <w:p w14:paraId="58D706A0" w14:textId="77777777" w:rsidR="00492688" w:rsidRDefault="00492688">
      <w:pPr>
        <w:pStyle w:val="Textoindependiente"/>
        <w:spacing w:before="2"/>
      </w:pPr>
    </w:p>
    <w:p w14:paraId="4C261898" w14:textId="77777777" w:rsidR="00492688" w:rsidRDefault="00C9584B">
      <w:pPr>
        <w:pStyle w:val="Prrafodelista"/>
        <w:numPr>
          <w:ilvl w:val="0"/>
          <w:numId w:val="12"/>
        </w:numPr>
        <w:tabs>
          <w:tab w:val="left" w:pos="688"/>
        </w:tabs>
        <w:ind w:right="119" w:hanging="1"/>
        <w:jc w:val="both"/>
        <w:rPr>
          <w:sz w:val="20"/>
        </w:rPr>
      </w:pPr>
      <w:r>
        <w:rPr>
          <w:i/>
          <w:sz w:val="20"/>
        </w:rPr>
        <w:t xml:space="preserve">Escrito de contestación. – </w:t>
      </w:r>
      <w:r>
        <w:rPr>
          <w:sz w:val="20"/>
        </w:rPr>
        <w:t>El 5 de febrero de 2020 el Estado</w:t>
      </w:r>
      <w:hyperlink w:anchor="_bookmark3" w:history="1">
        <w:r>
          <w:rPr>
            <w:position w:val="7"/>
            <w:sz w:val="13"/>
          </w:rPr>
          <w:t>2</w:t>
        </w:r>
      </w:hyperlink>
      <w:r>
        <w:rPr>
          <w:position w:val="7"/>
          <w:sz w:val="13"/>
        </w:rPr>
        <w:t xml:space="preserve"> </w:t>
      </w:r>
      <w:r>
        <w:rPr>
          <w:sz w:val="20"/>
        </w:rPr>
        <w:t>presentó su escrito de contestación al sometimiento del caso y al escrito de solicitudes y argumentos (en adelante “contestación” o “escrito de contestación”), en e</w:t>
      </w:r>
      <w:r>
        <w:rPr>
          <w:sz w:val="20"/>
        </w:rPr>
        <w:t>l cual interpuso una excepción preliminar y se opuso a las violaciones alegadas y a las solicitudes de medidas de reparación presentadas por la Comisión y por la presunta</w:t>
      </w:r>
      <w:r>
        <w:rPr>
          <w:spacing w:val="-17"/>
          <w:sz w:val="20"/>
        </w:rPr>
        <w:t xml:space="preserve"> </w:t>
      </w:r>
      <w:r>
        <w:rPr>
          <w:sz w:val="20"/>
        </w:rPr>
        <w:t>víctima.</w:t>
      </w:r>
    </w:p>
    <w:p w14:paraId="6C8A4B58" w14:textId="77777777" w:rsidR="00492688" w:rsidRDefault="00492688">
      <w:pPr>
        <w:pStyle w:val="Textoindependiente"/>
        <w:spacing w:before="10"/>
        <w:rPr>
          <w:sz w:val="19"/>
        </w:rPr>
      </w:pPr>
    </w:p>
    <w:p w14:paraId="10795DCA" w14:textId="77777777" w:rsidR="00492688" w:rsidRDefault="00C9584B">
      <w:pPr>
        <w:pStyle w:val="Prrafodelista"/>
        <w:numPr>
          <w:ilvl w:val="0"/>
          <w:numId w:val="12"/>
        </w:numPr>
        <w:tabs>
          <w:tab w:val="left" w:pos="689"/>
        </w:tabs>
        <w:ind w:right="118" w:firstLine="0"/>
        <w:jc w:val="both"/>
        <w:rPr>
          <w:sz w:val="20"/>
        </w:rPr>
      </w:pPr>
      <w:r>
        <w:rPr>
          <w:i/>
          <w:sz w:val="20"/>
        </w:rPr>
        <w:t xml:space="preserve">Observaciones a la excepción preliminar </w:t>
      </w:r>
      <w:r>
        <w:rPr>
          <w:sz w:val="20"/>
        </w:rPr>
        <w:t xml:space="preserve">– En atención a lo resuelto en los </w:t>
      </w:r>
      <w:r>
        <w:rPr>
          <w:sz w:val="20"/>
        </w:rPr>
        <w:t xml:space="preserve">Acuerdos de Corte 1/20 de 17 de marzo de </w:t>
      </w:r>
      <w:r>
        <w:rPr>
          <w:spacing w:val="2"/>
          <w:sz w:val="20"/>
        </w:rPr>
        <w:t>2020</w:t>
      </w:r>
      <w:hyperlink w:anchor="_bookmark4" w:history="1">
        <w:r>
          <w:rPr>
            <w:spacing w:val="2"/>
            <w:position w:val="7"/>
            <w:sz w:val="13"/>
          </w:rPr>
          <w:t>3</w:t>
        </w:r>
      </w:hyperlink>
      <w:r>
        <w:rPr>
          <w:spacing w:val="2"/>
          <w:position w:val="7"/>
          <w:sz w:val="13"/>
        </w:rPr>
        <w:t xml:space="preserve"> </w:t>
      </w:r>
      <w:r>
        <w:rPr>
          <w:sz w:val="20"/>
        </w:rPr>
        <w:t xml:space="preserve">y 2/20 de 16 de abril de </w:t>
      </w:r>
      <w:r>
        <w:rPr>
          <w:spacing w:val="2"/>
          <w:sz w:val="20"/>
        </w:rPr>
        <w:t>2020</w:t>
      </w:r>
      <w:hyperlink w:anchor="_bookmark5" w:history="1">
        <w:r>
          <w:rPr>
            <w:spacing w:val="2"/>
            <w:position w:val="7"/>
            <w:sz w:val="13"/>
          </w:rPr>
          <w:t>4</w:t>
        </w:r>
      </w:hyperlink>
      <w:r>
        <w:rPr>
          <w:spacing w:val="2"/>
          <w:sz w:val="20"/>
        </w:rPr>
        <w:t xml:space="preserve">, </w:t>
      </w:r>
      <w:r>
        <w:rPr>
          <w:sz w:val="20"/>
        </w:rPr>
        <w:t>la Corte dispuso suspender el cómputo de todos los plazos debido a la emergencia causada por la pandemia del COVID-19</w:t>
      </w:r>
      <w:r>
        <w:rPr>
          <w:sz w:val="20"/>
        </w:rPr>
        <w:t>. Por esa razón, el vencimiento del plazo para la presentación de las observaciones a la excepción preliminar se prorrogó hasta el 19 de junio de 2020. El 9 de abril de 2020 la Comisión Interamericana presentó sus observaciones a la excepción preliminar pl</w:t>
      </w:r>
      <w:r>
        <w:rPr>
          <w:sz w:val="20"/>
        </w:rPr>
        <w:t>anteada por el Estado. Las representantes</w:t>
      </w:r>
      <w:hyperlink w:anchor="_bookmark6" w:history="1">
        <w:r>
          <w:rPr>
            <w:position w:val="7"/>
            <w:sz w:val="13"/>
          </w:rPr>
          <w:t>5</w:t>
        </w:r>
      </w:hyperlink>
      <w:r>
        <w:rPr>
          <w:sz w:val="13"/>
        </w:rPr>
        <w:t xml:space="preserve"> </w:t>
      </w:r>
      <w:r>
        <w:rPr>
          <w:sz w:val="20"/>
        </w:rPr>
        <w:t>presentaron sus observaciones a la excepción preliminar el 17 de junio de</w:t>
      </w:r>
      <w:r>
        <w:rPr>
          <w:spacing w:val="-20"/>
          <w:sz w:val="20"/>
        </w:rPr>
        <w:t xml:space="preserve"> </w:t>
      </w:r>
      <w:r>
        <w:rPr>
          <w:sz w:val="20"/>
        </w:rPr>
        <w:t>2020.</w:t>
      </w:r>
    </w:p>
    <w:p w14:paraId="1B0FDABD" w14:textId="70CD5FF9" w:rsidR="00492688" w:rsidRDefault="00C9584B">
      <w:pPr>
        <w:pStyle w:val="Textoindependiente"/>
        <w:spacing w:before="4"/>
        <w:rPr>
          <w:sz w:val="24"/>
        </w:rPr>
      </w:pPr>
      <w:r>
        <w:rPr>
          <w:noProof/>
        </w:rPr>
        <mc:AlternateContent>
          <mc:Choice Requires="wps">
            <w:drawing>
              <wp:anchor distT="0" distB="0" distL="0" distR="0" simplePos="0" relativeHeight="251659264" behindDoc="1" locked="0" layoutInCell="1" allowOverlap="1" wp14:anchorId="2C035BB2" wp14:editId="70A47946">
                <wp:simplePos x="0" y="0"/>
                <wp:positionH relativeFrom="page">
                  <wp:posOffset>1080770</wp:posOffset>
                </wp:positionH>
                <wp:positionV relativeFrom="paragraph">
                  <wp:posOffset>216535</wp:posOffset>
                </wp:positionV>
                <wp:extent cx="5611495" cy="1270"/>
                <wp:effectExtent l="0" t="0" r="0" b="0"/>
                <wp:wrapTopAndBottom/>
                <wp:docPr id="40"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1495" cy="1270"/>
                        </a:xfrm>
                        <a:custGeom>
                          <a:avLst/>
                          <a:gdLst>
                            <a:gd name="T0" fmla="+- 0 1702 1702"/>
                            <a:gd name="T1" fmla="*/ T0 w 8837"/>
                            <a:gd name="T2" fmla="+- 0 10538 1702"/>
                            <a:gd name="T3" fmla="*/ T2 w 8837"/>
                          </a:gdLst>
                          <a:ahLst/>
                          <a:cxnLst>
                            <a:cxn ang="0">
                              <a:pos x="T1" y="0"/>
                            </a:cxn>
                            <a:cxn ang="0">
                              <a:pos x="T3" y="0"/>
                            </a:cxn>
                          </a:cxnLst>
                          <a:rect l="0" t="0" r="r" b="b"/>
                          <a:pathLst>
                            <a:path w="8837">
                              <a:moveTo>
                                <a:pt x="0" y="0"/>
                              </a:moveTo>
                              <a:lnTo>
                                <a:pt x="8836"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7E42B" id="Freeform 41" o:spid="_x0000_s1026" style="position:absolute;margin-left:85.1pt;margin-top:17.05pt;width:441.8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" path="m,l8836,e" filled="f" strokeweight=".6pt">
                <v:path arrowok="t" o:connecttype="custom" o:connectlocs="0,0;5610860,0" o:connectangles="0,0"/>
                <w10:wrap type="topAndBottom" anchorx="page"/>
              </v:shape>
            </w:pict>
          </mc:Fallback>
        </mc:AlternateContent>
      </w:r>
    </w:p>
    <w:p w14:paraId="4A473BA8" w14:textId="77777777" w:rsidR="00492688" w:rsidRDefault="00C9584B">
      <w:pPr>
        <w:spacing w:before="74"/>
        <w:ind w:left="121"/>
        <w:rPr>
          <w:sz w:val="16"/>
        </w:rPr>
      </w:pPr>
      <w:r>
        <w:rPr>
          <w:sz w:val="16"/>
        </w:rPr>
        <w:t>Secretaría Ejecutiva de la CIDH, como asesores legales.</w:t>
      </w:r>
    </w:p>
    <w:p w14:paraId="29C8824F" w14:textId="77777777" w:rsidR="00492688" w:rsidRDefault="00C9584B">
      <w:pPr>
        <w:tabs>
          <w:tab w:val="left" w:pos="829"/>
        </w:tabs>
        <w:spacing w:before="101"/>
        <w:ind w:left="120" w:right="114"/>
        <w:jc w:val="both"/>
        <w:rPr>
          <w:sz w:val="16"/>
        </w:rPr>
      </w:pPr>
      <w:bookmarkStart w:id="6" w:name="_bookmark3"/>
      <w:bookmarkEnd w:id="6"/>
      <w:r>
        <w:rPr>
          <w:position w:val="6"/>
          <w:sz w:val="10"/>
        </w:rPr>
        <w:t>2</w:t>
      </w:r>
      <w:r>
        <w:rPr>
          <w:position w:val="6"/>
          <w:sz w:val="10"/>
        </w:rPr>
        <w:tab/>
      </w:r>
      <w:r>
        <w:rPr>
          <w:sz w:val="16"/>
        </w:rPr>
        <w:t>El Estado de Perú designó como su agente ti</w:t>
      </w:r>
      <w:r>
        <w:rPr>
          <w:sz w:val="16"/>
        </w:rPr>
        <w:t>tular en este caso a Carlos Miguel Reaño Balarezo, Procurador Público Especializado Supranacional y, como agentes alternas, a las abogadas Silvana Lucía Gómez Salazar y María Eugenia Neyra</w:t>
      </w:r>
      <w:r>
        <w:rPr>
          <w:spacing w:val="-11"/>
          <w:sz w:val="16"/>
        </w:rPr>
        <w:t xml:space="preserve"> </w:t>
      </w:r>
      <w:r>
        <w:rPr>
          <w:sz w:val="16"/>
        </w:rPr>
        <w:t>Surco.</w:t>
      </w:r>
    </w:p>
    <w:p w14:paraId="0C3BE838" w14:textId="77777777" w:rsidR="00492688" w:rsidRDefault="00C9584B">
      <w:pPr>
        <w:tabs>
          <w:tab w:val="left" w:pos="829"/>
        </w:tabs>
        <w:spacing w:before="100"/>
        <w:ind w:left="121"/>
        <w:jc w:val="both"/>
        <w:rPr>
          <w:sz w:val="16"/>
        </w:rPr>
      </w:pPr>
      <w:bookmarkStart w:id="7" w:name="_bookmark4"/>
      <w:bookmarkEnd w:id="7"/>
      <w:r>
        <w:rPr>
          <w:position w:val="6"/>
          <w:sz w:val="10"/>
        </w:rPr>
        <w:t>3</w:t>
      </w:r>
      <w:r>
        <w:rPr>
          <w:position w:val="6"/>
          <w:sz w:val="10"/>
        </w:rPr>
        <w:tab/>
      </w:r>
      <w:r>
        <w:rPr>
          <w:sz w:val="16"/>
        </w:rPr>
        <w:t>Disponible aquí:</w:t>
      </w:r>
      <w:r>
        <w:rPr>
          <w:spacing w:val="-25"/>
          <w:sz w:val="16"/>
        </w:rPr>
        <w:t xml:space="preserve"> </w:t>
      </w:r>
      <w:hyperlink r:id="rId5">
        <w:r>
          <w:rPr>
            <w:sz w:val="16"/>
            <w:u w:val="single"/>
          </w:rPr>
          <w:t>http://www.corteidh.or.cr/docs/comunicados/cp_18_2020.pdf</w:t>
        </w:r>
      </w:hyperlink>
    </w:p>
    <w:p w14:paraId="714865D0" w14:textId="77777777" w:rsidR="00492688" w:rsidRDefault="00C9584B">
      <w:pPr>
        <w:tabs>
          <w:tab w:val="left" w:pos="829"/>
        </w:tabs>
        <w:spacing w:before="99"/>
        <w:ind w:left="121"/>
        <w:jc w:val="both"/>
        <w:rPr>
          <w:sz w:val="16"/>
        </w:rPr>
      </w:pPr>
      <w:bookmarkStart w:id="8" w:name="_bookmark5"/>
      <w:bookmarkEnd w:id="8"/>
      <w:r>
        <w:rPr>
          <w:position w:val="6"/>
          <w:sz w:val="10"/>
        </w:rPr>
        <w:t>4</w:t>
      </w:r>
      <w:r>
        <w:rPr>
          <w:position w:val="6"/>
          <w:sz w:val="10"/>
        </w:rPr>
        <w:tab/>
      </w:r>
      <w:r>
        <w:rPr>
          <w:sz w:val="16"/>
        </w:rPr>
        <w:t>Disponible aquí:</w:t>
      </w:r>
      <w:r>
        <w:rPr>
          <w:spacing w:val="-25"/>
          <w:sz w:val="16"/>
        </w:rPr>
        <w:t xml:space="preserve"> </w:t>
      </w:r>
      <w:hyperlink r:id="rId6">
        <w:r>
          <w:rPr>
            <w:sz w:val="16"/>
            <w:u w:val="single"/>
          </w:rPr>
          <w:t>http://www.corteidh.or.cr/docs/comunicados/cp_28_2020.pdf</w:t>
        </w:r>
      </w:hyperlink>
    </w:p>
    <w:p w14:paraId="0176C29E" w14:textId="77777777" w:rsidR="00492688" w:rsidRDefault="00C9584B">
      <w:pPr>
        <w:tabs>
          <w:tab w:val="left" w:pos="829"/>
        </w:tabs>
        <w:spacing w:before="100"/>
        <w:ind w:left="119" w:right="117" w:firstLine="1"/>
        <w:jc w:val="both"/>
        <w:rPr>
          <w:sz w:val="16"/>
        </w:rPr>
      </w:pPr>
      <w:bookmarkStart w:id="9" w:name="_bookmark6"/>
      <w:bookmarkEnd w:id="9"/>
      <w:r>
        <w:rPr>
          <w:position w:val="6"/>
          <w:sz w:val="10"/>
        </w:rPr>
        <w:t>5</w:t>
      </w:r>
      <w:r>
        <w:rPr>
          <w:position w:val="6"/>
          <w:sz w:val="10"/>
        </w:rPr>
        <w:tab/>
      </w:r>
      <w:r>
        <w:rPr>
          <w:sz w:val="16"/>
        </w:rPr>
        <w:t xml:space="preserve">Durante el trámite inicial de este caso ante la Corte Interamericana el señor Cordero Bernal se representó a sí mismo. A partir del 13 de febrero de 2020, la representación de la presunta víctima </w:t>
      </w:r>
      <w:r>
        <w:rPr>
          <w:spacing w:val="-3"/>
          <w:sz w:val="16"/>
        </w:rPr>
        <w:t xml:space="preserve">fue </w:t>
      </w:r>
      <w:r>
        <w:rPr>
          <w:sz w:val="16"/>
        </w:rPr>
        <w:t>asumida por las abogadas Pilar Carla Piccinini Gómez y S</w:t>
      </w:r>
      <w:r>
        <w:rPr>
          <w:sz w:val="16"/>
        </w:rPr>
        <w:t>andra Lorena Haro Colomé, defensoras públicas interamericanas.</w:t>
      </w:r>
    </w:p>
    <w:p w14:paraId="4414EA29" w14:textId="77777777" w:rsidR="00492688" w:rsidRDefault="00492688">
      <w:pPr>
        <w:jc w:val="both"/>
        <w:rPr>
          <w:sz w:val="16"/>
        </w:rPr>
        <w:sectPr w:rsidR="00492688">
          <w:pgSz w:w="12240" w:h="15840"/>
          <w:pgMar w:top="1500" w:right="1580" w:bottom="280" w:left="1580" w:header="720" w:footer="720" w:gutter="0"/>
          <w:cols w:space="720"/>
        </w:sectPr>
      </w:pPr>
    </w:p>
    <w:p w14:paraId="7167FAAA" w14:textId="77777777" w:rsidR="00492688" w:rsidRDefault="00C9584B">
      <w:pPr>
        <w:pStyle w:val="Prrafodelista"/>
        <w:numPr>
          <w:ilvl w:val="0"/>
          <w:numId w:val="12"/>
        </w:numPr>
        <w:tabs>
          <w:tab w:val="left" w:pos="688"/>
        </w:tabs>
        <w:spacing w:before="161"/>
        <w:ind w:right="118" w:firstLine="0"/>
        <w:jc w:val="both"/>
        <w:rPr>
          <w:sz w:val="20"/>
        </w:rPr>
      </w:pPr>
      <w:r>
        <w:rPr>
          <w:i/>
          <w:sz w:val="20"/>
        </w:rPr>
        <w:lastRenderedPageBreak/>
        <w:t xml:space="preserve">Procedimiento final escrito. </w:t>
      </w:r>
      <w:r>
        <w:rPr>
          <w:sz w:val="20"/>
        </w:rPr>
        <w:t>– Mediante Resolución de 15 de septiembre de 2020</w:t>
      </w:r>
      <w:hyperlink w:anchor="_bookmark8" w:history="1">
        <w:r>
          <w:rPr>
            <w:position w:val="7"/>
            <w:sz w:val="13"/>
          </w:rPr>
          <w:t>6</w:t>
        </w:r>
      </w:hyperlink>
      <w:r>
        <w:rPr>
          <w:sz w:val="20"/>
        </w:rPr>
        <w:t xml:space="preserve">, la Presidenta de la Corte, en atención a la situación originada a causa </w:t>
      </w:r>
      <w:r>
        <w:rPr>
          <w:sz w:val="20"/>
        </w:rPr>
        <w:t>de la pandemia por la propagación del Covid-19 y de conformidad con la facultad que le otorga el artículo 50.1 del Reglamento, resolvió no convocar a audiencia pública en el presente caso, requerir al Estado el envío de documentación para mejor resolver</w:t>
      </w:r>
      <w:hyperlink w:anchor="_bookmark9" w:history="1">
        <w:r>
          <w:rPr>
            <w:position w:val="7"/>
            <w:sz w:val="13"/>
          </w:rPr>
          <w:t>7</w:t>
        </w:r>
      </w:hyperlink>
      <w:r>
        <w:rPr>
          <w:sz w:val="20"/>
        </w:rPr>
        <w:t>, solicitar que tres declaraciones testimoniales y dos peritajes fueran remitidos por affidávit y  requerir la declaración de la presunta víctima mediante videoconferencia</w:t>
      </w:r>
      <w:hyperlink w:anchor="_bookmark10" w:history="1">
        <w:r>
          <w:rPr>
            <w:position w:val="7"/>
            <w:sz w:val="13"/>
          </w:rPr>
          <w:t>8</w:t>
        </w:r>
      </w:hyperlink>
      <w:r>
        <w:rPr>
          <w:sz w:val="20"/>
        </w:rPr>
        <w:t>, la cual tuvo lugar el 8</w:t>
      </w:r>
      <w:r>
        <w:rPr>
          <w:sz w:val="20"/>
        </w:rPr>
        <w:t xml:space="preserve"> de octubre de 2020 durante el 137 Período Ordinario de Sesiones de la Corte.</w:t>
      </w:r>
    </w:p>
    <w:p w14:paraId="3D0833E9" w14:textId="77777777" w:rsidR="00492688" w:rsidRDefault="00492688">
      <w:pPr>
        <w:pStyle w:val="Textoindependiente"/>
      </w:pPr>
    </w:p>
    <w:p w14:paraId="7EBC37B3" w14:textId="77777777" w:rsidR="00492688" w:rsidRDefault="00C9584B">
      <w:pPr>
        <w:pStyle w:val="Prrafodelista"/>
        <w:numPr>
          <w:ilvl w:val="0"/>
          <w:numId w:val="12"/>
        </w:numPr>
        <w:tabs>
          <w:tab w:val="left" w:pos="689"/>
        </w:tabs>
        <w:spacing w:before="1"/>
        <w:ind w:right="118" w:hanging="1"/>
        <w:jc w:val="both"/>
        <w:rPr>
          <w:sz w:val="20"/>
        </w:rPr>
      </w:pPr>
      <w:r>
        <w:rPr>
          <w:i/>
          <w:sz w:val="20"/>
        </w:rPr>
        <w:t xml:space="preserve">Alegatos y observaciones finales escritos. </w:t>
      </w:r>
      <w:r>
        <w:rPr>
          <w:sz w:val="20"/>
        </w:rPr>
        <w:t>– El 7 de diciembre de 2020 las representantes y el Estado remitieron sus alegatos finales escritos y documentos anexos, y la Comisión</w:t>
      </w:r>
      <w:r>
        <w:rPr>
          <w:sz w:val="20"/>
        </w:rPr>
        <w:t xml:space="preserve"> presentó sus observaciones finales escritas. Por instrucciones de la Presidencia de la Corte, se solicitó a las representantes de la presunta víctima y a la Comisión Interamericana, que remitieran las consideraciones que estimaran pertinentes sobre la doc</w:t>
      </w:r>
      <w:r>
        <w:rPr>
          <w:sz w:val="20"/>
        </w:rPr>
        <w:t>umentación anexa remitida por el Estado. El 16 de diciembre de 2020 las representantes se pronunciaron al respecto y la Comisión manifestó no tener</w:t>
      </w:r>
      <w:r>
        <w:rPr>
          <w:spacing w:val="-1"/>
          <w:sz w:val="20"/>
        </w:rPr>
        <w:t xml:space="preserve"> </w:t>
      </w:r>
      <w:r>
        <w:rPr>
          <w:sz w:val="20"/>
        </w:rPr>
        <w:t>observaciones.</w:t>
      </w:r>
    </w:p>
    <w:p w14:paraId="15B1C7DD" w14:textId="77777777" w:rsidR="00492688" w:rsidRDefault="00492688">
      <w:pPr>
        <w:pStyle w:val="Textoindependiente"/>
        <w:spacing w:before="11"/>
        <w:rPr>
          <w:sz w:val="19"/>
        </w:rPr>
      </w:pPr>
    </w:p>
    <w:p w14:paraId="604D2A3F" w14:textId="77777777" w:rsidR="00492688" w:rsidRDefault="00C9584B">
      <w:pPr>
        <w:pStyle w:val="Prrafodelista"/>
        <w:numPr>
          <w:ilvl w:val="0"/>
          <w:numId w:val="12"/>
        </w:numPr>
        <w:tabs>
          <w:tab w:val="left" w:pos="689"/>
        </w:tabs>
        <w:ind w:right="119" w:firstLine="0"/>
        <w:jc w:val="both"/>
        <w:rPr>
          <w:sz w:val="20"/>
        </w:rPr>
      </w:pPr>
      <w:r>
        <w:rPr>
          <w:i/>
          <w:sz w:val="20"/>
        </w:rPr>
        <w:t xml:space="preserve">Prueba e información para mejor resolver. – </w:t>
      </w:r>
      <w:r>
        <w:rPr>
          <w:sz w:val="20"/>
        </w:rPr>
        <w:t>El 12 y el 28 de enero de 2021, por instruccione</w:t>
      </w:r>
      <w:r>
        <w:rPr>
          <w:sz w:val="20"/>
        </w:rPr>
        <w:t>s de la Presidenta de la Corte, se solicitó al Estado la presentación de documentación para mejor resolver</w:t>
      </w:r>
      <w:hyperlink w:anchor="_bookmark11" w:history="1">
        <w:r>
          <w:rPr>
            <w:position w:val="7"/>
            <w:sz w:val="13"/>
          </w:rPr>
          <w:t>9</w:t>
        </w:r>
      </w:hyperlink>
      <w:r>
        <w:rPr>
          <w:sz w:val="20"/>
        </w:rPr>
        <w:t>. El Estado presentó esta documentación el 25 de enero y el 3 de febrero de 2021. Las observaciones de las representan</w:t>
      </w:r>
      <w:r>
        <w:rPr>
          <w:sz w:val="20"/>
        </w:rPr>
        <w:t>tes fueron presentadas el 28 de enero y el 9 de febrero y de la Comisión el 29 de enero y el 9 de febrero de 2021 (</w:t>
      </w:r>
      <w:r>
        <w:rPr>
          <w:i/>
          <w:sz w:val="20"/>
        </w:rPr>
        <w:t xml:space="preserve">infra </w:t>
      </w:r>
      <w:r>
        <w:rPr>
          <w:sz w:val="20"/>
        </w:rPr>
        <w:t>párr.</w:t>
      </w:r>
      <w:r>
        <w:rPr>
          <w:spacing w:val="-4"/>
          <w:sz w:val="20"/>
        </w:rPr>
        <w:t xml:space="preserve"> </w:t>
      </w:r>
      <w:r>
        <w:rPr>
          <w:sz w:val="20"/>
        </w:rPr>
        <w:t>23).</w:t>
      </w:r>
    </w:p>
    <w:p w14:paraId="0B5A9F3D" w14:textId="77777777" w:rsidR="00492688" w:rsidRDefault="00492688">
      <w:pPr>
        <w:pStyle w:val="Textoindependiente"/>
      </w:pPr>
    </w:p>
    <w:p w14:paraId="2E9B8D4D" w14:textId="77777777" w:rsidR="00492688" w:rsidRDefault="00C9584B">
      <w:pPr>
        <w:pStyle w:val="Prrafodelista"/>
        <w:numPr>
          <w:ilvl w:val="0"/>
          <w:numId w:val="12"/>
        </w:numPr>
        <w:tabs>
          <w:tab w:val="left" w:pos="689"/>
        </w:tabs>
        <w:ind w:right="119" w:hanging="1"/>
        <w:jc w:val="both"/>
        <w:rPr>
          <w:sz w:val="20"/>
        </w:rPr>
      </w:pPr>
      <w:r>
        <w:rPr>
          <w:sz w:val="20"/>
        </w:rPr>
        <w:t>Deliberación del presente caso. – La Corte deliberó la presente Sentencia, a través de una sesión virtual, durante los días</w:t>
      </w:r>
      <w:r>
        <w:rPr>
          <w:sz w:val="20"/>
        </w:rPr>
        <w:t xml:space="preserve"> 15 y 16 de febrero de</w:t>
      </w:r>
      <w:r>
        <w:rPr>
          <w:spacing w:val="-18"/>
          <w:sz w:val="20"/>
        </w:rPr>
        <w:t xml:space="preserve"> </w:t>
      </w:r>
      <w:r>
        <w:rPr>
          <w:sz w:val="20"/>
        </w:rPr>
        <w:t>2021</w:t>
      </w:r>
      <w:hyperlink w:anchor="_bookmark12" w:history="1">
        <w:r>
          <w:rPr>
            <w:position w:val="7"/>
            <w:sz w:val="13"/>
          </w:rPr>
          <w:t>10</w:t>
        </w:r>
      </w:hyperlink>
      <w:r>
        <w:rPr>
          <w:sz w:val="20"/>
        </w:rPr>
        <w:t>.</w:t>
      </w:r>
    </w:p>
    <w:p w14:paraId="208887E9" w14:textId="77777777" w:rsidR="00492688" w:rsidRDefault="00492688">
      <w:pPr>
        <w:pStyle w:val="Textoindependiente"/>
      </w:pPr>
    </w:p>
    <w:p w14:paraId="30D2AD51" w14:textId="77777777" w:rsidR="00492688" w:rsidRDefault="00C9584B">
      <w:pPr>
        <w:pStyle w:val="Ttulo1"/>
        <w:ind w:left="3718" w:right="3721" w:firstLine="1"/>
      </w:pPr>
      <w:bookmarkStart w:id="10" w:name="III_COMPETENCIA"/>
      <w:bookmarkStart w:id="11" w:name="_bookmark7"/>
      <w:bookmarkEnd w:id="10"/>
      <w:bookmarkEnd w:id="11"/>
      <w:r>
        <w:t xml:space="preserve">III     </w:t>
      </w:r>
      <w:r>
        <w:rPr>
          <w:w w:val="95"/>
        </w:rPr>
        <w:t>COMPETENCIA</w:t>
      </w:r>
    </w:p>
    <w:p w14:paraId="1D4FD4B2" w14:textId="77777777" w:rsidR="00492688" w:rsidRDefault="00492688">
      <w:pPr>
        <w:pStyle w:val="Textoindependiente"/>
        <w:rPr>
          <w:b/>
        </w:rPr>
      </w:pPr>
    </w:p>
    <w:p w14:paraId="1A9F6318" w14:textId="77777777" w:rsidR="00492688" w:rsidRDefault="00C9584B">
      <w:pPr>
        <w:pStyle w:val="Prrafodelista"/>
        <w:numPr>
          <w:ilvl w:val="0"/>
          <w:numId w:val="12"/>
        </w:numPr>
        <w:tabs>
          <w:tab w:val="left" w:pos="688"/>
        </w:tabs>
        <w:spacing w:before="1"/>
        <w:ind w:right="118" w:hanging="1"/>
        <w:jc w:val="both"/>
        <w:rPr>
          <w:sz w:val="20"/>
        </w:rPr>
      </w:pPr>
      <w:r>
        <w:rPr>
          <w:sz w:val="20"/>
        </w:rPr>
        <w:t>La Corte Interamericana es competente para conocer el presente caso, en los términos</w:t>
      </w:r>
      <w:r>
        <w:rPr>
          <w:spacing w:val="15"/>
          <w:sz w:val="20"/>
        </w:rPr>
        <w:t xml:space="preserve"> </w:t>
      </w:r>
      <w:r>
        <w:rPr>
          <w:sz w:val="20"/>
        </w:rPr>
        <w:t>del</w:t>
      </w:r>
      <w:r>
        <w:rPr>
          <w:spacing w:val="16"/>
          <w:sz w:val="20"/>
        </w:rPr>
        <w:t xml:space="preserve"> </w:t>
      </w:r>
      <w:r>
        <w:rPr>
          <w:sz w:val="20"/>
        </w:rPr>
        <w:t>artículo</w:t>
      </w:r>
      <w:r>
        <w:rPr>
          <w:spacing w:val="17"/>
          <w:sz w:val="20"/>
        </w:rPr>
        <w:t xml:space="preserve"> </w:t>
      </w:r>
      <w:r>
        <w:rPr>
          <w:sz w:val="20"/>
        </w:rPr>
        <w:t>62.3</w:t>
      </w:r>
      <w:r>
        <w:rPr>
          <w:spacing w:val="17"/>
          <w:sz w:val="20"/>
        </w:rPr>
        <w:t xml:space="preserve"> </w:t>
      </w:r>
      <w:r>
        <w:rPr>
          <w:sz w:val="20"/>
        </w:rPr>
        <w:t>de</w:t>
      </w:r>
      <w:r>
        <w:rPr>
          <w:spacing w:val="17"/>
          <w:sz w:val="20"/>
        </w:rPr>
        <w:t xml:space="preserve"> </w:t>
      </w:r>
      <w:r>
        <w:rPr>
          <w:sz w:val="20"/>
        </w:rPr>
        <w:t>la</w:t>
      </w:r>
      <w:r>
        <w:rPr>
          <w:spacing w:val="17"/>
          <w:sz w:val="20"/>
        </w:rPr>
        <w:t xml:space="preserve"> </w:t>
      </w:r>
      <w:r>
        <w:rPr>
          <w:sz w:val="20"/>
        </w:rPr>
        <w:t>Convención,</w:t>
      </w:r>
      <w:r>
        <w:rPr>
          <w:spacing w:val="18"/>
          <w:sz w:val="20"/>
        </w:rPr>
        <w:t xml:space="preserve"> </w:t>
      </w:r>
      <w:r>
        <w:rPr>
          <w:sz w:val="20"/>
        </w:rPr>
        <w:t>debido</w:t>
      </w:r>
      <w:r>
        <w:rPr>
          <w:spacing w:val="15"/>
          <w:sz w:val="20"/>
        </w:rPr>
        <w:t xml:space="preserve"> </w:t>
      </w:r>
      <w:r>
        <w:rPr>
          <w:sz w:val="20"/>
        </w:rPr>
        <w:t>a</w:t>
      </w:r>
      <w:r>
        <w:rPr>
          <w:spacing w:val="16"/>
          <w:sz w:val="20"/>
        </w:rPr>
        <w:t xml:space="preserve"> </w:t>
      </w:r>
      <w:r>
        <w:rPr>
          <w:sz w:val="20"/>
        </w:rPr>
        <w:t>que</w:t>
      </w:r>
      <w:r>
        <w:rPr>
          <w:spacing w:val="15"/>
          <w:sz w:val="20"/>
        </w:rPr>
        <w:t xml:space="preserve"> </w:t>
      </w:r>
      <w:r>
        <w:rPr>
          <w:sz w:val="20"/>
        </w:rPr>
        <w:t>Perú</w:t>
      </w:r>
      <w:r>
        <w:rPr>
          <w:spacing w:val="17"/>
          <w:sz w:val="20"/>
        </w:rPr>
        <w:t xml:space="preserve"> </w:t>
      </w:r>
      <w:r>
        <w:rPr>
          <w:sz w:val="20"/>
        </w:rPr>
        <w:t>ratificó</w:t>
      </w:r>
      <w:r>
        <w:rPr>
          <w:spacing w:val="19"/>
          <w:sz w:val="20"/>
        </w:rPr>
        <w:t xml:space="preserve"> </w:t>
      </w:r>
      <w:r>
        <w:rPr>
          <w:sz w:val="20"/>
        </w:rPr>
        <w:t>la</w:t>
      </w:r>
      <w:r>
        <w:rPr>
          <w:spacing w:val="16"/>
          <w:sz w:val="20"/>
        </w:rPr>
        <w:t xml:space="preserve"> </w:t>
      </w:r>
      <w:r>
        <w:rPr>
          <w:sz w:val="20"/>
        </w:rPr>
        <w:t>Convención</w:t>
      </w:r>
    </w:p>
    <w:p w14:paraId="6FA94C8F" w14:textId="306C902E" w:rsidR="00492688" w:rsidRDefault="00C9584B">
      <w:pPr>
        <w:pStyle w:val="Textoindependiente"/>
        <w:rPr>
          <w:sz w:val="28"/>
        </w:rPr>
      </w:pPr>
      <w:r>
        <w:rPr>
          <w:noProof/>
        </w:rPr>
        <mc:AlternateContent>
          <mc:Choice Requires="wps">
            <w:drawing>
              <wp:anchor distT="0" distB="0" distL="0" distR="0" simplePos="0" relativeHeight="251660288" behindDoc="1" locked="0" layoutInCell="1" allowOverlap="1" wp14:anchorId="17E18998" wp14:editId="41FD6084">
                <wp:simplePos x="0" y="0"/>
                <wp:positionH relativeFrom="page">
                  <wp:posOffset>1080770</wp:posOffset>
                </wp:positionH>
                <wp:positionV relativeFrom="paragraph">
                  <wp:posOffset>244475</wp:posOffset>
                </wp:positionV>
                <wp:extent cx="1828800" cy="1270"/>
                <wp:effectExtent l="0" t="0" r="0" b="0"/>
                <wp:wrapTopAndBottom/>
                <wp:docPr id="3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4BF51" id="Freeform 40" o:spid="_x0000_s1026" style="position:absolute;margin-left:85.1pt;margin-top:19.25pt;width:2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" path="m,l2880,e" filled="f" strokeweight=".6pt">
                <v:path arrowok="t" o:connecttype="custom" o:connectlocs="0,0;1828800,0" o:connectangles="0,0"/>
                <w10:wrap type="topAndBottom" anchorx="page"/>
              </v:shape>
            </w:pict>
          </mc:Fallback>
        </mc:AlternateContent>
      </w:r>
    </w:p>
    <w:p w14:paraId="4CEAF6AB" w14:textId="77777777" w:rsidR="00492688" w:rsidRDefault="00492688">
      <w:pPr>
        <w:pStyle w:val="Textoindependiente"/>
        <w:spacing w:before="1"/>
        <w:rPr>
          <w:sz w:val="6"/>
        </w:rPr>
      </w:pPr>
    </w:p>
    <w:p w14:paraId="6D05ED89" w14:textId="77777777" w:rsidR="00492688" w:rsidRDefault="00C9584B">
      <w:pPr>
        <w:tabs>
          <w:tab w:val="left" w:pos="829"/>
        </w:tabs>
        <w:spacing w:before="101"/>
        <w:ind w:left="121" w:right="118" w:hanging="1"/>
        <w:jc w:val="both"/>
        <w:rPr>
          <w:sz w:val="16"/>
        </w:rPr>
      </w:pPr>
      <w:bookmarkStart w:id="12" w:name="_bookmark8"/>
      <w:bookmarkEnd w:id="12"/>
      <w:r>
        <w:rPr>
          <w:position w:val="6"/>
          <w:sz w:val="10"/>
        </w:rPr>
        <w:t>6</w:t>
      </w:r>
      <w:r>
        <w:rPr>
          <w:position w:val="6"/>
          <w:sz w:val="10"/>
        </w:rPr>
        <w:tab/>
      </w:r>
      <w:r>
        <w:rPr>
          <w:i/>
          <w:sz w:val="16"/>
        </w:rPr>
        <w:t xml:space="preserve">Cfr. </w:t>
      </w:r>
      <w:r>
        <w:rPr>
          <w:sz w:val="16"/>
        </w:rPr>
        <w:t xml:space="preserve">Caso Cordero Bernal Vs. Perú. Resolución de la Presidenta de la Corte Interamericana de Derechos Humanos de 15 de septiembre de 2020. Disponible </w:t>
      </w:r>
      <w:r>
        <w:rPr>
          <w:spacing w:val="-3"/>
          <w:sz w:val="16"/>
        </w:rPr>
        <w:t xml:space="preserve">en: </w:t>
      </w:r>
      <w:hyperlink r:id="rId7">
        <w:r>
          <w:rPr>
            <w:sz w:val="16"/>
            <w:u w:val="single"/>
          </w:rPr>
          <w:t>http://www.cortei</w:t>
        </w:r>
        <w:r>
          <w:rPr>
            <w:sz w:val="16"/>
            <w:u w:val="single"/>
          </w:rPr>
          <w:t>dh.or.cr/docs/asuntos/corderobernal_15_09_20.pdf</w:t>
        </w:r>
      </w:hyperlink>
    </w:p>
    <w:p w14:paraId="1776A4CC" w14:textId="77777777" w:rsidR="00492688" w:rsidRDefault="00C9584B">
      <w:pPr>
        <w:tabs>
          <w:tab w:val="left" w:pos="829"/>
        </w:tabs>
        <w:spacing w:before="100"/>
        <w:ind w:left="121" w:right="113" w:hanging="1"/>
        <w:jc w:val="both"/>
        <w:rPr>
          <w:sz w:val="16"/>
        </w:rPr>
      </w:pPr>
      <w:bookmarkStart w:id="13" w:name="_bookmark9"/>
      <w:bookmarkEnd w:id="13"/>
      <w:r>
        <w:rPr>
          <w:position w:val="6"/>
          <w:sz w:val="10"/>
        </w:rPr>
        <w:t>7</w:t>
      </w:r>
      <w:r>
        <w:rPr>
          <w:position w:val="6"/>
          <w:sz w:val="10"/>
        </w:rPr>
        <w:tab/>
      </w:r>
      <w:r>
        <w:rPr>
          <w:sz w:val="16"/>
        </w:rPr>
        <w:t>Se solicitó al Estado el envío de: a) la Constitución Política del Perú de 1993; b) la Ley Orgánica del Poder Judicial del 2 de junio de 1993; c) la Ley Orgánica del Consejo Nacional de la Magistratura (Le</w:t>
      </w:r>
      <w:r>
        <w:rPr>
          <w:sz w:val="16"/>
        </w:rPr>
        <w:t>y No. 26397); d) la Ley 26933; y e) el Reglamento de Procesos Disciplinarios del Consejo Nacional de la Magistratura de 17 de agosto de</w:t>
      </w:r>
      <w:r>
        <w:rPr>
          <w:spacing w:val="-4"/>
          <w:sz w:val="16"/>
        </w:rPr>
        <w:t xml:space="preserve"> </w:t>
      </w:r>
      <w:r>
        <w:rPr>
          <w:sz w:val="16"/>
        </w:rPr>
        <w:t>1995.</w:t>
      </w:r>
    </w:p>
    <w:p w14:paraId="3D9CDBAF" w14:textId="77777777" w:rsidR="00492688" w:rsidRDefault="00C9584B">
      <w:pPr>
        <w:tabs>
          <w:tab w:val="left" w:pos="829"/>
        </w:tabs>
        <w:spacing w:before="101"/>
        <w:ind w:left="121" w:right="114"/>
        <w:jc w:val="both"/>
        <w:rPr>
          <w:sz w:val="16"/>
        </w:rPr>
      </w:pPr>
      <w:bookmarkStart w:id="14" w:name="_bookmark10"/>
      <w:bookmarkEnd w:id="14"/>
      <w:r>
        <w:rPr>
          <w:position w:val="6"/>
          <w:sz w:val="10"/>
        </w:rPr>
        <w:t>8</w:t>
      </w:r>
      <w:r>
        <w:rPr>
          <w:position w:val="6"/>
          <w:sz w:val="10"/>
        </w:rPr>
        <w:tab/>
      </w:r>
      <w:r>
        <w:rPr>
          <w:sz w:val="16"/>
        </w:rPr>
        <w:t>La declaración de la presunta víctima fue decretada como prueba para mejor resolver luego de una solicitud hecha</w:t>
      </w:r>
      <w:r>
        <w:rPr>
          <w:sz w:val="16"/>
        </w:rPr>
        <w:t xml:space="preserve"> por sus representantes. La solicitud se fundamentó en el derecho a ser oído del señor Cordero Bernal y en que, por haberse representado a sí mismo durante el trámite inicial de este caso ante la Corte, no había solicitado su declaración, pues “era un hech</w:t>
      </w:r>
      <w:r>
        <w:rPr>
          <w:sz w:val="16"/>
        </w:rPr>
        <w:t xml:space="preserve">o evidente que concurriría a la correspondiente audiencia”. </w:t>
      </w:r>
      <w:r>
        <w:rPr>
          <w:i/>
          <w:sz w:val="16"/>
        </w:rPr>
        <w:t xml:space="preserve">Cfr. </w:t>
      </w:r>
      <w:r>
        <w:rPr>
          <w:sz w:val="16"/>
        </w:rPr>
        <w:t>Diligencia para mejor proveer – Petición (expediente de fondo, folios 419 a</w:t>
      </w:r>
      <w:r>
        <w:rPr>
          <w:spacing w:val="-23"/>
          <w:sz w:val="16"/>
        </w:rPr>
        <w:t xml:space="preserve"> </w:t>
      </w:r>
      <w:r>
        <w:rPr>
          <w:sz w:val="16"/>
        </w:rPr>
        <w:t>423).</w:t>
      </w:r>
    </w:p>
    <w:p w14:paraId="45A49D8B" w14:textId="77777777" w:rsidR="00492688" w:rsidRDefault="00C9584B">
      <w:pPr>
        <w:tabs>
          <w:tab w:val="left" w:pos="829"/>
        </w:tabs>
        <w:spacing w:before="98"/>
        <w:ind w:left="121" w:right="115"/>
        <w:jc w:val="both"/>
        <w:rPr>
          <w:sz w:val="16"/>
        </w:rPr>
      </w:pPr>
      <w:bookmarkStart w:id="15" w:name="_bookmark11"/>
      <w:bookmarkEnd w:id="15"/>
      <w:r>
        <w:rPr>
          <w:position w:val="6"/>
          <w:sz w:val="10"/>
        </w:rPr>
        <w:t>9</w:t>
      </w:r>
      <w:r>
        <w:rPr>
          <w:position w:val="6"/>
          <w:sz w:val="10"/>
        </w:rPr>
        <w:tab/>
      </w:r>
      <w:r>
        <w:rPr>
          <w:sz w:val="16"/>
        </w:rPr>
        <w:t>Se solicitó al Estado el envío de información sobre el estado actual de la plaza que ocupaba el señor Hécto</w:t>
      </w:r>
      <w:r>
        <w:rPr>
          <w:sz w:val="16"/>
        </w:rPr>
        <w:t>r Fidel Cordero Bernal al momento de su destitución y sobre el salario que devengaban los jueces especializados en Perú durante el periodo comprendido entre 1995 y</w:t>
      </w:r>
      <w:r>
        <w:rPr>
          <w:spacing w:val="-10"/>
          <w:sz w:val="16"/>
        </w:rPr>
        <w:t xml:space="preserve"> </w:t>
      </w:r>
      <w:r>
        <w:rPr>
          <w:sz w:val="16"/>
        </w:rPr>
        <w:t>2005.</w:t>
      </w:r>
    </w:p>
    <w:p w14:paraId="573CB696" w14:textId="77777777" w:rsidR="00492688" w:rsidRDefault="00C9584B">
      <w:pPr>
        <w:tabs>
          <w:tab w:val="left" w:pos="687"/>
        </w:tabs>
        <w:spacing w:before="101"/>
        <w:ind w:left="120" w:right="117"/>
        <w:jc w:val="both"/>
        <w:rPr>
          <w:sz w:val="16"/>
        </w:rPr>
      </w:pPr>
      <w:bookmarkStart w:id="16" w:name="_bookmark12"/>
      <w:bookmarkEnd w:id="16"/>
      <w:r>
        <w:rPr>
          <w:position w:val="6"/>
          <w:sz w:val="10"/>
        </w:rPr>
        <w:t>10</w:t>
      </w:r>
      <w:r>
        <w:rPr>
          <w:position w:val="6"/>
          <w:sz w:val="10"/>
        </w:rPr>
        <w:tab/>
      </w:r>
      <w:r>
        <w:rPr>
          <w:sz w:val="16"/>
        </w:rPr>
        <w:t>Debido a las circunstancias excepcionales ocasionadas por la pandemia COVID -19, es</w:t>
      </w:r>
      <w:r>
        <w:rPr>
          <w:sz w:val="16"/>
        </w:rPr>
        <w:t>ta Sentencia  fue deliberada y aprobada durante el 139 Período Ordinario de Sesiones, el cual se llevó a cabo de forma no presencial utilizando medios tecnológicos de conformidad con lo establecido en el Reglamento de la</w:t>
      </w:r>
      <w:r>
        <w:rPr>
          <w:spacing w:val="-25"/>
          <w:sz w:val="16"/>
        </w:rPr>
        <w:t xml:space="preserve"> </w:t>
      </w:r>
      <w:r>
        <w:rPr>
          <w:sz w:val="16"/>
        </w:rPr>
        <w:t>Corte.</w:t>
      </w:r>
    </w:p>
    <w:p w14:paraId="4F357135" w14:textId="77777777" w:rsidR="00492688" w:rsidRDefault="00492688">
      <w:pPr>
        <w:jc w:val="both"/>
        <w:rPr>
          <w:sz w:val="16"/>
        </w:rPr>
        <w:sectPr w:rsidR="00492688">
          <w:pgSz w:w="12240" w:h="15840"/>
          <w:pgMar w:top="1500" w:right="1580" w:bottom="280" w:left="1580" w:header="720" w:footer="720" w:gutter="0"/>
          <w:cols w:space="720"/>
        </w:sectPr>
      </w:pPr>
    </w:p>
    <w:p w14:paraId="5044DA7D" w14:textId="77777777" w:rsidR="00492688" w:rsidRDefault="00C9584B">
      <w:pPr>
        <w:pStyle w:val="Textoindependiente"/>
        <w:spacing w:before="79"/>
        <w:ind w:left="121"/>
      </w:pPr>
      <w:r>
        <w:lastRenderedPageBreak/>
        <w:t>Americana sobre Derechos Humanos el 12 de julio de 1978 y aceptó la competencia contenciosa de la Corte el 21 de enero de 1981.</w:t>
      </w:r>
    </w:p>
    <w:p w14:paraId="7C7EDE40" w14:textId="77777777" w:rsidR="00492688" w:rsidRDefault="00492688">
      <w:pPr>
        <w:pStyle w:val="Textoindependiente"/>
      </w:pPr>
    </w:p>
    <w:p w14:paraId="2A212C38" w14:textId="77777777" w:rsidR="00492688" w:rsidRDefault="00C9584B">
      <w:pPr>
        <w:pStyle w:val="Ttulo1"/>
        <w:ind w:left="3121" w:right="3104" w:firstLine="1286"/>
        <w:jc w:val="left"/>
      </w:pPr>
      <w:bookmarkStart w:id="17" w:name="IV_EXCEPCIÓN_PRELIMINAR"/>
      <w:bookmarkStart w:id="18" w:name="_bookmark13"/>
      <w:bookmarkEnd w:id="17"/>
      <w:bookmarkEnd w:id="18"/>
      <w:r>
        <w:t>IV EXCEPCIÓN PRELIMINAR</w:t>
      </w:r>
    </w:p>
    <w:p w14:paraId="55AA3AA2" w14:textId="77777777" w:rsidR="00492688" w:rsidRDefault="00492688">
      <w:pPr>
        <w:pStyle w:val="Textoindependiente"/>
        <w:spacing w:before="10"/>
        <w:rPr>
          <w:b/>
          <w:sz w:val="19"/>
        </w:rPr>
      </w:pPr>
    </w:p>
    <w:p w14:paraId="7E982DF7" w14:textId="77777777" w:rsidR="00492688" w:rsidRDefault="00C9584B">
      <w:pPr>
        <w:pStyle w:val="Prrafodelista"/>
        <w:numPr>
          <w:ilvl w:val="0"/>
          <w:numId w:val="12"/>
        </w:numPr>
        <w:tabs>
          <w:tab w:val="left" w:pos="688"/>
        </w:tabs>
        <w:ind w:right="117" w:hanging="1"/>
        <w:jc w:val="both"/>
        <w:rPr>
          <w:sz w:val="20"/>
        </w:rPr>
      </w:pPr>
      <w:r>
        <w:rPr>
          <w:sz w:val="20"/>
        </w:rPr>
        <w:t>En el presente caso, Perú presentó una excepción preliminar relativa a la falta de competencia de la Corte Interamericana para asumir un rol de cuarta instancia, la cual será abordada a</w:t>
      </w:r>
      <w:r>
        <w:rPr>
          <w:spacing w:val="-1"/>
          <w:sz w:val="20"/>
        </w:rPr>
        <w:t xml:space="preserve"> </w:t>
      </w:r>
      <w:r>
        <w:rPr>
          <w:sz w:val="20"/>
        </w:rPr>
        <w:t>continuación.</w:t>
      </w:r>
    </w:p>
    <w:p w14:paraId="2F286A1F" w14:textId="77777777" w:rsidR="00492688" w:rsidRDefault="00492688">
      <w:pPr>
        <w:pStyle w:val="Textoindependiente"/>
        <w:spacing w:before="2"/>
      </w:pPr>
    </w:p>
    <w:p w14:paraId="3C7BF7CF" w14:textId="77777777" w:rsidR="00492688" w:rsidRDefault="00C9584B">
      <w:pPr>
        <w:pStyle w:val="Ttulo1"/>
        <w:numPr>
          <w:ilvl w:val="0"/>
          <w:numId w:val="11"/>
        </w:numPr>
        <w:tabs>
          <w:tab w:val="left" w:pos="830"/>
        </w:tabs>
        <w:spacing w:before="1"/>
        <w:ind w:right="117" w:hanging="360"/>
      </w:pPr>
      <w:bookmarkStart w:id="19" w:name="A._Alegada_incompetencia_ratione_materia"/>
      <w:bookmarkStart w:id="20" w:name="_bookmark14"/>
      <w:bookmarkEnd w:id="19"/>
      <w:bookmarkEnd w:id="20"/>
      <w:r>
        <w:t xml:space="preserve">Alegada incompetencia </w:t>
      </w:r>
      <w:r>
        <w:rPr>
          <w:i/>
        </w:rPr>
        <w:t xml:space="preserve">ratione materiae </w:t>
      </w:r>
      <w:r>
        <w:t>de la Corte Inte</w:t>
      </w:r>
      <w:r>
        <w:t>ramericana para revisar decisiones internas (excepción de “cuarta</w:t>
      </w:r>
      <w:r>
        <w:rPr>
          <w:spacing w:val="-14"/>
        </w:rPr>
        <w:t xml:space="preserve"> </w:t>
      </w:r>
      <w:r>
        <w:t>instancia”)</w:t>
      </w:r>
    </w:p>
    <w:p w14:paraId="7ADEA426" w14:textId="77777777" w:rsidR="00492688" w:rsidRDefault="00492688">
      <w:pPr>
        <w:pStyle w:val="Textoindependiente"/>
        <w:spacing w:before="10"/>
        <w:rPr>
          <w:b/>
          <w:sz w:val="19"/>
        </w:rPr>
      </w:pPr>
    </w:p>
    <w:p w14:paraId="4A4C51D8" w14:textId="77777777" w:rsidR="00492688" w:rsidRDefault="00C9584B">
      <w:pPr>
        <w:pStyle w:val="Ttulo2"/>
        <w:numPr>
          <w:ilvl w:val="1"/>
          <w:numId w:val="11"/>
        </w:numPr>
        <w:tabs>
          <w:tab w:val="left" w:pos="1442"/>
        </w:tabs>
        <w:ind w:right="121" w:firstLine="0"/>
      </w:pPr>
      <w:bookmarkStart w:id="21" w:name="A.1._Alegatos_del_Estado,_observaciones_"/>
      <w:bookmarkStart w:id="22" w:name="_bookmark15"/>
      <w:bookmarkEnd w:id="21"/>
      <w:bookmarkEnd w:id="22"/>
      <w:r>
        <w:t xml:space="preserve">Alegatos del Estado, observaciones de la Comisión y de las </w:t>
      </w:r>
      <w:r>
        <w:t>representantes</w:t>
      </w:r>
    </w:p>
    <w:p w14:paraId="6CECB80A" w14:textId="77777777" w:rsidR="00492688" w:rsidRDefault="00492688">
      <w:pPr>
        <w:pStyle w:val="Textoindependiente"/>
        <w:rPr>
          <w:b/>
          <w:i/>
        </w:rPr>
      </w:pPr>
    </w:p>
    <w:p w14:paraId="505D390A" w14:textId="77777777" w:rsidR="00492688" w:rsidRDefault="00C9584B">
      <w:pPr>
        <w:pStyle w:val="Prrafodelista"/>
        <w:numPr>
          <w:ilvl w:val="0"/>
          <w:numId w:val="12"/>
        </w:numPr>
        <w:tabs>
          <w:tab w:val="left" w:pos="689"/>
        </w:tabs>
        <w:ind w:right="116" w:firstLine="0"/>
        <w:jc w:val="both"/>
        <w:rPr>
          <w:sz w:val="20"/>
        </w:rPr>
      </w:pPr>
      <w:r>
        <w:rPr>
          <w:sz w:val="20"/>
        </w:rPr>
        <w:t xml:space="preserve">El </w:t>
      </w:r>
      <w:r>
        <w:rPr>
          <w:b/>
          <w:i/>
          <w:sz w:val="20"/>
        </w:rPr>
        <w:t xml:space="preserve">Estado </w:t>
      </w:r>
      <w:r>
        <w:rPr>
          <w:sz w:val="20"/>
        </w:rPr>
        <w:t>indicó que alegó esta excepción preliminar en la etapa de admisibilidad ante la Comisión Int</w:t>
      </w:r>
      <w:r>
        <w:rPr>
          <w:sz w:val="20"/>
        </w:rPr>
        <w:t>eramericana. Destacó, además, que la Corte no tiene competencia para pronunciarse sobre desacuerdos entre las partes en la valoración de la prueba o en la aplicación del derecho interno, salvo que se trate de asuntos relacionados con el cumplimiento de las</w:t>
      </w:r>
      <w:r>
        <w:rPr>
          <w:sz w:val="20"/>
        </w:rPr>
        <w:t xml:space="preserve"> obligaciones internacionales del Estado en materia de derechos humanos, y solicitó a la Corte que “valore el proceso de amparo, con la finalidad de constatar que se desarrolló con pleno respeto a las garantías del debido proceso, dándosele la oportunidad </w:t>
      </w:r>
      <w:r>
        <w:rPr>
          <w:sz w:val="20"/>
        </w:rPr>
        <w:t>al señor Cordero Bernal para recurrir las decisiones judiciales que le fueron adversas y así contar con un pronunciamiento de la máxima instancia en materia constitucional en el Perú, esto es, el Tribunal</w:t>
      </w:r>
      <w:r>
        <w:rPr>
          <w:spacing w:val="-9"/>
          <w:sz w:val="20"/>
        </w:rPr>
        <w:t xml:space="preserve"> </w:t>
      </w:r>
      <w:r>
        <w:rPr>
          <w:sz w:val="20"/>
        </w:rPr>
        <w:t>Constitucional”.</w:t>
      </w:r>
    </w:p>
    <w:p w14:paraId="23621392" w14:textId="77777777" w:rsidR="00492688" w:rsidRDefault="00492688">
      <w:pPr>
        <w:pStyle w:val="Textoindependiente"/>
      </w:pPr>
    </w:p>
    <w:p w14:paraId="049580D7" w14:textId="77777777" w:rsidR="00492688" w:rsidRDefault="00C9584B">
      <w:pPr>
        <w:pStyle w:val="Prrafodelista"/>
        <w:numPr>
          <w:ilvl w:val="0"/>
          <w:numId w:val="12"/>
        </w:numPr>
        <w:tabs>
          <w:tab w:val="left" w:pos="689"/>
        </w:tabs>
        <w:ind w:right="117" w:hanging="1"/>
        <w:jc w:val="both"/>
        <w:rPr>
          <w:sz w:val="20"/>
        </w:rPr>
      </w:pPr>
      <w:r>
        <w:rPr>
          <w:sz w:val="20"/>
        </w:rPr>
        <w:t xml:space="preserve">La </w:t>
      </w:r>
      <w:r>
        <w:rPr>
          <w:b/>
          <w:i/>
          <w:sz w:val="20"/>
        </w:rPr>
        <w:t xml:space="preserve">Comisión </w:t>
      </w:r>
      <w:r>
        <w:rPr>
          <w:sz w:val="20"/>
        </w:rPr>
        <w:t>recordó que en este c</w:t>
      </w:r>
      <w:r>
        <w:rPr>
          <w:sz w:val="20"/>
        </w:rPr>
        <w:t>aso se alegan una serie de violaciones al debido proceso y al principio de legalidad en el marco del procedimiento que culminó en la separación de la presunta víctima de su cargo. Es decir, no se trata de una cuestión que se refiera a la disconformidad con</w:t>
      </w:r>
      <w:r>
        <w:rPr>
          <w:sz w:val="20"/>
        </w:rPr>
        <w:t xml:space="preserve"> decisiones nacionales. Además, consideró que el debate sobre las razones que la condujeron a determinar las violaciones indicadas en su Informe de Fondo corresponde al fondo del asunto y en ningún caso podría ser resuelto mediante una excepción</w:t>
      </w:r>
      <w:r>
        <w:rPr>
          <w:spacing w:val="-9"/>
          <w:sz w:val="20"/>
        </w:rPr>
        <w:t xml:space="preserve"> </w:t>
      </w:r>
      <w:r>
        <w:rPr>
          <w:sz w:val="20"/>
        </w:rPr>
        <w:t>preliminar</w:t>
      </w:r>
      <w:r>
        <w:rPr>
          <w:sz w:val="20"/>
        </w:rPr>
        <w:t>.</w:t>
      </w:r>
    </w:p>
    <w:p w14:paraId="767C5F71" w14:textId="77777777" w:rsidR="00492688" w:rsidRDefault="00492688">
      <w:pPr>
        <w:pStyle w:val="Textoindependiente"/>
        <w:spacing w:before="2"/>
      </w:pPr>
    </w:p>
    <w:p w14:paraId="1C6659C1" w14:textId="77777777" w:rsidR="00492688" w:rsidRDefault="00C9584B">
      <w:pPr>
        <w:pStyle w:val="Prrafodelista"/>
        <w:numPr>
          <w:ilvl w:val="0"/>
          <w:numId w:val="12"/>
        </w:numPr>
        <w:tabs>
          <w:tab w:val="left" w:pos="689"/>
        </w:tabs>
        <w:ind w:right="116" w:firstLine="0"/>
        <w:jc w:val="both"/>
        <w:rPr>
          <w:sz w:val="20"/>
        </w:rPr>
      </w:pPr>
      <w:r>
        <w:rPr>
          <w:sz w:val="20"/>
        </w:rPr>
        <w:t xml:space="preserve">Las </w:t>
      </w:r>
      <w:r>
        <w:rPr>
          <w:b/>
          <w:i/>
          <w:sz w:val="20"/>
        </w:rPr>
        <w:t xml:space="preserve">representantes </w:t>
      </w:r>
      <w:r>
        <w:rPr>
          <w:sz w:val="20"/>
        </w:rPr>
        <w:t>solicitaron a la Corte que rechace de plano la excepción preliminar planteada por el Estado porque carece de mérito. Al respecto, indicaron que la Corte Interamericana tiene la facultad de supervisar si las decisiones de la administra</w:t>
      </w:r>
      <w:r>
        <w:rPr>
          <w:sz w:val="20"/>
        </w:rPr>
        <w:t>ción de justicia a nivel nacional se enmarcan dentro de los deberes y obligaciones descritos en la Convención</w:t>
      </w:r>
      <w:r>
        <w:rPr>
          <w:spacing w:val="-4"/>
          <w:sz w:val="20"/>
        </w:rPr>
        <w:t xml:space="preserve"> </w:t>
      </w:r>
      <w:r>
        <w:rPr>
          <w:sz w:val="20"/>
        </w:rPr>
        <w:t>Americana.</w:t>
      </w:r>
    </w:p>
    <w:p w14:paraId="1D8E0394" w14:textId="77777777" w:rsidR="00492688" w:rsidRDefault="00492688">
      <w:pPr>
        <w:pStyle w:val="Textoindependiente"/>
        <w:spacing w:before="11"/>
        <w:rPr>
          <w:sz w:val="19"/>
        </w:rPr>
      </w:pPr>
    </w:p>
    <w:p w14:paraId="6C2BFCA9" w14:textId="77777777" w:rsidR="00492688" w:rsidRDefault="00C9584B">
      <w:pPr>
        <w:pStyle w:val="Ttulo2"/>
        <w:numPr>
          <w:ilvl w:val="1"/>
          <w:numId w:val="11"/>
        </w:numPr>
        <w:tabs>
          <w:tab w:val="left" w:pos="1339"/>
        </w:tabs>
        <w:ind w:left="1338" w:hanging="510"/>
      </w:pPr>
      <w:bookmarkStart w:id="23" w:name="A.2._Consideraciones_de_la_Corte"/>
      <w:bookmarkStart w:id="24" w:name="_bookmark16"/>
      <w:bookmarkEnd w:id="23"/>
      <w:bookmarkEnd w:id="24"/>
      <w:r>
        <w:t>Consideraciones de la Corte</w:t>
      </w:r>
    </w:p>
    <w:p w14:paraId="6E88CC90" w14:textId="77777777" w:rsidR="00492688" w:rsidRDefault="00492688">
      <w:pPr>
        <w:pStyle w:val="Textoindependiente"/>
        <w:spacing w:before="1"/>
        <w:rPr>
          <w:b/>
          <w:i/>
        </w:rPr>
      </w:pPr>
    </w:p>
    <w:p w14:paraId="111CA32E" w14:textId="77777777" w:rsidR="00492688" w:rsidRDefault="00C9584B">
      <w:pPr>
        <w:pStyle w:val="Prrafodelista"/>
        <w:numPr>
          <w:ilvl w:val="0"/>
          <w:numId w:val="12"/>
        </w:numPr>
        <w:tabs>
          <w:tab w:val="left" w:pos="689"/>
        </w:tabs>
        <w:ind w:right="117" w:hanging="1"/>
        <w:jc w:val="both"/>
        <w:rPr>
          <w:sz w:val="20"/>
        </w:rPr>
      </w:pPr>
      <w:r>
        <w:rPr>
          <w:sz w:val="20"/>
        </w:rPr>
        <w:t xml:space="preserve">Esta Corte ha señalado que la determinación sobre si las actuaciones de órganos judiciales constituyen una violación de las obligaciones internacionales del Estado, puede conducir a que la Corte deba ocuparse de examinar los respectivos procesos internos, </w:t>
      </w:r>
      <w:r>
        <w:rPr>
          <w:sz w:val="20"/>
        </w:rPr>
        <w:t>para establecer su compatibilidad con la Convención Americana. Sin embargo, este Tribunal no es una cuarta instancia de revisión judicial, ni examina la valoración de la prueba realizada por los jueces nacionales. Por lo anterior, al analizar la compatibil</w:t>
      </w:r>
      <w:r>
        <w:rPr>
          <w:sz w:val="20"/>
        </w:rPr>
        <w:t>idad de los procesos internos con la Convención Americana, la Corte solo es competente para decidir sobre el contenido de resoluciones judiciales que</w:t>
      </w:r>
      <w:r>
        <w:rPr>
          <w:spacing w:val="61"/>
          <w:sz w:val="20"/>
        </w:rPr>
        <w:t xml:space="preserve"> </w:t>
      </w:r>
      <w:r>
        <w:rPr>
          <w:sz w:val="20"/>
        </w:rPr>
        <w:t>la</w:t>
      </w:r>
    </w:p>
    <w:p w14:paraId="12ACE0B9" w14:textId="77777777" w:rsidR="00492688" w:rsidRDefault="00492688">
      <w:pPr>
        <w:jc w:val="both"/>
        <w:rPr>
          <w:sz w:val="20"/>
        </w:rPr>
        <w:sectPr w:rsidR="00492688">
          <w:pgSz w:w="12240" w:h="15840"/>
          <w:pgMar w:top="1340" w:right="1580" w:bottom="280" w:left="1580" w:header="720" w:footer="720" w:gutter="0"/>
          <w:cols w:space="720"/>
        </w:sectPr>
      </w:pPr>
    </w:p>
    <w:p w14:paraId="0D35D7DA" w14:textId="77777777" w:rsidR="00492688" w:rsidRDefault="00C9584B">
      <w:pPr>
        <w:pStyle w:val="Textoindependiente"/>
        <w:spacing w:before="79"/>
        <w:ind w:left="121"/>
      </w:pPr>
      <w:r>
        <w:lastRenderedPageBreak/>
        <w:t>contravengan de forma manifiestamente arbitraria</w:t>
      </w:r>
      <w:hyperlink w:anchor="_bookmark19" w:history="1">
        <w:r>
          <w:rPr>
            <w:position w:val="7"/>
            <w:sz w:val="13"/>
          </w:rPr>
          <w:t>11</w:t>
        </w:r>
      </w:hyperlink>
      <w:r>
        <w:t>.</w:t>
      </w:r>
    </w:p>
    <w:p w14:paraId="65A673F9" w14:textId="77777777" w:rsidR="00492688" w:rsidRDefault="00492688">
      <w:pPr>
        <w:pStyle w:val="Textoindependiente"/>
        <w:spacing w:before="10"/>
        <w:rPr>
          <w:sz w:val="19"/>
        </w:rPr>
      </w:pPr>
    </w:p>
    <w:p w14:paraId="3DBC16FC" w14:textId="77777777" w:rsidR="00492688" w:rsidRDefault="00C9584B">
      <w:pPr>
        <w:pStyle w:val="Prrafodelista"/>
        <w:numPr>
          <w:ilvl w:val="0"/>
          <w:numId w:val="12"/>
        </w:numPr>
        <w:tabs>
          <w:tab w:val="left" w:pos="689"/>
        </w:tabs>
        <w:ind w:right="117" w:hanging="1"/>
        <w:jc w:val="both"/>
        <w:rPr>
          <w:sz w:val="20"/>
        </w:rPr>
      </w:pPr>
      <w:r>
        <w:rPr>
          <w:sz w:val="20"/>
        </w:rPr>
        <w:t>En el cas</w:t>
      </w:r>
      <w:r>
        <w:rPr>
          <w:sz w:val="20"/>
        </w:rPr>
        <w:t>o concreto se advierte que las pretensiones de la Comisión y la presunta víctima no se circunscriben a la revisión de los fallos de los tribunales nacionales ante una eventual incorrección en la apreciación de las pruebas, en la determinación de los hechos</w:t>
      </w:r>
      <w:r>
        <w:rPr>
          <w:sz w:val="20"/>
        </w:rPr>
        <w:t xml:space="preserve"> o en la aplicación del derecho interno. Por el contrario, se alega la vulneración a distintos derechos consagrados en la Convención Americana, en el marco de las decisiones tomadas por las autoridades nacionales, tanto en sede administrativa como judicial</w:t>
      </w:r>
      <w:r>
        <w:rPr>
          <w:sz w:val="20"/>
        </w:rPr>
        <w:t>. En consecuencia, con el fin de determinar si dichas violaciones efectivamente ocurrieron, se hace imprescindible analizar las resoluciones dictadas por las distintas autoridades administrativas y jurisdiccionales, a fin de determinar su compatibilidad co</w:t>
      </w:r>
      <w:r>
        <w:rPr>
          <w:sz w:val="20"/>
        </w:rPr>
        <w:t>n las obligaciones internacionales del Estado, lo que, a la postre, configura una cuestión de fondo que no puede dirimirse por vía de una excepción preliminar. En consecuencia, la Corte declara sin lugar la excepción preliminar presentada por el Estado.</w:t>
      </w:r>
    </w:p>
    <w:p w14:paraId="73CAA13A" w14:textId="77777777" w:rsidR="00492688" w:rsidRDefault="00492688">
      <w:pPr>
        <w:pStyle w:val="Textoindependiente"/>
        <w:spacing w:before="1"/>
      </w:pPr>
    </w:p>
    <w:p w14:paraId="3F982C8D" w14:textId="77777777" w:rsidR="00492688" w:rsidRDefault="00C9584B">
      <w:pPr>
        <w:pStyle w:val="Ttulo1"/>
        <w:ind w:left="4084" w:right="4085" w:firstLine="2"/>
      </w:pPr>
      <w:bookmarkStart w:id="25" w:name="V_PRUEBA"/>
      <w:bookmarkStart w:id="26" w:name="_bookmark17"/>
      <w:bookmarkEnd w:id="25"/>
      <w:bookmarkEnd w:id="26"/>
      <w:r>
        <w:t>V</w:t>
      </w:r>
      <w:r>
        <w:t xml:space="preserve">    </w:t>
      </w:r>
      <w:r>
        <w:rPr>
          <w:w w:val="95"/>
        </w:rPr>
        <w:t>PRUEBA</w:t>
      </w:r>
    </w:p>
    <w:p w14:paraId="4BF1E813" w14:textId="77777777" w:rsidR="00492688" w:rsidRDefault="00492688">
      <w:pPr>
        <w:pStyle w:val="Textoindependiente"/>
        <w:rPr>
          <w:b/>
        </w:rPr>
      </w:pPr>
    </w:p>
    <w:p w14:paraId="1A610C5A" w14:textId="77777777" w:rsidR="00492688" w:rsidRDefault="00C9584B">
      <w:pPr>
        <w:pStyle w:val="Ttulo1"/>
        <w:numPr>
          <w:ilvl w:val="0"/>
          <w:numId w:val="10"/>
        </w:numPr>
        <w:tabs>
          <w:tab w:val="left" w:pos="830"/>
        </w:tabs>
        <w:spacing w:before="1"/>
        <w:ind w:hanging="349"/>
      </w:pPr>
      <w:bookmarkStart w:id="27" w:name="A._Admisibilidad_de_la_prueba_documental"/>
      <w:bookmarkStart w:id="28" w:name="_bookmark18"/>
      <w:bookmarkEnd w:id="27"/>
      <w:bookmarkEnd w:id="28"/>
      <w:r>
        <w:t>Admisibilidad de la prueba</w:t>
      </w:r>
      <w:r>
        <w:rPr>
          <w:spacing w:val="-7"/>
        </w:rPr>
        <w:t xml:space="preserve"> </w:t>
      </w:r>
      <w:r>
        <w:t>documental</w:t>
      </w:r>
    </w:p>
    <w:p w14:paraId="18239E4E" w14:textId="77777777" w:rsidR="00492688" w:rsidRDefault="00492688">
      <w:pPr>
        <w:pStyle w:val="Textoindependiente"/>
        <w:rPr>
          <w:b/>
        </w:rPr>
      </w:pPr>
    </w:p>
    <w:p w14:paraId="297CE65C" w14:textId="77777777" w:rsidR="00492688" w:rsidRDefault="00C9584B">
      <w:pPr>
        <w:pStyle w:val="Prrafodelista"/>
        <w:numPr>
          <w:ilvl w:val="0"/>
          <w:numId w:val="12"/>
        </w:numPr>
        <w:tabs>
          <w:tab w:val="left" w:pos="689"/>
        </w:tabs>
        <w:spacing w:before="1"/>
        <w:ind w:right="117" w:hanging="1"/>
        <w:jc w:val="both"/>
        <w:rPr>
          <w:sz w:val="20"/>
        </w:rPr>
      </w:pPr>
      <w:r>
        <w:rPr>
          <w:sz w:val="20"/>
        </w:rPr>
        <w:t>La Corte recibió diversos documentos presentados como prueba por la Comisión, y las partes junto con sus escritos principales (</w:t>
      </w:r>
      <w:r>
        <w:rPr>
          <w:i/>
          <w:sz w:val="20"/>
        </w:rPr>
        <w:t xml:space="preserve">supra </w:t>
      </w:r>
      <w:r>
        <w:rPr>
          <w:sz w:val="20"/>
        </w:rPr>
        <w:t>párrs. 3, 6 y 7). Como en otros casos, este Tribunal admite aquellos documentos presentados oportunamente</w:t>
      </w:r>
      <w:r>
        <w:rPr>
          <w:spacing w:val="31"/>
          <w:sz w:val="20"/>
        </w:rPr>
        <w:t xml:space="preserve"> </w:t>
      </w:r>
      <w:r>
        <w:rPr>
          <w:sz w:val="20"/>
        </w:rPr>
        <w:t>(artículo</w:t>
      </w:r>
    </w:p>
    <w:p w14:paraId="379E30F6" w14:textId="77777777" w:rsidR="00492688" w:rsidRDefault="00C9584B">
      <w:pPr>
        <w:pStyle w:val="Textoindependiente"/>
        <w:ind w:left="121" w:right="119"/>
        <w:jc w:val="both"/>
      </w:pPr>
      <w:r>
        <w:t xml:space="preserve">57 del </w:t>
      </w:r>
      <w:r>
        <w:t>Reglamento)</w:t>
      </w:r>
      <w:hyperlink w:anchor="_bookmark20" w:history="1">
        <w:r>
          <w:rPr>
            <w:position w:val="7"/>
            <w:sz w:val="13"/>
          </w:rPr>
          <w:t>12</w:t>
        </w:r>
      </w:hyperlink>
      <w:r>
        <w:rPr>
          <w:position w:val="7"/>
          <w:sz w:val="13"/>
        </w:rPr>
        <w:t xml:space="preserve"> </w:t>
      </w:r>
      <w:r>
        <w:t>por las partes y la Comisión, cuya admisibilidad no fue controvertida ni objetada, y cuya autenticidad no fue puesta en duda</w:t>
      </w:r>
      <w:hyperlink w:anchor="_bookmark21" w:history="1">
        <w:r>
          <w:rPr>
            <w:position w:val="7"/>
            <w:sz w:val="13"/>
          </w:rPr>
          <w:t>13</w:t>
        </w:r>
      </w:hyperlink>
      <w:r>
        <w:t>.</w:t>
      </w:r>
    </w:p>
    <w:p w14:paraId="4AC92987" w14:textId="77777777" w:rsidR="00492688" w:rsidRDefault="00492688">
      <w:pPr>
        <w:pStyle w:val="Textoindependiente"/>
        <w:spacing w:before="10"/>
        <w:rPr>
          <w:sz w:val="19"/>
        </w:rPr>
      </w:pPr>
    </w:p>
    <w:p w14:paraId="224B09EB" w14:textId="77777777" w:rsidR="00492688" w:rsidRDefault="00C9584B">
      <w:pPr>
        <w:pStyle w:val="Prrafodelista"/>
        <w:numPr>
          <w:ilvl w:val="0"/>
          <w:numId w:val="12"/>
        </w:numPr>
        <w:tabs>
          <w:tab w:val="left" w:pos="689"/>
        </w:tabs>
        <w:ind w:right="118" w:firstLine="0"/>
        <w:jc w:val="both"/>
        <w:rPr>
          <w:sz w:val="20"/>
        </w:rPr>
      </w:pPr>
      <w:r>
        <w:rPr>
          <w:sz w:val="20"/>
        </w:rPr>
        <w:t>La Corte también recibió documentos adjuntos a los alegatos finales escritos del Estado (</w:t>
      </w:r>
      <w:r>
        <w:rPr>
          <w:i/>
          <w:sz w:val="20"/>
        </w:rPr>
        <w:t xml:space="preserve">supra </w:t>
      </w:r>
      <w:r>
        <w:rPr>
          <w:sz w:val="20"/>
        </w:rPr>
        <w:t>párr. 11)</w:t>
      </w:r>
      <w:hyperlink w:anchor="_bookmark22" w:history="1">
        <w:r>
          <w:rPr>
            <w:position w:val="7"/>
            <w:sz w:val="13"/>
          </w:rPr>
          <w:t>14</w:t>
        </w:r>
      </w:hyperlink>
      <w:r>
        <w:rPr>
          <w:sz w:val="20"/>
        </w:rPr>
        <w:t>. Las representantes presentaron observaciones a estos documentos e indicaron que no fueron remitidos en la oportunidad</w:t>
      </w:r>
      <w:r>
        <w:rPr>
          <w:sz w:val="20"/>
        </w:rPr>
        <w:t xml:space="preserve"> procesal oportuna. La Corte constata que estos documentos no fueron solicitados por este Tribunal, no fueron presentados en la oportunidad prevista para aportar pruebas documentales, ni constituyen prueba superviniente, por tal razón, no serán tomados en</w:t>
      </w:r>
      <w:r>
        <w:rPr>
          <w:spacing w:val="-13"/>
          <w:sz w:val="20"/>
        </w:rPr>
        <w:t xml:space="preserve"> </w:t>
      </w:r>
      <w:r>
        <w:rPr>
          <w:sz w:val="20"/>
        </w:rPr>
        <w:t>cuenta.</w:t>
      </w:r>
    </w:p>
    <w:p w14:paraId="33C84919" w14:textId="77777777" w:rsidR="00492688" w:rsidRDefault="00492688">
      <w:pPr>
        <w:pStyle w:val="Textoindependiente"/>
      </w:pPr>
    </w:p>
    <w:p w14:paraId="25A91DEC" w14:textId="77777777" w:rsidR="00492688" w:rsidRDefault="00C9584B">
      <w:pPr>
        <w:pStyle w:val="Prrafodelista"/>
        <w:numPr>
          <w:ilvl w:val="0"/>
          <w:numId w:val="12"/>
        </w:numPr>
        <w:tabs>
          <w:tab w:val="left" w:pos="689"/>
        </w:tabs>
        <w:ind w:right="116" w:hanging="1"/>
        <w:jc w:val="both"/>
        <w:rPr>
          <w:sz w:val="20"/>
        </w:rPr>
      </w:pPr>
      <w:r>
        <w:rPr>
          <w:sz w:val="20"/>
        </w:rPr>
        <w:t>Por otra parte, la Corte observa que las representantes anexaron algunos documentos al escrito mediante el cual solicitaron la recepción del testimonio de la presunta</w:t>
      </w:r>
      <w:r>
        <w:rPr>
          <w:spacing w:val="43"/>
          <w:sz w:val="20"/>
        </w:rPr>
        <w:t xml:space="preserve"> </w:t>
      </w:r>
      <w:r>
        <w:rPr>
          <w:sz w:val="20"/>
        </w:rPr>
        <w:t>víctima,</w:t>
      </w:r>
      <w:r>
        <w:rPr>
          <w:spacing w:val="43"/>
          <w:sz w:val="20"/>
        </w:rPr>
        <w:t xml:space="preserve"> </w:t>
      </w:r>
      <w:r>
        <w:rPr>
          <w:sz w:val="20"/>
        </w:rPr>
        <w:t>presentado</w:t>
      </w:r>
      <w:r>
        <w:rPr>
          <w:spacing w:val="45"/>
          <w:sz w:val="20"/>
        </w:rPr>
        <w:t xml:space="preserve"> </w:t>
      </w:r>
      <w:r>
        <w:rPr>
          <w:sz w:val="20"/>
        </w:rPr>
        <w:t>el</w:t>
      </w:r>
      <w:r>
        <w:rPr>
          <w:spacing w:val="45"/>
          <w:sz w:val="20"/>
        </w:rPr>
        <w:t xml:space="preserve"> </w:t>
      </w:r>
      <w:r>
        <w:rPr>
          <w:sz w:val="20"/>
        </w:rPr>
        <w:t>17</w:t>
      </w:r>
      <w:r>
        <w:rPr>
          <w:spacing w:val="44"/>
          <w:sz w:val="20"/>
        </w:rPr>
        <w:t xml:space="preserve"> </w:t>
      </w:r>
      <w:r>
        <w:rPr>
          <w:sz w:val="20"/>
        </w:rPr>
        <w:t>de</w:t>
      </w:r>
      <w:r>
        <w:rPr>
          <w:spacing w:val="42"/>
          <w:sz w:val="20"/>
        </w:rPr>
        <w:t xml:space="preserve"> </w:t>
      </w:r>
      <w:r>
        <w:rPr>
          <w:sz w:val="20"/>
        </w:rPr>
        <w:t>junio</w:t>
      </w:r>
      <w:r>
        <w:rPr>
          <w:spacing w:val="45"/>
          <w:sz w:val="20"/>
        </w:rPr>
        <w:t xml:space="preserve"> </w:t>
      </w:r>
      <w:r>
        <w:rPr>
          <w:sz w:val="20"/>
        </w:rPr>
        <w:t>de</w:t>
      </w:r>
      <w:r>
        <w:rPr>
          <w:spacing w:val="42"/>
          <w:sz w:val="20"/>
        </w:rPr>
        <w:t xml:space="preserve"> </w:t>
      </w:r>
      <w:r>
        <w:rPr>
          <w:sz w:val="20"/>
        </w:rPr>
        <w:t>2020</w:t>
      </w:r>
      <w:hyperlink w:anchor="_bookmark23" w:history="1">
        <w:r>
          <w:rPr>
            <w:position w:val="7"/>
            <w:sz w:val="13"/>
          </w:rPr>
          <w:t>15</w:t>
        </w:r>
      </w:hyperlink>
      <w:r>
        <w:rPr>
          <w:sz w:val="20"/>
        </w:rPr>
        <w:t>.</w:t>
      </w:r>
      <w:r>
        <w:rPr>
          <w:spacing w:val="43"/>
          <w:sz w:val="20"/>
        </w:rPr>
        <w:t xml:space="preserve"> </w:t>
      </w:r>
      <w:r>
        <w:rPr>
          <w:sz w:val="20"/>
        </w:rPr>
        <w:t>El</w:t>
      </w:r>
      <w:r>
        <w:rPr>
          <w:spacing w:val="45"/>
          <w:sz w:val="20"/>
        </w:rPr>
        <w:t xml:space="preserve"> </w:t>
      </w:r>
      <w:r>
        <w:rPr>
          <w:sz w:val="20"/>
        </w:rPr>
        <w:t>Estado,</w:t>
      </w:r>
      <w:r>
        <w:rPr>
          <w:spacing w:val="45"/>
          <w:sz w:val="20"/>
        </w:rPr>
        <w:t xml:space="preserve"> </w:t>
      </w:r>
      <w:r>
        <w:rPr>
          <w:sz w:val="20"/>
        </w:rPr>
        <w:t>en</w:t>
      </w:r>
      <w:r>
        <w:rPr>
          <w:spacing w:val="44"/>
          <w:sz w:val="20"/>
        </w:rPr>
        <w:t xml:space="preserve"> </w:t>
      </w:r>
      <w:r>
        <w:rPr>
          <w:sz w:val="20"/>
        </w:rPr>
        <w:t>sus</w:t>
      </w:r>
      <w:r>
        <w:rPr>
          <w:spacing w:val="44"/>
          <w:sz w:val="20"/>
        </w:rPr>
        <w:t xml:space="preserve"> </w:t>
      </w:r>
      <w:r>
        <w:rPr>
          <w:sz w:val="20"/>
        </w:rPr>
        <w:t>alegatos</w:t>
      </w:r>
    </w:p>
    <w:p w14:paraId="63EDB868" w14:textId="66B077F8" w:rsidR="00492688" w:rsidRDefault="00C9584B">
      <w:pPr>
        <w:pStyle w:val="Textoindependiente"/>
        <w:spacing w:before="1"/>
      </w:pPr>
      <w:r>
        <w:rPr>
          <w:noProof/>
        </w:rPr>
        <mc:AlternateContent>
          <mc:Choice Requires="wps">
            <w:drawing>
              <wp:anchor distT="0" distB="0" distL="0" distR="0" simplePos="0" relativeHeight="251661312" behindDoc="1" locked="0" layoutInCell="1" allowOverlap="1" wp14:anchorId="42683C19" wp14:editId="26B41C5A">
                <wp:simplePos x="0" y="0"/>
                <wp:positionH relativeFrom="page">
                  <wp:posOffset>1080770</wp:posOffset>
                </wp:positionH>
                <wp:positionV relativeFrom="paragraph">
                  <wp:posOffset>183515</wp:posOffset>
                </wp:positionV>
                <wp:extent cx="1828800" cy="1270"/>
                <wp:effectExtent l="0" t="0" r="0" b="0"/>
                <wp:wrapTopAndBottom/>
                <wp:docPr id="38"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04E4F" id="Freeform 39" o:spid="_x0000_s1026" style="position:absolute;margin-left:85.1pt;margin-top:14.45pt;width:2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" path="m,l2880,e" filled="f" strokeweight=".6pt">
                <v:path arrowok="t" o:connecttype="custom" o:connectlocs="0,0;1828800,0" o:connectangles="0,0"/>
                <w10:wrap type="topAndBottom" anchorx="page"/>
              </v:shape>
            </w:pict>
          </mc:Fallback>
        </mc:AlternateContent>
      </w:r>
    </w:p>
    <w:p w14:paraId="31C8472C" w14:textId="77777777" w:rsidR="00492688" w:rsidRDefault="00492688">
      <w:pPr>
        <w:pStyle w:val="Textoindependiente"/>
        <w:spacing w:before="1"/>
        <w:rPr>
          <w:sz w:val="6"/>
        </w:rPr>
      </w:pPr>
    </w:p>
    <w:p w14:paraId="6B5F3135" w14:textId="77777777" w:rsidR="00492688" w:rsidRDefault="00C9584B">
      <w:pPr>
        <w:tabs>
          <w:tab w:val="left" w:pos="829"/>
        </w:tabs>
        <w:spacing w:before="101"/>
        <w:ind w:left="121" w:right="115" w:hanging="1"/>
        <w:jc w:val="both"/>
        <w:rPr>
          <w:sz w:val="16"/>
        </w:rPr>
      </w:pPr>
      <w:bookmarkStart w:id="29" w:name="_bookmark19"/>
      <w:bookmarkEnd w:id="29"/>
      <w:r>
        <w:rPr>
          <w:position w:val="6"/>
          <w:sz w:val="10"/>
        </w:rPr>
        <w:t>11</w:t>
      </w:r>
      <w:r>
        <w:rPr>
          <w:position w:val="6"/>
          <w:sz w:val="10"/>
        </w:rPr>
        <w:tab/>
      </w:r>
      <w:r>
        <w:rPr>
          <w:i/>
          <w:sz w:val="16"/>
        </w:rPr>
        <w:t xml:space="preserve">Cfr. Caso de los “Niños de la Calle” (Villagrán Morales y otros) Vs. Guatemala. Fondo. </w:t>
      </w:r>
      <w:r>
        <w:rPr>
          <w:sz w:val="16"/>
        </w:rPr>
        <w:t xml:space="preserve">Sentencia de 19 de noviembre de 1999. Serie C No. 63, párr. 222, y </w:t>
      </w:r>
      <w:r>
        <w:rPr>
          <w:i/>
          <w:sz w:val="16"/>
        </w:rPr>
        <w:t xml:space="preserve">Caso Casa Nina Vs. Perú. Excepciones Preliminares, Fondo, Reparaciones y Costas. </w:t>
      </w:r>
      <w:r>
        <w:rPr>
          <w:sz w:val="16"/>
        </w:rPr>
        <w:t>Sentencia de 24 de noviembre de 2020. Serie C No. 419, párr.</w:t>
      </w:r>
      <w:r>
        <w:rPr>
          <w:spacing w:val="-23"/>
          <w:sz w:val="16"/>
        </w:rPr>
        <w:t xml:space="preserve"> </w:t>
      </w:r>
      <w:r>
        <w:rPr>
          <w:sz w:val="16"/>
        </w:rPr>
        <w:t>20.</w:t>
      </w:r>
    </w:p>
    <w:p w14:paraId="3DEFB05F" w14:textId="77777777" w:rsidR="00492688" w:rsidRDefault="00C9584B">
      <w:pPr>
        <w:tabs>
          <w:tab w:val="left" w:pos="829"/>
        </w:tabs>
        <w:spacing w:before="100"/>
        <w:ind w:left="119" w:right="116" w:firstLine="1"/>
        <w:jc w:val="both"/>
        <w:rPr>
          <w:sz w:val="16"/>
        </w:rPr>
      </w:pPr>
      <w:bookmarkStart w:id="30" w:name="_bookmark20"/>
      <w:bookmarkEnd w:id="30"/>
      <w:r>
        <w:rPr>
          <w:position w:val="6"/>
          <w:sz w:val="10"/>
        </w:rPr>
        <w:t>12</w:t>
      </w:r>
      <w:r>
        <w:rPr>
          <w:position w:val="6"/>
          <w:sz w:val="10"/>
        </w:rPr>
        <w:tab/>
      </w:r>
      <w:r>
        <w:rPr>
          <w:sz w:val="16"/>
        </w:rPr>
        <w:t>La prueba documental puede ser presentada, en general y de conformidad con el artículo 57.2 del Reglamento,</w:t>
      </w:r>
      <w:r>
        <w:rPr>
          <w:sz w:val="16"/>
        </w:rPr>
        <w:t xml:space="preserve"> junto con los escritos de sometimiento del caso, de solicitudes y argumentos o de contestación, según corresponda. No es admisible la prueba remitida fuera de esas oportunidades procesales, salvo las excepciones establecidas en el referido artículo 57.2 d</w:t>
      </w:r>
      <w:r>
        <w:rPr>
          <w:sz w:val="16"/>
        </w:rPr>
        <w:t>el Reglamento (fuerza mayor o impedimento grave) o si se trata de un hecho superviniente, es decir, ocurrido con posterioridad a los citados momentos procesales.</w:t>
      </w:r>
    </w:p>
    <w:p w14:paraId="2F4DF891" w14:textId="77777777" w:rsidR="00492688" w:rsidRDefault="00C9584B">
      <w:pPr>
        <w:tabs>
          <w:tab w:val="left" w:pos="829"/>
        </w:tabs>
        <w:spacing w:before="101"/>
        <w:ind w:left="121" w:right="119"/>
        <w:jc w:val="both"/>
        <w:rPr>
          <w:sz w:val="16"/>
        </w:rPr>
      </w:pPr>
      <w:bookmarkStart w:id="31" w:name="_bookmark21"/>
      <w:bookmarkEnd w:id="31"/>
      <w:r>
        <w:rPr>
          <w:position w:val="6"/>
          <w:sz w:val="10"/>
        </w:rPr>
        <w:t>13</w:t>
      </w:r>
      <w:r>
        <w:rPr>
          <w:position w:val="6"/>
          <w:sz w:val="10"/>
        </w:rPr>
        <w:tab/>
      </w:r>
      <w:r>
        <w:rPr>
          <w:i/>
          <w:sz w:val="16"/>
        </w:rPr>
        <w:t xml:space="preserve">Cfr. </w:t>
      </w:r>
      <w:r>
        <w:rPr>
          <w:sz w:val="16"/>
        </w:rPr>
        <w:t xml:space="preserve">Artículo 57 del Reglamento; también </w:t>
      </w:r>
      <w:r>
        <w:rPr>
          <w:i/>
          <w:sz w:val="16"/>
        </w:rPr>
        <w:t xml:space="preserve">Caso Velásquez Rodríguez Vs. Honduras. Fondo. </w:t>
      </w:r>
      <w:r>
        <w:rPr>
          <w:sz w:val="16"/>
        </w:rPr>
        <w:t>Sent</w:t>
      </w:r>
      <w:r>
        <w:rPr>
          <w:sz w:val="16"/>
        </w:rPr>
        <w:t xml:space="preserve">encia de 29 de julio de 1988. Serie C No. 4, párr. 140, y </w:t>
      </w:r>
      <w:r>
        <w:rPr>
          <w:i/>
          <w:sz w:val="16"/>
        </w:rPr>
        <w:t>Caso Casa Nina Vs. Perú, supra</w:t>
      </w:r>
      <w:r>
        <w:rPr>
          <w:sz w:val="16"/>
        </w:rPr>
        <w:t>, párr.</w:t>
      </w:r>
      <w:r>
        <w:rPr>
          <w:spacing w:val="-23"/>
          <w:sz w:val="16"/>
        </w:rPr>
        <w:t xml:space="preserve"> </w:t>
      </w:r>
      <w:r>
        <w:rPr>
          <w:sz w:val="16"/>
        </w:rPr>
        <w:t>35.</w:t>
      </w:r>
    </w:p>
    <w:p w14:paraId="5D459429" w14:textId="77777777" w:rsidR="00492688" w:rsidRDefault="00C9584B">
      <w:pPr>
        <w:tabs>
          <w:tab w:val="left" w:pos="829"/>
        </w:tabs>
        <w:spacing w:before="98"/>
        <w:ind w:left="121" w:right="116"/>
        <w:jc w:val="both"/>
        <w:rPr>
          <w:sz w:val="16"/>
        </w:rPr>
      </w:pPr>
      <w:bookmarkStart w:id="32" w:name="_bookmark22"/>
      <w:bookmarkEnd w:id="32"/>
      <w:r>
        <w:rPr>
          <w:position w:val="6"/>
          <w:sz w:val="10"/>
        </w:rPr>
        <w:t>14</w:t>
      </w:r>
      <w:r>
        <w:rPr>
          <w:position w:val="6"/>
          <w:sz w:val="10"/>
        </w:rPr>
        <w:tab/>
      </w:r>
      <w:r>
        <w:rPr>
          <w:sz w:val="16"/>
        </w:rPr>
        <w:t>El Estado adjuntó dos documentos, el primero corresponde a una nota de prensa titulada “IDL: La lucha anticorrupción y la reorganización interna son part</w:t>
      </w:r>
      <w:r>
        <w:rPr>
          <w:sz w:val="16"/>
        </w:rPr>
        <w:t>e de las tareas pendientes del Poder Judicial”. El segundo, es un artículo titulado “CNM: Ratificando el poder”, publicado en la revista</w:t>
      </w:r>
      <w:r>
        <w:rPr>
          <w:spacing w:val="-14"/>
          <w:sz w:val="16"/>
        </w:rPr>
        <w:t xml:space="preserve"> </w:t>
      </w:r>
      <w:r>
        <w:rPr>
          <w:sz w:val="16"/>
        </w:rPr>
        <w:t>Ideele.</w:t>
      </w:r>
    </w:p>
    <w:p w14:paraId="5151DFA8" w14:textId="77777777" w:rsidR="00492688" w:rsidRDefault="00C9584B">
      <w:pPr>
        <w:tabs>
          <w:tab w:val="left" w:pos="829"/>
        </w:tabs>
        <w:spacing w:before="101"/>
        <w:ind w:left="121" w:right="119"/>
        <w:jc w:val="both"/>
        <w:rPr>
          <w:sz w:val="16"/>
        </w:rPr>
      </w:pPr>
      <w:bookmarkStart w:id="33" w:name="_bookmark23"/>
      <w:bookmarkEnd w:id="33"/>
      <w:r>
        <w:rPr>
          <w:position w:val="6"/>
          <w:sz w:val="10"/>
        </w:rPr>
        <w:t>15</w:t>
      </w:r>
      <w:r>
        <w:rPr>
          <w:position w:val="6"/>
          <w:sz w:val="10"/>
        </w:rPr>
        <w:tab/>
      </w:r>
      <w:r>
        <w:rPr>
          <w:sz w:val="16"/>
        </w:rPr>
        <w:t>Los documentos adjuntados por las representantes corresponden a una constancia de hospitalización y a un inf</w:t>
      </w:r>
      <w:r>
        <w:rPr>
          <w:sz w:val="16"/>
        </w:rPr>
        <w:t>orme de alta del señor Cordero Bernal de junio de</w:t>
      </w:r>
      <w:r>
        <w:rPr>
          <w:spacing w:val="-10"/>
          <w:sz w:val="16"/>
        </w:rPr>
        <w:t xml:space="preserve"> </w:t>
      </w:r>
      <w:r>
        <w:rPr>
          <w:sz w:val="16"/>
        </w:rPr>
        <w:t>2019.</w:t>
      </w:r>
    </w:p>
    <w:p w14:paraId="4CFE060C" w14:textId="77777777" w:rsidR="00492688" w:rsidRDefault="00492688">
      <w:pPr>
        <w:jc w:val="both"/>
        <w:rPr>
          <w:sz w:val="16"/>
        </w:rPr>
        <w:sectPr w:rsidR="00492688">
          <w:pgSz w:w="12240" w:h="15840"/>
          <w:pgMar w:top="1340" w:right="1580" w:bottom="280" w:left="1580" w:header="720" w:footer="720" w:gutter="0"/>
          <w:cols w:space="720"/>
        </w:sectPr>
      </w:pPr>
    </w:p>
    <w:p w14:paraId="483AE847" w14:textId="77777777" w:rsidR="00492688" w:rsidRDefault="00C9584B">
      <w:pPr>
        <w:pStyle w:val="Textoindependiente"/>
        <w:spacing w:before="79"/>
        <w:ind w:left="121" w:right="117" w:hanging="1"/>
        <w:jc w:val="both"/>
      </w:pPr>
      <w:r>
        <w:lastRenderedPageBreak/>
        <w:t xml:space="preserve">finales escritos indicó que dichos documentos “deben ser rechazados, toda vez que no fueron ofrecidos como prueba en la etapa procesal oportuna”. La Corte encuentra que el primero de esos documentos, correspondiente a una constancia de hospitalización, ya </w:t>
      </w:r>
      <w:r>
        <w:t>había sido remitido por la presunta víctima como anexo al escrito de solicitudes y argumentos, en cuanto al segundo documento, esto es, un informe de alta, la Corte encuentra que le asiste razón al Estado, por lo que no será considerado al resolver el pres</w:t>
      </w:r>
      <w:r>
        <w:t>ente asunto.</w:t>
      </w:r>
    </w:p>
    <w:p w14:paraId="16EDD78B" w14:textId="77777777" w:rsidR="00492688" w:rsidRDefault="00492688">
      <w:pPr>
        <w:pStyle w:val="Textoindependiente"/>
        <w:spacing w:before="11"/>
        <w:rPr>
          <w:sz w:val="19"/>
        </w:rPr>
      </w:pPr>
    </w:p>
    <w:p w14:paraId="3D72AA9D" w14:textId="77777777" w:rsidR="00492688" w:rsidRDefault="00C9584B">
      <w:pPr>
        <w:pStyle w:val="Prrafodelista"/>
        <w:numPr>
          <w:ilvl w:val="0"/>
          <w:numId w:val="12"/>
        </w:numPr>
        <w:tabs>
          <w:tab w:val="left" w:pos="689"/>
        </w:tabs>
        <w:ind w:right="117" w:hanging="1"/>
        <w:jc w:val="both"/>
        <w:rPr>
          <w:sz w:val="20"/>
        </w:rPr>
      </w:pPr>
      <w:r>
        <w:rPr>
          <w:sz w:val="20"/>
        </w:rPr>
        <w:t>Mediante Resolución de la Presidenta de 15 de septiembre de 2020, se solicitó al Estado, como prueba para mejor resolver, que remitiera copia de la normatividad a la que hace referencia este caso. El Estado, mediante escrito radicado en la Se</w:t>
      </w:r>
      <w:r>
        <w:rPr>
          <w:sz w:val="20"/>
        </w:rPr>
        <w:t>cretaría de la Corte el 29 de septiembre siguiente, remitió los documentos solicitados. El 12 y el 28 de enero de 2021, se solicitó al Estado la presentación de documentación adicional para mejor resolver. El Estado presentó la información solicitada el 25</w:t>
      </w:r>
      <w:r>
        <w:rPr>
          <w:sz w:val="20"/>
        </w:rPr>
        <w:t xml:space="preserve"> de enero y el 3 de febrero de 2021(</w:t>
      </w:r>
      <w:r>
        <w:rPr>
          <w:i/>
          <w:sz w:val="20"/>
        </w:rPr>
        <w:t xml:space="preserve">supra </w:t>
      </w:r>
      <w:r>
        <w:rPr>
          <w:sz w:val="20"/>
        </w:rPr>
        <w:t>párrs. 9 y 11). Estos documentos se incorporan al acerbo probatorio.</w:t>
      </w:r>
    </w:p>
    <w:p w14:paraId="73082EEF" w14:textId="77777777" w:rsidR="00492688" w:rsidRDefault="00492688">
      <w:pPr>
        <w:pStyle w:val="Textoindependiente"/>
        <w:spacing w:before="2"/>
      </w:pPr>
    </w:p>
    <w:p w14:paraId="1BFD883A" w14:textId="77777777" w:rsidR="00492688" w:rsidRDefault="00C9584B">
      <w:pPr>
        <w:pStyle w:val="Ttulo1"/>
        <w:numPr>
          <w:ilvl w:val="0"/>
          <w:numId w:val="10"/>
        </w:numPr>
        <w:tabs>
          <w:tab w:val="left" w:pos="831"/>
        </w:tabs>
        <w:ind w:left="830" w:hanging="349"/>
      </w:pPr>
      <w:bookmarkStart w:id="34" w:name="B._Admisibilidad_de_las_declaraciones_of"/>
      <w:bookmarkStart w:id="35" w:name="_bookmark24"/>
      <w:bookmarkEnd w:id="34"/>
      <w:bookmarkEnd w:id="35"/>
      <w:r>
        <w:t>Admisibilidad de las declaraciones</w:t>
      </w:r>
      <w:r>
        <w:rPr>
          <w:spacing w:val="-6"/>
        </w:rPr>
        <w:t xml:space="preserve"> </w:t>
      </w:r>
      <w:r>
        <w:t>ofrecidas</w:t>
      </w:r>
    </w:p>
    <w:p w14:paraId="685FE738" w14:textId="77777777" w:rsidR="00492688" w:rsidRDefault="00492688">
      <w:pPr>
        <w:pStyle w:val="Textoindependiente"/>
        <w:spacing w:before="11"/>
        <w:rPr>
          <w:b/>
          <w:sz w:val="19"/>
        </w:rPr>
      </w:pPr>
    </w:p>
    <w:p w14:paraId="42363A7E" w14:textId="77777777" w:rsidR="00492688" w:rsidRDefault="00C9584B">
      <w:pPr>
        <w:pStyle w:val="Prrafodelista"/>
        <w:numPr>
          <w:ilvl w:val="0"/>
          <w:numId w:val="12"/>
        </w:numPr>
        <w:tabs>
          <w:tab w:val="left" w:pos="689"/>
        </w:tabs>
        <w:ind w:right="121" w:firstLine="0"/>
        <w:jc w:val="both"/>
        <w:rPr>
          <w:sz w:val="20"/>
        </w:rPr>
      </w:pPr>
      <w:r>
        <w:rPr>
          <w:sz w:val="20"/>
        </w:rPr>
        <w:t>La Corte estima pertinente admitir los peritajes rendidos ante fedatario público</w:t>
      </w:r>
      <w:hyperlink w:anchor="_bookmark26" w:history="1">
        <w:r>
          <w:rPr>
            <w:position w:val="7"/>
            <w:sz w:val="13"/>
          </w:rPr>
          <w:t>16</w:t>
        </w:r>
      </w:hyperlink>
      <w:r>
        <w:rPr>
          <w:sz w:val="20"/>
        </w:rPr>
        <w:t>, así como la declaración de la presunta víctima rendida mediante videoconferencia, en cuanto se ajustan al objeto definido por la Resolución que ordenó recibirlos y al objeto del presente</w:t>
      </w:r>
      <w:r>
        <w:rPr>
          <w:spacing w:val="-2"/>
          <w:sz w:val="20"/>
        </w:rPr>
        <w:t xml:space="preserve"> </w:t>
      </w:r>
      <w:r>
        <w:rPr>
          <w:sz w:val="20"/>
        </w:rPr>
        <w:t>caso.</w:t>
      </w:r>
    </w:p>
    <w:p w14:paraId="356EC3DF" w14:textId="77777777" w:rsidR="00492688" w:rsidRDefault="00492688">
      <w:pPr>
        <w:pStyle w:val="Textoindependiente"/>
        <w:spacing w:before="10"/>
        <w:rPr>
          <w:sz w:val="19"/>
        </w:rPr>
      </w:pPr>
    </w:p>
    <w:p w14:paraId="755D2284" w14:textId="77777777" w:rsidR="00492688" w:rsidRDefault="00C9584B">
      <w:pPr>
        <w:pStyle w:val="Prrafodelista"/>
        <w:numPr>
          <w:ilvl w:val="0"/>
          <w:numId w:val="12"/>
        </w:numPr>
        <w:tabs>
          <w:tab w:val="left" w:pos="689"/>
        </w:tabs>
        <w:spacing w:before="1"/>
        <w:ind w:right="118" w:firstLine="0"/>
        <w:jc w:val="both"/>
        <w:rPr>
          <w:sz w:val="20"/>
        </w:rPr>
      </w:pPr>
      <w:r>
        <w:rPr>
          <w:sz w:val="20"/>
        </w:rPr>
        <w:t xml:space="preserve">El Estado, en sus alegatos finales escritos, </w:t>
      </w:r>
      <w:r>
        <w:rPr>
          <w:sz w:val="20"/>
        </w:rPr>
        <w:t>manifestó algunas consideraciones relacionadas con la recepción de la declaración de la presunta víctima</w:t>
      </w:r>
      <w:hyperlink w:anchor="_bookmark27" w:history="1">
        <w:r>
          <w:rPr>
            <w:position w:val="7"/>
            <w:sz w:val="13"/>
          </w:rPr>
          <w:t>17</w:t>
        </w:r>
      </w:hyperlink>
      <w:r>
        <w:rPr>
          <w:sz w:val="20"/>
        </w:rPr>
        <w:t>. La Corte encuentra que los argumentos del Estado no están orientados a cuestionar la admisibilidad de la declaración,</w:t>
      </w:r>
      <w:r>
        <w:rPr>
          <w:sz w:val="20"/>
        </w:rPr>
        <w:t xml:space="preserve"> sino a manifestar observaciones sobre el desarrollo de la diligencia y que, en todo caso, el Estado no objetó la práctica de la prueba en la oportunidad procesal oportuna. Por esa razón, la declaración de la presunta víctima será valorada en el conjunto d</w:t>
      </w:r>
      <w:r>
        <w:rPr>
          <w:sz w:val="20"/>
        </w:rPr>
        <w:t>el acervo</w:t>
      </w:r>
      <w:r>
        <w:rPr>
          <w:spacing w:val="-3"/>
          <w:sz w:val="20"/>
        </w:rPr>
        <w:t xml:space="preserve"> </w:t>
      </w:r>
      <w:r>
        <w:rPr>
          <w:sz w:val="20"/>
        </w:rPr>
        <w:t>probatorio.</w:t>
      </w:r>
    </w:p>
    <w:p w14:paraId="1102205C" w14:textId="77777777" w:rsidR="00492688" w:rsidRDefault="00492688">
      <w:pPr>
        <w:pStyle w:val="Textoindependiente"/>
        <w:spacing w:before="1"/>
      </w:pPr>
    </w:p>
    <w:p w14:paraId="19A02D62" w14:textId="77777777" w:rsidR="00492688" w:rsidRDefault="00C9584B">
      <w:pPr>
        <w:pStyle w:val="Ttulo1"/>
        <w:spacing w:before="1"/>
        <w:ind w:left="4073" w:right="4075" w:hanging="2"/>
      </w:pPr>
      <w:bookmarkStart w:id="36" w:name="VI_HECHOS"/>
      <w:bookmarkStart w:id="37" w:name="_bookmark25"/>
      <w:bookmarkEnd w:id="36"/>
      <w:bookmarkEnd w:id="37"/>
      <w:r>
        <w:t>VI  HECHOS</w:t>
      </w:r>
    </w:p>
    <w:p w14:paraId="30F9D8C7" w14:textId="77777777" w:rsidR="00492688" w:rsidRDefault="00492688">
      <w:pPr>
        <w:pStyle w:val="Textoindependiente"/>
        <w:rPr>
          <w:b/>
        </w:rPr>
      </w:pPr>
    </w:p>
    <w:p w14:paraId="7BFE0B67" w14:textId="77777777" w:rsidR="00492688" w:rsidRDefault="00C9584B">
      <w:pPr>
        <w:pStyle w:val="Prrafodelista"/>
        <w:numPr>
          <w:ilvl w:val="0"/>
          <w:numId w:val="12"/>
        </w:numPr>
        <w:tabs>
          <w:tab w:val="left" w:pos="688"/>
        </w:tabs>
        <w:ind w:right="118" w:firstLine="0"/>
        <w:jc w:val="both"/>
        <w:rPr>
          <w:sz w:val="20"/>
        </w:rPr>
      </w:pPr>
      <w:r>
        <w:rPr>
          <w:sz w:val="20"/>
        </w:rPr>
        <w:t>De acuerdo con la Comisión Interamericana, el objeto de este caso es la alegada violación de los derechos del señor Cordero Bernal, presuntamente ocurrida en el marco de un proceso disciplinario que concluyó con su destitución como Juez Cuarto Especializad</w:t>
      </w:r>
      <w:r>
        <w:rPr>
          <w:sz w:val="20"/>
        </w:rPr>
        <w:t>o en lo Penal de la ciudad de Huánuco, Perú, en 1996. El proceso de destitución</w:t>
      </w:r>
      <w:r>
        <w:rPr>
          <w:spacing w:val="16"/>
          <w:sz w:val="20"/>
        </w:rPr>
        <w:t xml:space="preserve"> </w:t>
      </w:r>
      <w:r>
        <w:rPr>
          <w:sz w:val="20"/>
        </w:rPr>
        <w:t>fue</w:t>
      </w:r>
      <w:r>
        <w:rPr>
          <w:spacing w:val="15"/>
          <w:sz w:val="20"/>
        </w:rPr>
        <w:t xml:space="preserve"> </w:t>
      </w:r>
      <w:r>
        <w:rPr>
          <w:sz w:val="20"/>
        </w:rPr>
        <w:t>originado</w:t>
      </w:r>
      <w:r>
        <w:rPr>
          <w:spacing w:val="13"/>
          <w:sz w:val="20"/>
        </w:rPr>
        <w:t xml:space="preserve"> </w:t>
      </w:r>
      <w:r>
        <w:rPr>
          <w:sz w:val="20"/>
        </w:rPr>
        <w:t>por</w:t>
      </w:r>
      <w:r>
        <w:rPr>
          <w:spacing w:val="15"/>
          <w:sz w:val="20"/>
        </w:rPr>
        <w:t xml:space="preserve"> </w:t>
      </w:r>
      <w:r>
        <w:rPr>
          <w:sz w:val="20"/>
        </w:rPr>
        <w:t>una</w:t>
      </w:r>
      <w:r>
        <w:rPr>
          <w:spacing w:val="13"/>
          <w:sz w:val="20"/>
        </w:rPr>
        <w:t xml:space="preserve"> </w:t>
      </w:r>
      <w:r>
        <w:rPr>
          <w:sz w:val="20"/>
        </w:rPr>
        <w:t>decisión</w:t>
      </w:r>
      <w:r>
        <w:rPr>
          <w:spacing w:val="17"/>
          <w:sz w:val="20"/>
        </w:rPr>
        <w:t xml:space="preserve"> </w:t>
      </w:r>
      <w:r>
        <w:rPr>
          <w:sz w:val="20"/>
        </w:rPr>
        <w:t>en</w:t>
      </w:r>
      <w:r>
        <w:rPr>
          <w:spacing w:val="15"/>
          <w:sz w:val="20"/>
        </w:rPr>
        <w:t xml:space="preserve"> </w:t>
      </w:r>
      <w:r>
        <w:rPr>
          <w:sz w:val="20"/>
        </w:rPr>
        <w:t>la</w:t>
      </w:r>
      <w:r>
        <w:rPr>
          <w:spacing w:val="14"/>
          <w:sz w:val="20"/>
        </w:rPr>
        <w:t xml:space="preserve"> </w:t>
      </w:r>
      <w:r>
        <w:rPr>
          <w:sz w:val="20"/>
        </w:rPr>
        <w:t>que</w:t>
      </w:r>
      <w:r>
        <w:rPr>
          <w:spacing w:val="15"/>
          <w:sz w:val="20"/>
        </w:rPr>
        <w:t xml:space="preserve"> </w:t>
      </w:r>
      <w:r>
        <w:rPr>
          <w:sz w:val="20"/>
        </w:rPr>
        <w:t>el</w:t>
      </w:r>
      <w:r>
        <w:rPr>
          <w:spacing w:val="16"/>
          <w:sz w:val="20"/>
        </w:rPr>
        <w:t xml:space="preserve"> </w:t>
      </w:r>
      <w:r>
        <w:rPr>
          <w:sz w:val="20"/>
        </w:rPr>
        <w:t>señor</w:t>
      </w:r>
      <w:r>
        <w:rPr>
          <w:spacing w:val="13"/>
          <w:sz w:val="20"/>
        </w:rPr>
        <w:t xml:space="preserve"> </w:t>
      </w:r>
      <w:r>
        <w:rPr>
          <w:sz w:val="20"/>
        </w:rPr>
        <w:t>Cordero</w:t>
      </w:r>
      <w:r>
        <w:rPr>
          <w:spacing w:val="15"/>
          <w:sz w:val="20"/>
        </w:rPr>
        <w:t xml:space="preserve"> </w:t>
      </w:r>
      <w:r>
        <w:rPr>
          <w:sz w:val="20"/>
        </w:rPr>
        <w:t>Bernal</w:t>
      </w:r>
      <w:r>
        <w:rPr>
          <w:spacing w:val="17"/>
          <w:sz w:val="20"/>
        </w:rPr>
        <w:t xml:space="preserve"> </w:t>
      </w:r>
      <w:r>
        <w:rPr>
          <w:sz w:val="20"/>
        </w:rPr>
        <w:t>concedió</w:t>
      </w:r>
    </w:p>
    <w:p w14:paraId="5C0868B3" w14:textId="40855C0F" w:rsidR="00492688" w:rsidRDefault="00C9584B">
      <w:pPr>
        <w:pStyle w:val="Textoindependiente"/>
        <w:spacing w:before="9"/>
        <w:rPr>
          <w:sz w:val="16"/>
        </w:rPr>
      </w:pPr>
      <w:r>
        <w:rPr>
          <w:noProof/>
        </w:rPr>
        <mc:AlternateContent>
          <mc:Choice Requires="wps">
            <w:drawing>
              <wp:anchor distT="0" distB="0" distL="0" distR="0" simplePos="0" relativeHeight="251662336" behindDoc="1" locked="0" layoutInCell="1" allowOverlap="1" wp14:anchorId="33D6678B" wp14:editId="2D12AD0B">
                <wp:simplePos x="0" y="0"/>
                <wp:positionH relativeFrom="page">
                  <wp:posOffset>1080770</wp:posOffset>
                </wp:positionH>
                <wp:positionV relativeFrom="paragraph">
                  <wp:posOffset>158115</wp:posOffset>
                </wp:positionV>
                <wp:extent cx="1828800" cy="1270"/>
                <wp:effectExtent l="0" t="0" r="0" b="0"/>
                <wp:wrapTopAndBottom/>
                <wp:docPr id="37"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770BB" id="Freeform 38" o:spid="_x0000_s1026" style="position:absolute;margin-left:85.1pt;margin-top:12.45pt;width:2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" path="m,l2880,e" filled="f" strokeweight=".6pt">
                <v:path arrowok="t" o:connecttype="custom" o:connectlocs="0,0;1828800,0" o:connectangles="0,0"/>
                <w10:wrap type="topAndBottom" anchorx="page"/>
              </v:shape>
            </w:pict>
          </mc:Fallback>
        </mc:AlternateContent>
      </w:r>
    </w:p>
    <w:p w14:paraId="49A585A6" w14:textId="77777777" w:rsidR="00492688" w:rsidRDefault="00492688">
      <w:pPr>
        <w:pStyle w:val="Textoindependiente"/>
        <w:spacing w:before="10"/>
        <w:rPr>
          <w:sz w:val="5"/>
        </w:rPr>
      </w:pPr>
    </w:p>
    <w:p w14:paraId="6E051D59" w14:textId="77777777" w:rsidR="00492688" w:rsidRDefault="00C9584B">
      <w:pPr>
        <w:tabs>
          <w:tab w:val="left" w:pos="829"/>
        </w:tabs>
        <w:spacing w:before="101"/>
        <w:ind w:left="120" w:right="115"/>
        <w:jc w:val="both"/>
        <w:rPr>
          <w:sz w:val="16"/>
        </w:rPr>
      </w:pPr>
      <w:bookmarkStart w:id="38" w:name="_bookmark26"/>
      <w:bookmarkEnd w:id="38"/>
      <w:r>
        <w:rPr>
          <w:position w:val="6"/>
          <w:sz w:val="10"/>
        </w:rPr>
        <w:t>16</w:t>
      </w:r>
      <w:r>
        <w:rPr>
          <w:position w:val="6"/>
          <w:sz w:val="10"/>
        </w:rPr>
        <w:tab/>
      </w:r>
      <w:r>
        <w:rPr>
          <w:sz w:val="16"/>
        </w:rPr>
        <w:t xml:space="preserve">La Corte recibió las declaraciones rendidas ante fedatario público (affidávit) de tres testigos </w:t>
      </w:r>
      <w:r>
        <w:rPr>
          <w:sz w:val="16"/>
        </w:rPr>
        <w:t xml:space="preserve">propuestos por el Estado: Inés Felipa Villa Bonilla, Marielka Nepo Linares y Víctor Alberto Corante Morales; y de un perito propuesto por el Estado: Ramón Huapaya Tapia (expediente de prueba, folios 1766 a 1876). </w:t>
      </w:r>
      <w:r>
        <w:rPr>
          <w:spacing w:val="-4"/>
          <w:sz w:val="16"/>
        </w:rPr>
        <w:t xml:space="preserve">En </w:t>
      </w:r>
      <w:r>
        <w:rPr>
          <w:sz w:val="16"/>
        </w:rPr>
        <w:t>el escrito de sometimiento del caso la C</w:t>
      </w:r>
      <w:r>
        <w:rPr>
          <w:sz w:val="16"/>
        </w:rPr>
        <w:t>omisión Interamericana ofreció una declaración pericial, de la que desistió</w:t>
      </w:r>
      <w:r>
        <w:rPr>
          <w:spacing w:val="-2"/>
          <w:sz w:val="16"/>
        </w:rPr>
        <w:t xml:space="preserve"> </w:t>
      </w:r>
      <w:r>
        <w:rPr>
          <w:sz w:val="16"/>
        </w:rPr>
        <w:t>posteriormente.</w:t>
      </w:r>
    </w:p>
    <w:p w14:paraId="5543DCB0" w14:textId="77777777" w:rsidR="00492688" w:rsidRDefault="00C9584B">
      <w:pPr>
        <w:tabs>
          <w:tab w:val="left" w:pos="829"/>
        </w:tabs>
        <w:spacing w:before="101"/>
        <w:ind w:left="120" w:right="113"/>
        <w:jc w:val="both"/>
        <w:rPr>
          <w:sz w:val="16"/>
        </w:rPr>
      </w:pPr>
      <w:bookmarkStart w:id="39" w:name="_bookmark27"/>
      <w:bookmarkEnd w:id="39"/>
      <w:r>
        <w:rPr>
          <w:position w:val="6"/>
          <w:sz w:val="10"/>
        </w:rPr>
        <w:t>17</w:t>
      </w:r>
      <w:r>
        <w:rPr>
          <w:position w:val="6"/>
          <w:sz w:val="10"/>
        </w:rPr>
        <w:tab/>
      </w:r>
      <w:r>
        <w:rPr>
          <w:sz w:val="16"/>
        </w:rPr>
        <w:t>El Estado indicó su “desacuerdo con la exposición que (a propuesta de las RPV [representantes de la presunta víctima]) se realizó del señor Cordero Bernal durant</w:t>
      </w:r>
      <w:r>
        <w:rPr>
          <w:sz w:val="16"/>
        </w:rPr>
        <w:t xml:space="preserve">e la declaración por videoconferencia y </w:t>
      </w:r>
      <w:r>
        <w:rPr>
          <w:spacing w:val="-3"/>
          <w:sz w:val="16"/>
        </w:rPr>
        <w:t xml:space="preserve">que  </w:t>
      </w:r>
      <w:r>
        <w:rPr>
          <w:sz w:val="16"/>
        </w:rPr>
        <w:t xml:space="preserve">desencadenaron en él momentos de tensión emocional al responder las preguntas que sus RPV y el </w:t>
      </w:r>
      <w:r>
        <w:rPr>
          <w:spacing w:val="-3"/>
          <w:sz w:val="16"/>
        </w:rPr>
        <w:t xml:space="preserve">Estado </w:t>
      </w:r>
      <w:r>
        <w:rPr>
          <w:sz w:val="16"/>
        </w:rPr>
        <w:t xml:space="preserve">realizaron”. Además, manifestó que la diligencia generó “una exposición innecesaria éticamente a la presunta </w:t>
      </w:r>
      <w:r>
        <w:rPr>
          <w:sz w:val="16"/>
        </w:rPr>
        <w:t>víctima” en la que las respuestas a las preguntas del Estado no se entienden a cabalidad, por lo que la diligencia no cumplió con el fin para el que fue propuesta. Conforme a lo anterior, solicitó a la Corte que considere “constatar el estado de salud de l</w:t>
      </w:r>
      <w:r>
        <w:rPr>
          <w:sz w:val="16"/>
        </w:rPr>
        <w:t>os declarantes, sobre todo si existen indicios de que su salud se encuentra deteriorada; asimismo debe constatar si efectivamente su declaración contribuirá a brindar mayor información sobre los hechos del</w:t>
      </w:r>
      <w:r>
        <w:rPr>
          <w:spacing w:val="-2"/>
          <w:sz w:val="16"/>
        </w:rPr>
        <w:t xml:space="preserve"> </w:t>
      </w:r>
      <w:r>
        <w:rPr>
          <w:sz w:val="16"/>
        </w:rPr>
        <w:t>caso”.</w:t>
      </w:r>
    </w:p>
    <w:p w14:paraId="2776216F" w14:textId="77777777" w:rsidR="00492688" w:rsidRDefault="00492688">
      <w:pPr>
        <w:jc w:val="both"/>
        <w:rPr>
          <w:sz w:val="16"/>
        </w:rPr>
        <w:sectPr w:rsidR="00492688">
          <w:pgSz w:w="12240" w:h="15840"/>
          <w:pgMar w:top="1340" w:right="1580" w:bottom="280" w:left="1580" w:header="720" w:footer="720" w:gutter="0"/>
          <w:cols w:space="720"/>
        </w:sectPr>
      </w:pPr>
    </w:p>
    <w:p w14:paraId="79ED5C76" w14:textId="77777777" w:rsidR="00492688" w:rsidRDefault="00C9584B">
      <w:pPr>
        <w:pStyle w:val="Textoindependiente"/>
        <w:spacing w:before="79"/>
        <w:ind w:left="121" w:right="116"/>
        <w:jc w:val="both"/>
      </w:pPr>
      <w:r>
        <w:lastRenderedPageBreak/>
        <w:t>la libertad incondicional a dos p</w:t>
      </w:r>
      <w:r>
        <w:t>rocesados. Teniendo en cuenta el marco fáctico establecido en el Informe de Fondo, los alegatos presentados por las partes y por la Comisión y el acervo probatorio, la Corte expondrá los hechos probados de la siguiente forma: primero, hará referencia al (A</w:t>
      </w:r>
      <w:r>
        <w:t>) marco normativo aplicable al procedimiento disciplinario sancionatorio en contra de jueces y juezas en Perú, vigente para la fecha de los hechos; luego, se referirá al (B) nombramiento de Héctor Fidel Cordero Bernal como Juez Cuarto Especializado en lo P</w:t>
      </w:r>
      <w:r>
        <w:t>enal de la ciudad de Huánuco y a su (C) decisión de conceder la libertad incondicional a dos procesados. Posteriormente, presentará (D) el proceso disciplinario; (E) el proceso de amparo; (F) el proceso penal; y (G) el recurso de nulidad seguidos en este</w:t>
      </w:r>
      <w:r>
        <w:rPr>
          <w:spacing w:val="-3"/>
        </w:rPr>
        <w:t xml:space="preserve"> </w:t>
      </w:r>
      <w:r>
        <w:t>a</w:t>
      </w:r>
      <w:r>
        <w:t>sunto.</w:t>
      </w:r>
    </w:p>
    <w:p w14:paraId="22012377" w14:textId="77777777" w:rsidR="00492688" w:rsidRDefault="00492688">
      <w:pPr>
        <w:pStyle w:val="Textoindependiente"/>
      </w:pPr>
    </w:p>
    <w:p w14:paraId="20BA44CE" w14:textId="77777777" w:rsidR="00492688" w:rsidRDefault="00C9584B">
      <w:pPr>
        <w:pStyle w:val="Ttulo1"/>
        <w:numPr>
          <w:ilvl w:val="0"/>
          <w:numId w:val="9"/>
        </w:numPr>
        <w:tabs>
          <w:tab w:val="left" w:pos="830"/>
        </w:tabs>
        <w:ind w:right="119" w:hanging="360"/>
        <w:jc w:val="both"/>
      </w:pPr>
      <w:bookmarkStart w:id="40" w:name="A._Marco_normativo_aplicable_al_procedim"/>
      <w:bookmarkStart w:id="41" w:name="_bookmark28"/>
      <w:bookmarkEnd w:id="40"/>
      <w:bookmarkEnd w:id="41"/>
      <w:r>
        <w:t>Marco normativo aplicable al procedimiento disciplinario sancionatorio en contra de jueces y juezas en Perú, vigente para la fecha de los hechos</w:t>
      </w:r>
    </w:p>
    <w:p w14:paraId="24EE4BA2" w14:textId="77777777" w:rsidR="00492688" w:rsidRDefault="00492688">
      <w:pPr>
        <w:pStyle w:val="Textoindependiente"/>
        <w:spacing w:before="12"/>
        <w:rPr>
          <w:b/>
          <w:sz w:val="19"/>
        </w:rPr>
      </w:pPr>
    </w:p>
    <w:p w14:paraId="64D8538D" w14:textId="77777777" w:rsidR="00492688" w:rsidRDefault="00C9584B">
      <w:pPr>
        <w:pStyle w:val="Prrafodelista"/>
        <w:numPr>
          <w:ilvl w:val="0"/>
          <w:numId w:val="12"/>
        </w:numPr>
        <w:tabs>
          <w:tab w:val="left" w:pos="688"/>
        </w:tabs>
        <w:ind w:right="118" w:hanging="1"/>
        <w:jc w:val="both"/>
        <w:rPr>
          <w:sz w:val="20"/>
        </w:rPr>
      </w:pPr>
      <w:r>
        <w:rPr>
          <w:sz w:val="20"/>
        </w:rPr>
        <w:t>El procedimiento disciplinario aplicado al señor Cordero Bernal estaba regulado en la Ley Orgánica del</w:t>
      </w:r>
      <w:r>
        <w:rPr>
          <w:sz w:val="20"/>
        </w:rPr>
        <w:t xml:space="preserve"> Poder Judicial (Decreto Supremo 017 de 1993), la Constitución Política de Perú (diciembre, 1993) y en la Ley Orgánica del Consejo Nacional de la Magistratura (Ley 26397 de</w:t>
      </w:r>
      <w:r>
        <w:rPr>
          <w:spacing w:val="-6"/>
          <w:sz w:val="20"/>
        </w:rPr>
        <w:t xml:space="preserve"> </w:t>
      </w:r>
      <w:r>
        <w:rPr>
          <w:sz w:val="20"/>
        </w:rPr>
        <w:t>1994).</w:t>
      </w:r>
    </w:p>
    <w:p w14:paraId="5A0A2FEC" w14:textId="77777777" w:rsidR="00492688" w:rsidRDefault="00492688">
      <w:pPr>
        <w:pStyle w:val="Textoindependiente"/>
        <w:spacing w:before="11"/>
        <w:rPr>
          <w:sz w:val="19"/>
        </w:rPr>
      </w:pPr>
    </w:p>
    <w:p w14:paraId="53DD598F" w14:textId="77777777" w:rsidR="00492688" w:rsidRDefault="00C9584B">
      <w:pPr>
        <w:pStyle w:val="Prrafodelista"/>
        <w:numPr>
          <w:ilvl w:val="0"/>
          <w:numId w:val="12"/>
        </w:numPr>
        <w:tabs>
          <w:tab w:val="left" w:pos="689"/>
        </w:tabs>
        <w:ind w:right="115" w:firstLine="0"/>
        <w:jc w:val="both"/>
        <w:rPr>
          <w:sz w:val="20"/>
        </w:rPr>
      </w:pPr>
      <w:r>
        <w:rPr>
          <w:sz w:val="20"/>
        </w:rPr>
        <w:t>La Ley Orgánica del Poder Judicial, de 2 de junio de 1993, establecía que era competencia de la Oficina de Control de la Magistratura del Poder Judicial aplicar las sanciones disciplinarias a jueces y auxiliares judiciales, con excepción de las sanciones d</w:t>
      </w:r>
      <w:r>
        <w:rPr>
          <w:sz w:val="20"/>
        </w:rPr>
        <w:t>e separación y destitución, que debían proponerse al Consejo Ejecutivo del Poder Judicial</w:t>
      </w:r>
      <w:hyperlink w:anchor="_bookmark29" w:history="1">
        <w:r>
          <w:rPr>
            <w:position w:val="7"/>
            <w:sz w:val="13"/>
          </w:rPr>
          <w:t>18</w:t>
        </w:r>
      </w:hyperlink>
      <w:r>
        <w:rPr>
          <w:sz w:val="20"/>
        </w:rPr>
        <w:t>. En ese sentido, la ley identificaba como sanciones disciplinarias las de apercibimiento, multa, suspensión, separación y destitución</w:t>
      </w:r>
      <w:r>
        <w:rPr>
          <w:sz w:val="20"/>
        </w:rPr>
        <w:t>, e indicaba en qué casos procedían</w:t>
      </w:r>
      <w:hyperlink w:anchor="_bookmark30" w:history="1">
        <w:r>
          <w:rPr>
            <w:position w:val="7"/>
            <w:sz w:val="13"/>
          </w:rPr>
          <w:t>19</w:t>
        </w:r>
      </w:hyperlink>
      <w:r>
        <w:rPr>
          <w:sz w:val="20"/>
        </w:rPr>
        <w:t>. En relación con la suspensión y la destitución,</w:t>
      </w:r>
      <w:r>
        <w:rPr>
          <w:spacing w:val="-10"/>
          <w:sz w:val="20"/>
        </w:rPr>
        <w:t xml:space="preserve"> </w:t>
      </w:r>
      <w:r>
        <w:rPr>
          <w:sz w:val="20"/>
        </w:rPr>
        <w:t>señalaba:</w:t>
      </w:r>
    </w:p>
    <w:p w14:paraId="6DC1A135" w14:textId="77777777" w:rsidR="00492688" w:rsidRDefault="00492688">
      <w:pPr>
        <w:pStyle w:val="Textoindependiente"/>
        <w:spacing w:before="1"/>
      </w:pPr>
    </w:p>
    <w:p w14:paraId="38525B6D" w14:textId="77777777" w:rsidR="00492688" w:rsidRDefault="00C9584B">
      <w:pPr>
        <w:ind w:left="828" w:right="731"/>
        <w:jc w:val="both"/>
        <w:rPr>
          <w:sz w:val="16"/>
        </w:rPr>
      </w:pPr>
      <w:r>
        <w:rPr>
          <w:sz w:val="16"/>
        </w:rPr>
        <w:t>Artículo 210-SUSPENSIÓN-. La suspensión se aplica al Magistrado o funcionario contra quien se dicta orden de detención, o se fo</w:t>
      </w:r>
      <w:r>
        <w:rPr>
          <w:sz w:val="16"/>
        </w:rPr>
        <w:t>rmula acusación con pedido de pena privativa de la libertad, en proceso por delito doloso.</w:t>
      </w:r>
    </w:p>
    <w:p w14:paraId="4A8A3119" w14:textId="77777777" w:rsidR="00492688" w:rsidRDefault="00492688">
      <w:pPr>
        <w:pStyle w:val="Textoindependiente"/>
        <w:rPr>
          <w:sz w:val="16"/>
        </w:rPr>
      </w:pPr>
    </w:p>
    <w:p w14:paraId="328A7761" w14:textId="77777777" w:rsidR="00492688" w:rsidRDefault="00C9584B">
      <w:pPr>
        <w:ind w:left="829" w:right="730" w:hanging="1"/>
        <w:jc w:val="both"/>
        <w:rPr>
          <w:sz w:val="16"/>
        </w:rPr>
      </w:pPr>
      <w:r>
        <w:rPr>
          <w:sz w:val="16"/>
        </w:rPr>
        <w:t>Se aplica también al Magistrado que comete un hecho grave que sin ser delito compromete la dignidad del cargo o lo desmerezca en el concepto público o cuando se inc</w:t>
      </w:r>
      <w:r>
        <w:rPr>
          <w:sz w:val="16"/>
        </w:rPr>
        <w:t>urre en nueva infracción grave, después de haber sido sancionado tres veces con</w:t>
      </w:r>
      <w:r>
        <w:rPr>
          <w:spacing w:val="-14"/>
          <w:sz w:val="16"/>
        </w:rPr>
        <w:t xml:space="preserve"> </w:t>
      </w:r>
      <w:r>
        <w:rPr>
          <w:sz w:val="16"/>
        </w:rPr>
        <w:t>multa.</w:t>
      </w:r>
    </w:p>
    <w:p w14:paraId="0512A247" w14:textId="77777777" w:rsidR="00492688" w:rsidRDefault="00492688">
      <w:pPr>
        <w:pStyle w:val="Textoindependiente"/>
        <w:spacing w:before="11"/>
        <w:rPr>
          <w:sz w:val="15"/>
        </w:rPr>
      </w:pPr>
    </w:p>
    <w:p w14:paraId="36E82FB2" w14:textId="77777777" w:rsidR="00492688" w:rsidRDefault="00C9584B">
      <w:pPr>
        <w:spacing w:before="1"/>
        <w:ind w:left="829" w:right="732"/>
        <w:jc w:val="both"/>
        <w:rPr>
          <w:sz w:val="16"/>
        </w:rPr>
      </w:pPr>
      <w:r>
        <w:rPr>
          <w:sz w:val="16"/>
        </w:rPr>
        <w:t>La suspensión se acuerda por los organismos que esta ley establece. Es sin goce de haber y no puede ser mayor de dos meses.</w:t>
      </w:r>
    </w:p>
    <w:p w14:paraId="047A9875" w14:textId="77777777" w:rsidR="00492688" w:rsidRDefault="00492688">
      <w:pPr>
        <w:pStyle w:val="Textoindependiente"/>
        <w:spacing w:before="11"/>
        <w:rPr>
          <w:sz w:val="15"/>
        </w:rPr>
      </w:pPr>
    </w:p>
    <w:p w14:paraId="6E377D58" w14:textId="77777777" w:rsidR="00492688" w:rsidRDefault="00C9584B">
      <w:pPr>
        <w:spacing w:before="1"/>
        <w:ind w:left="829" w:right="727"/>
        <w:jc w:val="both"/>
        <w:rPr>
          <w:sz w:val="16"/>
        </w:rPr>
      </w:pPr>
      <w:r>
        <w:rPr>
          <w:sz w:val="16"/>
        </w:rPr>
        <w:t>Artículo 211-DESTITUCIÓN-. La destitución e</w:t>
      </w:r>
      <w:r>
        <w:rPr>
          <w:sz w:val="16"/>
        </w:rPr>
        <w:t>s impuesta por los organismos que dispone esta ley, requiriéndose el voto sancionatorio de más de la mitad del número total de integrantes del organismo</w:t>
      </w:r>
      <w:r>
        <w:rPr>
          <w:spacing w:val="-5"/>
          <w:sz w:val="16"/>
        </w:rPr>
        <w:t xml:space="preserve"> </w:t>
      </w:r>
      <w:r>
        <w:rPr>
          <w:sz w:val="16"/>
        </w:rPr>
        <w:t>respectivo.</w:t>
      </w:r>
    </w:p>
    <w:p w14:paraId="61D085B0" w14:textId="77777777" w:rsidR="00492688" w:rsidRDefault="00492688">
      <w:pPr>
        <w:pStyle w:val="Textoindependiente"/>
        <w:spacing w:before="11"/>
        <w:rPr>
          <w:sz w:val="15"/>
        </w:rPr>
      </w:pPr>
    </w:p>
    <w:p w14:paraId="17A5A05C" w14:textId="77777777" w:rsidR="00492688" w:rsidRDefault="00C9584B">
      <w:pPr>
        <w:spacing w:before="1"/>
        <w:ind w:left="831" w:right="725" w:hanging="1"/>
        <w:jc w:val="both"/>
        <w:rPr>
          <w:sz w:val="16"/>
        </w:rPr>
      </w:pPr>
      <w:r>
        <w:rPr>
          <w:sz w:val="16"/>
        </w:rPr>
        <w:t>Procede aplicarse la destitución al Magistrado que atente gravemente contra la responsabil</w:t>
      </w:r>
      <w:r>
        <w:rPr>
          <w:sz w:val="16"/>
        </w:rPr>
        <w:t xml:space="preserve">idad del Poder Judicial; al que ha cometido hecho grave que sin ser delito, compromete la dignidad del cargo y desmerezca en el concepto público, siempre que haya sido sancionado con suspensión anteriormente; al que se le ha condenado por delito contra la </w:t>
      </w:r>
      <w:r>
        <w:rPr>
          <w:sz w:val="16"/>
        </w:rPr>
        <w:t>libertad sexual; al que actúa legalmente impedido, sabiendo esa circunstancia; al que es sentenciado a pena privativa de libertad por delito doloso; al que reincide en hecho que dé lugar a la suspensión y en los demás casos que señala la</w:t>
      </w:r>
      <w:r>
        <w:rPr>
          <w:spacing w:val="-10"/>
          <w:sz w:val="16"/>
        </w:rPr>
        <w:t xml:space="preserve"> </w:t>
      </w:r>
      <w:r>
        <w:rPr>
          <w:sz w:val="16"/>
        </w:rPr>
        <w:t>ley.</w:t>
      </w:r>
    </w:p>
    <w:p w14:paraId="4805A0B8" w14:textId="77777777" w:rsidR="00492688" w:rsidRDefault="00492688">
      <w:pPr>
        <w:pStyle w:val="Textoindependiente"/>
        <w:spacing w:before="11"/>
        <w:rPr>
          <w:sz w:val="19"/>
        </w:rPr>
      </w:pPr>
    </w:p>
    <w:p w14:paraId="1AF38EA2" w14:textId="77777777" w:rsidR="00492688" w:rsidRDefault="00C9584B">
      <w:pPr>
        <w:pStyle w:val="Prrafodelista"/>
        <w:numPr>
          <w:ilvl w:val="0"/>
          <w:numId w:val="12"/>
        </w:numPr>
        <w:tabs>
          <w:tab w:val="left" w:pos="689"/>
        </w:tabs>
        <w:ind w:left="688" w:hanging="568"/>
        <w:jc w:val="both"/>
        <w:rPr>
          <w:sz w:val="20"/>
        </w:rPr>
      </w:pPr>
      <w:r>
        <w:rPr>
          <w:sz w:val="20"/>
        </w:rPr>
        <w:t>Además,</w:t>
      </w:r>
      <w:r>
        <w:rPr>
          <w:spacing w:val="32"/>
          <w:sz w:val="20"/>
        </w:rPr>
        <w:t xml:space="preserve"> </w:t>
      </w:r>
      <w:r>
        <w:rPr>
          <w:sz w:val="20"/>
        </w:rPr>
        <w:t>el</w:t>
      </w:r>
      <w:r>
        <w:rPr>
          <w:spacing w:val="28"/>
          <w:sz w:val="20"/>
        </w:rPr>
        <w:t xml:space="preserve"> </w:t>
      </w:r>
      <w:r>
        <w:rPr>
          <w:sz w:val="20"/>
        </w:rPr>
        <w:t>a</w:t>
      </w:r>
      <w:r>
        <w:rPr>
          <w:sz w:val="20"/>
        </w:rPr>
        <w:t>rtículo</w:t>
      </w:r>
      <w:r>
        <w:rPr>
          <w:spacing w:val="29"/>
          <w:sz w:val="20"/>
        </w:rPr>
        <w:t xml:space="preserve"> </w:t>
      </w:r>
      <w:r>
        <w:rPr>
          <w:sz w:val="20"/>
        </w:rPr>
        <w:t>212</w:t>
      </w:r>
      <w:r>
        <w:rPr>
          <w:spacing w:val="30"/>
          <w:sz w:val="20"/>
        </w:rPr>
        <w:t xml:space="preserve"> </w:t>
      </w:r>
      <w:r>
        <w:rPr>
          <w:sz w:val="20"/>
        </w:rPr>
        <w:t>de</w:t>
      </w:r>
      <w:r>
        <w:rPr>
          <w:spacing w:val="29"/>
          <w:sz w:val="20"/>
        </w:rPr>
        <w:t xml:space="preserve"> </w:t>
      </w:r>
      <w:r>
        <w:rPr>
          <w:sz w:val="20"/>
        </w:rPr>
        <w:t>la</w:t>
      </w:r>
      <w:r>
        <w:rPr>
          <w:spacing w:val="31"/>
          <w:sz w:val="20"/>
        </w:rPr>
        <w:t xml:space="preserve"> </w:t>
      </w:r>
      <w:r>
        <w:rPr>
          <w:sz w:val="20"/>
        </w:rPr>
        <w:t>Ley</w:t>
      </w:r>
      <w:r>
        <w:rPr>
          <w:spacing w:val="31"/>
          <w:sz w:val="20"/>
        </w:rPr>
        <w:t xml:space="preserve"> </w:t>
      </w:r>
      <w:r>
        <w:rPr>
          <w:sz w:val="20"/>
        </w:rPr>
        <w:t>Orgánica</w:t>
      </w:r>
      <w:r>
        <w:rPr>
          <w:spacing w:val="31"/>
          <w:sz w:val="20"/>
        </w:rPr>
        <w:t xml:space="preserve"> </w:t>
      </w:r>
      <w:r>
        <w:rPr>
          <w:sz w:val="20"/>
        </w:rPr>
        <w:t>del</w:t>
      </w:r>
      <w:r>
        <w:rPr>
          <w:spacing w:val="28"/>
          <w:sz w:val="20"/>
        </w:rPr>
        <w:t xml:space="preserve"> </w:t>
      </w:r>
      <w:r>
        <w:rPr>
          <w:sz w:val="20"/>
        </w:rPr>
        <w:t>Poder</w:t>
      </w:r>
      <w:r>
        <w:rPr>
          <w:spacing w:val="29"/>
          <w:sz w:val="20"/>
        </w:rPr>
        <w:t xml:space="preserve"> </w:t>
      </w:r>
      <w:r>
        <w:rPr>
          <w:sz w:val="20"/>
        </w:rPr>
        <w:t>Judicial</w:t>
      </w:r>
      <w:r>
        <w:rPr>
          <w:spacing w:val="31"/>
          <w:sz w:val="20"/>
        </w:rPr>
        <w:t xml:space="preserve"> </w:t>
      </w:r>
      <w:r>
        <w:rPr>
          <w:sz w:val="20"/>
        </w:rPr>
        <w:t>señalaba</w:t>
      </w:r>
      <w:r>
        <w:rPr>
          <w:spacing w:val="28"/>
          <w:sz w:val="20"/>
        </w:rPr>
        <w:t xml:space="preserve"> </w:t>
      </w:r>
      <w:r>
        <w:rPr>
          <w:sz w:val="20"/>
        </w:rPr>
        <w:t>que</w:t>
      </w:r>
      <w:r>
        <w:rPr>
          <w:spacing w:val="27"/>
          <w:sz w:val="20"/>
        </w:rPr>
        <w:t xml:space="preserve"> </w:t>
      </w:r>
      <w:r>
        <w:rPr>
          <w:sz w:val="20"/>
        </w:rPr>
        <w:t>no</w:t>
      </w:r>
    </w:p>
    <w:p w14:paraId="0CB3A3E3" w14:textId="13102532" w:rsidR="00492688" w:rsidRDefault="00C9584B">
      <w:pPr>
        <w:pStyle w:val="Textoindependiente"/>
        <w:spacing w:before="11"/>
        <w:rPr>
          <w:sz w:val="24"/>
        </w:rPr>
      </w:pPr>
      <w:r>
        <w:rPr>
          <w:noProof/>
        </w:rPr>
        <mc:AlternateContent>
          <mc:Choice Requires="wps">
            <w:drawing>
              <wp:anchor distT="0" distB="0" distL="0" distR="0" simplePos="0" relativeHeight="251663360" behindDoc="1" locked="0" layoutInCell="1" allowOverlap="1" wp14:anchorId="434F1EE1" wp14:editId="65E165ED">
                <wp:simplePos x="0" y="0"/>
                <wp:positionH relativeFrom="page">
                  <wp:posOffset>1080770</wp:posOffset>
                </wp:positionH>
                <wp:positionV relativeFrom="paragraph">
                  <wp:posOffset>221615</wp:posOffset>
                </wp:positionV>
                <wp:extent cx="1828800" cy="1270"/>
                <wp:effectExtent l="0" t="0" r="0" b="0"/>
                <wp:wrapTopAndBottom/>
                <wp:docPr id="3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9BD29" id="Freeform 37" o:spid="_x0000_s1026" style="position:absolute;margin-left:85.1pt;margin-top:17.45pt;width:2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" path="m,l2880,e" filled="f" strokeweight=".6pt">
                <v:path arrowok="t" o:connecttype="custom" o:connectlocs="0,0;1828800,0" o:connectangles="0,0"/>
                <w10:wrap type="topAndBottom" anchorx="page"/>
              </v:shape>
            </w:pict>
          </mc:Fallback>
        </mc:AlternateContent>
      </w:r>
    </w:p>
    <w:p w14:paraId="62A2F66E" w14:textId="77777777" w:rsidR="00492688" w:rsidRDefault="00492688">
      <w:pPr>
        <w:pStyle w:val="Textoindependiente"/>
        <w:spacing w:before="10"/>
        <w:rPr>
          <w:sz w:val="5"/>
        </w:rPr>
      </w:pPr>
    </w:p>
    <w:p w14:paraId="20D4D84B" w14:textId="77777777" w:rsidR="00492688" w:rsidRDefault="00C9584B">
      <w:pPr>
        <w:tabs>
          <w:tab w:val="left" w:pos="829"/>
        </w:tabs>
        <w:spacing w:before="101"/>
        <w:ind w:left="122" w:right="114" w:hanging="1"/>
        <w:rPr>
          <w:sz w:val="16"/>
        </w:rPr>
      </w:pPr>
      <w:bookmarkStart w:id="42" w:name="_bookmark29"/>
      <w:bookmarkEnd w:id="42"/>
      <w:r>
        <w:rPr>
          <w:position w:val="6"/>
          <w:sz w:val="10"/>
        </w:rPr>
        <w:t>18</w:t>
      </w:r>
      <w:r>
        <w:rPr>
          <w:position w:val="6"/>
          <w:sz w:val="10"/>
        </w:rPr>
        <w:tab/>
      </w:r>
      <w:r>
        <w:rPr>
          <w:i/>
          <w:sz w:val="16"/>
        </w:rPr>
        <w:t xml:space="preserve">Cfr. </w:t>
      </w:r>
      <w:r>
        <w:rPr>
          <w:sz w:val="16"/>
        </w:rPr>
        <w:t>Artículo 106. Ley Orgánica del Poder Judicial, 2 de junio de 1993 (expediente de prueba, folio 1691).</w:t>
      </w:r>
    </w:p>
    <w:p w14:paraId="207A722A" w14:textId="77777777" w:rsidR="00492688" w:rsidRDefault="00C9584B">
      <w:pPr>
        <w:tabs>
          <w:tab w:val="left" w:pos="829"/>
        </w:tabs>
        <w:spacing w:before="101"/>
        <w:ind w:left="121" w:right="116"/>
        <w:rPr>
          <w:sz w:val="16"/>
        </w:rPr>
      </w:pPr>
      <w:bookmarkStart w:id="43" w:name="_bookmark30"/>
      <w:bookmarkEnd w:id="43"/>
      <w:r>
        <w:rPr>
          <w:position w:val="6"/>
          <w:sz w:val="10"/>
        </w:rPr>
        <w:t>19</w:t>
      </w:r>
      <w:r>
        <w:rPr>
          <w:position w:val="6"/>
          <w:sz w:val="10"/>
        </w:rPr>
        <w:tab/>
      </w:r>
      <w:r>
        <w:rPr>
          <w:i/>
          <w:sz w:val="16"/>
        </w:rPr>
        <w:t xml:space="preserve">Cfr. </w:t>
      </w:r>
      <w:r>
        <w:rPr>
          <w:sz w:val="16"/>
        </w:rPr>
        <w:t>Artículos 206 a 211. Ley Orgánica del Poder Judicial, 2 de junio de 1993 (expediente de prueba, folio</w:t>
      </w:r>
      <w:r>
        <w:rPr>
          <w:spacing w:val="-2"/>
          <w:sz w:val="16"/>
        </w:rPr>
        <w:t xml:space="preserve"> </w:t>
      </w:r>
      <w:r>
        <w:rPr>
          <w:sz w:val="16"/>
        </w:rPr>
        <w:t>1713).</w:t>
      </w:r>
    </w:p>
    <w:p w14:paraId="147A8296" w14:textId="77777777" w:rsidR="00492688" w:rsidRDefault="00492688">
      <w:pPr>
        <w:rPr>
          <w:sz w:val="16"/>
        </w:rPr>
        <w:sectPr w:rsidR="00492688">
          <w:pgSz w:w="12240" w:h="15840"/>
          <w:pgMar w:top="1340" w:right="1580" w:bottom="280" w:left="1580" w:header="720" w:footer="720" w:gutter="0"/>
          <w:cols w:space="720"/>
        </w:sectPr>
      </w:pPr>
    </w:p>
    <w:p w14:paraId="3AF0795A" w14:textId="77777777" w:rsidR="00492688" w:rsidRDefault="00C9584B">
      <w:pPr>
        <w:pStyle w:val="Textoindependiente"/>
        <w:spacing w:before="79"/>
        <w:ind w:left="121"/>
      </w:pPr>
      <w:r>
        <w:lastRenderedPageBreak/>
        <w:t>procede sanción por “discre</w:t>
      </w:r>
      <w:r>
        <w:t>pancia de opinión ni de criterio en la resolución de los procesos”</w:t>
      </w:r>
      <w:hyperlink w:anchor="_bookmark32" w:history="1">
        <w:r>
          <w:rPr>
            <w:position w:val="7"/>
            <w:sz w:val="13"/>
          </w:rPr>
          <w:t>20</w:t>
        </w:r>
      </w:hyperlink>
      <w:r>
        <w:t>.</w:t>
      </w:r>
    </w:p>
    <w:p w14:paraId="366C48C3" w14:textId="77777777" w:rsidR="00492688" w:rsidRDefault="00492688">
      <w:pPr>
        <w:pStyle w:val="Textoindependiente"/>
      </w:pPr>
    </w:p>
    <w:p w14:paraId="73303D39" w14:textId="77777777" w:rsidR="00492688" w:rsidRDefault="00C9584B">
      <w:pPr>
        <w:pStyle w:val="Prrafodelista"/>
        <w:numPr>
          <w:ilvl w:val="0"/>
          <w:numId w:val="12"/>
        </w:numPr>
        <w:tabs>
          <w:tab w:val="left" w:pos="688"/>
        </w:tabs>
        <w:ind w:right="118" w:firstLine="0"/>
        <w:jc w:val="both"/>
        <w:rPr>
          <w:sz w:val="20"/>
        </w:rPr>
      </w:pPr>
      <w:r>
        <w:rPr>
          <w:sz w:val="20"/>
        </w:rPr>
        <w:t>Posteriormente, la Constitución Política del Perú, de 29 de diciembre de 1993, creó el Consejo Nacional de la Magistratura y le encargó la función de apli</w:t>
      </w:r>
      <w:r>
        <w:rPr>
          <w:sz w:val="20"/>
        </w:rPr>
        <w:t>car la sanción de destitución a los jueces de todas las instancias</w:t>
      </w:r>
      <w:hyperlink w:anchor="_bookmark33" w:history="1">
        <w:r>
          <w:rPr>
            <w:position w:val="7"/>
            <w:sz w:val="13"/>
          </w:rPr>
          <w:t>21</w:t>
        </w:r>
      </w:hyperlink>
      <w:r>
        <w:rPr>
          <w:sz w:val="20"/>
        </w:rPr>
        <w:t>. La Constitución también estableció que las decisiones del Consejo Nacional de la Magistratura en materia de evaluación y ratificación de jueces no eran rev</w:t>
      </w:r>
      <w:r>
        <w:rPr>
          <w:sz w:val="20"/>
        </w:rPr>
        <w:t>isables</w:t>
      </w:r>
      <w:hyperlink w:anchor="_bookmark34" w:history="1">
        <w:r>
          <w:rPr>
            <w:position w:val="7"/>
            <w:sz w:val="13"/>
          </w:rPr>
          <w:t>22</w:t>
        </w:r>
      </w:hyperlink>
      <w:r>
        <w:rPr>
          <w:sz w:val="20"/>
        </w:rPr>
        <w:t>.</w:t>
      </w:r>
    </w:p>
    <w:p w14:paraId="1CA9B27D" w14:textId="77777777" w:rsidR="00492688" w:rsidRDefault="00492688">
      <w:pPr>
        <w:pStyle w:val="Textoindependiente"/>
        <w:spacing w:before="10"/>
        <w:rPr>
          <w:sz w:val="19"/>
        </w:rPr>
      </w:pPr>
    </w:p>
    <w:p w14:paraId="353125C6" w14:textId="77777777" w:rsidR="00492688" w:rsidRDefault="00C9584B">
      <w:pPr>
        <w:pStyle w:val="Prrafodelista"/>
        <w:numPr>
          <w:ilvl w:val="0"/>
          <w:numId w:val="12"/>
        </w:numPr>
        <w:tabs>
          <w:tab w:val="left" w:pos="689"/>
        </w:tabs>
        <w:spacing w:before="1"/>
        <w:ind w:right="117" w:firstLine="0"/>
        <w:jc w:val="both"/>
        <w:rPr>
          <w:sz w:val="20"/>
        </w:rPr>
      </w:pPr>
      <w:r>
        <w:rPr>
          <w:sz w:val="20"/>
        </w:rPr>
        <w:t>El 25 de noviembre de 1994 fue aprobada la Ley Orgánica del Consejo Nacional de la Magistratura. Esta ley reiteró lo establecido en la Constitución, en el sentido de que era atribución del Consejo Nacional de la M</w:t>
      </w:r>
      <w:r>
        <w:rPr>
          <w:sz w:val="20"/>
        </w:rPr>
        <w:t>agistratura aplicar la sanción de destitución a jueces de todas las instancias</w:t>
      </w:r>
      <w:hyperlink w:anchor="_bookmark35" w:history="1">
        <w:r>
          <w:rPr>
            <w:position w:val="7"/>
            <w:sz w:val="13"/>
          </w:rPr>
          <w:t>23</w:t>
        </w:r>
      </w:hyperlink>
      <w:r>
        <w:rPr>
          <w:sz w:val="20"/>
        </w:rPr>
        <w:t>. Además, estableció las causales por las cuales procedía la sanción de</w:t>
      </w:r>
      <w:r>
        <w:rPr>
          <w:spacing w:val="-7"/>
          <w:sz w:val="20"/>
        </w:rPr>
        <w:t xml:space="preserve"> </w:t>
      </w:r>
      <w:r>
        <w:rPr>
          <w:sz w:val="20"/>
        </w:rPr>
        <w:t>destitución:</w:t>
      </w:r>
    </w:p>
    <w:p w14:paraId="3982F7E5" w14:textId="77777777" w:rsidR="00492688" w:rsidRDefault="00492688">
      <w:pPr>
        <w:pStyle w:val="Textoindependiente"/>
      </w:pPr>
    </w:p>
    <w:p w14:paraId="706CD34C" w14:textId="77777777" w:rsidR="00492688" w:rsidRDefault="00C9584B">
      <w:pPr>
        <w:ind w:left="829" w:right="733" w:hanging="1"/>
        <w:rPr>
          <w:sz w:val="16"/>
        </w:rPr>
      </w:pPr>
      <w:r>
        <w:rPr>
          <w:sz w:val="16"/>
        </w:rPr>
        <w:t xml:space="preserve">Artículo 31º.- Procede aplicar la sanción de destitución a </w:t>
      </w:r>
      <w:r>
        <w:rPr>
          <w:sz w:val="16"/>
        </w:rPr>
        <w:t>que se refiere el inciso c) del Artículo 21 de la presente ley por las siguientes causas:</w:t>
      </w:r>
    </w:p>
    <w:p w14:paraId="19F2F2EA" w14:textId="77777777" w:rsidR="00492688" w:rsidRDefault="00492688">
      <w:pPr>
        <w:pStyle w:val="Textoindependiente"/>
        <w:spacing w:before="12"/>
        <w:rPr>
          <w:sz w:val="15"/>
        </w:rPr>
      </w:pPr>
    </w:p>
    <w:p w14:paraId="185DA87E" w14:textId="77777777" w:rsidR="00492688" w:rsidRDefault="00C9584B">
      <w:pPr>
        <w:pStyle w:val="Prrafodelista"/>
        <w:numPr>
          <w:ilvl w:val="0"/>
          <w:numId w:val="8"/>
        </w:numPr>
        <w:tabs>
          <w:tab w:val="left" w:pos="1048"/>
        </w:tabs>
        <w:rPr>
          <w:sz w:val="16"/>
        </w:rPr>
      </w:pPr>
      <w:r>
        <w:rPr>
          <w:sz w:val="16"/>
        </w:rPr>
        <w:t>Ser objeto de condena a pena privativa de libertad por delito</w:t>
      </w:r>
      <w:r>
        <w:rPr>
          <w:spacing w:val="-7"/>
          <w:sz w:val="16"/>
        </w:rPr>
        <w:t xml:space="preserve"> </w:t>
      </w:r>
      <w:r>
        <w:rPr>
          <w:sz w:val="16"/>
        </w:rPr>
        <w:t>doloso.</w:t>
      </w:r>
    </w:p>
    <w:p w14:paraId="5C15A710" w14:textId="77777777" w:rsidR="00492688" w:rsidRDefault="00492688">
      <w:pPr>
        <w:pStyle w:val="Textoindependiente"/>
        <w:rPr>
          <w:sz w:val="16"/>
        </w:rPr>
      </w:pPr>
    </w:p>
    <w:p w14:paraId="45B700FB" w14:textId="77777777" w:rsidR="00492688" w:rsidRDefault="00C9584B">
      <w:pPr>
        <w:pStyle w:val="Prrafodelista"/>
        <w:numPr>
          <w:ilvl w:val="0"/>
          <w:numId w:val="8"/>
        </w:numPr>
        <w:tabs>
          <w:tab w:val="left" w:pos="1060"/>
        </w:tabs>
        <w:ind w:left="829" w:right="731" w:hanging="1"/>
        <w:rPr>
          <w:sz w:val="16"/>
        </w:rPr>
      </w:pPr>
      <w:r>
        <w:rPr>
          <w:sz w:val="16"/>
        </w:rPr>
        <w:t>La comisión de un hecho grave que sin ser delito compromete la dignidad del cargo y la desmerezca en el concepto</w:t>
      </w:r>
      <w:r>
        <w:rPr>
          <w:spacing w:val="-5"/>
          <w:sz w:val="16"/>
        </w:rPr>
        <w:t xml:space="preserve"> </w:t>
      </w:r>
      <w:r>
        <w:rPr>
          <w:sz w:val="16"/>
        </w:rPr>
        <w:t>público.</w:t>
      </w:r>
    </w:p>
    <w:p w14:paraId="18AD73CE" w14:textId="77777777" w:rsidR="00492688" w:rsidRDefault="00492688">
      <w:pPr>
        <w:pStyle w:val="Textoindependiente"/>
        <w:spacing w:before="12"/>
        <w:rPr>
          <w:sz w:val="15"/>
        </w:rPr>
      </w:pPr>
    </w:p>
    <w:p w14:paraId="51405869" w14:textId="77777777" w:rsidR="00492688" w:rsidRDefault="00C9584B">
      <w:pPr>
        <w:pStyle w:val="Prrafodelista"/>
        <w:numPr>
          <w:ilvl w:val="0"/>
          <w:numId w:val="8"/>
        </w:numPr>
        <w:tabs>
          <w:tab w:val="left" w:pos="1061"/>
        </w:tabs>
        <w:ind w:left="829" w:right="732" w:hanging="1"/>
        <w:rPr>
          <w:sz w:val="16"/>
        </w:rPr>
      </w:pPr>
      <w:r>
        <w:rPr>
          <w:sz w:val="16"/>
        </w:rPr>
        <w:t>Reincidencia en un hecho que configure causal de suspensión, conforme a lo establecido en la ley de la</w:t>
      </w:r>
      <w:r>
        <w:rPr>
          <w:spacing w:val="-3"/>
          <w:sz w:val="16"/>
        </w:rPr>
        <w:t xml:space="preserve"> </w:t>
      </w:r>
      <w:r>
        <w:rPr>
          <w:sz w:val="16"/>
        </w:rPr>
        <w:t>materia.</w:t>
      </w:r>
    </w:p>
    <w:p w14:paraId="2C8CA54A" w14:textId="77777777" w:rsidR="00492688" w:rsidRDefault="00492688">
      <w:pPr>
        <w:pStyle w:val="Textoindependiente"/>
        <w:spacing w:before="12"/>
        <w:rPr>
          <w:sz w:val="15"/>
        </w:rPr>
      </w:pPr>
    </w:p>
    <w:p w14:paraId="2AADC600" w14:textId="77777777" w:rsidR="00492688" w:rsidRDefault="00C9584B">
      <w:pPr>
        <w:pStyle w:val="Prrafodelista"/>
        <w:numPr>
          <w:ilvl w:val="0"/>
          <w:numId w:val="8"/>
        </w:numPr>
        <w:tabs>
          <w:tab w:val="left" w:pos="1097"/>
        </w:tabs>
        <w:ind w:left="830" w:right="734" w:hanging="1"/>
        <w:rPr>
          <w:sz w:val="16"/>
        </w:rPr>
      </w:pPr>
      <w:r>
        <w:rPr>
          <w:sz w:val="16"/>
        </w:rPr>
        <w:t>Intervenir en procesos o actuaciones a sabiendas de estar incurso en prohibición o impedimento</w:t>
      </w:r>
      <w:r>
        <w:rPr>
          <w:spacing w:val="-2"/>
          <w:sz w:val="16"/>
        </w:rPr>
        <w:t xml:space="preserve"> </w:t>
      </w:r>
      <w:r>
        <w:rPr>
          <w:sz w:val="16"/>
        </w:rPr>
        <w:t>legal.</w:t>
      </w:r>
    </w:p>
    <w:p w14:paraId="6791B7BA" w14:textId="77777777" w:rsidR="00492688" w:rsidRDefault="00492688">
      <w:pPr>
        <w:pStyle w:val="Textoindependiente"/>
        <w:spacing w:before="2"/>
      </w:pPr>
    </w:p>
    <w:p w14:paraId="5C425095" w14:textId="77777777" w:rsidR="00492688" w:rsidRDefault="00C9584B">
      <w:pPr>
        <w:pStyle w:val="Prrafodelista"/>
        <w:numPr>
          <w:ilvl w:val="0"/>
          <w:numId w:val="12"/>
        </w:numPr>
        <w:tabs>
          <w:tab w:val="left" w:pos="689"/>
        </w:tabs>
        <w:ind w:right="119" w:hanging="1"/>
        <w:jc w:val="both"/>
        <w:rPr>
          <w:sz w:val="20"/>
        </w:rPr>
      </w:pPr>
      <w:r>
        <w:rPr>
          <w:sz w:val="20"/>
        </w:rPr>
        <w:t>Conforme a lo anterior, para la fecha de los hechos, había un proceso de disciplina judicial que involucraba a dos autoridades: la Oficina de Control de</w:t>
      </w:r>
      <w:r>
        <w:rPr>
          <w:spacing w:val="36"/>
          <w:sz w:val="20"/>
        </w:rPr>
        <w:t xml:space="preserve"> </w:t>
      </w:r>
      <w:r>
        <w:rPr>
          <w:sz w:val="20"/>
        </w:rPr>
        <w:t>la Magistratura y el Consejo Nacional de la Magistratura. Así, la Oficina de Control de la Magistratura proponía al Consejo Nacional de la Magistratura la sanción de destitución de jueces, y está última era la encargada de decidir su imposición, luego de s</w:t>
      </w:r>
      <w:r>
        <w:rPr>
          <w:sz w:val="20"/>
        </w:rPr>
        <w:t>eguir el trámite regulado en la</w:t>
      </w:r>
      <w:r>
        <w:rPr>
          <w:spacing w:val="1"/>
          <w:sz w:val="20"/>
        </w:rPr>
        <w:t xml:space="preserve"> </w:t>
      </w:r>
      <w:r>
        <w:rPr>
          <w:sz w:val="20"/>
        </w:rPr>
        <w:t>ley.</w:t>
      </w:r>
    </w:p>
    <w:p w14:paraId="771A4130" w14:textId="77777777" w:rsidR="00492688" w:rsidRDefault="00492688">
      <w:pPr>
        <w:pStyle w:val="Textoindependiente"/>
      </w:pPr>
    </w:p>
    <w:p w14:paraId="4543BF34" w14:textId="77777777" w:rsidR="00492688" w:rsidRDefault="00C9584B">
      <w:pPr>
        <w:pStyle w:val="Ttulo1"/>
        <w:numPr>
          <w:ilvl w:val="0"/>
          <w:numId w:val="9"/>
        </w:numPr>
        <w:tabs>
          <w:tab w:val="left" w:pos="830"/>
        </w:tabs>
        <w:spacing w:line="276" w:lineRule="auto"/>
        <w:ind w:right="121" w:hanging="360"/>
      </w:pPr>
      <w:bookmarkStart w:id="44" w:name="B._Nombramiento_de_Héctor_Fidel_Cordero_"/>
      <w:bookmarkStart w:id="45" w:name="_bookmark31"/>
      <w:bookmarkEnd w:id="44"/>
      <w:bookmarkEnd w:id="45"/>
      <w:r>
        <w:t>Nombramiento de Héctor Fidel Cordero Bernal como Juez Cuarto Especializado en lo Penal de la ciudad de</w:t>
      </w:r>
      <w:r>
        <w:rPr>
          <w:spacing w:val="-2"/>
        </w:rPr>
        <w:t xml:space="preserve"> </w:t>
      </w:r>
      <w:r>
        <w:t>Huánuco</w:t>
      </w:r>
    </w:p>
    <w:p w14:paraId="530B15F7" w14:textId="77777777" w:rsidR="00492688" w:rsidRDefault="00492688">
      <w:pPr>
        <w:pStyle w:val="Textoindependiente"/>
        <w:rPr>
          <w:b/>
        </w:rPr>
      </w:pPr>
    </w:p>
    <w:p w14:paraId="6B568A08" w14:textId="77777777" w:rsidR="00492688" w:rsidRDefault="00C9584B">
      <w:pPr>
        <w:pStyle w:val="Prrafodelista"/>
        <w:numPr>
          <w:ilvl w:val="0"/>
          <w:numId w:val="12"/>
        </w:numPr>
        <w:tabs>
          <w:tab w:val="left" w:pos="689"/>
        </w:tabs>
        <w:ind w:right="121" w:firstLine="0"/>
        <w:jc w:val="both"/>
        <w:rPr>
          <w:sz w:val="20"/>
        </w:rPr>
      </w:pPr>
      <w:r>
        <w:rPr>
          <w:sz w:val="20"/>
        </w:rPr>
        <w:t>El señor Héctor Fidel Cordero Bernal ingresó a la Judicatura en noviembre de 1993, como Juez Provisional d</w:t>
      </w:r>
      <w:r>
        <w:rPr>
          <w:sz w:val="20"/>
        </w:rPr>
        <w:t>el Juzgado en lo Civil de la provincia de Leoncio</w:t>
      </w:r>
      <w:r>
        <w:rPr>
          <w:spacing w:val="70"/>
          <w:sz w:val="20"/>
        </w:rPr>
        <w:t xml:space="preserve"> </w:t>
      </w:r>
      <w:r>
        <w:rPr>
          <w:sz w:val="20"/>
        </w:rPr>
        <w:t>Prado</w:t>
      </w:r>
      <w:hyperlink w:anchor="_bookmark36" w:history="1">
        <w:r>
          <w:rPr>
            <w:position w:val="7"/>
            <w:sz w:val="13"/>
          </w:rPr>
          <w:t>24</w:t>
        </w:r>
      </w:hyperlink>
      <w:r>
        <w:rPr>
          <w:sz w:val="20"/>
        </w:rPr>
        <w:t>.</w:t>
      </w:r>
    </w:p>
    <w:p w14:paraId="71FA44EC" w14:textId="77A909AA" w:rsidR="00492688" w:rsidRDefault="00C9584B">
      <w:pPr>
        <w:pStyle w:val="Textoindependiente"/>
        <w:spacing w:before="1"/>
        <w:rPr>
          <w:sz w:val="18"/>
        </w:rPr>
      </w:pPr>
      <w:r>
        <w:rPr>
          <w:noProof/>
        </w:rPr>
        <mc:AlternateContent>
          <mc:Choice Requires="wps">
            <w:drawing>
              <wp:anchor distT="0" distB="0" distL="0" distR="0" simplePos="0" relativeHeight="251664384" behindDoc="1" locked="0" layoutInCell="1" allowOverlap="1" wp14:anchorId="4D608058" wp14:editId="52829C0A">
                <wp:simplePos x="0" y="0"/>
                <wp:positionH relativeFrom="page">
                  <wp:posOffset>1080770</wp:posOffset>
                </wp:positionH>
                <wp:positionV relativeFrom="paragraph">
                  <wp:posOffset>168910</wp:posOffset>
                </wp:positionV>
                <wp:extent cx="1828800" cy="1270"/>
                <wp:effectExtent l="0" t="0" r="0" b="0"/>
                <wp:wrapTopAndBottom/>
                <wp:docPr id="3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3E2D4" id="Freeform 36" o:spid="_x0000_s1026" style="position:absolute;margin-left:85.1pt;margin-top:13.3pt;width:2in;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" path="m,l2880,e" filled="f" strokeweight=".21131mm">
                <v:path arrowok="t" o:connecttype="custom" o:connectlocs="0,0;1828800,0" o:connectangles="0,0"/>
                <w10:wrap type="topAndBottom" anchorx="page"/>
              </v:shape>
            </w:pict>
          </mc:Fallback>
        </mc:AlternateContent>
      </w:r>
    </w:p>
    <w:p w14:paraId="293300DB" w14:textId="77777777" w:rsidR="00492688" w:rsidRDefault="00492688">
      <w:pPr>
        <w:pStyle w:val="Textoindependiente"/>
        <w:spacing w:before="10"/>
        <w:rPr>
          <w:sz w:val="5"/>
        </w:rPr>
      </w:pPr>
    </w:p>
    <w:p w14:paraId="24B4936C" w14:textId="77777777" w:rsidR="00492688" w:rsidRDefault="00C9584B">
      <w:pPr>
        <w:tabs>
          <w:tab w:val="left" w:pos="829"/>
        </w:tabs>
        <w:spacing w:before="101"/>
        <w:ind w:left="122" w:right="114" w:hanging="1"/>
        <w:jc w:val="both"/>
        <w:rPr>
          <w:sz w:val="16"/>
        </w:rPr>
      </w:pPr>
      <w:bookmarkStart w:id="46" w:name="_bookmark32"/>
      <w:bookmarkEnd w:id="46"/>
      <w:r>
        <w:rPr>
          <w:position w:val="6"/>
          <w:sz w:val="10"/>
        </w:rPr>
        <w:t>20</w:t>
      </w:r>
      <w:r>
        <w:rPr>
          <w:position w:val="6"/>
          <w:sz w:val="10"/>
        </w:rPr>
        <w:tab/>
      </w:r>
      <w:r>
        <w:rPr>
          <w:i/>
          <w:sz w:val="16"/>
        </w:rPr>
        <w:t xml:space="preserve">Cfr. </w:t>
      </w:r>
      <w:r>
        <w:rPr>
          <w:sz w:val="16"/>
        </w:rPr>
        <w:t>Artículo 212. Ley Orgánica del Poder Judicial, 2 de junio de 1993 (expediente de prueba, folio 1713).</w:t>
      </w:r>
    </w:p>
    <w:p w14:paraId="3E88631C" w14:textId="77777777" w:rsidR="00492688" w:rsidRDefault="00C9584B">
      <w:pPr>
        <w:tabs>
          <w:tab w:val="left" w:pos="829"/>
        </w:tabs>
        <w:spacing w:before="101"/>
        <w:ind w:left="121" w:right="116"/>
        <w:jc w:val="both"/>
        <w:rPr>
          <w:sz w:val="16"/>
        </w:rPr>
      </w:pPr>
      <w:bookmarkStart w:id="47" w:name="_bookmark33"/>
      <w:bookmarkEnd w:id="47"/>
      <w:r>
        <w:rPr>
          <w:position w:val="6"/>
          <w:sz w:val="10"/>
        </w:rPr>
        <w:t>21</w:t>
      </w:r>
      <w:r>
        <w:rPr>
          <w:position w:val="6"/>
          <w:sz w:val="10"/>
        </w:rPr>
        <w:tab/>
      </w:r>
      <w:r>
        <w:rPr>
          <w:i/>
          <w:sz w:val="16"/>
        </w:rPr>
        <w:t>Cfr</w:t>
      </w:r>
      <w:r>
        <w:rPr>
          <w:sz w:val="16"/>
        </w:rPr>
        <w:t>. Artículo 153. Constitución Política de Perú, 29 de diciembre de 1993 (expediente de prueba, folio</w:t>
      </w:r>
      <w:r>
        <w:rPr>
          <w:spacing w:val="-2"/>
          <w:sz w:val="16"/>
        </w:rPr>
        <w:t xml:space="preserve"> </w:t>
      </w:r>
      <w:r>
        <w:rPr>
          <w:sz w:val="16"/>
        </w:rPr>
        <w:t>1529).</w:t>
      </w:r>
    </w:p>
    <w:p w14:paraId="114F10F3" w14:textId="77777777" w:rsidR="00492688" w:rsidRDefault="00C9584B">
      <w:pPr>
        <w:tabs>
          <w:tab w:val="left" w:pos="829"/>
        </w:tabs>
        <w:spacing w:before="101"/>
        <w:ind w:left="121" w:right="116"/>
        <w:jc w:val="both"/>
        <w:rPr>
          <w:sz w:val="16"/>
        </w:rPr>
      </w:pPr>
      <w:bookmarkStart w:id="48" w:name="_bookmark34"/>
      <w:bookmarkEnd w:id="48"/>
      <w:r>
        <w:rPr>
          <w:position w:val="6"/>
          <w:sz w:val="10"/>
        </w:rPr>
        <w:t>22</w:t>
      </w:r>
      <w:r>
        <w:rPr>
          <w:position w:val="6"/>
          <w:sz w:val="10"/>
        </w:rPr>
        <w:tab/>
      </w:r>
      <w:r>
        <w:rPr>
          <w:i/>
          <w:sz w:val="16"/>
        </w:rPr>
        <w:t>Cfr</w:t>
      </w:r>
      <w:r>
        <w:rPr>
          <w:sz w:val="16"/>
        </w:rPr>
        <w:t>. Artículo 142. Constitución Políti</w:t>
      </w:r>
      <w:r>
        <w:rPr>
          <w:sz w:val="16"/>
        </w:rPr>
        <w:t>ca de Perú, 29 de diciembre de 1993 (expediente de prueba, folio</w:t>
      </w:r>
      <w:r>
        <w:rPr>
          <w:spacing w:val="-2"/>
          <w:sz w:val="16"/>
        </w:rPr>
        <w:t xml:space="preserve"> </w:t>
      </w:r>
      <w:r>
        <w:rPr>
          <w:sz w:val="16"/>
        </w:rPr>
        <w:t>1527).</w:t>
      </w:r>
    </w:p>
    <w:p w14:paraId="214A03B6" w14:textId="77777777" w:rsidR="00492688" w:rsidRDefault="00C9584B">
      <w:pPr>
        <w:tabs>
          <w:tab w:val="left" w:pos="829"/>
        </w:tabs>
        <w:spacing w:before="98"/>
        <w:ind w:left="122" w:right="116" w:hanging="1"/>
        <w:jc w:val="both"/>
        <w:rPr>
          <w:sz w:val="16"/>
        </w:rPr>
      </w:pPr>
      <w:bookmarkStart w:id="49" w:name="_bookmark35"/>
      <w:bookmarkEnd w:id="49"/>
      <w:r>
        <w:rPr>
          <w:position w:val="6"/>
          <w:sz w:val="10"/>
        </w:rPr>
        <w:t>23</w:t>
      </w:r>
      <w:r>
        <w:rPr>
          <w:position w:val="6"/>
          <w:sz w:val="10"/>
        </w:rPr>
        <w:tab/>
      </w:r>
      <w:r>
        <w:rPr>
          <w:i/>
          <w:sz w:val="16"/>
        </w:rPr>
        <w:t xml:space="preserve">Cfr. </w:t>
      </w:r>
      <w:r>
        <w:rPr>
          <w:sz w:val="16"/>
        </w:rPr>
        <w:t>Artículos 2 y 21.c). Ley Orgánica del Consejo Nacional de la Magistratura, 25 de noviembre de 1994 (expediente de prueba, folios 1634 y</w:t>
      </w:r>
      <w:r>
        <w:rPr>
          <w:spacing w:val="-11"/>
          <w:sz w:val="16"/>
        </w:rPr>
        <w:t xml:space="preserve"> </w:t>
      </w:r>
      <w:r>
        <w:rPr>
          <w:sz w:val="16"/>
        </w:rPr>
        <w:t>1639).</w:t>
      </w:r>
    </w:p>
    <w:p w14:paraId="2F7D10E5" w14:textId="77777777" w:rsidR="00492688" w:rsidRDefault="00C9584B">
      <w:pPr>
        <w:tabs>
          <w:tab w:val="left" w:pos="829"/>
        </w:tabs>
        <w:spacing w:before="101"/>
        <w:ind w:left="121" w:right="116" w:hanging="1"/>
        <w:jc w:val="both"/>
        <w:rPr>
          <w:sz w:val="16"/>
        </w:rPr>
      </w:pPr>
      <w:bookmarkStart w:id="50" w:name="_bookmark36"/>
      <w:bookmarkEnd w:id="50"/>
      <w:r>
        <w:rPr>
          <w:position w:val="6"/>
          <w:sz w:val="10"/>
        </w:rPr>
        <w:t>24</w:t>
      </w:r>
      <w:r>
        <w:rPr>
          <w:position w:val="6"/>
          <w:sz w:val="10"/>
        </w:rPr>
        <w:tab/>
      </w:r>
      <w:r>
        <w:rPr>
          <w:sz w:val="16"/>
        </w:rPr>
        <w:t>La Resolución señala que el no</w:t>
      </w:r>
      <w:r>
        <w:rPr>
          <w:sz w:val="16"/>
        </w:rPr>
        <w:t xml:space="preserve">mbramiento del señor Cordero Bernal sería “hasta la culminación </w:t>
      </w:r>
      <w:r>
        <w:rPr>
          <w:spacing w:val="-5"/>
          <w:sz w:val="16"/>
        </w:rPr>
        <w:t xml:space="preserve">de </w:t>
      </w:r>
      <w:r>
        <w:rPr>
          <w:sz w:val="16"/>
        </w:rPr>
        <w:t>los procesos iniciados con anterioridad a la vigencia del nuevo Código Procesal Civil, no pudiendo ser más de un año”</w:t>
      </w:r>
      <w:r>
        <w:rPr>
          <w:i/>
          <w:sz w:val="16"/>
        </w:rPr>
        <w:t xml:space="preserve">. </w:t>
      </w:r>
      <w:r>
        <w:rPr>
          <w:sz w:val="16"/>
        </w:rPr>
        <w:t xml:space="preserve">Resolución de 3 de noviembre de 1993, suscrita por el Presidente de la Corte Superior de Huánuco (expediente de prueba, folio 1039). Dicho juzgado fue desactivado el 14 de noviembre de 1994. </w:t>
      </w:r>
      <w:r>
        <w:rPr>
          <w:i/>
          <w:sz w:val="16"/>
        </w:rPr>
        <w:t xml:space="preserve">Cfr. </w:t>
      </w:r>
      <w:r>
        <w:rPr>
          <w:sz w:val="16"/>
        </w:rPr>
        <w:t>Oficio No. 692-94-DA-GG/PJ de 16 de noviembre de 1994, suscr</w:t>
      </w:r>
      <w:r>
        <w:rPr>
          <w:sz w:val="16"/>
        </w:rPr>
        <w:t>ito por la Delegada del Poder Judicial en Huánuco (expediente de prueba, folio</w:t>
      </w:r>
      <w:r>
        <w:rPr>
          <w:spacing w:val="-6"/>
          <w:sz w:val="16"/>
        </w:rPr>
        <w:t xml:space="preserve"> </w:t>
      </w:r>
      <w:r>
        <w:rPr>
          <w:sz w:val="16"/>
        </w:rPr>
        <w:t>1041).</w:t>
      </w:r>
    </w:p>
    <w:p w14:paraId="6BFDE85F" w14:textId="77777777" w:rsidR="00492688" w:rsidRDefault="00492688">
      <w:pPr>
        <w:jc w:val="both"/>
        <w:rPr>
          <w:sz w:val="16"/>
        </w:rPr>
        <w:sectPr w:rsidR="00492688">
          <w:pgSz w:w="12240" w:h="15840"/>
          <w:pgMar w:top="1340" w:right="1580" w:bottom="280" w:left="1580" w:header="720" w:footer="720" w:gutter="0"/>
          <w:cols w:space="720"/>
        </w:sectPr>
      </w:pPr>
    </w:p>
    <w:p w14:paraId="06C873C9" w14:textId="77777777" w:rsidR="00492688" w:rsidRDefault="00C9584B">
      <w:pPr>
        <w:pStyle w:val="Textoindependiente"/>
        <w:spacing w:before="79"/>
        <w:ind w:left="121" w:right="118"/>
        <w:jc w:val="both"/>
      </w:pPr>
      <w:r>
        <w:lastRenderedPageBreak/>
        <w:t xml:space="preserve">El 15 de noviembre de 1994 el señor Cordero Bernal fue designado por el Presidente de la Corte Superior de Justicia de Huánuco como Juez Provisional del Cuarto </w:t>
      </w:r>
      <w:r>
        <w:t>Juzgado Penal de la Provincia de</w:t>
      </w:r>
      <w:r>
        <w:rPr>
          <w:spacing w:val="-3"/>
        </w:rPr>
        <w:t xml:space="preserve"> </w:t>
      </w:r>
      <w:r>
        <w:t>Huánuco</w:t>
      </w:r>
      <w:hyperlink w:anchor="_bookmark38" w:history="1">
        <w:r>
          <w:rPr>
            <w:position w:val="7"/>
            <w:sz w:val="13"/>
          </w:rPr>
          <w:t>25</w:t>
        </w:r>
      </w:hyperlink>
      <w:r>
        <w:t>.</w:t>
      </w:r>
    </w:p>
    <w:p w14:paraId="530E8F74" w14:textId="77777777" w:rsidR="00492688" w:rsidRDefault="00492688">
      <w:pPr>
        <w:pStyle w:val="Textoindependiente"/>
        <w:spacing w:before="11"/>
        <w:rPr>
          <w:sz w:val="19"/>
        </w:rPr>
      </w:pPr>
    </w:p>
    <w:p w14:paraId="70A24023" w14:textId="77777777" w:rsidR="00492688" w:rsidRDefault="00C9584B">
      <w:pPr>
        <w:pStyle w:val="Prrafodelista"/>
        <w:numPr>
          <w:ilvl w:val="0"/>
          <w:numId w:val="12"/>
        </w:numPr>
        <w:tabs>
          <w:tab w:val="left" w:pos="689"/>
        </w:tabs>
        <w:spacing w:before="1"/>
        <w:ind w:right="117" w:firstLine="0"/>
        <w:jc w:val="both"/>
        <w:rPr>
          <w:sz w:val="20"/>
        </w:rPr>
      </w:pPr>
      <w:r>
        <w:rPr>
          <w:sz w:val="20"/>
        </w:rPr>
        <w:t xml:space="preserve">El 22 de junio de 1995 el Presidente de la Corte Superior de Justicia de Huánuco solicitó al señor Cordero Bernal que, durante la licencia del Juez provisional, se encargara de la </w:t>
      </w:r>
      <w:r>
        <w:rPr>
          <w:sz w:val="20"/>
        </w:rPr>
        <w:t>atención del Primer Juzgado Penal de la Corte Superior de Huánuco</w:t>
      </w:r>
      <w:hyperlink w:anchor="_bookmark39" w:history="1">
        <w:r>
          <w:rPr>
            <w:position w:val="7"/>
            <w:sz w:val="13"/>
          </w:rPr>
          <w:t>26</w:t>
        </w:r>
      </w:hyperlink>
      <w:r>
        <w:rPr>
          <w:sz w:val="20"/>
        </w:rPr>
        <w:t>. El encargo fue objeto de investigación debido a alegadas</w:t>
      </w:r>
      <w:r>
        <w:rPr>
          <w:spacing w:val="-6"/>
          <w:sz w:val="20"/>
        </w:rPr>
        <w:t xml:space="preserve"> </w:t>
      </w:r>
      <w:r>
        <w:rPr>
          <w:sz w:val="20"/>
        </w:rPr>
        <w:t>irregularidades</w:t>
      </w:r>
      <w:hyperlink w:anchor="_bookmark40" w:history="1">
        <w:r>
          <w:rPr>
            <w:position w:val="7"/>
            <w:sz w:val="13"/>
          </w:rPr>
          <w:t>27</w:t>
        </w:r>
      </w:hyperlink>
      <w:r>
        <w:rPr>
          <w:sz w:val="20"/>
        </w:rPr>
        <w:t>.</w:t>
      </w:r>
    </w:p>
    <w:p w14:paraId="1B83673E" w14:textId="77777777" w:rsidR="00492688" w:rsidRDefault="00492688">
      <w:pPr>
        <w:pStyle w:val="Textoindependiente"/>
        <w:spacing w:before="11"/>
        <w:rPr>
          <w:sz w:val="19"/>
        </w:rPr>
      </w:pPr>
    </w:p>
    <w:p w14:paraId="1B1C77FD" w14:textId="77777777" w:rsidR="00492688" w:rsidRDefault="00C9584B">
      <w:pPr>
        <w:pStyle w:val="Prrafodelista"/>
        <w:numPr>
          <w:ilvl w:val="0"/>
          <w:numId w:val="12"/>
        </w:numPr>
        <w:tabs>
          <w:tab w:val="left" w:pos="689"/>
        </w:tabs>
        <w:ind w:right="119" w:firstLine="0"/>
        <w:jc w:val="both"/>
        <w:rPr>
          <w:sz w:val="20"/>
        </w:rPr>
      </w:pPr>
      <w:r>
        <w:rPr>
          <w:sz w:val="20"/>
        </w:rPr>
        <w:t>El 17 de julio de 1995 se dio por terminado el e</w:t>
      </w:r>
      <w:r>
        <w:rPr>
          <w:sz w:val="20"/>
        </w:rPr>
        <w:t>ncargo del señor Cordero Bernal en el Primer Juzgado Penal de la Corte Superior de</w:t>
      </w:r>
      <w:r>
        <w:rPr>
          <w:spacing w:val="-8"/>
          <w:sz w:val="20"/>
        </w:rPr>
        <w:t xml:space="preserve"> </w:t>
      </w:r>
      <w:r>
        <w:rPr>
          <w:sz w:val="20"/>
        </w:rPr>
        <w:t>Huánuco</w:t>
      </w:r>
      <w:hyperlink w:anchor="_bookmark41" w:history="1">
        <w:r>
          <w:rPr>
            <w:position w:val="7"/>
            <w:sz w:val="13"/>
          </w:rPr>
          <w:t>28</w:t>
        </w:r>
      </w:hyperlink>
      <w:r>
        <w:rPr>
          <w:sz w:val="20"/>
        </w:rPr>
        <w:t>.</w:t>
      </w:r>
    </w:p>
    <w:p w14:paraId="2E33DCCF" w14:textId="77777777" w:rsidR="00492688" w:rsidRDefault="00492688">
      <w:pPr>
        <w:pStyle w:val="Textoindependiente"/>
      </w:pPr>
    </w:p>
    <w:p w14:paraId="16AAB802" w14:textId="77777777" w:rsidR="00492688" w:rsidRDefault="00C9584B">
      <w:pPr>
        <w:pStyle w:val="Ttulo1"/>
        <w:numPr>
          <w:ilvl w:val="0"/>
          <w:numId w:val="9"/>
        </w:numPr>
        <w:tabs>
          <w:tab w:val="left" w:pos="830"/>
        </w:tabs>
        <w:ind w:left="829" w:hanging="349"/>
      </w:pPr>
      <w:bookmarkStart w:id="51" w:name="C._Decisión_de_conceder_la_libertad_inco"/>
      <w:bookmarkStart w:id="52" w:name="_bookmark37"/>
      <w:bookmarkEnd w:id="51"/>
      <w:bookmarkEnd w:id="52"/>
      <w:r>
        <w:t>Decisión de conceder la libertad incondicional a dos</w:t>
      </w:r>
      <w:r>
        <w:rPr>
          <w:spacing w:val="-12"/>
        </w:rPr>
        <w:t xml:space="preserve"> </w:t>
      </w:r>
      <w:r>
        <w:t>procesados</w:t>
      </w:r>
    </w:p>
    <w:p w14:paraId="2E61F128" w14:textId="77777777" w:rsidR="00492688" w:rsidRDefault="00492688">
      <w:pPr>
        <w:pStyle w:val="Textoindependiente"/>
        <w:spacing w:before="1"/>
        <w:rPr>
          <w:b/>
          <w:sz w:val="23"/>
        </w:rPr>
      </w:pPr>
    </w:p>
    <w:p w14:paraId="7E6D497E" w14:textId="77777777" w:rsidR="00492688" w:rsidRDefault="00C9584B">
      <w:pPr>
        <w:pStyle w:val="Prrafodelista"/>
        <w:numPr>
          <w:ilvl w:val="0"/>
          <w:numId w:val="12"/>
        </w:numPr>
        <w:tabs>
          <w:tab w:val="left" w:pos="689"/>
        </w:tabs>
        <w:ind w:right="117" w:hanging="1"/>
        <w:jc w:val="both"/>
        <w:rPr>
          <w:sz w:val="20"/>
        </w:rPr>
      </w:pPr>
      <w:r>
        <w:rPr>
          <w:sz w:val="20"/>
        </w:rPr>
        <w:t>Cuando el señor Cordero Bernal se hizo cargo del Primer Juzgado Penal de Huánuco, pasó a conocer la instrucción penal No. 7395, referida a la investigación de dos personas que piloteaban una avioneta de matrícula colombiana en territorio peruano, la cual f</w:t>
      </w:r>
      <w:r>
        <w:rPr>
          <w:sz w:val="20"/>
        </w:rPr>
        <w:t>ue interceptada por la Fuerza Aérea peruana. Estas personas fueron sometidas a un proceso penal por el delito de tráfico ilícito de drogas y se ordenó su detención</w:t>
      </w:r>
      <w:hyperlink w:anchor="_bookmark42" w:history="1">
        <w:r>
          <w:rPr>
            <w:position w:val="7"/>
            <w:sz w:val="13"/>
          </w:rPr>
          <w:t>29</w:t>
        </w:r>
      </w:hyperlink>
      <w:r>
        <w:rPr>
          <w:sz w:val="20"/>
        </w:rPr>
        <w:t>.</w:t>
      </w:r>
    </w:p>
    <w:p w14:paraId="41A96F4B" w14:textId="77777777" w:rsidR="00492688" w:rsidRDefault="00492688">
      <w:pPr>
        <w:pStyle w:val="Textoindependiente"/>
      </w:pPr>
    </w:p>
    <w:p w14:paraId="1C1F684A" w14:textId="77777777" w:rsidR="00492688" w:rsidRDefault="00C9584B">
      <w:pPr>
        <w:pStyle w:val="Prrafodelista"/>
        <w:numPr>
          <w:ilvl w:val="0"/>
          <w:numId w:val="12"/>
        </w:numPr>
        <w:tabs>
          <w:tab w:val="left" w:pos="689"/>
        </w:tabs>
        <w:ind w:right="118" w:firstLine="0"/>
        <w:jc w:val="both"/>
        <w:rPr>
          <w:sz w:val="20"/>
        </w:rPr>
      </w:pPr>
      <w:r>
        <w:rPr>
          <w:sz w:val="20"/>
        </w:rPr>
        <w:t>El 30 de junio de 1995 los procesados solicitaron su libe</w:t>
      </w:r>
      <w:r>
        <w:rPr>
          <w:sz w:val="20"/>
        </w:rPr>
        <w:t>rtad incondicional</w:t>
      </w:r>
      <w:hyperlink w:anchor="_bookmark43" w:history="1">
        <w:r>
          <w:rPr>
            <w:position w:val="7"/>
            <w:sz w:val="13"/>
          </w:rPr>
          <w:t>30</w:t>
        </w:r>
      </w:hyperlink>
      <w:r>
        <w:rPr>
          <w:sz w:val="20"/>
        </w:rPr>
        <w:t xml:space="preserve">, mediante escrito del que secretario dio cuenta el 3 de julio del mismo </w:t>
      </w:r>
      <w:r>
        <w:rPr>
          <w:spacing w:val="2"/>
          <w:sz w:val="20"/>
        </w:rPr>
        <w:t>año</w:t>
      </w:r>
      <w:hyperlink w:anchor="_bookmark44" w:history="1">
        <w:r>
          <w:rPr>
            <w:spacing w:val="2"/>
            <w:position w:val="7"/>
            <w:sz w:val="13"/>
          </w:rPr>
          <w:t>31</w:t>
        </w:r>
      </w:hyperlink>
      <w:r>
        <w:rPr>
          <w:spacing w:val="2"/>
          <w:sz w:val="20"/>
        </w:rPr>
        <w:t xml:space="preserve">. </w:t>
      </w:r>
      <w:r>
        <w:rPr>
          <w:sz w:val="20"/>
        </w:rPr>
        <w:t>En Resolución del 11 de julio de 1995</w:t>
      </w:r>
      <w:hyperlink w:anchor="_bookmark45" w:history="1">
        <w:r>
          <w:rPr>
            <w:position w:val="7"/>
            <w:sz w:val="13"/>
          </w:rPr>
          <w:t>32</w:t>
        </w:r>
      </w:hyperlink>
      <w:r>
        <w:rPr>
          <w:sz w:val="20"/>
        </w:rPr>
        <w:t>, el señor Cordero Bernal declaró fundada la solicitud de los procesados con fundamento en el artículo 201 del Código de Procedimiento</w:t>
      </w:r>
      <w:r>
        <w:rPr>
          <w:spacing w:val="24"/>
          <w:sz w:val="20"/>
        </w:rPr>
        <w:t xml:space="preserve"> </w:t>
      </w:r>
      <w:r>
        <w:rPr>
          <w:sz w:val="20"/>
        </w:rPr>
        <w:t>Penal</w:t>
      </w:r>
      <w:hyperlink w:anchor="_bookmark46" w:history="1">
        <w:r>
          <w:rPr>
            <w:position w:val="7"/>
            <w:sz w:val="13"/>
          </w:rPr>
          <w:t>33</w:t>
        </w:r>
      </w:hyperlink>
      <w:r>
        <w:rPr>
          <w:sz w:val="20"/>
        </w:rPr>
        <w:t>,</w:t>
      </w:r>
      <w:r>
        <w:rPr>
          <w:spacing w:val="23"/>
          <w:sz w:val="20"/>
        </w:rPr>
        <w:t xml:space="preserve"> </w:t>
      </w:r>
      <w:r>
        <w:rPr>
          <w:sz w:val="20"/>
        </w:rPr>
        <w:t>que</w:t>
      </w:r>
      <w:r>
        <w:rPr>
          <w:spacing w:val="22"/>
          <w:sz w:val="20"/>
        </w:rPr>
        <w:t xml:space="preserve"> </w:t>
      </w:r>
      <w:r>
        <w:rPr>
          <w:sz w:val="20"/>
        </w:rPr>
        <w:t>permitía</w:t>
      </w:r>
      <w:r>
        <w:rPr>
          <w:spacing w:val="24"/>
          <w:sz w:val="20"/>
        </w:rPr>
        <w:t xml:space="preserve"> </w:t>
      </w:r>
      <w:r>
        <w:rPr>
          <w:sz w:val="20"/>
        </w:rPr>
        <w:t>adoptar</w:t>
      </w:r>
      <w:r>
        <w:rPr>
          <w:spacing w:val="24"/>
          <w:sz w:val="20"/>
        </w:rPr>
        <w:t xml:space="preserve"> </w:t>
      </w:r>
      <w:r>
        <w:rPr>
          <w:sz w:val="20"/>
        </w:rPr>
        <w:t>esa</w:t>
      </w:r>
      <w:r>
        <w:rPr>
          <w:spacing w:val="24"/>
          <w:sz w:val="20"/>
        </w:rPr>
        <w:t xml:space="preserve"> </w:t>
      </w:r>
      <w:r>
        <w:rPr>
          <w:sz w:val="20"/>
        </w:rPr>
        <w:t>decisión</w:t>
      </w:r>
      <w:r>
        <w:rPr>
          <w:spacing w:val="27"/>
          <w:sz w:val="20"/>
        </w:rPr>
        <w:t xml:space="preserve"> </w:t>
      </w:r>
      <w:r>
        <w:rPr>
          <w:sz w:val="20"/>
        </w:rPr>
        <w:t>si</w:t>
      </w:r>
      <w:r>
        <w:rPr>
          <w:spacing w:val="23"/>
          <w:sz w:val="20"/>
        </w:rPr>
        <w:t xml:space="preserve"> </w:t>
      </w:r>
      <w:r>
        <w:rPr>
          <w:sz w:val="20"/>
        </w:rPr>
        <w:t>durante</w:t>
      </w:r>
      <w:r>
        <w:rPr>
          <w:spacing w:val="24"/>
          <w:sz w:val="20"/>
        </w:rPr>
        <w:t xml:space="preserve"> </w:t>
      </w:r>
      <w:r>
        <w:rPr>
          <w:sz w:val="20"/>
        </w:rPr>
        <w:t>la</w:t>
      </w:r>
      <w:r>
        <w:rPr>
          <w:spacing w:val="26"/>
          <w:sz w:val="20"/>
        </w:rPr>
        <w:t xml:space="preserve"> </w:t>
      </w:r>
      <w:r>
        <w:rPr>
          <w:sz w:val="20"/>
        </w:rPr>
        <w:t>in</w:t>
      </w:r>
      <w:r>
        <w:rPr>
          <w:sz w:val="20"/>
        </w:rPr>
        <w:t>strucción</w:t>
      </w:r>
      <w:r>
        <w:rPr>
          <w:spacing w:val="24"/>
          <w:sz w:val="20"/>
        </w:rPr>
        <w:t xml:space="preserve"> </w:t>
      </w:r>
      <w:r>
        <w:rPr>
          <w:sz w:val="20"/>
        </w:rPr>
        <w:t>se</w:t>
      </w:r>
    </w:p>
    <w:p w14:paraId="7BF0A2C4" w14:textId="2554645F" w:rsidR="00492688" w:rsidRDefault="00C9584B">
      <w:pPr>
        <w:pStyle w:val="Textoindependiente"/>
        <w:spacing w:before="3"/>
        <w:rPr>
          <w:sz w:val="12"/>
        </w:rPr>
      </w:pPr>
      <w:r>
        <w:rPr>
          <w:noProof/>
        </w:rPr>
        <mc:AlternateContent>
          <mc:Choice Requires="wps">
            <w:drawing>
              <wp:anchor distT="0" distB="0" distL="0" distR="0" simplePos="0" relativeHeight="251665408" behindDoc="1" locked="0" layoutInCell="1" allowOverlap="1" wp14:anchorId="0A288B4F" wp14:editId="510E1BFC">
                <wp:simplePos x="0" y="0"/>
                <wp:positionH relativeFrom="page">
                  <wp:posOffset>1080770</wp:posOffset>
                </wp:positionH>
                <wp:positionV relativeFrom="paragraph">
                  <wp:posOffset>123190</wp:posOffset>
                </wp:positionV>
                <wp:extent cx="1828800" cy="1270"/>
                <wp:effectExtent l="0" t="0" r="0" b="0"/>
                <wp:wrapTopAndBottom/>
                <wp:docPr id="34"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08D3F" id="Freeform 35" o:spid="_x0000_s1026" style="position:absolute;margin-left:85.1pt;margin-top:9.7pt;width:2in;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" path="m,l2880,e" filled="f" strokeweight=".6pt">
                <v:path arrowok="t" o:connecttype="custom" o:connectlocs="0,0;1828800,0" o:connectangles="0,0"/>
                <w10:wrap type="topAndBottom" anchorx="page"/>
              </v:shape>
            </w:pict>
          </mc:Fallback>
        </mc:AlternateContent>
      </w:r>
    </w:p>
    <w:p w14:paraId="59A128C5" w14:textId="77777777" w:rsidR="00492688" w:rsidRDefault="00492688">
      <w:pPr>
        <w:pStyle w:val="Textoindependiente"/>
        <w:spacing w:before="10"/>
        <w:rPr>
          <w:sz w:val="5"/>
        </w:rPr>
      </w:pPr>
    </w:p>
    <w:p w14:paraId="16A5F93E" w14:textId="77777777" w:rsidR="00492688" w:rsidRDefault="00C9584B">
      <w:pPr>
        <w:tabs>
          <w:tab w:val="left" w:pos="829"/>
        </w:tabs>
        <w:spacing w:before="101"/>
        <w:ind w:left="121" w:right="115"/>
        <w:jc w:val="both"/>
        <w:rPr>
          <w:sz w:val="16"/>
        </w:rPr>
      </w:pPr>
      <w:bookmarkStart w:id="53" w:name="_bookmark38"/>
      <w:bookmarkEnd w:id="53"/>
      <w:r>
        <w:rPr>
          <w:position w:val="6"/>
          <w:sz w:val="10"/>
        </w:rPr>
        <w:t>25</w:t>
      </w:r>
      <w:r>
        <w:rPr>
          <w:position w:val="6"/>
          <w:sz w:val="10"/>
        </w:rPr>
        <w:tab/>
      </w:r>
      <w:r>
        <w:rPr>
          <w:i/>
          <w:sz w:val="16"/>
        </w:rPr>
        <w:t xml:space="preserve">Cfr. </w:t>
      </w:r>
      <w:r>
        <w:rPr>
          <w:sz w:val="16"/>
        </w:rPr>
        <w:t>Resolución administrativa No. 025-94-PCSJH de 15 de noviembre de 1994 de la Corte Superior de Justicia de Huánuco (expediente de prueba, folio 5). De acuerdo con el “Récord de medidas disciplinarias del doctor Héctor Fidel Cordero B</w:t>
      </w:r>
      <w:r>
        <w:rPr>
          <w:sz w:val="16"/>
        </w:rPr>
        <w:t xml:space="preserve">ernal en los cargos que ha ocupado en este distrito judicial de Huánuco y Pasco” de 27 de octubre de 1995, constan dos medidas disciplinarias adoptadas contra el señor Cordero Bernal, durante su gestión como juez: Un apercibimiento, por irregularidades en </w:t>
      </w:r>
      <w:r>
        <w:rPr>
          <w:sz w:val="16"/>
        </w:rPr>
        <w:t>el Expediente Nº 334-94</w:t>
      </w:r>
      <w:r>
        <w:rPr>
          <w:spacing w:val="-28"/>
          <w:sz w:val="16"/>
        </w:rPr>
        <w:t xml:space="preserve"> </w:t>
      </w:r>
      <w:r>
        <w:rPr>
          <w:spacing w:val="-3"/>
          <w:sz w:val="16"/>
        </w:rPr>
        <w:t>del</w:t>
      </w:r>
    </w:p>
    <w:p w14:paraId="785773AC" w14:textId="77777777" w:rsidR="00492688" w:rsidRDefault="00C9584B">
      <w:pPr>
        <w:ind w:left="120" w:right="117"/>
        <w:jc w:val="both"/>
        <w:rPr>
          <w:sz w:val="16"/>
        </w:rPr>
      </w:pPr>
      <w:r>
        <w:rPr>
          <w:sz w:val="16"/>
        </w:rPr>
        <w:t xml:space="preserve">1 de julio de 1994 y Oficio Nº 302-94 del 06 de septiembre de 1994; y una multa del 5% de su haber mensual (Visita Judicial Nº 186-94, Resolución de fecha 2 de diciembre de 1994). </w:t>
      </w:r>
      <w:r>
        <w:rPr>
          <w:i/>
          <w:sz w:val="16"/>
        </w:rPr>
        <w:t xml:space="preserve">Cfr. </w:t>
      </w:r>
      <w:r>
        <w:rPr>
          <w:sz w:val="16"/>
        </w:rPr>
        <w:t xml:space="preserve">Escrito </w:t>
      </w:r>
      <w:r>
        <w:rPr>
          <w:spacing w:val="-5"/>
          <w:sz w:val="16"/>
        </w:rPr>
        <w:t xml:space="preserve">de  </w:t>
      </w:r>
      <w:r>
        <w:rPr>
          <w:sz w:val="16"/>
        </w:rPr>
        <w:t>contestación del Estado (expedi</w:t>
      </w:r>
      <w:r>
        <w:rPr>
          <w:sz w:val="16"/>
        </w:rPr>
        <w:t>ente de fondo, folio 238) y Record de las medidas disciplinarias del Doctor Héctor Fidel Cordero Bernal en los cargos que ha ocupado (expediente de prueba, folio</w:t>
      </w:r>
      <w:r>
        <w:rPr>
          <w:spacing w:val="-24"/>
          <w:sz w:val="16"/>
        </w:rPr>
        <w:t xml:space="preserve"> </w:t>
      </w:r>
      <w:r>
        <w:rPr>
          <w:sz w:val="16"/>
        </w:rPr>
        <w:t>1429).</w:t>
      </w:r>
    </w:p>
    <w:p w14:paraId="4DFD7782" w14:textId="77777777" w:rsidR="00492688" w:rsidRDefault="00C9584B">
      <w:pPr>
        <w:tabs>
          <w:tab w:val="left" w:pos="829"/>
        </w:tabs>
        <w:spacing w:before="101"/>
        <w:ind w:left="121" w:right="115"/>
        <w:jc w:val="both"/>
        <w:rPr>
          <w:sz w:val="16"/>
        </w:rPr>
      </w:pPr>
      <w:bookmarkStart w:id="54" w:name="_bookmark39"/>
      <w:bookmarkEnd w:id="54"/>
      <w:r>
        <w:rPr>
          <w:position w:val="6"/>
          <w:sz w:val="10"/>
        </w:rPr>
        <w:t>26</w:t>
      </w:r>
      <w:r>
        <w:rPr>
          <w:position w:val="6"/>
          <w:sz w:val="10"/>
        </w:rPr>
        <w:tab/>
      </w:r>
      <w:r>
        <w:rPr>
          <w:i/>
          <w:sz w:val="16"/>
        </w:rPr>
        <w:t xml:space="preserve">Cfr. </w:t>
      </w:r>
      <w:r>
        <w:rPr>
          <w:sz w:val="16"/>
        </w:rPr>
        <w:t>Oficio No. 755-95-PCSJ, 22 de junio de 1995 (expediente de prueba, folio 7) y R</w:t>
      </w:r>
      <w:r>
        <w:rPr>
          <w:sz w:val="16"/>
        </w:rPr>
        <w:t>esolución de 21 de junio de 1995 (expediente de prueba, folio</w:t>
      </w:r>
      <w:r>
        <w:rPr>
          <w:spacing w:val="-6"/>
          <w:sz w:val="16"/>
        </w:rPr>
        <w:t xml:space="preserve"> </w:t>
      </w:r>
      <w:r>
        <w:rPr>
          <w:sz w:val="16"/>
        </w:rPr>
        <w:t>1280).</w:t>
      </w:r>
    </w:p>
    <w:p w14:paraId="0FDE90F8" w14:textId="77777777" w:rsidR="00492688" w:rsidRDefault="00C9584B">
      <w:pPr>
        <w:tabs>
          <w:tab w:val="left" w:pos="829"/>
        </w:tabs>
        <w:spacing w:before="100"/>
        <w:ind w:left="121" w:right="113" w:hanging="1"/>
        <w:jc w:val="both"/>
        <w:rPr>
          <w:sz w:val="16"/>
        </w:rPr>
      </w:pPr>
      <w:bookmarkStart w:id="55" w:name="_bookmark40"/>
      <w:bookmarkEnd w:id="55"/>
      <w:r>
        <w:rPr>
          <w:position w:val="6"/>
          <w:sz w:val="10"/>
        </w:rPr>
        <w:t>27</w:t>
      </w:r>
      <w:r>
        <w:rPr>
          <w:position w:val="6"/>
          <w:sz w:val="10"/>
        </w:rPr>
        <w:tab/>
      </w:r>
      <w:r>
        <w:rPr>
          <w:sz w:val="16"/>
        </w:rPr>
        <w:t>La Resolución mediante la cual se destituyó al señor Cordero Bernal indica que “en la concesión de la licencia por sesenta días [al titular del despacho], se produjeron irregularidades que son materia de [investigación]”. Consejo Nacional de la Magistratur</w:t>
      </w:r>
      <w:r>
        <w:rPr>
          <w:sz w:val="16"/>
        </w:rPr>
        <w:t>a, Resolución No. 008-96-PCNM de 14 de agosto de 1996 (expediente de prueba, folio</w:t>
      </w:r>
      <w:r>
        <w:rPr>
          <w:spacing w:val="-6"/>
          <w:sz w:val="16"/>
        </w:rPr>
        <w:t xml:space="preserve"> </w:t>
      </w:r>
      <w:r>
        <w:rPr>
          <w:sz w:val="16"/>
        </w:rPr>
        <w:t>10).</w:t>
      </w:r>
    </w:p>
    <w:p w14:paraId="686C2C4B" w14:textId="77777777" w:rsidR="00492688" w:rsidRDefault="00C9584B">
      <w:pPr>
        <w:tabs>
          <w:tab w:val="left" w:pos="829"/>
        </w:tabs>
        <w:spacing w:before="101"/>
        <w:ind w:left="121" w:right="115"/>
        <w:jc w:val="both"/>
        <w:rPr>
          <w:sz w:val="16"/>
        </w:rPr>
      </w:pPr>
      <w:bookmarkStart w:id="56" w:name="_bookmark41"/>
      <w:bookmarkEnd w:id="56"/>
      <w:r>
        <w:rPr>
          <w:position w:val="6"/>
          <w:sz w:val="10"/>
        </w:rPr>
        <w:t>28</w:t>
      </w:r>
      <w:r>
        <w:rPr>
          <w:position w:val="6"/>
          <w:sz w:val="10"/>
        </w:rPr>
        <w:tab/>
      </w:r>
      <w:r>
        <w:rPr>
          <w:i/>
          <w:sz w:val="16"/>
        </w:rPr>
        <w:t xml:space="preserve">Cfr. </w:t>
      </w:r>
      <w:r>
        <w:rPr>
          <w:sz w:val="16"/>
        </w:rPr>
        <w:t>Oficio No. 870-95-PCSJH de 17 de julio de 1995, suscrito por el Presidente de la Corte Superior de Huánuco-Pasco (expediente de prueba, folio</w:t>
      </w:r>
      <w:r>
        <w:rPr>
          <w:spacing w:val="-2"/>
          <w:sz w:val="16"/>
        </w:rPr>
        <w:t xml:space="preserve"> </w:t>
      </w:r>
      <w:r>
        <w:rPr>
          <w:sz w:val="16"/>
        </w:rPr>
        <w:t>1045).</w:t>
      </w:r>
    </w:p>
    <w:p w14:paraId="18EC2DEA" w14:textId="77777777" w:rsidR="00492688" w:rsidRDefault="00C9584B">
      <w:pPr>
        <w:tabs>
          <w:tab w:val="left" w:pos="829"/>
        </w:tabs>
        <w:spacing w:before="98"/>
        <w:ind w:left="122" w:right="113" w:hanging="1"/>
        <w:jc w:val="both"/>
        <w:rPr>
          <w:sz w:val="16"/>
        </w:rPr>
      </w:pPr>
      <w:bookmarkStart w:id="57" w:name="_bookmark42"/>
      <w:bookmarkEnd w:id="57"/>
      <w:r>
        <w:rPr>
          <w:position w:val="6"/>
          <w:sz w:val="10"/>
        </w:rPr>
        <w:t>29</w:t>
      </w:r>
      <w:r>
        <w:rPr>
          <w:position w:val="6"/>
          <w:sz w:val="10"/>
        </w:rPr>
        <w:tab/>
      </w:r>
      <w:r>
        <w:rPr>
          <w:i/>
          <w:sz w:val="16"/>
        </w:rPr>
        <w:t xml:space="preserve">Cfr. </w:t>
      </w:r>
      <w:r>
        <w:rPr>
          <w:sz w:val="16"/>
        </w:rPr>
        <w:t>Atestado No. 002-DINANDRO-BPSL-UI de 29 de marzo de 1995, relacionado con el delito de tráfico ilícito de drogas (expediente de prueba, folios 1106 a 1120); Resolución No. 01 de 31 de marzo de 1995 del Primer Juzgado Penal de Huánuco (expediente de pr</w:t>
      </w:r>
      <w:r>
        <w:rPr>
          <w:sz w:val="16"/>
        </w:rPr>
        <w:t>ueba, folios 1125 a 1127) y Oficio No. 890-95 de 10 de abril de 1995, del Juez del Primer Juzgado Penal de Huánuco (expediente de prueba, folio</w:t>
      </w:r>
      <w:r>
        <w:rPr>
          <w:spacing w:val="-30"/>
          <w:sz w:val="16"/>
        </w:rPr>
        <w:t xml:space="preserve"> </w:t>
      </w:r>
      <w:r>
        <w:rPr>
          <w:sz w:val="16"/>
        </w:rPr>
        <w:t>1133).</w:t>
      </w:r>
    </w:p>
    <w:p w14:paraId="37AA165E" w14:textId="77777777" w:rsidR="00492688" w:rsidRDefault="00C9584B">
      <w:pPr>
        <w:tabs>
          <w:tab w:val="left" w:pos="829"/>
        </w:tabs>
        <w:spacing w:before="101"/>
        <w:ind w:left="121" w:right="116"/>
        <w:jc w:val="both"/>
        <w:rPr>
          <w:sz w:val="16"/>
        </w:rPr>
      </w:pPr>
      <w:bookmarkStart w:id="58" w:name="_bookmark43"/>
      <w:bookmarkEnd w:id="58"/>
      <w:r>
        <w:rPr>
          <w:position w:val="6"/>
          <w:sz w:val="10"/>
        </w:rPr>
        <w:t>30</w:t>
      </w:r>
      <w:r>
        <w:rPr>
          <w:position w:val="6"/>
          <w:sz w:val="10"/>
        </w:rPr>
        <w:tab/>
      </w:r>
      <w:r>
        <w:rPr>
          <w:i/>
          <w:sz w:val="16"/>
        </w:rPr>
        <w:t xml:space="preserve">Cfr. </w:t>
      </w:r>
      <w:r>
        <w:rPr>
          <w:sz w:val="16"/>
        </w:rPr>
        <w:t>Escrito de 30 de junio de 1995, en el que los procesados solicitan la libertad incondicional (exp</w:t>
      </w:r>
      <w:r>
        <w:rPr>
          <w:sz w:val="16"/>
        </w:rPr>
        <w:t>ediente de prueba, folios 1149 a</w:t>
      </w:r>
      <w:r>
        <w:rPr>
          <w:spacing w:val="-9"/>
          <w:sz w:val="16"/>
        </w:rPr>
        <w:t xml:space="preserve"> </w:t>
      </w:r>
      <w:r>
        <w:rPr>
          <w:sz w:val="16"/>
        </w:rPr>
        <w:t>1153).</w:t>
      </w:r>
    </w:p>
    <w:p w14:paraId="1328DC02" w14:textId="77777777" w:rsidR="00492688" w:rsidRDefault="00C9584B">
      <w:pPr>
        <w:tabs>
          <w:tab w:val="left" w:pos="829"/>
        </w:tabs>
        <w:spacing w:before="101"/>
        <w:ind w:left="122" w:right="118" w:hanging="1"/>
        <w:jc w:val="both"/>
        <w:rPr>
          <w:sz w:val="16"/>
        </w:rPr>
      </w:pPr>
      <w:bookmarkStart w:id="59" w:name="_bookmark44"/>
      <w:bookmarkEnd w:id="59"/>
      <w:r>
        <w:rPr>
          <w:position w:val="6"/>
          <w:sz w:val="10"/>
        </w:rPr>
        <w:t>31</w:t>
      </w:r>
      <w:r>
        <w:rPr>
          <w:position w:val="6"/>
          <w:sz w:val="10"/>
        </w:rPr>
        <w:tab/>
      </w:r>
      <w:r>
        <w:rPr>
          <w:i/>
          <w:sz w:val="16"/>
        </w:rPr>
        <w:t xml:space="preserve">Cfr. </w:t>
      </w:r>
      <w:r>
        <w:rPr>
          <w:sz w:val="16"/>
        </w:rPr>
        <w:t>Oficina de Control de la Magistratura del Poder Judicial. Informe de 21 de julio de 1995 (expediente de prueba, folio</w:t>
      </w:r>
      <w:r>
        <w:rPr>
          <w:spacing w:val="-6"/>
          <w:sz w:val="16"/>
        </w:rPr>
        <w:t xml:space="preserve"> </w:t>
      </w:r>
      <w:r>
        <w:rPr>
          <w:sz w:val="16"/>
        </w:rPr>
        <w:t>1089).</w:t>
      </w:r>
    </w:p>
    <w:p w14:paraId="218CF39F" w14:textId="77777777" w:rsidR="00492688" w:rsidRDefault="00C9584B">
      <w:pPr>
        <w:tabs>
          <w:tab w:val="left" w:pos="829"/>
        </w:tabs>
        <w:spacing w:before="98"/>
        <w:ind w:left="122" w:right="114" w:hanging="2"/>
        <w:jc w:val="both"/>
        <w:rPr>
          <w:sz w:val="16"/>
        </w:rPr>
      </w:pPr>
      <w:bookmarkStart w:id="60" w:name="_bookmark45"/>
      <w:bookmarkEnd w:id="60"/>
      <w:r>
        <w:rPr>
          <w:position w:val="6"/>
          <w:sz w:val="10"/>
        </w:rPr>
        <w:t>32</w:t>
      </w:r>
      <w:r>
        <w:rPr>
          <w:position w:val="6"/>
          <w:sz w:val="10"/>
        </w:rPr>
        <w:tab/>
      </w:r>
      <w:r>
        <w:rPr>
          <w:i/>
          <w:sz w:val="16"/>
        </w:rPr>
        <w:t xml:space="preserve">Cfr. </w:t>
      </w:r>
      <w:r>
        <w:rPr>
          <w:sz w:val="16"/>
        </w:rPr>
        <w:t>Auto de 11 de julio de 1995, emitido por el Juez del Primer Juzgado Penal d</w:t>
      </w:r>
      <w:r>
        <w:rPr>
          <w:sz w:val="16"/>
        </w:rPr>
        <w:t>e Huánuco (expediente de prueba, folios 1155 a</w:t>
      </w:r>
      <w:r>
        <w:rPr>
          <w:spacing w:val="-9"/>
          <w:sz w:val="16"/>
        </w:rPr>
        <w:t xml:space="preserve"> </w:t>
      </w:r>
      <w:r>
        <w:rPr>
          <w:sz w:val="16"/>
        </w:rPr>
        <w:t>1162).</w:t>
      </w:r>
    </w:p>
    <w:p w14:paraId="376AEBC3" w14:textId="77777777" w:rsidR="00492688" w:rsidRDefault="00C9584B">
      <w:pPr>
        <w:tabs>
          <w:tab w:val="left" w:pos="829"/>
        </w:tabs>
        <w:spacing w:before="101"/>
        <w:ind w:left="121"/>
        <w:jc w:val="both"/>
        <w:rPr>
          <w:sz w:val="16"/>
        </w:rPr>
      </w:pPr>
      <w:bookmarkStart w:id="61" w:name="_bookmark46"/>
      <w:bookmarkEnd w:id="61"/>
      <w:r>
        <w:rPr>
          <w:position w:val="6"/>
          <w:sz w:val="10"/>
        </w:rPr>
        <w:t>33</w:t>
      </w:r>
      <w:r>
        <w:rPr>
          <w:position w:val="6"/>
          <w:sz w:val="10"/>
        </w:rPr>
        <w:tab/>
      </w:r>
      <w:r>
        <w:rPr>
          <w:sz w:val="16"/>
        </w:rPr>
        <w:t>El</w:t>
      </w:r>
      <w:r>
        <w:rPr>
          <w:spacing w:val="23"/>
          <w:sz w:val="16"/>
        </w:rPr>
        <w:t xml:space="preserve"> </w:t>
      </w:r>
      <w:r>
        <w:rPr>
          <w:sz w:val="16"/>
        </w:rPr>
        <w:t>artículo</w:t>
      </w:r>
      <w:r>
        <w:rPr>
          <w:spacing w:val="22"/>
          <w:sz w:val="16"/>
        </w:rPr>
        <w:t xml:space="preserve"> </w:t>
      </w:r>
      <w:r>
        <w:rPr>
          <w:sz w:val="16"/>
        </w:rPr>
        <w:t>201</w:t>
      </w:r>
      <w:r>
        <w:rPr>
          <w:spacing w:val="22"/>
          <w:sz w:val="16"/>
        </w:rPr>
        <w:t xml:space="preserve"> </w:t>
      </w:r>
      <w:r>
        <w:rPr>
          <w:sz w:val="16"/>
        </w:rPr>
        <w:t>del</w:t>
      </w:r>
      <w:r>
        <w:rPr>
          <w:spacing w:val="18"/>
          <w:sz w:val="16"/>
        </w:rPr>
        <w:t xml:space="preserve"> </w:t>
      </w:r>
      <w:r>
        <w:rPr>
          <w:sz w:val="16"/>
        </w:rPr>
        <w:t>Código</w:t>
      </w:r>
      <w:r>
        <w:rPr>
          <w:spacing w:val="20"/>
          <w:sz w:val="16"/>
        </w:rPr>
        <w:t xml:space="preserve"> </w:t>
      </w:r>
      <w:r>
        <w:rPr>
          <w:sz w:val="16"/>
        </w:rPr>
        <w:t>de</w:t>
      </w:r>
      <w:r>
        <w:rPr>
          <w:spacing w:val="22"/>
          <w:sz w:val="16"/>
        </w:rPr>
        <w:t xml:space="preserve"> </w:t>
      </w:r>
      <w:r>
        <w:rPr>
          <w:sz w:val="16"/>
        </w:rPr>
        <w:t>Procedimiento</w:t>
      </w:r>
      <w:r>
        <w:rPr>
          <w:spacing w:val="22"/>
          <w:sz w:val="16"/>
        </w:rPr>
        <w:t xml:space="preserve"> </w:t>
      </w:r>
      <w:r>
        <w:rPr>
          <w:sz w:val="16"/>
        </w:rPr>
        <w:t>Penal</w:t>
      </w:r>
      <w:r>
        <w:rPr>
          <w:spacing w:val="21"/>
          <w:sz w:val="16"/>
        </w:rPr>
        <w:t xml:space="preserve"> </w:t>
      </w:r>
      <w:r>
        <w:rPr>
          <w:sz w:val="16"/>
        </w:rPr>
        <w:t>peruano</w:t>
      </w:r>
      <w:r>
        <w:rPr>
          <w:spacing w:val="23"/>
          <w:sz w:val="16"/>
        </w:rPr>
        <w:t xml:space="preserve"> </w:t>
      </w:r>
      <w:r>
        <w:rPr>
          <w:sz w:val="16"/>
        </w:rPr>
        <w:t>vigente</w:t>
      </w:r>
      <w:r>
        <w:rPr>
          <w:spacing w:val="22"/>
          <w:sz w:val="16"/>
        </w:rPr>
        <w:t xml:space="preserve"> </w:t>
      </w:r>
      <w:r>
        <w:rPr>
          <w:sz w:val="16"/>
        </w:rPr>
        <w:t>para</w:t>
      </w:r>
      <w:r>
        <w:rPr>
          <w:spacing w:val="21"/>
          <w:sz w:val="16"/>
        </w:rPr>
        <w:t xml:space="preserve"> </w:t>
      </w:r>
      <w:r>
        <w:rPr>
          <w:sz w:val="16"/>
        </w:rPr>
        <w:t>la</w:t>
      </w:r>
      <w:r>
        <w:rPr>
          <w:spacing w:val="19"/>
          <w:sz w:val="16"/>
        </w:rPr>
        <w:t xml:space="preserve"> </w:t>
      </w:r>
      <w:r>
        <w:rPr>
          <w:sz w:val="16"/>
        </w:rPr>
        <w:t>fecha</w:t>
      </w:r>
      <w:r>
        <w:rPr>
          <w:spacing w:val="21"/>
          <w:sz w:val="16"/>
        </w:rPr>
        <w:t xml:space="preserve"> </w:t>
      </w:r>
      <w:r>
        <w:rPr>
          <w:sz w:val="16"/>
        </w:rPr>
        <w:t>de</w:t>
      </w:r>
      <w:r>
        <w:rPr>
          <w:spacing w:val="22"/>
          <w:sz w:val="16"/>
        </w:rPr>
        <w:t xml:space="preserve"> </w:t>
      </w:r>
      <w:r>
        <w:rPr>
          <w:sz w:val="16"/>
        </w:rPr>
        <w:t>los</w:t>
      </w:r>
      <w:r>
        <w:rPr>
          <w:spacing w:val="24"/>
          <w:sz w:val="16"/>
        </w:rPr>
        <w:t xml:space="preserve"> </w:t>
      </w:r>
      <w:r>
        <w:rPr>
          <w:sz w:val="16"/>
        </w:rPr>
        <w:t>hechos</w:t>
      </w:r>
      <w:r>
        <w:rPr>
          <w:spacing w:val="17"/>
          <w:sz w:val="16"/>
        </w:rPr>
        <w:t xml:space="preserve"> </w:t>
      </w:r>
      <w:r>
        <w:rPr>
          <w:sz w:val="16"/>
        </w:rPr>
        <w:t>y</w:t>
      </w:r>
    </w:p>
    <w:p w14:paraId="1BE358E1" w14:textId="77777777" w:rsidR="00492688" w:rsidRDefault="00492688">
      <w:pPr>
        <w:jc w:val="both"/>
        <w:rPr>
          <w:sz w:val="16"/>
        </w:rPr>
        <w:sectPr w:rsidR="00492688">
          <w:pgSz w:w="12240" w:h="15840"/>
          <w:pgMar w:top="1340" w:right="1580" w:bottom="280" w:left="1580" w:header="720" w:footer="720" w:gutter="0"/>
          <w:cols w:space="720"/>
        </w:sectPr>
      </w:pPr>
    </w:p>
    <w:p w14:paraId="7BD57CB0" w14:textId="77777777" w:rsidR="00492688" w:rsidRDefault="00C9584B">
      <w:pPr>
        <w:pStyle w:val="Textoindependiente"/>
        <w:spacing w:before="79"/>
        <w:ind w:left="121" w:right="118"/>
        <w:jc w:val="both"/>
      </w:pPr>
      <w:r>
        <w:lastRenderedPageBreak/>
        <w:t>demostraba plenamente la inculpabilidad del encausado. A juicio del entonces juez Cordero Bernal, no había prueba suficiente que implicara la responsabilidad penal de los procesados por el delito de tráfico ilícito de drogas</w:t>
      </w:r>
      <w:hyperlink w:anchor="_bookmark49" w:history="1">
        <w:r>
          <w:rPr>
            <w:position w:val="7"/>
            <w:sz w:val="13"/>
          </w:rPr>
          <w:t>3</w:t>
        </w:r>
        <w:r>
          <w:rPr>
            <w:position w:val="7"/>
            <w:sz w:val="13"/>
          </w:rPr>
          <w:t>4</w:t>
        </w:r>
      </w:hyperlink>
      <w:r>
        <w:t>. El 17 de julio siguiente, el Presidente de la Corte Superior de Justicia de Huánuco encargó de las funciones del Primer Juzgado Penal al Juez Tercero Penal de Huánuco, con lo que se dio</w:t>
      </w:r>
      <w:r>
        <w:rPr>
          <w:spacing w:val="35"/>
        </w:rPr>
        <w:t xml:space="preserve"> </w:t>
      </w:r>
      <w:r>
        <w:t>por terminado el encargo del señor Cordero</w:t>
      </w:r>
      <w:r>
        <w:rPr>
          <w:spacing w:val="-1"/>
        </w:rPr>
        <w:t xml:space="preserve"> </w:t>
      </w:r>
      <w:r>
        <w:t>Bernal</w:t>
      </w:r>
      <w:hyperlink w:anchor="_bookmark50" w:history="1">
        <w:r>
          <w:rPr>
            <w:position w:val="7"/>
            <w:sz w:val="13"/>
          </w:rPr>
          <w:t>35</w:t>
        </w:r>
      </w:hyperlink>
      <w:r>
        <w:t>.</w:t>
      </w:r>
    </w:p>
    <w:p w14:paraId="481D5AAE" w14:textId="77777777" w:rsidR="00492688" w:rsidRDefault="00492688">
      <w:pPr>
        <w:pStyle w:val="Textoindependiente"/>
      </w:pPr>
    </w:p>
    <w:p w14:paraId="292CB109" w14:textId="77777777" w:rsidR="00492688" w:rsidRDefault="00C9584B">
      <w:pPr>
        <w:pStyle w:val="Ttulo1"/>
        <w:numPr>
          <w:ilvl w:val="0"/>
          <w:numId w:val="9"/>
        </w:numPr>
        <w:tabs>
          <w:tab w:val="left" w:pos="830"/>
        </w:tabs>
        <w:ind w:left="829" w:hanging="349"/>
      </w:pPr>
      <w:bookmarkStart w:id="62" w:name="D._Proceso_disciplinario"/>
      <w:bookmarkStart w:id="63" w:name="_bookmark47"/>
      <w:bookmarkEnd w:id="62"/>
      <w:bookmarkEnd w:id="63"/>
      <w:r>
        <w:t>Proceso disciplinario</w:t>
      </w:r>
    </w:p>
    <w:p w14:paraId="3290685C" w14:textId="77777777" w:rsidR="00492688" w:rsidRDefault="00492688">
      <w:pPr>
        <w:pStyle w:val="Textoindependiente"/>
        <w:spacing w:before="10"/>
        <w:rPr>
          <w:b/>
          <w:sz w:val="19"/>
        </w:rPr>
      </w:pPr>
    </w:p>
    <w:p w14:paraId="69004CD6" w14:textId="77777777" w:rsidR="00492688" w:rsidRDefault="00C9584B">
      <w:pPr>
        <w:pStyle w:val="Ttulo2"/>
        <w:numPr>
          <w:ilvl w:val="1"/>
          <w:numId w:val="9"/>
        </w:numPr>
        <w:tabs>
          <w:tab w:val="left" w:pos="1358"/>
        </w:tabs>
        <w:spacing w:before="1"/>
        <w:ind w:right="118" w:firstLine="0"/>
      </w:pPr>
      <w:bookmarkStart w:id="64" w:name="D.1_Proceso_seguido_ante_la_Oficina_de_C"/>
      <w:bookmarkStart w:id="65" w:name="_bookmark48"/>
      <w:bookmarkEnd w:id="64"/>
      <w:bookmarkEnd w:id="65"/>
      <w:r>
        <w:t xml:space="preserve">Proceso seguido ante la Oficina de Control de la Magistratura </w:t>
      </w:r>
      <w:r>
        <w:t>(OCMA)</w:t>
      </w:r>
    </w:p>
    <w:p w14:paraId="4B90AF85" w14:textId="77777777" w:rsidR="00492688" w:rsidRDefault="00492688">
      <w:pPr>
        <w:pStyle w:val="Textoindependiente"/>
        <w:rPr>
          <w:b/>
          <w:i/>
        </w:rPr>
      </w:pPr>
    </w:p>
    <w:p w14:paraId="08AA4BE0" w14:textId="77777777" w:rsidR="00492688" w:rsidRDefault="00C9584B">
      <w:pPr>
        <w:pStyle w:val="Prrafodelista"/>
        <w:numPr>
          <w:ilvl w:val="0"/>
          <w:numId w:val="12"/>
        </w:numPr>
        <w:tabs>
          <w:tab w:val="left" w:pos="689"/>
        </w:tabs>
        <w:ind w:right="119" w:firstLine="0"/>
        <w:jc w:val="both"/>
        <w:rPr>
          <w:sz w:val="20"/>
        </w:rPr>
      </w:pPr>
      <w:r>
        <w:rPr>
          <w:sz w:val="20"/>
        </w:rPr>
        <w:t>Luego de expedida la Resolución en la que concedía la libertad incondicional, la oficina de Control de la Magistratura del Poder Judicial (en adelante, “OCMA”) inició un proceso disciplinario en contra del señor Cordero Bernal</w:t>
      </w:r>
      <w:hyperlink w:anchor="_bookmark51" w:history="1">
        <w:r>
          <w:rPr>
            <w:position w:val="7"/>
            <w:sz w:val="13"/>
          </w:rPr>
          <w:t>36</w:t>
        </w:r>
      </w:hyperlink>
      <w:r>
        <w:rPr>
          <w:sz w:val="20"/>
        </w:rPr>
        <w:t>. Una vez finalizada la etapa de investigación, la Magistrada a cargo emitió un informe que daba cuenta de irregularidades en su encargo en el Primer Juzgado Penal de Huánuco y en la Resolución en la que otorgó la libertad incondicional a dos</w:t>
      </w:r>
      <w:r>
        <w:rPr>
          <w:spacing w:val="-14"/>
          <w:sz w:val="20"/>
        </w:rPr>
        <w:t xml:space="preserve"> </w:t>
      </w:r>
      <w:r>
        <w:rPr>
          <w:sz w:val="20"/>
        </w:rPr>
        <w:t>procesados</w:t>
      </w:r>
      <w:r>
        <w:rPr>
          <w:sz w:val="20"/>
        </w:rPr>
        <w:t>.</w:t>
      </w:r>
    </w:p>
    <w:p w14:paraId="082D7997" w14:textId="77777777" w:rsidR="00492688" w:rsidRDefault="00492688">
      <w:pPr>
        <w:pStyle w:val="Textoindependiente"/>
      </w:pPr>
    </w:p>
    <w:p w14:paraId="539E4595" w14:textId="77777777" w:rsidR="00492688" w:rsidRDefault="00C9584B">
      <w:pPr>
        <w:pStyle w:val="Prrafodelista"/>
        <w:numPr>
          <w:ilvl w:val="0"/>
          <w:numId w:val="12"/>
        </w:numPr>
        <w:tabs>
          <w:tab w:val="left" w:pos="688"/>
        </w:tabs>
        <w:ind w:right="117" w:firstLine="0"/>
        <w:jc w:val="both"/>
        <w:rPr>
          <w:sz w:val="20"/>
        </w:rPr>
      </w:pPr>
      <w:r>
        <w:rPr>
          <w:sz w:val="20"/>
        </w:rPr>
        <w:t>En relación con las irregularidades en el encargo del señor Cordero Bernal, el informe señaló, entre otros: (i) que el Acta de la sesión de Sala Plena de la Corte Superior de Justicia de Huánuco de 21 de junio de 1995, en la que se habría decidido el en</w:t>
      </w:r>
      <w:r>
        <w:rPr>
          <w:sz w:val="20"/>
        </w:rPr>
        <w:t>cargo del señor Cordero Bernal, no estaba transcrita en el libro destinado para tal fin, “hecho que recién se cumplió el 19 de Julio […]” mediante acta que solo fue suscrita por el Presidente de la Corte y el secretario administrativo; (ii) que según se de</w:t>
      </w:r>
      <w:r>
        <w:rPr>
          <w:sz w:val="20"/>
        </w:rPr>
        <w:t xml:space="preserve">sprende del resumen de la citada sesión de Sala Plena y de declaraciones recabadas por la investigadora, la decisión adoptada fue la de encargar en el Primer Juzgado Penal a juez del despacho más remoto, que correspondía al Quinto Juzgado Penal, no al del </w:t>
      </w:r>
      <w:r>
        <w:rPr>
          <w:sz w:val="20"/>
        </w:rPr>
        <w:t>señor Cordero Bernal; y (iii) que la resolución en la que se designa al</w:t>
      </w:r>
      <w:r>
        <w:rPr>
          <w:spacing w:val="6"/>
          <w:sz w:val="20"/>
        </w:rPr>
        <w:t xml:space="preserve"> </w:t>
      </w:r>
      <w:r>
        <w:rPr>
          <w:sz w:val="20"/>
        </w:rPr>
        <w:t>señor</w:t>
      </w:r>
    </w:p>
    <w:p w14:paraId="79E05A04" w14:textId="77777777" w:rsidR="00492688" w:rsidRDefault="00492688">
      <w:pPr>
        <w:pStyle w:val="Textoindependiente"/>
      </w:pPr>
    </w:p>
    <w:p w14:paraId="2EEA3315" w14:textId="5D86E557" w:rsidR="00492688" w:rsidRDefault="00C9584B">
      <w:pPr>
        <w:pStyle w:val="Textoindependiente"/>
        <w:spacing w:before="8"/>
        <w:rPr>
          <w:sz w:val="16"/>
        </w:rPr>
      </w:pPr>
      <w:r>
        <w:rPr>
          <w:noProof/>
        </w:rPr>
        <mc:AlternateContent>
          <mc:Choice Requires="wps">
            <w:drawing>
              <wp:anchor distT="0" distB="0" distL="0" distR="0" simplePos="0" relativeHeight="251666432" behindDoc="1" locked="0" layoutInCell="1" allowOverlap="1" wp14:anchorId="50751949" wp14:editId="47387FAD">
                <wp:simplePos x="0" y="0"/>
                <wp:positionH relativeFrom="page">
                  <wp:posOffset>1080770</wp:posOffset>
                </wp:positionH>
                <wp:positionV relativeFrom="paragraph">
                  <wp:posOffset>157480</wp:posOffset>
                </wp:positionV>
                <wp:extent cx="5611495" cy="1270"/>
                <wp:effectExtent l="0" t="0" r="0" b="0"/>
                <wp:wrapTopAndBottom/>
                <wp:docPr id="3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1495" cy="1270"/>
                        </a:xfrm>
                        <a:custGeom>
                          <a:avLst/>
                          <a:gdLst>
                            <a:gd name="T0" fmla="+- 0 1702 1702"/>
                            <a:gd name="T1" fmla="*/ T0 w 8837"/>
                            <a:gd name="T2" fmla="+- 0 10538 1702"/>
                            <a:gd name="T3" fmla="*/ T2 w 8837"/>
                          </a:gdLst>
                          <a:ahLst/>
                          <a:cxnLst>
                            <a:cxn ang="0">
                              <a:pos x="T1" y="0"/>
                            </a:cxn>
                            <a:cxn ang="0">
                              <a:pos x="T3" y="0"/>
                            </a:cxn>
                          </a:cxnLst>
                          <a:rect l="0" t="0" r="r" b="b"/>
                          <a:pathLst>
                            <a:path w="8837">
                              <a:moveTo>
                                <a:pt x="0" y="0"/>
                              </a:moveTo>
                              <a:lnTo>
                                <a:pt x="8836"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7B54E" id="Freeform 34" o:spid="_x0000_s1026" style="position:absolute;margin-left:85.1pt;margin-top:12.4pt;width:441.8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" path="m,l8836,e" filled="f" strokeweight=".6pt">
                <v:path arrowok="t" o:connecttype="custom" o:connectlocs="0,0;5610860,0" o:connectangles="0,0"/>
                <w10:wrap type="topAndBottom" anchorx="page"/>
              </v:shape>
            </w:pict>
          </mc:Fallback>
        </mc:AlternateContent>
      </w:r>
    </w:p>
    <w:p w14:paraId="69B66832" w14:textId="77777777" w:rsidR="00492688" w:rsidRDefault="00C9584B">
      <w:pPr>
        <w:spacing w:before="74"/>
        <w:ind w:left="122" w:right="113" w:hanging="1"/>
        <w:jc w:val="both"/>
        <w:rPr>
          <w:sz w:val="16"/>
        </w:rPr>
      </w:pPr>
      <w:r>
        <w:rPr>
          <w:sz w:val="16"/>
        </w:rPr>
        <w:t>transcrito en el Informe de Fondo de la Comisión, establecía: “Si en cualquier estado de la instrucción se demuestra plenamente la inculpabilidad del encausado, el Juez de ofi</w:t>
      </w:r>
      <w:r>
        <w:rPr>
          <w:sz w:val="16"/>
        </w:rPr>
        <w:t xml:space="preserve">cio o a pedido del inculpado deberá ordenar su libertad incondicional y el auto que lo disponga se ejecutará inmediatamente, debiendo elevar al Tribunal Correccional el cuaderno respectivo cuando hayan otros procesados que deben continuar detenidos. Si la </w:t>
      </w:r>
      <w:r>
        <w:rPr>
          <w:sz w:val="16"/>
        </w:rPr>
        <w:t>causa se sigue sólo contra el que es objeto de libertad, se elevará el expediente principal. En este caso, si el Tribunal aprueba, el consultado ordenará el archivamiento del proceso. Si desaprueba el auto dispondrá la recaptura del indebidamente liberado,</w:t>
      </w:r>
      <w:r>
        <w:rPr>
          <w:sz w:val="16"/>
        </w:rPr>
        <w:t xml:space="preserve"> pudiendo imponer las sanciones o disponer las acciones que correspondan si la libertad ha sido maliciosa” (expediente de fondo, folios 11 a 12).</w:t>
      </w:r>
    </w:p>
    <w:p w14:paraId="15C82F84" w14:textId="77777777" w:rsidR="00492688" w:rsidRDefault="00C9584B">
      <w:pPr>
        <w:tabs>
          <w:tab w:val="left" w:pos="829"/>
        </w:tabs>
        <w:spacing w:before="98"/>
        <w:ind w:left="121" w:right="114"/>
        <w:jc w:val="both"/>
        <w:rPr>
          <w:sz w:val="16"/>
        </w:rPr>
      </w:pPr>
      <w:bookmarkStart w:id="66" w:name="_bookmark49"/>
      <w:bookmarkEnd w:id="66"/>
      <w:r>
        <w:rPr>
          <w:position w:val="6"/>
          <w:sz w:val="10"/>
        </w:rPr>
        <w:t>34</w:t>
      </w:r>
      <w:r>
        <w:rPr>
          <w:position w:val="6"/>
          <w:sz w:val="10"/>
        </w:rPr>
        <w:tab/>
      </w:r>
      <w:r>
        <w:rPr>
          <w:i/>
          <w:sz w:val="16"/>
        </w:rPr>
        <w:t xml:space="preserve">Cfr. </w:t>
      </w:r>
      <w:r>
        <w:rPr>
          <w:sz w:val="16"/>
        </w:rPr>
        <w:t>Auto de 11 de julio de 1995, emitido por el señor Héctor Fidel Cordero Bernal, Juez del Primer Juzgado</w:t>
      </w:r>
      <w:r>
        <w:rPr>
          <w:sz w:val="16"/>
        </w:rPr>
        <w:t xml:space="preserve"> Penal de Huánuco (expediente de prueba, folios 1055 a 1056). La decisión del señor Cordero Bernal de conceder la libertad incondicional a los dos procesados fue apelada por el fiscal a cargo del caso. En el mismo recurso, el fiscal solicitó copia de todo </w:t>
      </w:r>
      <w:r>
        <w:rPr>
          <w:sz w:val="16"/>
        </w:rPr>
        <w:t>lo actuado, con el fin de que fuese elevado al Fiscal Superior Decano y a la Fiscal de la Nación. En atención a dicha solicitud, el señor Cordero Bernal elevó en consulta al Presidente de la Primera Sala Penal Superior, el auto que concede la libertad inco</w:t>
      </w:r>
      <w:r>
        <w:rPr>
          <w:sz w:val="16"/>
        </w:rPr>
        <w:t>ndicional. Esta última, resolvió desaprobar el auto consultado y dispuso la captura de las personas indebidamente liberadas (expediente de prueba, folio</w:t>
      </w:r>
      <w:r>
        <w:rPr>
          <w:spacing w:val="-6"/>
          <w:sz w:val="16"/>
        </w:rPr>
        <w:t xml:space="preserve"> </w:t>
      </w:r>
      <w:r>
        <w:rPr>
          <w:sz w:val="16"/>
        </w:rPr>
        <w:t>1180).</w:t>
      </w:r>
    </w:p>
    <w:p w14:paraId="3BD39D44" w14:textId="77777777" w:rsidR="00492688" w:rsidRDefault="00C9584B">
      <w:pPr>
        <w:tabs>
          <w:tab w:val="left" w:pos="829"/>
        </w:tabs>
        <w:spacing w:before="100"/>
        <w:ind w:left="121" w:right="115"/>
        <w:jc w:val="both"/>
        <w:rPr>
          <w:sz w:val="16"/>
        </w:rPr>
      </w:pPr>
      <w:bookmarkStart w:id="67" w:name="_bookmark50"/>
      <w:bookmarkEnd w:id="67"/>
      <w:r>
        <w:rPr>
          <w:position w:val="6"/>
          <w:sz w:val="10"/>
        </w:rPr>
        <w:t>35</w:t>
      </w:r>
      <w:r>
        <w:rPr>
          <w:position w:val="6"/>
          <w:sz w:val="10"/>
        </w:rPr>
        <w:tab/>
      </w:r>
      <w:r>
        <w:rPr>
          <w:i/>
          <w:sz w:val="16"/>
        </w:rPr>
        <w:t xml:space="preserve">Cfr. </w:t>
      </w:r>
      <w:r>
        <w:rPr>
          <w:sz w:val="16"/>
        </w:rPr>
        <w:t>Oficio No. 870-95-PCSJH de 17 de julio de 1995, suscrito por el Presidente de la Corte S</w:t>
      </w:r>
      <w:r>
        <w:rPr>
          <w:sz w:val="16"/>
        </w:rPr>
        <w:t>uperior de Huánuco-Pasco (expediente de prueba, folio</w:t>
      </w:r>
      <w:r>
        <w:rPr>
          <w:spacing w:val="-2"/>
          <w:sz w:val="16"/>
        </w:rPr>
        <w:t xml:space="preserve"> </w:t>
      </w:r>
      <w:r>
        <w:rPr>
          <w:sz w:val="16"/>
        </w:rPr>
        <w:t>1045).</w:t>
      </w:r>
    </w:p>
    <w:p w14:paraId="40450A07" w14:textId="77777777" w:rsidR="00492688" w:rsidRDefault="00C9584B">
      <w:pPr>
        <w:tabs>
          <w:tab w:val="left" w:pos="829"/>
        </w:tabs>
        <w:spacing w:before="101"/>
        <w:ind w:left="119" w:right="116" w:firstLine="2"/>
        <w:jc w:val="both"/>
        <w:rPr>
          <w:sz w:val="16"/>
        </w:rPr>
      </w:pPr>
      <w:bookmarkStart w:id="68" w:name="_bookmark51"/>
      <w:bookmarkEnd w:id="68"/>
      <w:r>
        <w:rPr>
          <w:position w:val="6"/>
          <w:sz w:val="10"/>
        </w:rPr>
        <w:t>36</w:t>
      </w:r>
      <w:r>
        <w:rPr>
          <w:position w:val="6"/>
          <w:sz w:val="10"/>
        </w:rPr>
        <w:tab/>
      </w:r>
      <w:r>
        <w:rPr>
          <w:sz w:val="16"/>
        </w:rPr>
        <w:t xml:space="preserve">La OCMA ordenó una visita al Cuarto Juzgado Penal de la Corte Superior de Justicia de Huánuco. </w:t>
      </w:r>
      <w:r>
        <w:rPr>
          <w:spacing w:val="-4"/>
          <w:sz w:val="16"/>
        </w:rPr>
        <w:t xml:space="preserve">En </w:t>
      </w:r>
      <w:r>
        <w:rPr>
          <w:sz w:val="16"/>
        </w:rPr>
        <w:t xml:space="preserve">dicha visita, la Magistrada encargada dispuso la asistencia del señor Cordero Bernal a la Sala de Acuerdos de la Corte Superior de Justicia de Huánuco, para poner en su conocimiento la investigación adelantada y tomar su declaración. </w:t>
      </w:r>
      <w:r>
        <w:rPr>
          <w:i/>
          <w:sz w:val="16"/>
        </w:rPr>
        <w:t xml:space="preserve">Cfr. </w:t>
      </w:r>
      <w:r>
        <w:rPr>
          <w:sz w:val="16"/>
        </w:rPr>
        <w:t>Resolución No. 01</w:t>
      </w:r>
      <w:r>
        <w:rPr>
          <w:sz w:val="16"/>
        </w:rPr>
        <w:t>7-95 de 17 de julio de 1995, emitida por el Jefe de la Oficina de Control de la Magistratura del Poder Judicial (expediente de prueba, folio 1216); Oficio de 19 de julio de 1995, que ordena recibir la declaración del señor Héctor Fidel Cordero Bernal (expe</w:t>
      </w:r>
      <w:r>
        <w:rPr>
          <w:sz w:val="16"/>
        </w:rPr>
        <w:t>diente de prueba, folio 1218) y Declaración del señor Héctor Fidel Cordero Bernal de 19 de julio de 1995 (expediente de prueba, folios 1257 a</w:t>
      </w:r>
      <w:r>
        <w:rPr>
          <w:spacing w:val="-5"/>
          <w:sz w:val="16"/>
        </w:rPr>
        <w:t xml:space="preserve"> </w:t>
      </w:r>
      <w:r>
        <w:rPr>
          <w:sz w:val="16"/>
        </w:rPr>
        <w:t>1262).</w:t>
      </w:r>
    </w:p>
    <w:p w14:paraId="339E7D98" w14:textId="77777777" w:rsidR="00492688" w:rsidRDefault="00492688">
      <w:pPr>
        <w:jc w:val="both"/>
        <w:rPr>
          <w:sz w:val="16"/>
        </w:rPr>
        <w:sectPr w:rsidR="00492688">
          <w:pgSz w:w="12240" w:h="15840"/>
          <w:pgMar w:top="1340" w:right="1580" w:bottom="280" w:left="1580" w:header="720" w:footer="720" w:gutter="0"/>
          <w:cols w:space="720"/>
        </w:sectPr>
      </w:pPr>
    </w:p>
    <w:p w14:paraId="6244FBE5" w14:textId="77777777" w:rsidR="00492688" w:rsidRDefault="00C9584B">
      <w:pPr>
        <w:pStyle w:val="Textoindependiente"/>
        <w:spacing w:before="79"/>
        <w:ind w:left="121"/>
      </w:pPr>
      <w:r>
        <w:lastRenderedPageBreak/>
        <w:t>Cordero “fue suscrita después de la llegada de la informante a la sede de la Corte”</w:t>
      </w:r>
      <w:hyperlink w:anchor="_bookmark52" w:history="1">
        <w:r>
          <w:rPr>
            <w:position w:val="7"/>
            <w:sz w:val="13"/>
          </w:rPr>
          <w:t>37</w:t>
        </w:r>
      </w:hyperlink>
      <w:r>
        <w:t>.</w:t>
      </w:r>
    </w:p>
    <w:p w14:paraId="0B806B91" w14:textId="77777777" w:rsidR="00492688" w:rsidRDefault="00492688">
      <w:pPr>
        <w:pStyle w:val="Textoindependiente"/>
        <w:spacing w:before="10"/>
        <w:rPr>
          <w:sz w:val="19"/>
        </w:rPr>
      </w:pPr>
    </w:p>
    <w:p w14:paraId="58AB5851" w14:textId="77777777" w:rsidR="00492688" w:rsidRDefault="00C9584B">
      <w:pPr>
        <w:pStyle w:val="Prrafodelista"/>
        <w:numPr>
          <w:ilvl w:val="0"/>
          <w:numId w:val="12"/>
        </w:numPr>
        <w:tabs>
          <w:tab w:val="left" w:pos="688"/>
        </w:tabs>
        <w:ind w:right="120" w:hanging="1"/>
        <w:jc w:val="both"/>
        <w:rPr>
          <w:sz w:val="20"/>
        </w:rPr>
      </w:pPr>
      <w:r>
        <w:rPr>
          <w:sz w:val="20"/>
        </w:rPr>
        <w:t>Por otra parte, en relación con la resolución mediante la cual se otorgó la libertad incondicional a dos procesados, el informe encontró,</w:t>
      </w:r>
      <w:r>
        <w:rPr>
          <w:sz w:val="20"/>
        </w:rPr>
        <w:t xml:space="preserve"> entre otros, que: (i) el señor Cordero</w:t>
      </w:r>
      <w:r>
        <w:rPr>
          <w:spacing w:val="12"/>
          <w:sz w:val="20"/>
        </w:rPr>
        <w:t xml:space="preserve"> </w:t>
      </w:r>
      <w:r>
        <w:rPr>
          <w:sz w:val="20"/>
        </w:rPr>
        <w:t>Bernal</w:t>
      </w:r>
      <w:r>
        <w:rPr>
          <w:spacing w:val="12"/>
          <w:sz w:val="20"/>
        </w:rPr>
        <w:t xml:space="preserve"> </w:t>
      </w:r>
      <w:r>
        <w:rPr>
          <w:sz w:val="20"/>
        </w:rPr>
        <w:t>no</w:t>
      </w:r>
      <w:r>
        <w:rPr>
          <w:spacing w:val="13"/>
          <w:sz w:val="20"/>
        </w:rPr>
        <w:t xml:space="preserve"> </w:t>
      </w:r>
      <w:r>
        <w:rPr>
          <w:sz w:val="20"/>
        </w:rPr>
        <w:t>actuó</w:t>
      </w:r>
      <w:r>
        <w:rPr>
          <w:spacing w:val="10"/>
          <w:sz w:val="20"/>
        </w:rPr>
        <w:t xml:space="preserve"> </w:t>
      </w:r>
      <w:r>
        <w:rPr>
          <w:sz w:val="20"/>
        </w:rPr>
        <w:t>ninguna</w:t>
      </w:r>
      <w:r>
        <w:rPr>
          <w:spacing w:val="12"/>
          <w:sz w:val="20"/>
        </w:rPr>
        <w:t xml:space="preserve"> </w:t>
      </w:r>
      <w:r>
        <w:rPr>
          <w:sz w:val="20"/>
        </w:rPr>
        <w:t>diligencia</w:t>
      </w:r>
      <w:r>
        <w:rPr>
          <w:spacing w:val="12"/>
          <w:sz w:val="20"/>
        </w:rPr>
        <w:t xml:space="preserve"> </w:t>
      </w:r>
      <w:r>
        <w:rPr>
          <w:sz w:val="20"/>
        </w:rPr>
        <w:t>de</w:t>
      </w:r>
      <w:r>
        <w:rPr>
          <w:spacing w:val="15"/>
          <w:sz w:val="20"/>
        </w:rPr>
        <w:t xml:space="preserve"> </w:t>
      </w:r>
      <w:r>
        <w:rPr>
          <w:sz w:val="20"/>
        </w:rPr>
        <w:t>carácter</w:t>
      </w:r>
      <w:r>
        <w:rPr>
          <w:spacing w:val="10"/>
          <w:sz w:val="20"/>
        </w:rPr>
        <w:t xml:space="preserve"> </w:t>
      </w:r>
      <w:r>
        <w:rPr>
          <w:sz w:val="20"/>
        </w:rPr>
        <w:t>sustantivo</w:t>
      </w:r>
      <w:r>
        <w:rPr>
          <w:spacing w:val="10"/>
          <w:sz w:val="20"/>
        </w:rPr>
        <w:t xml:space="preserve"> </w:t>
      </w:r>
      <w:r>
        <w:rPr>
          <w:sz w:val="20"/>
        </w:rPr>
        <w:t>dentro</w:t>
      </w:r>
      <w:r>
        <w:rPr>
          <w:spacing w:val="10"/>
          <w:sz w:val="20"/>
        </w:rPr>
        <w:t xml:space="preserve"> </w:t>
      </w:r>
      <w:r>
        <w:rPr>
          <w:sz w:val="20"/>
        </w:rPr>
        <w:t>del</w:t>
      </w:r>
      <w:r>
        <w:rPr>
          <w:spacing w:val="12"/>
          <w:sz w:val="20"/>
        </w:rPr>
        <w:t xml:space="preserve"> </w:t>
      </w:r>
      <w:r>
        <w:rPr>
          <w:sz w:val="20"/>
        </w:rPr>
        <w:t>proceso;</w:t>
      </w:r>
    </w:p>
    <w:p w14:paraId="4067EF92" w14:textId="77777777" w:rsidR="00492688" w:rsidRDefault="00C9584B">
      <w:pPr>
        <w:pStyle w:val="Textoindependiente"/>
        <w:spacing w:before="1"/>
        <w:ind w:left="121" w:right="118"/>
        <w:jc w:val="both"/>
      </w:pPr>
      <w:r>
        <w:t>(ii) para la fecha en que se concedió la libertad incondicional no habían vencido los cuatro meses establecidos como plazo ordinario de in</w:t>
      </w:r>
      <w:r>
        <w:t xml:space="preserve">vestigación; (iii) los procesados admitieron haber robado una avioneta de matrícula colombiana y haber ingresado al territorio peruano de forma irregular; (iv) la apreciación de la prueba hecha por el señor Cordero Bernal fue “incongruente”, porque pese a </w:t>
      </w:r>
      <w:r>
        <w:t>que había suficientes indicios de que los imputados ingresaron al territorio peruano para transportar droga, dio por cierto la afirmación de los procesados en el sentido de que ingresaron al país para canjear dos cadáveres</w:t>
      </w:r>
      <w:hyperlink w:anchor="_bookmark53" w:history="1">
        <w:r>
          <w:rPr>
            <w:position w:val="7"/>
            <w:sz w:val="13"/>
          </w:rPr>
          <w:t>38</w:t>
        </w:r>
      </w:hyperlink>
      <w:r>
        <w:t>.</w:t>
      </w:r>
    </w:p>
    <w:p w14:paraId="6E5E8D34" w14:textId="77777777" w:rsidR="00492688" w:rsidRDefault="00492688">
      <w:pPr>
        <w:pStyle w:val="Textoindependiente"/>
        <w:spacing w:before="1"/>
      </w:pPr>
    </w:p>
    <w:p w14:paraId="3C5BE393" w14:textId="77777777" w:rsidR="00492688" w:rsidRDefault="00C9584B">
      <w:pPr>
        <w:pStyle w:val="Prrafodelista"/>
        <w:numPr>
          <w:ilvl w:val="0"/>
          <w:numId w:val="12"/>
        </w:numPr>
        <w:tabs>
          <w:tab w:val="left" w:pos="689"/>
        </w:tabs>
        <w:ind w:right="118" w:firstLine="0"/>
        <w:jc w:val="both"/>
        <w:rPr>
          <w:sz w:val="20"/>
        </w:rPr>
      </w:pPr>
      <w:r>
        <w:rPr>
          <w:sz w:val="20"/>
        </w:rPr>
        <w:t>Conforme a lo expuesto, la Magistrada investigadora concluyó que el señor Cordero Bernal “no solo ha atentado gravemente la respetabilidad del Poder Judicial sino que ha comprometido la dignidad del cargo desmereciéndolo el concepto público por lo que de</w:t>
      </w:r>
      <w:r>
        <w:rPr>
          <w:sz w:val="20"/>
        </w:rPr>
        <w:t>be ser DESTITUIDO de su cargo y conforme lo dispone el artículo 211 de la Ley Orgánica del Poder Judicial sin perjuicio que se emita copia todo lo actuado al Fiscal Provincial de Turno […] para que proceda con arreglo a sus funciones […]”</w:t>
      </w:r>
      <w:hyperlink w:anchor="_bookmark54" w:history="1">
        <w:r>
          <w:rPr>
            <w:position w:val="7"/>
            <w:sz w:val="13"/>
          </w:rPr>
          <w:t>39</w:t>
        </w:r>
      </w:hyperlink>
      <w:r>
        <w:rPr>
          <w:sz w:val="20"/>
        </w:rPr>
        <w:t>. La investigadora también concluyó que debería aplicarse la sanción de destitución al Presidente y Secretario de Cámara de la Corte Superior de Justicia de Huánuco, por su participación en estos hechos, así como abrirse proceso disciplinari</w:t>
      </w:r>
      <w:r>
        <w:rPr>
          <w:sz w:val="20"/>
        </w:rPr>
        <w:t>o a quien ostentaba el cargo de Juez del Primer Juzgado Penal de Huánuco antes del encargo del señor Cordero</w:t>
      </w:r>
      <w:r>
        <w:rPr>
          <w:spacing w:val="-2"/>
          <w:sz w:val="20"/>
        </w:rPr>
        <w:t xml:space="preserve"> </w:t>
      </w:r>
      <w:r>
        <w:rPr>
          <w:sz w:val="20"/>
        </w:rPr>
        <w:t>Bernal</w:t>
      </w:r>
      <w:hyperlink w:anchor="_bookmark55" w:history="1">
        <w:r>
          <w:rPr>
            <w:position w:val="7"/>
            <w:sz w:val="13"/>
          </w:rPr>
          <w:t>40</w:t>
        </w:r>
      </w:hyperlink>
      <w:r>
        <w:rPr>
          <w:sz w:val="20"/>
        </w:rPr>
        <w:t>.</w:t>
      </w:r>
    </w:p>
    <w:p w14:paraId="2C365698" w14:textId="77777777" w:rsidR="00492688" w:rsidRDefault="00492688">
      <w:pPr>
        <w:pStyle w:val="Textoindependiente"/>
        <w:spacing w:before="11"/>
        <w:rPr>
          <w:sz w:val="19"/>
        </w:rPr>
      </w:pPr>
    </w:p>
    <w:p w14:paraId="3BA4D70B" w14:textId="77777777" w:rsidR="00492688" w:rsidRDefault="00C9584B">
      <w:pPr>
        <w:pStyle w:val="Prrafodelista"/>
        <w:numPr>
          <w:ilvl w:val="0"/>
          <w:numId w:val="12"/>
        </w:numPr>
        <w:tabs>
          <w:tab w:val="left" w:pos="689"/>
        </w:tabs>
        <w:ind w:right="118" w:firstLine="0"/>
        <w:jc w:val="both"/>
        <w:rPr>
          <w:sz w:val="20"/>
        </w:rPr>
      </w:pPr>
      <w:r>
        <w:rPr>
          <w:sz w:val="20"/>
        </w:rPr>
        <w:t>Mediante la Resolución de 3 de agosto de 1995, el Vocal Supremo – Jefe Judicial de la OCMA emitió el info</w:t>
      </w:r>
      <w:r>
        <w:rPr>
          <w:sz w:val="20"/>
        </w:rPr>
        <w:t>rme de investigación y propuesta de destitución. La Resolución se refiere tanto a las irregularidades en el encargo del señor Cordero Bernal como juez del Primer Juzgado Especializado en lo Penal de Huánuco, como a las irregularidades funcionales relaciona</w:t>
      </w:r>
      <w:r>
        <w:rPr>
          <w:sz w:val="20"/>
        </w:rPr>
        <w:t>das con la decisión de conceder la libertad incondicional a dos procesados. La OCMA sustentó la solicitud de destitución del señor Cordero Bernal en el artículo 211 de la de la Ley Orgánica del Poder Judicial y 33 de la Ley Orgánica del Consejo Nacional de</w:t>
      </w:r>
      <w:r>
        <w:rPr>
          <w:sz w:val="20"/>
        </w:rPr>
        <w:t xml:space="preserve"> la Magistratura</w:t>
      </w:r>
      <w:hyperlink w:anchor="_bookmark56" w:history="1">
        <w:r>
          <w:rPr>
            <w:position w:val="7"/>
            <w:sz w:val="13"/>
          </w:rPr>
          <w:t>41</w:t>
        </w:r>
      </w:hyperlink>
      <w:r>
        <w:rPr>
          <w:sz w:val="20"/>
        </w:rPr>
        <w:t>. La Resolución también formuló el pedido de destitución de los entonces Presidente y Secretario de la Corte Superior de Justicia de Huánuco</w:t>
      </w:r>
      <w:hyperlink w:anchor="_bookmark57" w:history="1">
        <w:r>
          <w:rPr>
            <w:position w:val="7"/>
            <w:sz w:val="13"/>
          </w:rPr>
          <w:t>42</w:t>
        </w:r>
      </w:hyperlink>
      <w:r>
        <w:rPr>
          <w:sz w:val="20"/>
        </w:rPr>
        <w:t>, así como remitir copia de lo actuado a la Fiscalía de la Nación</w:t>
      </w:r>
      <w:hyperlink w:anchor="_bookmark58" w:history="1">
        <w:r>
          <w:rPr>
            <w:position w:val="7"/>
            <w:sz w:val="13"/>
          </w:rPr>
          <w:t>43</w:t>
        </w:r>
      </w:hyperlink>
      <w:r>
        <w:rPr>
          <w:sz w:val="20"/>
        </w:rPr>
        <w:t>.</w:t>
      </w:r>
    </w:p>
    <w:p w14:paraId="3DDA81F6" w14:textId="763059E5" w:rsidR="00492688" w:rsidRDefault="00C9584B">
      <w:pPr>
        <w:pStyle w:val="Textoindependiente"/>
        <w:spacing w:before="8"/>
        <w:rPr>
          <w:sz w:val="19"/>
        </w:rPr>
      </w:pPr>
      <w:r>
        <w:rPr>
          <w:noProof/>
        </w:rPr>
        <mc:AlternateContent>
          <mc:Choice Requires="wps">
            <w:drawing>
              <wp:anchor distT="0" distB="0" distL="0" distR="0" simplePos="0" relativeHeight="251667456" behindDoc="1" locked="0" layoutInCell="1" allowOverlap="1" wp14:anchorId="3757D937" wp14:editId="6A6D17A1">
                <wp:simplePos x="0" y="0"/>
                <wp:positionH relativeFrom="page">
                  <wp:posOffset>1080770</wp:posOffset>
                </wp:positionH>
                <wp:positionV relativeFrom="paragraph">
                  <wp:posOffset>180340</wp:posOffset>
                </wp:positionV>
                <wp:extent cx="1828800" cy="1270"/>
                <wp:effectExtent l="0" t="0" r="0" b="0"/>
                <wp:wrapTopAndBottom/>
                <wp:docPr id="3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55605" id="Freeform 33" o:spid="_x0000_s1026" style="position:absolute;margin-left:85.1pt;margin-top:14.2pt;width:2in;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02B8805B" w14:textId="77777777" w:rsidR="00492688" w:rsidRDefault="00492688">
      <w:pPr>
        <w:pStyle w:val="Textoindependiente"/>
        <w:spacing w:before="1"/>
        <w:rPr>
          <w:sz w:val="6"/>
        </w:rPr>
      </w:pPr>
    </w:p>
    <w:p w14:paraId="7B20C932" w14:textId="77777777" w:rsidR="00492688" w:rsidRDefault="00C9584B">
      <w:pPr>
        <w:tabs>
          <w:tab w:val="left" w:pos="829"/>
        </w:tabs>
        <w:spacing w:before="101"/>
        <w:ind w:left="122" w:right="119" w:hanging="1"/>
        <w:jc w:val="both"/>
        <w:rPr>
          <w:sz w:val="16"/>
        </w:rPr>
      </w:pPr>
      <w:bookmarkStart w:id="69" w:name="_bookmark52"/>
      <w:bookmarkEnd w:id="69"/>
      <w:r>
        <w:rPr>
          <w:position w:val="6"/>
          <w:sz w:val="10"/>
        </w:rPr>
        <w:t>37</w:t>
      </w:r>
      <w:r>
        <w:rPr>
          <w:position w:val="6"/>
          <w:sz w:val="10"/>
        </w:rPr>
        <w:tab/>
      </w:r>
      <w:r>
        <w:rPr>
          <w:i/>
          <w:sz w:val="16"/>
        </w:rPr>
        <w:t xml:space="preserve">Cfr. </w:t>
      </w:r>
      <w:r>
        <w:rPr>
          <w:sz w:val="16"/>
        </w:rPr>
        <w:t>Oficina de Control de la Magistratura del Poder Judicial, Informe de 21 de julio de 1995 (expediente de prueba, folio 1095 -</w:t>
      </w:r>
      <w:r>
        <w:rPr>
          <w:spacing w:val="-7"/>
          <w:sz w:val="16"/>
        </w:rPr>
        <w:t xml:space="preserve"> </w:t>
      </w:r>
      <w:r>
        <w:rPr>
          <w:sz w:val="16"/>
        </w:rPr>
        <w:t>1096).</w:t>
      </w:r>
    </w:p>
    <w:p w14:paraId="33D36E77" w14:textId="77777777" w:rsidR="00492688" w:rsidRDefault="00C9584B">
      <w:pPr>
        <w:tabs>
          <w:tab w:val="left" w:pos="829"/>
        </w:tabs>
        <w:spacing w:before="100"/>
        <w:ind w:left="122" w:right="118" w:hanging="1"/>
        <w:jc w:val="both"/>
        <w:rPr>
          <w:sz w:val="16"/>
        </w:rPr>
      </w:pPr>
      <w:bookmarkStart w:id="70" w:name="_bookmark53"/>
      <w:bookmarkEnd w:id="70"/>
      <w:r>
        <w:rPr>
          <w:position w:val="6"/>
          <w:sz w:val="10"/>
        </w:rPr>
        <w:t>38</w:t>
      </w:r>
      <w:r>
        <w:rPr>
          <w:position w:val="6"/>
          <w:sz w:val="10"/>
        </w:rPr>
        <w:tab/>
      </w:r>
      <w:r>
        <w:rPr>
          <w:i/>
          <w:sz w:val="16"/>
        </w:rPr>
        <w:t xml:space="preserve">Cfr. </w:t>
      </w:r>
      <w:r>
        <w:rPr>
          <w:sz w:val="16"/>
        </w:rPr>
        <w:t>Ofici</w:t>
      </w:r>
      <w:r>
        <w:rPr>
          <w:sz w:val="16"/>
        </w:rPr>
        <w:t>na de Control de la Magistratura del Poder Judicial, Informe de 21 de julio de 1995 (expediente de prueba, folios 1099 a</w:t>
      </w:r>
      <w:r>
        <w:rPr>
          <w:spacing w:val="-9"/>
          <w:sz w:val="16"/>
        </w:rPr>
        <w:t xml:space="preserve"> </w:t>
      </w:r>
      <w:r>
        <w:rPr>
          <w:sz w:val="16"/>
        </w:rPr>
        <w:t>1103).</w:t>
      </w:r>
    </w:p>
    <w:p w14:paraId="514199FB" w14:textId="77777777" w:rsidR="00492688" w:rsidRDefault="00C9584B">
      <w:pPr>
        <w:tabs>
          <w:tab w:val="left" w:pos="829"/>
        </w:tabs>
        <w:spacing w:before="99"/>
        <w:ind w:left="121" w:right="118"/>
        <w:jc w:val="both"/>
        <w:rPr>
          <w:sz w:val="16"/>
        </w:rPr>
      </w:pPr>
      <w:bookmarkStart w:id="71" w:name="_bookmark54"/>
      <w:bookmarkEnd w:id="71"/>
      <w:r>
        <w:rPr>
          <w:position w:val="6"/>
          <w:sz w:val="10"/>
        </w:rPr>
        <w:t>39</w:t>
      </w:r>
      <w:r>
        <w:rPr>
          <w:position w:val="6"/>
          <w:sz w:val="10"/>
        </w:rPr>
        <w:tab/>
      </w:r>
      <w:r>
        <w:rPr>
          <w:sz w:val="16"/>
        </w:rPr>
        <w:t>Oficina de Control de la Magistratura del Poder Judicial, Informe de 21 de julio de 1995 (expediente de prueba, folio</w:t>
      </w:r>
      <w:r>
        <w:rPr>
          <w:spacing w:val="-5"/>
          <w:sz w:val="16"/>
        </w:rPr>
        <w:t xml:space="preserve"> </w:t>
      </w:r>
      <w:r>
        <w:rPr>
          <w:sz w:val="16"/>
        </w:rPr>
        <w:t>1103).</w:t>
      </w:r>
    </w:p>
    <w:p w14:paraId="5CBD085A" w14:textId="77777777" w:rsidR="00492688" w:rsidRDefault="00C9584B">
      <w:pPr>
        <w:tabs>
          <w:tab w:val="left" w:pos="829"/>
        </w:tabs>
        <w:spacing w:before="100"/>
        <w:ind w:left="122" w:right="118" w:hanging="1"/>
        <w:jc w:val="both"/>
        <w:rPr>
          <w:sz w:val="16"/>
        </w:rPr>
      </w:pPr>
      <w:bookmarkStart w:id="72" w:name="_bookmark55"/>
      <w:bookmarkEnd w:id="72"/>
      <w:r>
        <w:rPr>
          <w:position w:val="6"/>
          <w:sz w:val="10"/>
        </w:rPr>
        <w:t>40</w:t>
      </w:r>
      <w:r>
        <w:rPr>
          <w:position w:val="6"/>
          <w:sz w:val="10"/>
        </w:rPr>
        <w:tab/>
      </w:r>
      <w:r>
        <w:rPr>
          <w:i/>
          <w:sz w:val="16"/>
        </w:rPr>
        <w:t xml:space="preserve">Cfr. </w:t>
      </w:r>
      <w:r>
        <w:rPr>
          <w:sz w:val="16"/>
        </w:rPr>
        <w:t>Oficina de Control de la Magistratura del Poder Judicial, Informe de 21 de julio de 1995 (expediente de prueba, folio</w:t>
      </w:r>
      <w:r>
        <w:rPr>
          <w:spacing w:val="-6"/>
          <w:sz w:val="16"/>
        </w:rPr>
        <w:t xml:space="preserve"> </w:t>
      </w:r>
      <w:r>
        <w:rPr>
          <w:sz w:val="16"/>
        </w:rPr>
        <w:t>1103)</w:t>
      </w:r>
      <w:r>
        <w:rPr>
          <w:sz w:val="16"/>
        </w:rPr>
        <w:t>.</w:t>
      </w:r>
    </w:p>
    <w:p w14:paraId="5AF63A30" w14:textId="77777777" w:rsidR="00492688" w:rsidRDefault="00C9584B">
      <w:pPr>
        <w:tabs>
          <w:tab w:val="left" w:pos="829"/>
        </w:tabs>
        <w:spacing w:before="101"/>
        <w:ind w:left="121" w:right="115"/>
        <w:jc w:val="both"/>
        <w:rPr>
          <w:sz w:val="16"/>
        </w:rPr>
      </w:pPr>
      <w:bookmarkStart w:id="73" w:name="_bookmark56"/>
      <w:bookmarkEnd w:id="73"/>
      <w:r>
        <w:rPr>
          <w:position w:val="6"/>
          <w:sz w:val="10"/>
        </w:rPr>
        <w:t>41</w:t>
      </w:r>
      <w:r>
        <w:rPr>
          <w:position w:val="6"/>
          <w:sz w:val="10"/>
        </w:rPr>
        <w:tab/>
      </w:r>
      <w:r>
        <w:rPr>
          <w:sz w:val="16"/>
        </w:rPr>
        <w:t>El artículo 33 de la Ley Orgánica del Consejo Nacional de la Magistratura establecía que este órgano “investiga la actuación de los Jueces y Fiscales de las demás instancias, respectivamente, a fin de  determinar la aplicación de la sanción de destitu</w:t>
      </w:r>
      <w:r>
        <w:rPr>
          <w:sz w:val="16"/>
        </w:rPr>
        <w:t>ción, sin perjuicio de las atribuciones que correspondan a otros órganos” (expediente de prueba, folio</w:t>
      </w:r>
      <w:r>
        <w:rPr>
          <w:spacing w:val="-8"/>
          <w:sz w:val="16"/>
        </w:rPr>
        <w:t xml:space="preserve"> </w:t>
      </w:r>
      <w:r>
        <w:rPr>
          <w:sz w:val="16"/>
        </w:rPr>
        <w:t>1643).</w:t>
      </w:r>
    </w:p>
    <w:p w14:paraId="332326F2" w14:textId="77777777" w:rsidR="00492688" w:rsidRDefault="00C9584B">
      <w:pPr>
        <w:tabs>
          <w:tab w:val="left" w:pos="887"/>
        </w:tabs>
        <w:spacing w:before="98"/>
        <w:ind w:left="121" w:right="119"/>
        <w:jc w:val="both"/>
        <w:rPr>
          <w:sz w:val="16"/>
        </w:rPr>
      </w:pPr>
      <w:bookmarkStart w:id="74" w:name="_bookmark57"/>
      <w:bookmarkEnd w:id="74"/>
      <w:r>
        <w:rPr>
          <w:position w:val="6"/>
          <w:sz w:val="10"/>
        </w:rPr>
        <w:t>42</w:t>
      </w:r>
      <w:r>
        <w:rPr>
          <w:position w:val="6"/>
          <w:sz w:val="10"/>
        </w:rPr>
        <w:tab/>
      </w:r>
      <w:r>
        <w:rPr>
          <w:i/>
          <w:sz w:val="16"/>
        </w:rPr>
        <w:t xml:space="preserve">Cfr. </w:t>
      </w:r>
      <w:r>
        <w:rPr>
          <w:sz w:val="16"/>
        </w:rPr>
        <w:t>Oficina de Control de la Magistratura del Poder Judicial, Informe de 3 de agosto de 1995 (expediente de prueba, folio</w:t>
      </w:r>
      <w:r>
        <w:rPr>
          <w:spacing w:val="-6"/>
          <w:sz w:val="16"/>
        </w:rPr>
        <w:t xml:space="preserve"> </w:t>
      </w:r>
      <w:r>
        <w:rPr>
          <w:sz w:val="16"/>
        </w:rPr>
        <w:t>1068).</w:t>
      </w:r>
    </w:p>
    <w:p w14:paraId="6699CDC8" w14:textId="77777777" w:rsidR="00492688" w:rsidRDefault="00C9584B">
      <w:pPr>
        <w:tabs>
          <w:tab w:val="left" w:pos="829"/>
        </w:tabs>
        <w:spacing w:before="101"/>
        <w:ind w:left="121"/>
        <w:jc w:val="both"/>
        <w:rPr>
          <w:sz w:val="16"/>
        </w:rPr>
      </w:pPr>
      <w:bookmarkStart w:id="75" w:name="_bookmark58"/>
      <w:bookmarkEnd w:id="75"/>
      <w:r>
        <w:rPr>
          <w:position w:val="6"/>
          <w:sz w:val="10"/>
        </w:rPr>
        <w:t>43</w:t>
      </w:r>
      <w:r>
        <w:rPr>
          <w:position w:val="6"/>
          <w:sz w:val="10"/>
        </w:rPr>
        <w:tab/>
      </w:r>
      <w:r>
        <w:rPr>
          <w:i/>
          <w:sz w:val="16"/>
        </w:rPr>
        <w:t>Cfr.</w:t>
      </w:r>
      <w:r>
        <w:rPr>
          <w:i/>
          <w:spacing w:val="39"/>
          <w:sz w:val="16"/>
        </w:rPr>
        <w:t xml:space="preserve"> </w:t>
      </w:r>
      <w:r>
        <w:rPr>
          <w:sz w:val="16"/>
        </w:rPr>
        <w:t>Ofici</w:t>
      </w:r>
      <w:r>
        <w:rPr>
          <w:sz w:val="16"/>
        </w:rPr>
        <w:t>na</w:t>
      </w:r>
      <w:r>
        <w:rPr>
          <w:spacing w:val="37"/>
          <w:sz w:val="16"/>
        </w:rPr>
        <w:t xml:space="preserve"> </w:t>
      </w:r>
      <w:r>
        <w:rPr>
          <w:sz w:val="16"/>
        </w:rPr>
        <w:t>de</w:t>
      </w:r>
      <w:r>
        <w:rPr>
          <w:spacing w:val="38"/>
          <w:sz w:val="16"/>
        </w:rPr>
        <w:t xml:space="preserve"> </w:t>
      </w:r>
      <w:r>
        <w:rPr>
          <w:sz w:val="16"/>
        </w:rPr>
        <w:t>Control</w:t>
      </w:r>
      <w:r>
        <w:rPr>
          <w:spacing w:val="37"/>
          <w:sz w:val="16"/>
        </w:rPr>
        <w:t xml:space="preserve"> </w:t>
      </w:r>
      <w:r>
        <w:rPr>
          <w:sz w:val="16"/>
        </w:rPr>
        <w:t>de</w:t>
      </w:r>
      <w:r>
        <w:rPr>
          <w:spacing w:val="38"/>
          <w:sz w:val="16"/>
        </w:rPr>
        <w:t xml:space="preserve"> </w:t>
      </w:r>
      <w:r>
        <w:rPr>
          <w:sz w:val="16"/>
        </w:rPr>
        <w:t>la</w:t>
      </w:r>
      <w:r>
        <w:rPr>
          <w:spacing w:val="37"/>
          <w:sz w:val="16"/>
        </w:rPr>
        <w:t xml:space="preserve"> </w:t>
      </w:r>
      <w:r>
        <w:rPr>
          <w:sz w:val="16"/>
        </w:rPr>
        <w:t>Magistratura</w:t>
      </w:r>
      <w:r>
        <w:rPr>
          <w:spacing w:val="38"/>
          <w:sz w:val="16"/>
        </w:rPr>
        <w:t xml:space="preserve"> </w:t>
      </w:r>
      <w:r>
        <w:rPr>
          <w:sz w:val="16"/>
        </w:rPr>
        <w:t>del</w:t>
      </w:r>
      <w:r>
        <w:rPr>
          <w:spacing w:val="40"/>
          <w:sz w:val="16"/>
        </w:rPr>
        <w:t xml:space="preserve"> </w:t>
      </w:r>
      <w:r>
        <w:rPr>
          <w:sz w:val="16"/>
        </w:rPr>
        <w:t>Poder</w:t>
      </w:r>
      <w:r>
        <w:rPr>
          <w:spacing w:val="42"/>
          <w:sz w:val="16"/>
        </w:rPr>
        <w:t xml:space="preserve"> </w:t>
      </w:r>
      <w:r>
        <w:rPr>
          <w:sz w:val="16"/>
        </w:rPr>
        <w:t>Judicial,</w:t>
      </w:r>
      <w:r>
        <w:rPr>
          <w:spacing w:val="39"/>
          <w:sz w:val="16"/>
        </w:rPr>
        <w:t xml:space="preserve"> </w:t>
      </w:r>
      <w:r>
        <w:rPr>
          <w:sz w:val="16"/>
        </w:rPr>
        <w:t>Informe</w:t>
      </w:r>
      <w:r>
        <w:rPr>
          <w:spacing w:val="38"/>
          <w:sz w:val="16"/>
        </w:rPr>
        <w:t xml:space="preserve"> </w:t>
      </w:r>
      <w:r>
        <w:rPr>
          <w:sz w:val="16"/>
        </w:rPr>
        <w:t>de</w:t>
      </w:r>
      <w:r>
        <w:rPr>
          <w:spacing w:val="36"/>
          <w:sz w:val="16"/>
        </w:rPr>
        <w:t xml:space="preserve"> </w:t>
      </w:r>
      <w:r>
        <w:rPr>
          <w:sz w:val="16"/>
        </w:rPr>
        <w:t>3</w:t>
      </w:r>
      <w:r>
        <w:rPr>
          <w:spacing w:val="39"/>
          <w:sz w:val="16"/>
        </w:rPr>
        <w:t xml:space="preserve"> </w:t>
      </w:r>
      <w:r>
        <w:rPr>
          <w:sz w:val="16"/>
        </w:rPr>
        <w:t>de</w:t>
      </w:r>
      <w:r>
        <w:rPr>
          <w:spacing w:val="38"/>
          <w:sz w:val="16"/>
        </w:rPr>
        <w:t xml:space="preserve"> </w:t>
      </w:r>
      <w:r>
        <w:rPr>
          <w:sz w:val="16"/>
        </w:rPr>
        <w:t>agosto</w:t>
      </w:r>
      <w:r>
        <w:rPr>
          <w:spacing w:val="39"/>
          <w:sz w:val="16"/>
        </w:rPr>
        <w:t xml:space="preserve"> </w:t>
      </w:r>
      <w:r>
        <w:rPr>
          <w:sz w:val="16"/>
        </w:rPr>
        <w:t>de</w:t>
      </w:r>
      <w:r>
        <w:rPr>
          <w:spacing w:val="38"/>
          <w:sz w:val="16"/>
        </w:rPr>
        <w:t xml:space="preserve"> </w:t>
      </w:r>
      <w:r>
        <w:rPr>
          <w:sz w:val="16"/>
        </w:rPr>
        <w:t>1995</w:t>
      </w:r>
    </w:p>
    <w:p w14:paraId="35785084" w14:textId="77777777" w:rsidR="00492688" w:rsidRDefault="00492688">
      <w:pPr>
        <w:jc w:val="both"/>
        <w:rPr>
          <w:sz w:val="16"/>
        </w:rPr>
        <w:sectPr w:rsidR="00492688">
          <w:pgSz w:w="12240" w:h="15840"/>
          <w:pgMar w:top="1340" w:right="1580" w:bottom="280" w:left="1580" w:header="720" w:footer="720" w:gutter="0"/>
          <w:cols w:space="720"/>
        </w:sectPr>
      </w:pPr>
    </w:p>
    <w:p w14:paraId="63B5B024" w14:textId="77777777" w:rsidR="00492688" w:rsidRDefault="00C9584B">
      <w:pPr>
        <w:pStyle w:val="Prrafodelista"/>
        <w:numPr>
          <w:ilvl w:val="0"/>
          <w:numId w:val="12"/>
        </w:numPr>
        <w:tabs>
          <w:tab w:val="left" w:pos="689"/>
        </w:tabs>
        <w:spacing w:before="161"/>
        <w:ind w:right="119" w:firstLine="0"/>
        <w:jc w:val="both"/>
        <w:rPr>
          <w:sz w:val="20"/>
        </w:rPr>
      </w:pPr>
      <w:r>
        <w:rPr>
          <w:sz w:val="20"/>
        </w:rPr>
        <w:lastRenderedPageBreak/>
        <w:t>El 18 de octubre de 1995 el Presidente del Consejo Ejecutivo del Poder Judicial aprobó la propuesta de destitución del señor Cordero Bernal y solicitó al Consejo Nacional de la Magistratura (en adelante “CNM”) proceder a su</w:t>
      </w:r>
      <w:r>
        <w:rPr>
          <w:spacing w:val="-8"/>
          <w:sz w:val="20"/>
        </w:rPr>
        <w:t xml:space="preserve"> </w:t>
      </w:r>
      <w:r>
        <w:rPr>
          <w:sz w:val="20"/>
        </w:rPr>
        <w:t>destitución</w:t>
      </w:r>
      <w:hyperlink w:anchor="_bookmark61" w:history="1">
        <w:r>
          <w:rPr>
            <w:position w:val="7"/>
            <w:sz w:val="13"/>
          </w:rPr>
          <w:t>44</w:t>
        </w:r>
      </w:hyperlink>
      <w:r>
        <w:rPr>
          <w:sz w:val="20"/>
        </w:rPr>
        <w:t>.</w:t>
      </w:r>
    </w:p>
    <w:p w14:paraId="4C334D43" w14:textId="77777777" w:rsidR="00492688" w:rsidRDefault="00492688">
      <w:pPr>
        <w:pStyle w:val="Textoindependiente"/>
      </w:pPr>
    </w:p>
    <w:p w14:paraId="6727EAAA" w14:textId="77777777" w:rsidR="00492688" w:rsidRDefault="00C9584B">
      <w:pPr>
        <w:pStyle w:val="Ttulo2"/>
        <w:numPr>
          <w:ilvl w:val="1"/>
          <w:numId w:val="9"/>
        </w:numPr>
        <w:tabs>
          <w:tab w:val="left" w:pos="1293"/>
        </w:tabs>
        <w:ind w:right="120" w:firstLine="0"/>
      </w:pPr>
      <w:bookmarkStart w:id="76" w:name="D.2_Procedimiento_seguido_ante_el_Consej"/>
      <w:bookmarkStart w:id="77" w:name="_bookmark59"/>
      <w:bookmarkEnd w:id="76"/>
      <w:bookmarkEnd w:id="77"/>
      <w:r>
        <w:t xml:space="preserve">Procedimiento seguido ante el Consejo Nacional de la Magistratura </w:t>
      </w:r>
      <w:r>
        <w:t>(CNM)</w:t>
      </w:r>
    </w:p>
    <w:p w14:paraId="0162681C" w14:textId="77777777" w:rsidR="00492688" w:rsidRDefault="00492688">
      <w:pPr>
        <w:pStyle w:val="Textoindependiente"/>
        <w:rPr>
          <w:b/>
          <w:i/>
        </w:rPr>
      </w:pPr>
    </w:p>
    <w:p w14:paraId="3740A050" w14:textId="77777777" w:rsidR="00492688" w:rsidRDefault="00C9584B">
      <w:pPr>
        <w:pStyle w:val="Prrafodelista"/>
        <w:numPr>
          <w:ilvl w:val="0"/>
          <w:numId w:val="12"/>
        </w:numPr>
        <w:tabs>
          <w:tab w:val="left" w:pos="688"/>
        </w:tabs>
        <w:ind w:right="118" w:firstLine="0"/>
        <w:jc w:val="both"/>
        <w:rPr>
          <w:sz w:val="20"/>
        </w:rPr>
      </w:pPr>
      <w:r>
        <w:rPr>
          <w:sz w:val="20"/>
        </w:rPr>
        <w:t>El 4 de diciembre de 1995 el señor Cordero Bernal presentó escrito de descargos ante el CNM y justificó la decisión adoptada</w:t>
      </w:r>
      <w:hyperlink w:anchor="_bookmark62" w:history="1">
        <w:r>
          <w:rPr>
            <w:position w:val="7"/>
            <w:sz w:val="13"/>
          </w:rPr>
          <w:t>45</w:t>
        </w:r>
      </w:hyperlink>
      <w:r>
        <w:rPr>
          <w:sz w:val="20"/>
        </w:rPr>
        <w:t>. El 11 de diciembre de 1995 presentó una ampliación de descargos y justificó su solicitud de no se</w:t>
      </w:r>
      <w:r>
        <w:rPr>
          <w:sz w:val="20"/>
        </w:rPr>
        <w:t>r sometido a un proceso disciplinario en virtud de los principios de legalidad, imparcialidad y presunción de inocencia y porque carecía de</w:t>
      </w:r>
      <w:r>
        <w:rPr>
          <w:spacing w:val="-3"/>
          <w:sz w:val="20"/>
        </w:rPr>
        <w:t xml:space="preserve"> </w:t>
      </w:r>
      <w:r>
        <w:rPr>
          <w:sz w:val="20"/>
        </w:rPr>
        <w:t>antecedentes</w:t>
      </w:r>
      <w:hyperlink w:anchor="_bookmark63" w:history="1">
        <w:r>
          <w:rPr>
            <w:position w:val="7"/>
            <w:sz w:val="13"/>
          </w:rPr>
          <w:t>46</w:t>
        </w:r>
      </w:hyperlink>
      <w:r>
        <w:rPr>
          <w:sz w:val="20"/>
        </w:rPr>
        <w:t>.</w:t>
      </w:r>
    </w:p>
    <w:p w14:paraId="4552E1FF" w14:textId="77777777" w:rsidR="00492688" w:rsidRDefault="00492688">
      <w:pPr>
        <w:pStyle w:val="Textoindependiente"/>
        <w:spacing w:before="1"/>
      </w:pPr>
    </w:p>
    <w:p w14:paraId="17B4DD23" w14:textId="77777777" w:rsidR="00492688" w:rsidRDefault="00C9584B">
      <w:pPr>
        <w:pStyle w:val="Prrafodelista"/>
        <w:numPr>
          <w:ilvl w:val="0"/>
          <w:numId w:val="12"/>
        </w:numPr>
        <w:tabs>
          <w:tab w:val="left" w:pos="689"/>
        </w:tabs>
        <w:ind w:right="115" w:hanging="1"/>
        <w:jc w:val="both"/>
        <w:rPr>
          <w:sz w:val="20"/>
        </w:rPr>
      </w:pPr>
      <w:r>
        <w:rPr>
          <w:sz w:val="20"/>
        </w:rPr>
        <w:t>El 14 de mayo de 1996 el CNM emitió la Resolución No. 051-96-CNM y d</w:t>
      </w:r>
      <w:r>
        <w:rPr>
          <w:sz w:val="20"/>
        </w:rPr>
        <w:t>eclaró abierto el proceso disciplinario contra el señor Cordero Bernal por “graves irregularidades en el ejercicio de sus</w:t>
      </w:r>
      <w:r>
        <w:rPr>
          <w:spacing w:val="-2"/>
          <w:sz w:val="20"/>
        </w:rPr>
        <w:t xml:space="preserve"> </w:t>
      </w:r>
      <w:r>
        <w:rPr>
          <w:sz w:val="20"/>
        </w:rPr>
        <w:t>funciones”</w:t>
      </w:r>
      <w:hyperlink w:anchor="_bookmark64" w:history="1">
        <w:r>
          <w:rPr>
            <w:position w:val="7"/>
            <w:sz w:val="13"/>
          </w:rPr>
          <w:t>47</w:t>
        </w:r>
      </w:hyperlink>
      <w:r>
        <w:rPr>
          <w:sz w:val="20"/>
        </w:rPr>
        <w:t>.</w:t>
      </w:r>
    </w:p>
    <w:p w14:paraId="109457F7" w14:textId="77777777" w:rsidR="00492688" w:rsidRDefault="00492688">
      <w:pPr>
        <w:pStyle w:val="Textoindependiente"/>
      </w:pPr>
    </w:p>
    <w:p w14:paraId="25FF66D0" w14:textId="77777777" w:rsidR="00492688" w:rsidRDefault="00C9584B">
      <w:pPr>
        <w:pStyle w:val="Prrafodelista"/>
        <w:numPr>
          <w:ilvl w:val="0"/>
          <w:numId w:val="12"/>
        </w:numPr>
        <w:tabs>
          <w:tab w:val="left" w:pos="689"/>
        </w:tabs>
        <w:ind w:right="118" w:hanging="1"/>
        <w:jc w:val="both"/>
        <w:rPr>
          <w:sz w:val="20"/>
        </w:rPr>
      </w:pPr>
      <w:r>
        <w:rPr>
          <w:sz w:val="20"/>
        </w:rPr>
        <w:t>El 29 de mayo de 1996 el señor Cordero Bernal presentó un nuevo escrito de descargos y s</w:t>
      </w:r>
      <w:r>
        <w:rPr>
          <w:sz w:val="20"/>
        </w:rPr>
        <w:t>eñaló que la decisión investigada fue un acto de naturaleza jurisdiccional. Destacó que la decisión final en el proceso penal por tráfico ilícito de drogas determinó la irresponsabilidad de los procesados, lo que habría sido consecuente con su decisión</w:t>
      </w:r>
      <w:hyperlink w:anchor="_bookmark65" w:history="1">
        <w:r>
          <w:rPr>
            <w:position w:val="7"/>
            <w:sz w:val="13"/>
          </w:rPr>
          <w:t>48</w:t>
        </w:r>
      </w:hyperlink>
      <w:r>
        <w:rPr>
          <w:sz w:val="20"/>
        </w:rPr>
        <w:t>.</w:t>
      </w:r>
    </w:p>
    <w:p w14:paraId="5218095C" w14:textId="77777777" w:rsidR="00492688" w:rsidRDefault="00492688">
      <w:pPr>
        <w:pStyle w:val="Textoindependiente"/>
        <w:spacing w:before="10"/>
        <w:rPr>
          <w:sz w:val="19"/>
        </w:rPr>
      </w:pPr>
    </w:p>
    <w:p w14:paraId="7F2BF96A" w14:textId="77777777" w:rsidR="00492688" w:rsidRDefault="00C9584B">
      <w:pPr>
        <w:pStyle w:val="Prrafodelista"/>
        <w:numPr>
          <w:ilvl w:val="0"/>
          <w:numId w:val="12"/>
        </w:numPr>
        <w:tabs>
          <w:tab w:val="left" w:pos="689"/>
        </w:tabs>
        <w:ind w:right="118" w:firstLine="0"/>
        <w:jc w:val="both"/>
        <w:rPr>
          <w:sz w:val="20"/>
        </w:rPr>
      </w:pPr>
      <w:r>
        <w:rPr>
          <w:sz w:val="20"/>
        </w:rPr>
        <w:t>El 14 de agosto de 1996 el CNM emitió la Resolución No. 008-96-PCNM que ordenó la destitución del señor Cordero Bernal, dispuso la cancelación de su nombramiento y la inscripción de lo decidido en el legajo personal</w:t>
      </w:r>
      <w:hyperlink w:anchor="_bookmark66" w:history="1">
        <w:r>
          <w:rPr>
            <w:position w:val="7"/>
            <w:sz w:val="13"/>
          </w:rPr>
          <w:t>49</w:t>
        </w:r>
      </w:hyperlink>
      <w:r>
        <w:rPr>
          <w:sz w:val="20"/>
        </w:rPr>
        <w:t xml:space="preserve">. La Resolución argumentó, entre otros, que “la conducta del magistrado es pasible de sanción disciplinaria porque en la concesión prematura de la libertad incondicional que otorgó, no se encuentra sustento racional alguno y </w:t>
      </w:r>
      <w:r>
        <w:rPr>
          <w:sz w:val="20"/>
        </w:rPr>
        <w:t>esa conducta es típica y, además, grave y por ello coincidente con el supuesto del artículo treintiuno (sic), inciso segundo, de la Ley número veintiséis mil trescientos noventisiete (sic), es decir, un hecho grave que sin ser delito compromete la dignidad</w:t>
      </w:r>
      <w:r>
        <w:rPr>
          <w:sz w:val="20"/>
        </w:rPr>
        <w:t xml:space="preserve"> del cargo y la desmerece en el concepto público”.</w:t>
      </w:r>
    </w:p>
    <w:p w14:paraId="550C6665" w14:textId="77777777" w:rsidR="00492688" w:rsidRDefault="00492688">
      <w:pPr>
        <w:pStyle w:val="Textoindependiente"/>
        <w:spacing w:before="3"/>
      </w:pPr>
    </w:p>
    <w:p w14:paraId="57C11984" w14:textId="77777777" w:rsidR="00492688" w:rsidRDefault="00C9584B">
      <w:pPr>
        <w:pStyle w:val="Ttulo1"/>
        <w:numPr>
          <w:ilvl w:val="0"/>
          <w:numId w:val="9"/>
        </w:numPr>
        <w:tabs>
          <w:tab w:val="left" w:pos="830"/>
        </w:tabs>
        <w:ind w:left="829" w:hanging="349"/>
      </w:pPr>
      <w:bookmarkStart w:id="78" w:name="E._Proceso_de_amparo"/>
      <w:bookmarkStart w:id="79" w:name="_bookmark60"/>
      <w:bookmarkEnd w:id="78"/>
      <w:bookmarkEnd w:id="79"/>
      <w:r>
        <w:t>Proceso de amparo</w:t>
      </w:r>
    </w:p>
    <w:p w14:paraId="25FCBB37" w14:textId="77777777" w:rsidR="00492688" w:rsidRDefault="00492688">
      <w:pPr>
        <w:pStyle w:val="Textoindependiente"/>
        <w:spacing w:before="10"/>
        <w:rPr>
          <w:b/>
          <w:sz w:val="19"/>
        </w:rPr>
      </w:pPr>
    </w:p>
    <w:p w14:paraId="6BA6F3C9" w14:textId="77777777" w:rsidR="00492688" w:rsidRDefault="00C9584B">
      <w:pPr>
        <w:pStyle w:val="Prrafodelista"/>
        <w:numPr>
          <w:ilvl w:val="0"/>
          <w:numId w:val="12"/>
        </w:numPr>
        <w:tabs>
          <w:tab w:val="left" w:pos="689"/>
        </w:tabs>
        <w:spacing w:before="1"/>
        <w:ind w:left="122" w:right="118" w:hanging="1"/>
        <w:jc w:val="both"/>
        <w:rPr>
          <w:sz w:val="20"/>
        </w:rPr>
      </w:pPr>
      <w:r>
        <w:rPr>
          <w:sz w:val="20"/>
        </w:rPr>
        <w:t>El 9 de septiembre de 1996 el señor Cordero Bernal presentó una acción de amparo contra el Consejo Nacional de la Magistratura. Solicitó que se declarara</w:t>
      </w:r>
      <w:r>
        <w:rPr>
          <w:spacing w:val="51"/>
          <w:sz w:val="20"/>
        </w:rPr>
        <w:t xml:space="preserve"> </w:t>
      </w:r>
      <w:r>
        <w:rPr>
          <w:sz w:val="20"/>
        </w:rPr>
        <w:t>la</w:t>
      </w:r>
    </w:p>
    <w:p w14:paraId="7EE358CE" w14:textId="012AAF05" w:rsidR="00492688" w:rsidRDefault="00C9584B">
      <w:pPr>
        <w:pStyle w:val="Textoindependiente"/>
        <w:spacing w:before="11"/>
        <w:rPr>
          <w:sz w:val="19"/>
        </w:rPr>
      </w:pPr>
      <w:r>
        <w:rPr>
          <w:noProof/>
        </w:rPr>
        <mc:AlternateContent>
          <mc:Choice Requires="wps">
            <w:drawing>
              <wp:anchor distT="0" distB="0" distL="0" distR="0" simplePos="0" relativeHeight="251668480" behindDoc="1" locked="0" layoutInCell="1" allowOverlap="1" wp14:anchorId="4034E8B3" wp14:editId="55D25599">
                <wp:simplePos x="0" y="0"/>
                <wp:positionH relativeFrom="page">
                  <wp:posOffset>1080770</wp:posOffset>
                </wp:positionH>
                <wp:positionV relativeFrom="paragraph">
                  <wp:posOffset>182245</wp:posOffset>
                </wp:positionV>
                <wp:extent cx="5611495" cy="1270"/>
                <wp:effectExtent l="0" t="0" r="0" b="0"/>
                <wp:wrapTopAndBottom/>
                <wp:docPr id="31"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1495" cy="1270"/>
                        </a:xfrm>
                        <a:custGeom>
                          <a:avLst/>
                          <a:gdLst>
                            <a:gd name="T0" fmla="+- 0 1702 1702"/>
                            <a:gd name="T1" fmla="*/ T0 w 8837"/>
                            <a:gd name="T2" fmla="+- 0 10538 1702"/>
                            <a:gd name="T3" fmla="*/ T2 w 8837"/>
                          </a:gdLst>
                          <a:ahLst/>
                          <a:cxnLst>
                            <a:cxn ang="0">
                              <a:pos x="T1" y="0"/>
                            </a:cxn>
                            <a:cxn ang="0">
                              <a:pos x="T3" y="0"/>
                            </a:cxn>
                          </a:cxnLst>
                          <a:rect l="0" t="0" r="r" b="b"/>
                          <a:pathLst>
                            <a:path w="8837">
                              <a:moveTo>
                                <a:pt x="0" y="0"/>
                              </a:moveTo>
                              <a:lnTo>
                                <a:pt x="8836"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93A2A" id="Freeform 32" o:spid="_x0000_s1026" style="position:absolute;margin-left:85.1pt;margin-top:14.35pt;width:441.8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" path="m,l8836,e" filled="f" strokeweight=".21131mm">
                <v:path arrowok="t" o:connecttype="custom" o:connectlocs="0,0;5610860,0" o:connectangles="0,0"/>
                <w10:wrap type="topAndBottom" anchorx="page"/>
              </v:shape>
            </w:pict>
          </mc:Fallback>
        </mc:AlternateContent>
      </w:r>
    </w:p>
    <w:p w14:paraId="72D2E187" w14:textId="77777777" w:rsidR="00492688" w:rsidRDefault="00C9584B">
      <w:pPr>
        <w:spacing w:before="74"/>
        <w:ind w:left="121"/>
        <w:rPr>
          <w:sz w:val="16"/>
        </w:rPr>
      </w:pPr>
      <w:r>
        <w:rPr>
          <w:sz w:val="16"/>
        </w:rPr>
        <w:t>(expediente de prueba, folio 1068).</w:t>
      </w:r>
    </w:p>
    <w:p w14:paraId="1F22DA47" w14:textId="77777777" w:rsidR="00492688" w:rsidRDefault="00C9584B">
      <w:pPr>
        <w:tabs>
          <w:tab w:val="left" w:pos="829"/>
        </w:tabs>
        <w:spacing w:before="101"/>
        <w:ind w:left="121" w:right="114"/>
        <w:rPr>
          <w:sz w:val="16"/>
        </w:rPr>
      </w:pPr>
      <w:bookmarkStart w:id="80" w:name="_bookmark61"/>
      <w:bookmarkEnd w:id="80"/>
      <w:r>
        <w:rPr>
          <w:position w:val="6"/>
          <w:sz w:val="10"/>
        </w:rPr>
        <w:t>44</w:t>
      </w:r>
      <w:r>
        <w:rPr>
          <w:position w:val="6"/>
          <w:sz w:val="10"/>
        </w:rPr>
        <w:tab/>
      </w:r>
      <w:r>
        <w:rPr>
          <w:i/>
          <w:sz w:val="16"/>
        </w:rPr>
        <w:t xml:space="preserve">Cfr. </w:t>
      </w:r>
      <w:r>
        <w:rPr>
          <w:sz w:val="16"/>
        </w:rPr>
        <w:t>Consejo Ejecutivo del Poder Judicial. Acuerdo de 18 de octubre de 1995 (expediente de prueba, folio</w:t>
      </w:r>
      <w:r>
        <w:rPr>
          <w:spacing w:val="-2"/>
          <w:sz w:val="16"/>
        </w:rPr>
        <w:t xml:space="preserve"> </w:t>
      </w:r>
      <w:r>
        <w:rPr>
          <w:sz w:val="16"/>
        </w:rPr>
        <w:t>1351).</w:t>
      </w:r>
    </w:p>
    <w:p w14:paraId="171C8E5E" w14:textId="77777777" w:rsidR="00492688" w:rsidRDefault="00C9584B">
      <w:pPr>
        <w:tabs>
          <w:tab w:val="left" w:pos="829"/>
        </w:tabs>
        <w:spacing w:before="98"/>
        <w:ind w:left="122" w:right="114" w:hanging="1"/>
        <w:rPr>
          <w:sz w:val="16"/>
        </w:rPr>
      </w:pPr>
      <w:bookmarkStart w:id="81" w:name="_bookmark62"/>
      <w:bookmarkEnd w:id="81"/>
      <w:r>
        <w:rPr>
          <w:position w:val="6"/>
          <w:sz w:val="10"/>
        </w:rPr>
        <w:t>45</w:t>
      </w:r>
      <w:r>
        <w:rPr>
          <w:position w:val="6"/>
          <w:sz w:val="10"/>
        </w:rPr>
        <w:tab/>
      </w:r>
      <w:r>
        <w:rPr>
          <w:i/>
          <w:sz w:val="16"/>
        </w:rPr>
        <w:t xml:space="preserve">Cfr. </w:t>
      </w:r>
      <w:r>
        <w:rPr>
          <w:sz w:val="16"/>
        </w:rPr>
        <w:t>Escrito de descargos presentado por el señor Cordero Bernal el 4 de diciembre de 1995 (expediente</w:t>
      </w:r>
      <w:r>
        <w:rPr>
          <w:sz w:val="16"/>
        </w:rPr>
        <w:t xml:space="preserve"> de prueba, folios 1367 a</w:t>
      </w:r>
      <w:r>
        <w:rPr>
          <w:spacing w:val="-9"/>
          <w:sz w:val="16"/>
        </w:rPr>
        <w:t xml:space="preserve"> </w:t>
      </w:r>
      <w:r>
        <w:rPr>
          <w:sz w:val="16"/>
        </w:rPr>
        <w:t>1363).</w:t>
      </w:r>
    </w:p>
    <w:p w14:paraId="3D8E64F2" w14:textId="77777777" w:rsidR="00492688" w:rsidRDefault="00C9584B">
      <w:pPr>
        <w:tabs>
          <w:tab w:val="left" w:pos="829"/>
        </w:tabs>
        <w:spacing w:before="101"/>
        <w:ind w:left="122" w:right="114" w:hanging="1"/>
        <w:rPr>
          <w:sz w:val="16"/>
        </w:rPr>
      </w:pPr>
      <w:bookmarkStart w:id="82" w:name="_bookmark63"/>
      <w:bookmarkEnd w:id="82"/>
      <w:r>
        <w:rPr>
          <w:position w:val="6"/>
          <w:sz w:val="10"/>
        </w:rPr>
        <w:t>46</w:t>
      </w:r>
      <w:r>
        <w:rPr>
          <w:position w:val="6"/>
          <w:sz w:val="10"/>
        </w:rPr>
        <w:tab/>
      </w:r>
      <w:r>
        <w:rPr>
          <w:i/>
          <w:sz w:val="16"/>
        </w:rPr>
        <w:t xml:space="preserve">Cfr. </w:t>
      </w:r>
      <w:r>
        <w:rPr>
          <w:sz w:val="16"/>
        </w:rPr>
        <w:t>Escrito de ampliación de descargos presentado por el señor Cordero Bernal el 11 de diciembre de 1995 (expediente de prueba, folios 60 a</w:t>
      </w:r>
      <w:r>
        <w:rPr>
          <w:spacing w:val="-6"/>
          <w:sz w:val="16"/>
        </w:rPr>
        <w:t xml:space="preserve"> </w:t>
      </w:r>
      <w:r>
        <w:rPr>
          <w:sz w:val="16"/>
        </w:rPr>
        <w:t>61).</w:t>
      </w:r>
    </w:p>
    <w:p w14:paraId="1AC3659E" w14:textId="77777777" w:rsidR="00492688" w:rsidRDefault="00C9584B">
      <w:pPr>
        <w:tabs>
          <w:tab w:val="left" w:pos="829"/>
        </w:tabs>
        <w:spacing w:before="100"/>
        <w:ind w:left="121" w:right="733"/>
        <w:rPr>
          <w:sz w:val="16"/>
        </w:rPr>
      </w:pPr>
      <w:bookmarkStart w:id="83" w:name="_bookmark64"/>
      <w:bookmarkEnd w:id="83"/>
      <w:r>
        <w:rPr>
          <w:position w:val="6"/>
          <w:sz w:val="10"/>
        </w:rPr>
        <w:t>47</w:t>
      </w:r>
      <w:r>
        <w:rPr>
          <w:position w:val="6"/>
          <w:sz w:val="10"/>
        </w:rPr>
        <w:tab/>
      </w:r>
      <w:r>
        <w:rPr>
          <w:sz w:val="16"/>
        </w:rPr>
        <w:t>Consejo Nacional de la Magistratura. Resolución No. 051-96-CNM de 14 de</w:t>
      </w:r>
      <w:r>
        <w:rPr>
          <w:sz w:val="16"/>
        </w:rPr>
        <w:t xml:space="preserve"> mayo de 1996 (expediente de prueba, folio</w:t>
      </w:r>
      <w:r>
        <w:rPr>
          <w:spacing w:val="-6"/>
          <w:sz w:val="16"/>
        </w:rPr>
        <w:t xml:space="preserve"> </w:t>
      </w:r>
      <w:r>
        <w:rPr>
          <w:sz w:val="16"/>
        </w:rPr>
        <w:t>63).</w:t>
      </w:r>
    </w:p>
    <w:p w14:paraId="551E1FBC" w14:textId="77777777" w:rsidR="00492688" w:rsidRDefault="00C9584B">
      <w:pPr>
        <w:tabs>
          <w:tab w:val="left" w:pos="829"/>
        </w:tabs>
        <w:spacing w:before="99"/>
        <w:ind w:left="121" w:right="733"/>
        <w:rPr>
          <w:sz w:val="16"/>
        </w:rPr>
      </w:pPr>
      <w:bookmarkStart w:id="84" w:name="_bookmark65"/>
      <w:bookmarkEnd w:id="84"/>
      <w:r>
        <w:rPr>
          <w:position w:val="6"/>
          <w:sz w:val="10"/>
        </w:rPr>
        <w:t>48</w:t>
      </w:r>
      <w:r>
        <w:rPr>
          <w:position w:val="6"/>
          <w:sz w:val="10"/>
        </w:rPr>
        <w:tab/>
      </w:r>
      <w:r>
        <w:rPr>
          <w:i/>
          <w:sz w:val="16"/>
        </w:rPr>
        <w:t xml:space="preserve">Cfr. </w:t>
      </w:r>
      <w:r>
        <w:rPr>
          <w:sz w:val="16"/>
        </w:rPr>
        <w:t>Escrito de descargos presentado por el señor Cordero Bernal el 29 de mayo de 1996 (expediente de prueba, folios 66 a</w:t>
      </w:r>
      <w:r>
        <w:rPr>
          <w:spacing w:val="-9"/>
          <w:sz w:val="16"/>
        </w:rPr>
        <w:t xml:space="preserve"> </w:t>
      </w:r>
      <w:r>
        <w:rPr>
          <w:sz w:val="16"/>
        </w:rPr>
        <w:t>73).</w:t>
      </w:r>
    </w:p>
    <w:p w14:paraId="7FB4581E" w14:textId="77777777" w:rsidR="00492688" w:rsidRDefault="00C9584B">
      <w:pPr>
        <w:tabs>
          <w:tab w:val="left" w:pos="829"/>
        </w:tabs>
        <w:spacing w:before="100"/>
        <w:ind w:left="121" w:right="121"/>
        <w:rPr>
          <w:sz w:val="16"/>
        </w:rPr>
      </w:pPr>
      <w:bookmarkStart w:id="85" w:name="_bookmark66"/>
      <w:bookmarkEnd w:id="85"/>
      <w:r>
        <w:rPr>
          <w:position w:val="6"/>
          <w:sz w:val="10"/>
        </w:rPr>
        <w:t>49</w:t>
      </w:r>
      <w:r>
        <w:rPr>
          <w:position w:val="6"/>
          <w:sz w:val="10"/>
        </w:rPr>
        <w:tab/>
      </w:r>
      <w:r>
        <w:rPr>
          <w:i/>
          <w:sz w:val="16"/>
        </w:rPr>
        <w:t xml:space="preserve">Cfr. </w:t>
      </w:r>
      <w:r>
        <w:rPr>
          <w:sz w:val="16"/>
        </w:rPr>
        <w:t xml:space="preserve">Consejo Nacional de la Magistratura. Resolución No. 008-96-PCNM de 14 </w:t>
      </w:r>
      <w:r>
        <w:rPr>
          <w:sz w:val="16"/>
        </w:rPr>
        <w:t>de agosto de 1996 (expediente de prueba, folios 9 a</w:t>
      </w:r>
      <w:r>
        <w:rPr>
          <w:spacing w:val="-6"/>
          <w:sz w:val="16"/>
        </w:rPr>
        <w:t xml:space="preserve"> </w:t>
      </w:r>
      <w:r>
        <w:rPr>
          <w:sz w:val="16"/>
        </w:rPr>
        <w:t>13).</w:t>
      </w:r>
    </w:p>
    <w:p w14:paraId="44A57B86" w14:textId="77777777" w:rsidR="00492688" w:rsidRDefault="00492688">
      <w:pPr>
        <w:rPr>
          <w:sz w:val="16"/>
        </w:rPr>
        <w:sectPr w:rsidR="00492688">
          <w:pgSz w:w="12240" w:h="15840"/>
          <w:pgMar w:top="1500" w:right="1580" w:bottom="280" w:left="1580" w:header="720" w:footer="720" w:gutter="0"/>
          <w:cols w:space="720"/>
        </w:sectPr>
      </w:pPr>
    </w:p>
    <w:p w14:paraId="1B808AA4" w14:textId="77777777" w:rsidR="00492688" w:rsidRDefault="00C9584B">
      <w:pPr>
        <w:pStyle w:val="Textoindependiente"/>
        <w:spacing w:before="79"/>
        <w:ind w:left="121" w:right="118"/>
        <w:jc w:val="both"/>
      </w:pPr>
      <w:r>
        <w:lastRenderedPageBreak/>
        <w:t>nulidad de la Resolución que ordenaba su destitución. De acuerdo con el señor Cordero Bernal, aunque la Ley Orgánica del Consejo Nacional de la Magistratura y la Constitución establecían qu</w:t>
      </w:r>
      <w:r>
        <w:t>e las decisiones del CNM son inimpugnables, procedía la acción de amparo por desconocimiento del derecho al debido proceso. También argumentó el desconocimiento de las garantías de estabilidad de los magistrados</w:t>
      </w:r>
      <w:hyperlink w:anchor="_bookmark68" w:history="1">
        <w:r>
          <w:rPr>
            <w:position w:val="7"/>
            <w:sz w:val="13"/>
          </w:rPr>
          <w:t>50</w:t>
        </w:r>
      </w:hyperlink>
      <w:r>
        <w:t>.</w:t>
      </w:r>
    </w:p>
    <w:p w14:paraId="2D536994" w14:textId="77777777" w:rsidR="00492688" w:rsidRDefault="00492688">
      <w:pPr>
        <w:pStyle w:val="Textoindependiente"/>
        <w:spacing w:before="10"/>
        <w:rPr>
          <w:sz w:val="19"/>
        </w:rPr>
      </w:pPr>
    </w:p>
    <w:p w14:paraId="74062EDA" w14:textId="77777777" w:rsidR="00492688" w:rsidRDefault="00C9584B">
      <w:pPr>
        <w:pStyle w:val="Prrafodelista"/>
        <w:numPr>
          <w:ilvl w:val="0"/>
          <w:numId w:val="12"/>
        </w:numPr>
        <w:tabs>
          <w:tab w:val="left" w:pos="689"/>
        </w:tabs>
        <w:ind w:right="118" w:firstLine="0"/>
        <w:jc w:val="both"/>
        <w:rPr>
          <w:sz w:val="20"/>
        </w:rPr>
      </w:pPr>
      <w:r>
        <w:rPr>
          <w:sz w:val="20"/>
        </w:rPr>
        <w:t xml:space="preserve">El 27 de </w:t>
      </w:r>
      <w:r>
        <w:rPr>
          <w:sz w:val="20"/>
        </w:rPr>
        <w:t>noviembre de 1996 el Primer Juzgado Especializado en Derecho Público, en sentencia de primera instancia, declaró improcedente la acción de amparo</w:t>
      </w:r>
      <w:hyperlink w:anchor="_bookmark69" w:history="1">
        <w:r>
          <w:rPr>
            <w:position w:val="7"/>
            <w:sz w:val="13"/>
          </w:rPr>
          <w:t>51</w:t>
        </w:r>
      </w:hyperlink>
      <w:r>
        <w:rPr>
          <w:sz w:val="20"/>
        </w:rPr>
        <w:t>. El juzgado encontró que la resolución mediante la cual se destituyó al señor Cordero Bernal contenía “un amplio examen de lo actuado en el procedimiento disciplinario administrativo” lo que “permite concluir que la misma se encuentra suficientemente moti</w:t>
      </w:r>
      <w:r>
        <w:rPr>
          <w:sz w:val="20"/>
        </w:rPr>
        <w:t>vada y, por tanto, ha sido expedida con observancia del requisito constitucional materia de análisis, lo que hace inimpugnable dicha resolución e improcedente la acción de amparo que pretende cuestionarle”</w:t>
      </w:r>
      <w:hyperlink w:anchor="_bookmark70" w:history="1">
        <w:r>
          <w:rPr>
            <w:position w:val="7"/>
            <w:sz w:val="13"/>
          </w:rPr>
          <w:t>52</w:t>
        </w:r>
      </w:hyperlink>
      <w:r>
        <w:rPr>
          <w:sz w:val="20"/>
        </w:rPr>
        <w:t>. Conforme a lo an</w:t>
      </w:r>
      <w:r>
        <w:rPr>
          <w:sz w:val="20"/>
        </w:rPr>
        <w:t>terior y de acuerdo con el Juzgado, la resolución de destitución no era revisable por haberse expedido sin afectar el debido proceso. La decisión fue apelada mediante escrito presentado el 10 de diciembre de</w:t>
      </w:r>
      <w:r>
        <w:rPr>
          <w:spacing w:val="-6"/>
          <w:sz w:val="20"/>
        </w:rPr>
        <w:t xml:space="preserve"> </w:t>
      </w:r>
      <w:r>
        <w:rPr>
          <w:sz w:val="20"/>
        </w:rPr>
        <w:t>1996</w:t>
      </w:r>
      <w:hyperlink w:anchor="_bookmark71" w:history="1">
        <w:r>
          <w:rPr>
            <w:position w:val="7"/>
            <w:sz w:val="13"/>
          </w:rPr>
          <w:t>53</w:t>
        </w:r>
      </w:hyperlink>
      <w:r>
        <w:rPr>
          <w:sz w:val="20"/>
        </w:rPr>
        <w:t>.</w:t>
      </w:r>
    </w:p>
    <w:p w14:paraId="2C40441A" w14:textId="77777777" w:rsidR="00492688" w:rsidRDefault="00492688">
      <w:pPr>
        <w:pStyle w:val="Textoindependiente"/>
        <w:spacing w:before="2"/>
      </w:pPr>
    </w:p>
    <w:p w14:paraId="38816A4B" w14:textId="77777777" w:rsidR="00492688" w:rsidRDefault="00C9584B">
      <w:pPr>
        <w:pStyle w:val="Prrafodelista"/>
        <w:numPr>
          <w:ilvl w:val="0"/>
          <w:numId w:val="12"/>
        </w:numPr>
        <w:tabs>
          <w:tab w:val="left" w:pos="688"/>
        </w:tabs>
        <w:ind w:right="116" w:firstLine="0"/>
        <w:jc w:val="both"/>
        <w:rPr>
          <w:sz w:val="20"/>
        </w:rPr>
      </w:pPr>
      <w:r>
        <w:rPr>
          <w:sz w:val="20"/>
        </w:rPr>
        <w:t>El 24 de septiembre de 1997 la Sala Corporativa Transitoria Especializada en Derecho Público emitió sentencia de segunda instancia, en la que confirmó la decisión de declarar improcedente el amparo</w:t>
      </w:r>
      <w:hyperlink w:anchor="_bookmark72" w:history="1">
        <w:r>
          <w:rPr>
            <w:position w:val="7"/>
            <w:sz w:val="13"/>
          </w:rPr>
          <w:t>54</w:t>
        </w:r>
      </w:hyperlink>
      <w:r>
        <w:rPr>
          <w:sz w:val="20"/>
        </w:rPr>
        <w:t>. Argumentó que, de acuerd</w:t>
      </w:r>
      <w:r>
        <w:rPr>
          <w:sz w:val="20"/>
        </w:rPr>
        <w:t>o con el artículo 142 de la Constitución Política peruana, las decisiones del CNM en materia de evaluación y ratificación de jueces no son susceptibles de revisión. El señor Cordero Bernal interpuso los recursos correspondientes</w:t>
      </w:r>
      <w:hyperlink w:anchor="_bookmark73" w:history="1">
        <w:r>
          <w:rPr>
            <w:position w:val="7"/>
            <w:sz w:val="13"/>
          </w:rPr>
          <w:t>55</w:t>
        </w:r>
      </w:hyperlink>
      <w:r>
        <w:rPr>
          <w:sz w:val="20"/>
        </w:rPr>
        <w:t>. El 8 de mayo de 1998 el Tribunal Constitucional consideró que en el proceso disciplinario “se procedió de conformidad con las pautas esenciales del debido proceso; descartándose el argumento del demandante de señalar que la resolución impugnada care</w:t>
      </w:r>
      <w:r>
        <w:rPr>
          <w:sz w:val="20"/>
        </w:rPr>
        <w:t>ce de motivación por el propio tenor de la misma […]”. Conforme a lo anterior, a juicio del Tribunal, la acción de garantía era admisible. Por esa razón, analizó el fondo del asunto y rechazó la acción por no encontrar violación al debido</w:t>
      </w:r>
      <w:r>
        <w:rPr>
          <w:spacing w:val="-4"/>
          <w:sz w:val="20"/>
        </w:rPr>
        <w:t xml:space="preserve"> </w:t>
      </w:r>
      <w:r>
        <w:rPr>
          <w:sz w:val="20"/>
        </w:rPr>
        <w:t>proceso</w:t>
      </w:r>
      <w:hyperlink w:anchor="_bookmark74" w:history="1">
        <w:r>
          <w:rPr>
            <w:position w:val="7"/>
            <w:sz w:val="13"/>
          </w:rPr>
          <w:t>56</w:t>
        </w:r>
      </w:hyperlink>
      <w:r>
        <w:rPr>
          <w:sz w:val="20"/>
        </w:rPr>
        <w:t>.</w:t>
      </w:r>
    </w:p>
    <w:p w14:paraId="57D798B6" w14:textId="77777777" w:rsidR="00492688" w:rsidRDefault="00492688">
      <w:pPr>
        <w:pStyle w:val="Textoindependiente"/>
        <w:spacing w:before="10"/>
        <w:rPr>
          <w:sz w:val="19"/>
        </w:rPr>
      </w:pPr>
    </w:p>
    <w:p w14:paraId="050A5351" w14:textId="77777777" w:rsidR="00492688" w:rsidRDefault="00C9584B">
      <w:pPr>
        <w:pStyle w:val="Ttulo1"/>
        <w:numPr>
          <w:ilvl w:val="0"/>
          <w:numId w:val="9"/>
        </w:numPr>
        <w:tabs>
          <w:tab w:val="left" w:pos="756"/>
        </w:tabs>
        <w:spacing w:before="1"/>
        <w:ind w:left="755" w:hanging="275"/>
      </w:pPr>
      <w:bookmarkStart w:id="86" w:name="F.__Proceso_penal"/>
      <w:bookmarkStart w:id="87" w:name="_bookmark67"/>
      <w:bookmarkEnd w:id="86"/>
      <w:bookmarkEnd w:id="87"/>
      <w:r>
        <w:t>Proceso penal</w:t>
      </w:r>
    </w:p>
    <w:p w14:paraId="782AEBB1" w14:textId="77777777" w:rsidR="00492688" w:rsidRDefault="00492688">
      <w:pPr>
        <w:pStyle w:val="Textoindependiente"/>
        <w:rPr>
          <w:b/>
        </w:rPr>
      </w:pPr>
    </w:p>
    <w:p w14:paraId="21A0D805" w14:textId="77777777" w:rsidR="00492688" w:rsidRDefault="00C9584B">
      <w:pPr>
        <w:pStyle w:val="Prrafodelista"/>
        <w:numPr>
          <w:ilvl w:val="0"/>
          <w:numId w:val="12"/>
        </w:numPr>
        <w:tabs>
          <w:tab w:val="left" w:pos="688"/>
        </w:tabs>
        <w:spacing w:before="1"/>
        <w:ind w:right="118" w:hanging="1"/>
        <w:jc w:val="both"/>
        <w:rPr>
          <w:sz w:val="20"/>
        </w:rPr>
      </w:pPr>
      <w:r>
        <w:rPr>
          <w:sz w:val="20"/>
        </w:rPr>
        <w:t>Mediante Resolución del 30 de julio de 1997, la Comisión Ejecutiva del Ministerio Público</w:t>
      </w:r>
      <w:r>
        <w:rPr>
          <w:spacing w:val="26"/>
          <w:sz w:val="20"/>
        </w:rPr>
        <w:t xml:space="preserve"> </w:t>
      </w:r>
      <w:r>
        <w:rPr>
          <w:sz w:val="20"/>
        </w:rPr>
        <w:t>declaró</w:t>
      </w:r>
      <w:r>
        <w:rPr>
          <w:spacing w:val="27"/>
          <w:sz w:val="20"/>
        </w:rPr>
        <w:t xml:space="preserve"> </w:t>
      </w:r>
      <w:r>
        <w:rPr>
          <w:sz w:val="20"/>
        </w:rPr>
        <w:t>fundada</w:t>
      </w:r>
      <w:r>
        <w:rPr>
          <w:spacing w:val="30"/>
          <w:sz w:val="20"/>
        </w:rPr>
        <w:t xml:space="preserve"> </w:t>
      </w:r>
      <w:r>
        <w:rPr>
          <w:sz w:val="20"/>
        </w:rPr>
        <w:t>una</w:t>
      </w:r>
      <w:r>
        <w:rPr>
          <w:spacing w:val="28"/>
          <w:sz w:val="20"/>
        </w:rPr>
        <w:t xml:space="preserve"> </w:t>
      </w:r>
      <w:r>
        <w:rPr>
          <w:sz w:val="20"/>
        </w:rPr>
        <w:t>denuncia</w:t>
      </w:r>
      <w:r>
        <w:rPr>
          <w:spacing w:val="27"/>
          <w:sz w:val="20"/>
        </w:rPr>
        <w:t xml:space="preserve"> </w:t>
      </w:r>
      <w:r>
        <w:rPr>
          <w:sz w:val="20"/>
        </w:rPr>
        <w:t>por</w:t>
      </w:r>
      <w:r>
        <w:rPr>
          <w:spacing w:val="27"/>
          <w:sz w:val="20"/>
        </w:rPr>
        <w:t xml:space="preserve"> </w:t>
      </w:r>
      <w:r>
        <w:rPr>
          <w:sz w:val="20"/>
        </w:rPr>
        <w:t>los</w:t>
      </w:r>
      <w:r>
        <w:rPr>
          <w:spacing w:val="29"/>
          <w:sz w:val="20"/>
        </w:rPr>
        <w:t xml:space="preserve"> </w:t>
      </w:r>
      <w:r>
        <w:rPr>
          <w:sz w:val="20"/>
        </w:rPr>
        <w:t>delitos</w:t>
      </w:r>
      <w:r>
        <w:rPr>
          <w:spacing w:val="27"/>
          <w:sz w:val="20"/>
        </w:rPr>
        <w:t xml:space="preserve"> </w:t>
      </w:r>
      <w:r>
        <w:rPr>
          <w:sz w:val="20"/>
        </w:rPr>
        <w:t>de</w:t>
      </w:r>
      <w:r>
        <w:rPr>
          <w:spacing w:val="26"/>
          <w:sz w:val="20"/>
        </w:rPr>
        <w:t xml:space="preserve"> </w:t>
      </w:r>
      <w:r>
        <w:rPr>
          <w:sz w:val="20"/>
        </w:rPr>
        <w:t>prevaricato</w:t>
      </w:r>
      <w:r>
        <w:rPr>
          <w:spacing w:val="27"/>
          <w:sz w:val="20"/>
        </w:rPr>
        <w:t xml:space="preserve"> </w:t>
      </w:r>
      <w:r>
        <w:rPr>
          <w:sz w:val="20"/>
        </w:rPr>
        <w:t>y</w:t>
      </w:r>
      <w:r>
        <w:rPr>
          <w:spacing w:val="30"/>
          <w:sz w:val="20"/>
        </w:rPr>
        <w:t xml:space="preserve"> </w:t>
      </w:r>
      <w:r>
        <w:rPr>
          <w:sz w:val="20"/>
        </w:rPr>
        <w:t>encubrimiento</w:t>
      </w:r>
    </w:p>
    <w:p w14:paraId="328BEEE4" w14:textId="4D0A5CD0" w:rsidR="00492688" w:rsidRDefault="00C9584B">
      <w:pPr>
        <w:pStyle w:val="Textoindependiente"/>
        <w:spacing w:before="7"/>
        <w:rPr>
          <w:sz w:val="27"/>
        </w:rPr>
      </w:pPr>
      <w:r>
        <w:rPr>
          <w:noProof/>
        </w:rPr>
        <mc:AlternateContent>
          <mc:Choice Requires="wps">
            <w:drawing>
              <wp:anchor distT="0" distB="0" distL="0" distR="0" simplePos="0" relativeHeight="251669504" behindDoc="1" locked="0" layoutInCell="1" allowOverlap="1" wp14:anchorId="48CFED13" wp14:editId="211F68F6">
                <wp:simplePos x="0" y="0"/>
                <wp:positionH relativeFrom="page">
                  <wp:posOffset>1080770</wp:posOffset>
                </wp:positionH>
                <wp:positionV relativeFrom="paragraph">
                  <wp:posOffset>241935</wp:posOffset>
                </wp:positionV>
                <wp:extent cx="1828800" cy="1270"/>
                <wp:effectExtent l="0" t="0" r="0" b="0"/>
                <wp:wrapTopAndBottom/>
                <wp:docPr id="30"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8D073" id="Freeform 31" o:spid="_x0000_s1026" style="position:absolute;margin-left:85.1pt;margin-top:19.05pt;width:2in;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3D5867B6" w14:textId="77777777" w:rsidR="00492688" w:rsidRDefault="00492688">
      <w:pPr>
        <w:pStyle w:val="Textoindependiente"/>
        <w:spacing w:before="1"/>
        <w:rPr>
          <w:sz w:val="6"/>
        </w:rPr>
      </w:pPr>
    </w:p>
    <w:p w14:paraId="038F8484" w14:textId="77777777" w:rsidR="00492688" w:rsidRDefault="00C9584B">
      <w:pPr>
        <w:tabs>
          <w:tab w:val="left" w:pos="829"/>
        </w:tabs>
        <w:spacing w:before="101"/>
        <w:ind w:left="121" w:right="116"/>
        <w:jc w:val="both"/>
        <w:rPr>
          <w:sz w:val="16"/>
        </w:rPr>
      </w:pPr>
      <w:bookmarkStart w:id="88" w:name="_bookmark68"/>
      <w:bookmarkEnd w:id="88"/>
      <w:r>
        <w:rPr>
          <w:position w:val="6"/>
          <w:sz w:val="10"/>
        </w:rPr>
        <w:t>50</w:t>
      </w:r>
      <w:r>
        <w:rPr>
          <w:position w:val="6"/>
          <w:sz w:val="10"/>
        </w:rPr>
        <w:tab/>
      </w:r>
      <w:r>
        <w:rPr>
          <w:i/>
          <w:sz w:val="16"/>
        </w:rPr>
        <w:t xml:space="preserve">Cfr. </w:t>
      </w:r>
      <w:r>
        <w:rPr>
          <w:sz w:val="16"/>
        </w:rPr>
        <w:t>Acción de amparo interpuesta por el señor Cordero Bernal ante el Juzgado Especializado en Derecho Público el 9 de septiembre de 1996 (expediente de prueba, folios 75 a</w:t>
      </w:r>
      <w:r>
        <w:rPr>
          <w:spacing w:val="-18"/>
          <w:sz w:val="16"/>
        </w:rPr>
        <w:t xml:space="preserve"> </w:t>
      </w:r>
      <w:r>
        <w:rPr>
          <w:sz w:val="16"/>
        </w:rPr>
        <w:t>83).</w:t>
      </w:r>
    </w:p>
    <w:p w14:paraId="33DB75CD" w14:textId="77777777" w:rsidR="00492688" w:rsidRDefault="00C9584B">
      <w:pPr>
        <w:tabs>
          <w:tab w:val="left" w:pos="829"/>
        </w:tabs>
        <w:spacing w:before="100"/>
        <w:ind w:left="122" w:right="114" w:hanging="1"/>
        <w:jc w:val="both"/>
        <w:rPr>
          <w:sz w:val="16"/>
        </w:rPr>
      </w:pPr>
      <w:bookmarkStart w:id="89" w:name="_bookmark69"/>
      <w:bookmarkEnd w:id="89"/>
      <w:r>
        <w:rPr>
          <w:position w:val="6"/>
          <w:sz w:val="10"/>
        </w:rPr>
        <w:t>51</w:t>
      </w:r>
      <w:r>
        <w:rPr>
          <w:position w:val="6"/>
          <w:sz w:val="10"/>
        </w:rPr>
        <w:tab/>
      </w:r>
      <w:r>
        <w:rPr>
          <w:i/>
          <w:sz w:val="16"/>
        </w:rPr>
        <w:t xml:space="preserve">Cfr. </w:t>
      </w:r>
      <w:r>
        <w:rPr>
          <w:sz w:val="16"/>
        </w:rPr>
        <w:t>Primer Juzgado Especializado en Derecho Público. Decisión de 27 de noviembr</w:t>
      </w:r>
      <w:r>
        <w:rPr>
          <w:sz w:val="16"/>
        </w:rPr>
        <w:t>e de 1996 (expediente de prueba, folios 1380 a</w:t>
      </w:r>
      <w:r>
        <w:rPr>
          <w:spacing w:val="-9"/>
          <w:sz w:val="16"/>
        </w:rPr>
        <w:t xml:space="preserve"> </w:t>
      </w:r>
      <w:r>
        <w:rPr>
          <w:sz w:val="16"/>
        </w:rPr>
        <w:t>1383).</w:t>
      </w:r>
    </w:p>
    <w:p w14:paraId="0542F5A5" w14:textId="77777777" w:rsidR="00492688" w:rsidRDefault="00C9584B">
      <w:pPr>
        <w:tabs>
          <w:tab w:val="left" w:pos="829"/>
        </w:tabs>
        <w:spacing w:before="99"/>
        <w:ind w:left="122" w:right="113" w:hanging="1"/>
        <w:jc w:val="both"/>
        <w:rPr>
          <w:sz w:val="16"/>
        </w:rPr>
      </w:pPr>
      <w:bookmarkStart w:id="90" w:name="_bookmark70"/>
      <w:bookmarkEnd w:id="90"/>
      <w:r>
        <w:rPr>
          <w:position w:val="6"/>
          <w:sz w:val="10"/>
        </w:rPr>
        <w:t>52</w:t>
      </w:r>
      <w:r>
        <w:rPr>
          <w:position w:val="6"/>
          <w:sz w:val="10"/>
        </w:rPr>
        <w:tab/>
      </w:r>
      <w:r>
        <w:rPr>
          <w:sz w:val="16"/>
        </w:rPr>
        <w:t>Primer Juzgado Especializado en Derecho Público. Decisión de 27 de noviembre de 1996  (expediente de prueba, folio</w:t>
      </w:r>
      <w:r>
        <w:rPr>
          <w:spacing w:val="-6"/>
          <w:sz w:val="16"/>
        </w:rPr>
        <w:t xml:space="preserve"> </w:t>
      </w:r>
      <w:r>
        <w:rPr>
          <w:sz w:val="16"/>
        </w:rPr>
        <w:t>1383).</w:t>
      </w:r>
    </w:p>
    <w:p w14:paraId="74D668F2" w14:textId="77777777" w:rsidR="00492688" w:rsidRDefault="00C9584B">
      <w:pPr>
        <w:tabs>
          <w:tab w:val="left" w:pos="829"/>
        </w:tabs>
        <w:spacing w:before="100"/>
        <w:ind w:left="121"/>
        <w:jc w:val="both"/>
        <w:rPr>
          <w:sz w:val="16"/>
        </w:rPr>
      </w:pPr>
      <w:bookmarkStart w:id="91" w:name="_bookmark71"/>
      <w:bookmarkEnd w:id="91"/>
      <w:r>
        <w:rPr>
          <w:position w:val="6"/>
          <w:sz w:val="10"/>
        </w:rPr>
        <w:t>53</w:t>
      </w:r>
      <w:r>
        <w:rPr>
          <w:position w:val="6"/>
          <w:sz w:val="10"/>
        </w:rPr>
        <w:tab/>
      </w:r>
      <w:r>
        <w:rPr>
          <w:i/>
          <w:sz w:val="16"/>
        </w:rPr>
        <w:t xml:space="preserve">Cfr. </w:t>
      </w:r>
      <w:r>
        <w:rPr>
          <w:sz w:val="16"/>
        </w:rPr>
        <w:t>Recurso de Apelación de 10 de diciembre de 1996 (expediente de prueba, folios 1385 a</w:t>
      </w:r>
      <w:r>
        <w:rPr>
          <w:spacing w:val="-27"/>
          <w:sz w:val="16"/>
        </w:rPr>
        <w:t xml:space="preserve"> </w:t>
      </w:r>
      <w:r>
        <w:rPr>
          <w:sz w:val="16"/>
        </w:rPr>
        <w:t>1387).</w:t>
      </w:r>
    </w:p>
    <w:p w14:paraId="6084F9FB" w14:textId="77777777" w:rsidR="00492688" w:rsidRDefault="00C9584B">
      <w:pPr>
        <w:tabs>
          <w:tab w:val="left" w:pos="829"/>
        </w:tabs>
        <w:spacing w:before="101"/>
        <w:ind w:left="121" w:right="117" w:hanging="1"/>
        <w:jc w:val="both"/>
        <w:rPr>
          <w:sz w:val="16"/>
        </w:rPr>
      </w:pPr>
      <w:bookmarkStart w:id="92" w:name="_bookmark72"/>
      <w:bookmarkEnd w:id="92"/>
      <w:r>
        <w:rPr>
          <w:position w:val="6"/>
          <w:sz w:val="10"/>
        </w:rPr>
        <w:t>54</w:t>
      </w:r>
      <w:r>
        <w:rPr>
          <w:position w:val="6"/>
          <w:sz w:val="10"/>
        </w:rPr>
        <w:tab/>
      </w:r>
      <w:r>
        <w:rPr>
          <w:i/>
          <w:sz w:val="16"/>
        </w:rPr>
        <w:t xml:space="preserve">Cfr. </w:t>
      </w:r>
      <w:r>
        <w:rPr>
          <w:sz w:val="16"/>
        </w:rPr>
        <w:t>Sala Corporativa Transitoria Especializada en Derecho Público. Sentencia de 24 de septiembre de 1997 (expediente de prueba, folio</w:t>
      </w:r>
      <w:r>
        <w:rPr>
          <w:spacing w:val="-3"/>
          <w:sz w:val="16"/>
        </w:rPr>
        <w:t xml:space="preserve"> </w:t>
      </w:r>
      <w:r>
        <w:rPr>
          <w:sz w:val="16"/>
        </w:rPr>
        <w:t>90).</w:t>
      </w:r>
    </w:p>
    <w:p w14:paraId="68770BF1" w14:textId="77777777" w:rsidR="00492688" w:rsidRDefault="00C9584B">
      <w:pPr>
        <w:tabs>
          <w:tab w:val="left" w:pos="829"/>
        </w:tabs>
        <w:spacing w:before="98"/>
        <w:ind w:left="120" w:right="114" w:firstLine="1"/>
        <w:jc w:val="both"/>
        <w:rPr>
          <w:sz w:val="16"/>
        </w:rPr>
      </w:pPr>
      <w:bookmarkStart w:id="93" w:name="_bookmark73"/>
      <w:bookmarkEnd w:id="93"/>
      <w:r>
        <w:rPr>
          <w:position w:val="6"/>
          <w:sz w:val="10"/>
        </w:rPr>
        <w:t>55</w:t>
      </w:r>
      <w:r>
        <w:rPr>
          <w:position w:val="6"/>
          <w:sz w:val="10"/>
        </w:rPr>
        <w:tab/>
      </w:r>
      <w:r>
        <w:rPr>
          <w:i/>
          <w:sz w:val="16"/>
        </w:rPr>
        <w:t xml:space="preserve">Cfr. </w:t>
      </w:r>
      <w:r>
        <w:rPr>
          <w:sz w:val="16"/>
        </w:rPr>
        <w:t>Recurso Extra</w:t>
      </w:r>
      <w:r>
        <w:rPr>
          <w:sz w:val="16"/>
        </w:rPr>
        <w:t>ordinario de 16 de octubre de 1997, interpuesto por el señor Héctor Fidel Cordero Bernal (expediente de prueba, folio 1389 a 1893) y escrito del señor Cordero Bernal de 31 de marzo de 1998, en el que solicita al Presidente del Tribunal Constitucional que d</w:t>
      </w:r>
      <w:r>
        <w:rPr>
          <w:sz w:val="16"/>
        </w:rPr>
        <w:t>eclare procedente la acción de amparo que</w:t>
      </w:r>
      <w:r>
        <w:rPr>
          <w:spacing w:val="11"/>
          <w:sz w:val="16"/>
        </w:rPr>
        <w:t xml:space="preserve"> </w:t>
      </w:r>
      <w:r>
        <w:rPr>
          <w:sz w:val="16"/>
        </w:rPr>
        <w:t>interpuso</w:t>
      </w:r>
      <w:r>
        <w:rPr>
          <w:spacing w:val="9"/>
          <w:sz w:val="16"/>
        </w:rPr>
        <w:t xml:space="preserve"> </w:t>
      </w:r>
      <w:r>
        <w:rPr>
          <w:sz w:val="16"/>
        </w:rPr>
        <w:t>contra</w:t>
      </w:r>
      <w:r>
        <w:rPr>
          <w:spacing w:val="11"/>
          <w:sz w:val="16"/>
        </w:rPr>
        <w:t xml:space="preserve"> </w:t>
      </w:r>
      <w:r>
        <w:rPr>
          <w:sz w:val="16"/>
        </w:rPr>
        <w:t>la</w:t>
      </w:r>
      <w:r>
        <w:rPr>
          <w:spacing w:val="8"/>
          <w:sz w:val="16"/>
        </w:rPr>
        <w:t xml:space="preserve"> </w:t>
      </w:r>
      <w:r>
        <w:rPr>
          <w:sz w:val="16"/>
        </w:rPr>
        <w:t>resolución</w:t>
      </w:r>
      <w:r>
        <w:rPr>
          <w:spacing w:val="11"/>
          <w:sz w:val="16"/>
        </w:rPr>
        <w:t xml:space="preserve"> </w:t>
      </w:r>
      <w:r>
        <w:rPr>
          <w:sz w:val="16"/>
        </w:rPr>
        <w:t>No.</w:t>
      </w:r>
      <w:r>
        <w:rPr>
          <w:spacing w:val="8"/>
          <w:sz w:val="16"/>
        </w:rPr>
        <w:t xml:space="preserve"> </w:t>
      </w:r>
      <w:r>
        <w:rPr>
          <w:sz w:val="16"/>
        </w:rPr>
        <w:t>008-96-PCNM</w:t>
      </w:r>
      <w:r>
        <w:rPr>
          <w:spacing w:val="11"/>
          <w:sz w:val="16"/>
        </w:rPr>
        <w:t xml:space="preserve"> </w:t>
      </w:r>
      <w:r>
        <w:rPr>
          <w:sz w:val="16"/>
        </w:rPr>
        <w:t>de</w:t>
      </w:r>
      <w:r>
        <w:rPr>
          <w:spacing w:val="9"/>
          <w:sz w:val="16"/>
        </w:rPr>
        <w:t xml:space="preserve"> </w:t>
      </w:r>
      <w:r>
        <w:rPr>
          <w:sz w:val="16"/>
        </w:rPr>
        <w:t>14</w:t>
      </w:r>
      <w:r>
        <w:rPr>
          <w:spacing w:val="10"/>
          <w:sz w:val="16"/>
        </w:rPr>
        <w:t xml:space="preserve"> </w:t>
      </w:r>
      <w:r>
        <w:rPr>
          <w:sz w:val="16"/>
        </w:rPr>
        <w:t>de</w:t>
      </w:r>
      <w:r>
        <w:rPr>
          <w:spacing w:val="11"/>
          <w:sz w:val="16"/>
        </w:rPr>
        <w:t xml:space="preserve"> </w:t>
      </w:r>
      <w:r>
        <w:rPr>
          <w:sz w:val="16"/>
        </w:rPr>
        <w:t>agosto</w:t>
      </w:r>
      <w:r>
        <w:rPr>
          <w:spacing w:val="10"/>
          <w:sz w:val="16"/>
        </w:rPr>
        <w:t xml:space="preserve"> </w:t>
      </w:r>
      <w:r>
        <w:rPr>
          <w:sz w:val="16"/>
        </w:rPr>
        <w:t>de</w:t>
      </w:r>
      <w:r>
        <w:rPr>
          <w:spacing w:val="9"/>
          <w:sz w:val="16"/>
        </w:rPr>
        <w:t xml:space="preserve"> </w:t>
      </w:r>
      <w:r>
        <w:rPr>
          <w:sz w:val="16"/>
        </w:rPr>
        <w:t>1996</w:t>
      </w:r>
      <w:r>
        <w:rPr>
          <w:spacing w:val="10"/>
          <w:sz w:val="16"/>
        </w:rPr>
        <w:t xml:space="preserve"> </w:t>
      </w:r>
      <w:r>
        <w:rPr>
          <w:sz w:val="16"/>
        </w:rPr>
        <w:t>(expediente</w:t>
      </w:r>
      <w:r>
        <w:rPr>
          <w:spacing w:val="11"/>
          <w:sz w:val="16"/>
        </w:rPr>
        <w:t xml:space="preserve"> </w:t>
      </w:r>
      <w:r>
        <w:rPr>
          <w:sz w:val="16"/>
        </w:rPr>
        <w:t>de</w:t>
      </w:r>
      <w:r>
        <w:rPr>
          <w:spacing w:val="10"/>
          <w:sz w:val="16"/>
        </w:rPr>
        <w:t xml:space="preserve"> </w:t>
      </w:r>
      <w:r>
        <w:rPr>
          <w:sz w:val="16"/>
        </w:rPr>
        <w:t>prueba,</w:t>
      </w:r>
      <w:r>
        <w:rPr>
          <w:spacing w:val="8"/>
          <w:sz w:val="16"/>
        </w:rPr>
        <w:t xml:space="preserve"> </w:t>
      </w:r>
      <w:r>
        <w:rPr>
          <w:sz w:val="16"/>
        </w:rPr>
        <w:t>folio</w:t>
      </w:r>
    </w:p>
    <w:p w14:paraId="3A11FCC2" w14:textId="77777777" w:rsidR="00492688" w:rsidRDefault="00C9584B">
      <w:pPr>
        <w:ind w:left="120" w:right="116" w:hanging="1"/>
        <w:jc w:val="both"/>
        <w:rPr>
          <w:sz w:val="16"/>
        </w:rPr>
      </w:pPr>
      <w:r>
        <w:rPr>
          <w:sz w:val="16"/>
        </w:rPr>
        <w:t>95 a 99). El 16 de junio de 1998, el señor Cordero Bernal presentó escrito de ampliación del recurso presentado el</w:t>
      </w:r>
      <w:r>
        <w:rPr>
          <w:sz w:val="16"/>
        </w:rPr>
        <w:t xml:space="preserve"> 31 de marzo de 1998 (expediente de prueba, folios 101 a 103).</w:t>
      </w:r>
    </w:p>
    <w:p w14:paraId="5F1A8101" w14:textId="77777777" w:rsidR="00492688" w:rsidRDefault="00C9584B">
      <w:pPr>
        <w:tabs>
          <w:tab w:val="left" w:pos="829"/>
        </w:tabs>
        <w:spacing w:before="101"/>
        <w:ind w:left="122" w:right="113" w:hanging="1"/>
        <w:jc w:val="both"/>
        <w:rPr>
          <w:sz w:val="16"/>
        </w:rPr>
      </w:pPr>
      <w:bookmarkStart w:id="94" w:name="_bookmark74"/>
      <w:bookmarkEnd w:id="94"/>
      <w:r>
        <w:rPr>
          <w:position w:val="6"/>
          <w:sz w:val="10"/>
        </w:rPr>
        <w:t>56</w:t>
      </w:r>
      <w:r>
        <w:rPr>
          <w:position w:val="6"/>
          <w:sz w:val="10"/>
        </w:rPr>
        <w:tab/>
      </w:r>
      <w:r>
        <w:rPr>
          <w:i/>
          <w:sz w:val="16"/>
        </w:rPr>
        <w:t xml:space="preserve">Cfr. </w:t>
      </w:r>
      <w:r>
        <w:rPr>
          <w:sz w:val="16"/>
        </w:rPr>
        <w:t>Tribunal Constitucional. Sentencia de 8 de mayo de 1998 (expediente de prueba, folios 92 a 93).</w:t>
      </w:r>
    </w:p>
    <w:p w14:paraId="16D3FE19" w14:textId="77777777" w:rsidR="00492688" w:rsidRDefault="00492688">
      <w:pPr>
        <w:jc w:val="both"/>
        <w:rPr>
          <w:sz w:val="16"/>
        </w:rPr>
        <w:sectPr w:rsidR="00492688">
          <w:pgSz w:w="12240" w:h="15840"/>
          <w:pgMar w:top="1340" w:right="1580" w:bottom="280" w:left="1580" w:header="720" w:footer="720" w:gutter="0"/>
          <w:cols w:space="720"/>
        </w:sectPr>
      </w:pPr>
    </w:p>
    <w:p w14:paraId="5DC7CCC9" w14:textId="77777777" w:rsidR="00492688" w:rsidRDefault="00C9584B">
      <w:pPr>
        <w:pStyle w:val="Textoindependiente"/>
        <w:spacing w:before="79"/>
        <w:ind w:left="121" w:hanging="1"/>
      </w:pPr>
      <w:r>
        <w:lastRenderedPageBreak/>
        <w:t>interpuesta contra el señor Cordero Bernal, decidió ejercer acción penal en su contra y remitió el expediente al Fiscal Supremo para su formalización</w:t>
      </w:r>
      <w:hyperlink w:anchor="_bookmark75" w:history="1">
        <w:r>
          <w:rPr>
            <w:position w:val="7"/>
            <w:sz w:val="13"/>
          </w:rPr>
          <w:t>57</w:t>
        </w:r>
      </w:hyperlink>
      <w:r>
        <w:t>.</w:t>
      </w:r>
    </w:p>
    <w:p w14:paraId="550834B4" w14:textId="77777777" w:rsidR="00492688" w:rsidRDefault="00492688">
      <w:pPr>
        <w:pStyle w:val="Textoindependiente"/>
      </w:pPr>
    </w:p>
    <w:p w14:paraId="36DAB6A2" w14:textId="77777777" w:rsidR="00492688" w:rsidRDefault="00C9584B">
      <w:pPr>
        <w:pStyle w:val="Prrafodelista"/>
        <w:numPr>
          <w:ilvl w:val="0"/>
          <w:numId w:val="12"/>
        </w:numPr>
        <w:tabs>
          <w:tab w:val="left" w:pos="689"/>
        </w:tabs>
        <w:ind w:right="118" w:firstLine="0"/>
        <w:jc w:val="both"/>
        <w:rPr>
          <w:sz w:val="20"/>
        </w:rPr>
      </w:pPr>
      <w:r>
        <w:rPr>
          <w:sz w:val="20"/>
        </w:rPr>
        <w:t>Luego del trámite del proceso penal, el 24 de septiembre de 1999, la Co</w:t>
      </w:r>
      <w:r>
        <w:rPr>
          <w:sz w:val="20"/>
        </w:rPr>
        <w:t>rte Superior de Justicia de Huánuco-Pasco emitió sentencia absolviendo al señor Cordero Bernal por el delito de encubrimiento y condenándolo por el delito de prevaricato</w:t>
      </w:r>
      <w:hyperlink w:anchor="_bookmark76" w:history="1">
        <w:r>
          <w:rPr>
            <w:position w:val="7"/>
            <w:sz w:val="13"/>
          </w:rPr>
          <w:t>58</w:t>
        </w:r>
      </w:hyperlink>
      <w:r>
        <w:rPr>
          <w:sz w:val="20"/>
        </w:rPr>
        <w:t>. Esta decisión fue apelada por el acusado y por la Fi</w:t>
      </w:r>
      <w:r>
        <w:rPr>
          <w:sz w:val="20"/>
        </w:rPr>
        <w:t>scalía</w:t>
      </w:r>
      <w:hyperlink w:anchor="_bookmark77" w:history="1">
        <w:r>
          <w:rPr>
            <w:position w:val="7"/>
            <w:sz w:val="13"/>
          </w:rPr>
          <w:t>59</w:t>
        </w:r>
      </w:hyperlink>
      <w:r>
        <w:rPr>
          <w:sz w:val="20"/>
        </w:rPr>
        <w:t>. La Procuraduría Pública interpuso recurso de nulidad</w:t>
      </w:r>
      <w:hyperlink w:anchor="_bookmark78" w:history="1">
        <w:r>
          <w:rPr>
            <w:position w:val="7"/>
            <w:sz w:val="13"/>
          </w:rPr>
          <w:t>60</w:t>
        </w:r>
      </w:hyperlink>
      <w:r>
        <w:rPr>
          <w:sz w:val="20"/>
        </w:rPr>
        <w:t>. El 15 de diciembre de 1999, en sentencia de segunda instancia, se declaró nula la sentencia de primera instancia en relación con</w:t>
      </w:r>
      <w:r>
        <w:rPr>
          <w:sz w:val="20"/>
        </w:rPr>
        <w:t xml:space="preserve"> la absolución por el delito de encubrimiento y se ordenó emitir una nueva sentencia sobre las acusaciones por los delitos de encubrimiento y prevaricato, debido a que no se habría hecho un análisis de todo el conjunto</w:t>
      </w:r>
      <w:r>
        <w:rPr>
          <w:spacing w:val="-5"/>
          <w:sz w:val="20"/>
        </w:rPr>
        <w:t xml:space="preserve"> </w:t>
      </w:r>
      <w:r>
        <w:rPr>
          <w:sz w:val="20"/>
        </w:rPr>
        <w:t>probatorio</w:t>
      </w:r>
      <w:hyperlink w:anchor="_bookmark79" w:history="1">
        <w:r>
          <w:rPr>
            <w:position w:val="7"/>
            <w:sz w:val="13"/>
          </w:rPr>
          <w:t>61</w:t>
        </w:r>
      </w:hyperlink>
      <w:r>
        <w:rPr>
          <w:sz w:val="20"/>
        </w:rPr>
        <w:t>.</w:t>
      </w:r>
    </w:p>
    <w:p w14:paraId="7F9D2523" w14:textId="77777777" w:rsidR="00492688" w:rsidRDefault="00492688">
      <w:pPr>
        <w:pStyle w:val="Textoindependiente"/>
        <w:spacing w:before="10"/>
        <w:rPr>
          <w:sz w:val="19"/>
        </w:rPr>
      </w:pPr>
    </w:p>
    <w:p w14:paraId="4AA6AA13" w14:textId="77777777" w:rsidR="00492688" w:rsidRDefault="00C9584B">
      <w:pPr>
        <w:pStyle w:val="Prrafodelista"/>
        <w:numPr>
          <w:ilvl w:val="0"/>
          <w:numId w:val="12"/>
        </w:numPr>
        <w:tabs>
          <w:tab w:val="left" w:pos="688"/>
        </w:tabs>
        <w:ind w:right="119" w:hanging="1"/>
        <w:jc w:val="both"/>
        <w:rPr>
          <w:sz w:val="20"/>
        </w:rPr>
      </w:pPr>
      <w:r>
        <w:rPr>
          <w:sz w:val="20"/>
        </w:rPr>
        <w:t>El 21 de enero de 2000 la Corte Superior de Justicia de Huánuco-Pasco emitió nueva sentencia absolviendo al señor Cordero Bernal por el delito de encubrimiento y condenándolo por el delito de prevaricato</w:t>
      </w:r>
      <w:hyperlink w:anchor="_bookmark80" w:history="1">
        <w:r>
          <w:rPr>
            <w:position w:val="7"/>
            <w:sz w:val="13"/>
          </w:rPr>
          <w:t>62</w:t>
        </w:r>
      </w:hyperlink>
      <w:r>
        <w:rPr>
          <w:sz w:val="20"/>
        </w:rPr>
        <w:t xml:space="preserve">. Esta decisión fue </w:t>
      </w:r>
      <w:r>
        <w:rPr>
          <w:sz w:val="20"/>
        </w:rPr>
        <w:t>apelada por las partes</w:t>
      </w:r>
      <w:hyperlink w:anchor="_bookmark81" w:history="1">
        <w:r>
          <w:rPr>
            <w:position w:val="7"/>
            <w:sz w:val="13"/>
          </w:rPr>
          <w:t>63</w:t>
        </w:r>
      </w:hyperlink>
      <w:r>
        <w:rPr>
          <w:sz w:val="20"/>
        </w:rPr>
        <w:t>. En segunda instancia, el 30 de marzo de 2000, se declaró nuevamente nula la sentencia de primera instancia por considerar que por la gravedad del delito se debió haber hecho un mejor</w:t>
      </w:r>
      <w:r>
        <w:rPr>
          <w:spacing w:val="-3"/>
          <w:sz w:val="20"/>
        </w:rPr>
        <w:t xml:space="preserve"> </w:t>
      </w:r>
      <w:r>
        <w:rPr>
          <w:sz w:val="20"/>
        </w:rPr>
        <w:t>estudio</w:t>
      </w:r>
      <w:hyperlink w:anchor="_bookmark82" w:history="1">
        <w:r>
          <w:rPr>
            <w:position w:val="7"/>
            <w:sz w:val="13"/>
          </w:rPr>
          <w:t>64</w:t>
        </w:r>
      </w:hyperlink>
      <w:r>
        <w:rPr>
          <w:sz w:val="20"/>
        </w:rPr>
        <w:t>.</w:t>
      </w:r>
    </w:p>
    <w:p w14:paraId="76D76634" w14:textId="77777777" w:rsidR="00492688" w:rsidRDefault="00492688">
      <w:pPr>
        <w:pStyle w:val="Textoindependiente"/>
      </w:pPr>
    </w:p>
    <w:p w14:paraId="4078C7C9" w14:textId="77777777" w:rsidR="00492688" w:rsidRDefault="00C9584B">
      <w:pPr>
        <w:pStyle w:val="Prrafodelista"/>
        <w:numPr>
          <w:ilvl w:val="0"/>
          <w:numId w:val="12"/>
        </w:numPr>
        <w:tabs>
          <w:tab w:val="left" w:pos="688"/>
        </w:tabs>
        <w:spacing w:before="1"/>
        <w:ind w:right="118" w:hanging="1"/>
        <w:jc w:val="both"/>
        <w:rPr>
          <w:sz w:val="20"/>
        </w:rPr>
      </w:pPr>
      <w:r>
        <w:rPr>
          <w:sz w:val="20"/>
        </w:rPr>
        <w:t>El 19 de julio de 2000 la Corte Superior de Justicia de Huánuco-Pasco emitió una nueva sentencia absolviendo a la presunta víctima por el delito de encubrimiento y condenándolo por prevaricato</w:t>
      </w:r>
      <w:hyperlink w:anchor="_bookmark83" w:history="1">
        <w:r>
          <w:rPr>
            <w:position w:val="7"/>
            <w:sz w:val="13"/>
          </w:rPr>
          <w:t>65</w:t>
        </w:r>
      </w:hyperlink>
      <w:r>
        <w:rPr>
          <w:sz w:val="20"/>
        </w:rPr>
        <w:t>. Es</w:t>
      </w:r>
      <w:r>
        <w:rPr>
          <w:sz w:val="20"/>
        </w:rPr>
        <w:t>ta decisión fue apelada por las partes</w:t>
      </w:r>
      <w:hyperlink w:anchor="_bookmark84" w:history="1">
        <w:r>
          <w:rPr>
            <w:position w:val="7"/>
            <w:sz w:val="13"/>
          </w:rPr>
          <w:t>66</w:t>
        </w:r>
      </w:hyperlink>
      <w:r>
        <w:rPr>
          <w:sz w:val="20"/>
        </w:rPr>
        <w:t>. El 26 de diciembre de 2000, en sentencia de segunda instancia, se declaró nula la sentencia y se ordenó emitir una</w:t>
      </w:r>
      <w:r>
        <w:rPr>
          <w:spacing w:val="-4"/>
          <w:sz w:val="20"/>
        </w:rPr>
        <w:t xml:space="preserve"> </w:t>
      </w:r>
      <w:r>
        <w:rPr>
          <w:sz w:val="20"/>
        </w:rPr>
        <w:t>nueva</w:t>
      </w:r>
      <w:hyperlink w:anchor="_bookmark85" w:history="1">
        <w:r>
          <w:rPr>
            <w:position w:val="7"/>
            <w:sz w:val="13"/>
          </w:rPr>
          <w:t>67</w:t>
        </w:r>
      </w:hyperlink>
      <w:r>
        <w:rPr>
          <w:sz w:val="20"/>
        </w:rPr>
        <w:t>.</w:t>
      </w:r>
    </w:p>
    <w:p w14:paraId="74953D43" w14:textId="77777777" w:rsidR="00492688" w:rsidRDefault="00492688">
      <w:pPr>
        <w:pStyle w:val="Textoindependiente"/>
      </w:pPr>
    </w:p>
    <w:p w14:paraId="1C5C2BFA" w14:textId="77777777" w:rsidR="00492688" w:rsidRDefault="00C9584B">
      <w:pPr>
        <w:pStyle w:val="Prrafodelista"/>
        <w:numPr>
          <w:ilvl w:val="0"/>
          <w:numId w:val="12"/>
        </w:numPr>
        <w:tabs>
          <w:tab w:val="left" w:pos="689"/>
        </w:tabs>
        <w:ind w:right="117" w:hanging="1"/>
        <w:jc w:val="both"/>
        <w:rPr>
          <w:sz w:val="20"/>
        </w:rPr>
      </w:pPr>
      <w:r>
        <w:rPr>
          <w:sz w:val="20"/>
        </w:rPr>
        <w:t>El 21 de junio de 2005 la C</w:t>
      </w:r>
      <w:r>
        <w:rPr>
          <w:sz w:val="20"/>
        </w:rPr>
        <w:t>orte Superior de Justicia de Huánuco-Pasco emitió sentencia absolviendo al señor Cordero Bernal de los dos delitos de los que se le acusaba</w:t>
      </w:r>
      <w:hyperlink w:anchor="_bookmark86" w:history="1">
        <w:r>
          <w:rPr>
            <w:position w:val="7"/>
            <w:sz w:val="13"/>
          </w:rPr>
          <w:t>68</w:t>
        </w:r>
      </w:hyperlink>
      <w:r>
        <w:rPr>
          <w:sz w:val="20"/>
        </w:rPr>
        <w:t>.</w:t>
      </w:r>
      <w:r>
        <w:rPr>
          <w:spacing w:val="56"/>
          <w:sz w:val="20"/>
        </w:rPr>
        <w:t xml:space="preserve"> </w:t>
      </w:r>
      <w:r>
        <w:rPr>
          <w:sz w:val="20"/>
        </w:rPr>
        <w:t>Ordenó</w:t>
      </w:r>
      <w:r>
        <w:rPr>
          <w:spacing w:val="59"/>
          <w:sz w:val="20"/>
        </w:rPr>
        <w:t xml:space="preserve"> </w:t>
      </w:r>
      <w:r>
        <w:rPr>
          <w:sz w:val="20"/>
        </w:rPr>
        <w:t>anular</w:t>
      </w:r>
      <w:r>
        <w:rPr>
          <w:spacing w:val="56"/>
          <w:sz w:val="20"/>
        </w:rPr>
        <w:t xml:space="preserve"> </w:t>
      </w:r>
      <w:r>
        <w:rPr>
          <w:sz w:val="20"/>
        </w:rPr>
        <w:t>sus</w:t>
      </w:r>
      <w:r>
        <w:rPr>
          <w:spacing w:val="57"/>
          <w:sz w:val="20"/>
        </w:rPr>
        <w:t xml:space="preserve"> </w:t>
      </w:r>
      <w:r>
        <w:rPr>
          <w:sz w:val="20"/>
        </w:rPr>
        <w:t>antecedentes</w:t>
      </w:r>
      <w:r>
        <w:rPr>
          <w:spacing w:val="57"/>
          <w:sz w:val="20"/>
        </w:rPr>
        <w:t xml:space="preserve"> </w:t>
      </w:r>
      <w:r>
        <w:rPr>
          <w:sz w:val="20"/>
        </w:rPr>
        <w:t>penales</w:t>
      </w:r>
      <w:r>
        <w:rPr>
          <w:spacing w:val="57"/>
          <w:sz w:val="20"/>
        </w:rPr>
        <w:t xml:space="preserve"> </w:t>
      </w:r>
      <w:r>
        <w:rPr>
          <w:sz w:val="20"/>
        </w:rPr>
        <w:t>y</w:t>
      </w:r>
      <w:r>
        <w:rPr>
          <w:spacing w:val="56"/>
          <w:sz w:val="20"/>
        </w:rPr>
        <w:t xml:space="preserve"> </w:t>
      </w:r>
      <w:r>
        <w:rPr>
          <w:sz w:val="20"/>
        </w:rPr>
        <w:t>policiales.</w:t>
      </w:r>
      <w:r>
        <w:rPr>
          <w:spacing w:val="57"/>
          <w:sz w:val="20"/>
        </w:rPr>
        <w:t xml:space="preserve"> </w:t>
      </w:r>
      <w:r>
        <w:rPr>
          <w:sz w:val="20"/>
        </w:rPr>
        <w:t>Esta</w:t>
      </w:r>
      <w:r>
        <w:rPr>
          <w:spacing w:val="59"/>
          <w:sz w:val="20"/>
        </w:rPr>
        <w:t xml:space="preserve"> </w:t>
      </w:r>
      <w:r>
        <w:rPr>
          <w:sz w:val="20"/>
        </w:rPr>
        <w:t>decisión</w:t>
      </w:r>
      <w:r>
        <w:rPr>
          <w:spacing w:val="59"/>
          <w:sz w:val="20"/>
        </w:rPr>
        <w:t xml:space="preserve"> </w:t>
      </w:r>
      <w:r>
        <w:rPr>
          <w:sz w:val="20"/>
        </w:rPr>
        <w:t>fue</w:t>
      </w:r>
    </w:p>
    <w:p w14:paraId="170FDA62" w14:textId="5A6D735F" w:rsidR="00492688" w:rsidRDefault="00C9584B">
      <w:pPr>
        <w:pStyle w:val="Textoindependiente"/>
        <w:spacing w:before="7"/>
        <w:rPr>
          <w:sz w:val="10"/>
        </w:rPr>
      </w:pPr>
      <w:r>
        <w:rPr>
          <w:noProof/>
        </w:rPr>
        <mc:AlternateContent>
          <mc:Choice Requires="wps">
            <w:drawing>
              <wp:anchor distT="0" distB="0" distL="0" distR="0" simplePos="0" relativeHeight="251670528" behindDoc="1" locked="0" layoutInCell="1" allowOverlap="1" wp14:anchorId="6BC6C7C5" wp14:editId="3FB9EAB2">
                <wp:simplePos x="0" y="0"/>
                <wp:positionH relativeFrom="page">
                  <wp:posOffset>1080770</wp:posOffset>
                </wp:positionH>
                <wp:positionV relativeFrom="paragraph">
                  <wp:posOffset>110490</wp:posOffset>
                </wp:positionV>
                <wp:extent cx="1828800" cy="1270"/>
                <wp:effectExtent l="0" t="0" r="0" b="0"/>
                <wp:wrapTopAndBottom/>
                <wp:docPr id="2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4AB40" id="Freeform 30" o:spid="_x0000_s1026" style="position:absolute;margin-left:85.1pt;margin-top:8.7pt;width:2in;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" path="m,l2880,e" filled="f" strokeweight=".6pt">
                <v:path arrowok="t" o:connecttype="custom" o:connectlocs="0,0;1828800,0" o:connectangles="0,0"/>
                <w10:wrap type="topAndBottom" anchorx="page"/>
              </v:shape>
            </w:pict>
          </mc:Fallback>
        </mc:AlternateContent>
      </w:r>
    </w:p>
    <w:p w14:paraId="56399CCB" w14:textId="77777777" w:rsidR="00492688" w:rsidRDefault="00492688">
      <w:pPr>
        <w:pStyle w:val="Textoindependiente"/>
        <w:spacing w:before="10"/>
        <w:rPr>
          <w:sz w:val="5"/>
        </w:rPr>
      </w:pPr>
    </w:p>
    <w:p w14:paraId="7B41049D" w14:textId="77777777" w:rsidR="00492688" w:rsidRDefault="00C9584B">
      <w:pPr>
        <w:tabs>
          <w:tab w:val="left" w:pos="829"/>
        </w:tabs>
        <w:spacing w:before="101"/>
        <w:ind w:left="120" w:right="119"/>
        <w:jc w:val="both"/>
        <w:rPr>
          <w:sz w:val="16"/>
        </w:rPr>
      </w:pPr>
      <w:bookmarkStart w:id="95" w:name="_bookmark75"/>
      <w:bookmarkEnd w:id="95"/>
      <w:r>
        <w:rPr>
          <w:position w:val="6"/>
          <w:sz w:val="10"/>
        </w:rPr>
        <w:t>57</w:t>
      </w:r>
      <w:r>
        <w:rPr>
          <w:position w:val="6"/>
          <w:sz w:val="10"/>
        </w:rPr>
        <w:tab/>
      </w:r>
      <w:r>
        <w:rPr>
          <w:i/>
          <w:sz w:val="16"/>
        </w:rPr>
        <w:t xml:space="preserve">Cfr. </w:t>
      </w:r>
      <w:r>
        <w:rPr>
          <w:sz w:val="16"/>
        </w:rPr>
        <w:t>Comisión Ejecutiva del Ministerio Público. Resolución No. 702-97-MP-CEMP de 30 de julio de 1997 (expediente de prueba, folios 105 a</w:t>
      </w:r>
      <w:r>
        <w:rPr>
          <w:spacing w:val="-7"/>
          <w:sz w:val="16"/>
        </w:rPr>
        <w:t xml:space="preserve"> </w:t>
      </w:r>
      <w:r>
        <w:rPr>
          <w:sz w:val="16"/>
        </w:rPr>
        <w:t>107).</w:t>
      </w:r>
    </w:p>
    <w:p w14:paraId="085AF852" w14:textId="77777777" w:rsidR="00492688" w:rsidRDefault="00C9584B">
      <w:pPr>
        <w:tabs>
          <w:tab w:val="left" w:pos="829"/>
        </w:tabs>
        <w:spacing w:before="101"/>
        <w:ind w:left="121" w:right="114"/>
        <w:jc w:val="both"/>
        <w:rPr>
          <w:sz w:val="16"/>
        </w:rPr>
      </w:pPr>
      <w:bookmarkStart w:id="96" w:name="_bookmark76"/>
      <w:bookmarkEnd w:id="96"/>
      <w:r>
        <w:rPr>
          <w:position w:val="6"/>
          <w:sz w:val="10"/>
        </w:rPr>
        <w:t>58</w:t>
      </w:r>
      <w:r>
        <w:rPr>
          <w:position w:val="6"/>
          <w:sz w:val="10"/>
        </w:rPr>
        <w:tab/>
      </w:r>
      <w:r>
        <w:rPr>
          <w:i/>
          <w:sz w:val="16"/>
        </w:rPr>
        <w:t xml:space="preserve">Cfr. </w:t>
      </w:r>
      <w:r>
        <w:rPr>
          <w:sz w:val="16"/>
        </w:rPr>
        <w:t>Corte Superior de Justicia de Huánuco. Sentencia de 24 de septiembre de 1999 (expediente de prueba, folio</w:t>
      </w:r>
      <w:r>
        <w:rPr>
          <w:sz w:val="16"/>
        </w:rPr>
        <w:t>s 38 a</w:t>
      </w:r>
      <w:r>
        <w:rPr>
          <w:spacing w:val="-5"/>
          <w:sz w:val="16"/>
        </w:rPr>
        <w:t xml:space="preserve"> </w:t>
      </w:r>
      <w:r>
        <w:rPr>
          <w:sz w:val="16"/>
        </w:rPr>
        <w:t>48).</w:t>
      </w:r>
    </w:p>
    <w:p w14:paraId="24F509E1" w14:textId="77777777" w:rsidR="00492688" w:rsidRDefault="00C9584B">
      <w:pPr>
        <w:tabs>
          <w:tab w:val="left" w:pos="829"/>
        </w:tabs>
        <w:spacing w:before="101"/>
        <w:ind w:left="121" w:right="114" w:hanging="1"/>
        <w:jc w:val="both"/>
        <w:rPr>
          <w:sz w:val="16"/>
        </w:rPr>
      </w:pPr>
      <w:bookmarkStart w:id="97" w:name="_bookmark77"/>
      <w:bookmarkEnd w:id="97"/>
      <w:r>
        <w:rPr>
          <w:position w:val="6"/>
          <w:sz w:val="10"/>
        </w:rPr>
        <w:t>59</w:t>
      </w:r>
      <w:r>
        <w:rPr>
          <w:position w:val="6"/>
          <w:sz w:val="10"/>
        </w:rPr>
        <w:tab/>
      </w:r>
      <w:r>
        <w:rPr>
          <w:i/>
          <w:sz w:val="16"/>
        </w:rPr>
        <w:t xml:space="preserve">Cfr. </w:t>
      </w:r>
      <w:r>
        <w:rPr>
          <w:sz w:val="16"/>
        </w:rPr>
        <w:t>Interposición de recurso de apelación posterior a la lectura de sentencia, 24 de septiembre de 1999 (expediente de prueba, folio 143). Apelación radicada por la Fiscalía Superior, 28 de octubre de 1999 (expediente de prueba, folio</w:t>
      </w:r>
      <w:r>
        <w:rPr>
          <w:spacing w:val="-6"/>
          <w:sz w:val="16"/>
        </w:rPr>
        <w:t xml:space="preserve"> </w:t>
      </w:r>
      <w:r>
        <w:rPr>
          <w:sz w:val="16"/>
        </w:rPr>
        <w:t>146).</w:t>
      </w:r>
    </w:p>
    <w:p w14:paraId="6788B708" w14:textId="77777777" w:rsidR="00492688" w:rsidRDefault="00C9584B">
      <w:pPr>
        <w:tabs>
          <w:tab w:val="left" w:pos="829"/>
        </w:tabs>
        <w:spacing w:before="101"/>
        <w:ind w:left="120" w:right="117"/>
        <w:jc w:val="both"/>
        <w:rPr>
          <w:sz w:val="16"/>
        </w:rPr>
      </w:pPr>
      <w:bookmarkStart w:id="98" w:name="_bookmark78"/>
      <w:bookmarkEnd w:id="98"/>
      <w:r>
        <w:rPr>
          <w:position w:val="6"/>
          <w:sz w:val="10"/>
        </w:rPr>
        <w:t>60</w:t>
      </w:r>
      <w:r>
        <w:rPr>
          <w:position w:val="6"/>
          <w:sz w:val="10"/>
        </w:rPr>
        <w:tab/>
      </w:r>
      <w:r>
        <w:rPr>
          <w:i/>
          <w:sz w:val="16"/>
        </w:rPr>
        <w:t xml:space="preserve">Cfr. </w:t>
      </w:r>
      <w:r>
        <w:rPr>
          <w:sz w:val="16"/>
        </w:rPr>
        <w:t>Procuraduría Pública del Poder Judicial. Recurso de Nulidad, 27 de septiembre de 1999 (expediente de prueba, folios 148 a</w:t>
      </w:r>
      <w:r>
        <w:rPr>
          <w:spacing w:val="-9"/>
          <w:sz w:val="16"/>
        </w:rPr>
        <w:t xml:space="preserve"> </w:t>
      </w:r>
      <w:r>
        <w:rPr>
          <w:sz w:val="16"/>
        </w:rPr>
        <w:t>149).</w:t>
      </w:r>
    </w:p>
    <w:p w14:paraId="02E293E3" w14:textId="77777777" w:rsidR="00492688" w:rsidRDefault="00C9584B">
      <w:pPr>
        <w:tabs>
          <w:tab w:val="left" w:pos="829"/>
        </w:tabs>
        <w:spacing w:before="98"/>
        <w:ind w:left="122" w:right="121" w:hanging="1"/>
        <w:jc w:val="both"/>
        <w:rPr>
          <w:sz w:val="16"/>
        </w:rPr>
      </w:pPr>
      <w:bookmarkStart w:id="99" w:name="_bookmark79"/>
      <w:bookmarkEnd w:id="99"/>
      <w:r>
        <w:rPr>
          <w:position w:val="6"/>
          <w:sz w:val="10"/>
        </w:rPr>
        <w:t>61</w:t>
      </w:r>
      <w:r>
        <w:rPr>
          <w:position w:val="6"/>
          <w:sz w:val="10"/>
        </w:rPr>
        <w:tab/>
      </w:r>
      <w:r>
        <w:rPr>
          <w:i/>
          <w:sz w:val="16"/>
        </w:rPr>
        <w:t xml:space="preserve">Cfr. </w:t>
      </w:r>
      <w:r>
        <w:rPr>
          <w:sz w:val="16"/>
        </w:rPr>
        <w:t xml:space="preserve">Corte Superior de Justicia de Huánuco. Sentencia del 15 de diciembre de 1999 (expediente </w:t>
      </w:r>
      <w:r>
        <w:rPr>
          <w:spacing w:val="-5"/>
          <w:sz w:val="16"/>
        </w:rPr>
        <w:t xml:space="preserve">de </w:t>
      </w:r>
      <w:r>
        <w:rPr>
          <w:sz w:val="16"/>
        </w:rPr>
        <w:t>prueba, folios 151 a</w:t>
      </w:r>
      <w:r>
        <w:rPr>
          <w:spacing w:val="-2"/>
          <w:sz w:val="16"/>
        </w:rPr>
        <w:t xml:space="preserve"> </w:t>
      </w:r>
      <w:r>
        <w:rPr>
          <w:sz w:val="16"/>
        </w:rPr>
        <w:t>154).</w:t>
      </w:r>
    </w:p>
    <w:p w14:paraId="4950271C" w14:textId="77777777" w:rsidR="00492688" w:rsidRDefault="00C9584B">
      <w:pPr>
        <w:tabs>
          <w:tab w:val="left" w:pos="829"/>
        </w:tabs>
        <w:spacing w:before="100"/>
        <w:ind w:left="121" w:right="114"/>
        <w:jc w:val="both"/>
        <w:rPr>
          <w:sz w:val="16"/>
        </w:rPr>
      </w:pPr>
      <w:bookmarkStart w:id="100" w:name="_bookmark80"/>
      <w:bookmarkEnd w:id="100"/>
      <w:r>
        <w:rPr>
          <w:position w:val="6"/>
          <w:sz w:val="10"/>
        </w:rPr>
        <w:t>62</w:t>
      </w:r>
      <w:r>
        <w:rPr>
          <w:position w:val="6"/>
          <w:sz w:val="10"/>
        </w:rPr>
        <w:tab/>
      </w:r>
      <w:r>
        <w:rPr>
          <w:i/>
          <w:sz w:val="16"/>
        </w:rPr>
        <w:t xml:space="preserve">Cfr. </w:t>
      </w:r>
      <w:r>
        <w:rPr>
          <w:sz w:val="16"/>
        </w:rPr>
        <w:t>Corte Superior de Justicia de Huánuco. Sentencia de 21 de enero del 2000 (expediente de prueba, folios 156 a</w:t>
      </w:r>
      <w:r>
        <w:rPr>
          <w:spacing w:val="-2"/>
          <w:sz w:val="16"/>
        </w:rPr>
        <w:t xml:space="preserve"> </w:t>
      </w:r>
      <w:r>
        <w:rPr>
          <w:sz w:val="16"/>
        </w:rPr>
        <w:t>171).</w:t>
      </w:r>
    </w:p>
    <w:p w14:paraId="22F92721" w14:textId="77777777" w:rsidR="00492688" w:rsidRDefault="00C9584B">
      <w:pPr>
        <w:tabs>
          <w:tab w:val="left" w:pos="829"/>
        </w:tabs>
        <w:spacing w:before="101"/>
        <w:ind w:left="121" w:right="116" w:hanging="1"/>
        <w:jc w:val="both"/>
        <w:rPr>
          <w:sz w:val="16"/>
        </w:rPr>
      </w:pPr>
      <w:bookmarkStart w:id="101" w:name="_bookmark81"/>
      <w:bookmarkEnd w:id="101"/>
      <w:r>
        <w:rPr>
          <w:position w:val="6"/>
          <w:sz w:val="10"/>
        </w:rPr>
        <w:t>63</w:t>
      </w:r>
      <w:r>
        <w:rPr>
          <w:position w:val="6"/>
          <w:sz w:val="10"/>
        </w:rPr>
        <w:tab/>
      </w:r>
      <w:r>
        <w:rPr>
          <w:i/>
          <w:sz w:val="16"/>
        </w:rPr>
        <w:t xml:space="preserve">Cfr. </w:t>
      </w:r>
      <w:r>
        <w:rPr>
          <w:sz w:val="16"/>
        </w:rPr>
        <w:t>Interp</w:t>
      </w:r>
      <w:r>
        <w:rPr>
          <w:sz w:val="16"/>
        </w:rPr>
        <w:t>osición de recurso de apelación posterior a la lectura de sentencia, 21 de enero del 2000 (expediente de prueba, folios 173 a</w:t>
      </w:r>
      <w:r>
        <w:rPr>
          <w:spacing w:val="-9"/>
          <w:sz w:val="16"/>
        </w:rPr>
        <w:t xml:space="preserve"> </w:t>
      </w:r>
      <w:r>
        <w:rPr>
          <w:sz w:val="16"/>
        </w:rPr>
        <w:t>174).</w:t>
      </w:r>
    </w:p>
    <w:p w14:paraId="4B5EF22E" w14:textId="77777777" w:rsidR="00492688" w:rsidRDefault="00C9584B">
      <w:pPr>
        <w:tabs>
          <w:tab w:val="left" w:pos="829"/>
        </w:tabs>
        <w:spacing w:before="98"/>
        <w:ind w:left="121"/>
        <w:jc w:val="both"/>
        <w:rPr>
          <w:sz w:val="16"/>
        </w:rPr>
      </w:pPr>
      <w:bookmarkStart w:id="102" w:name="_bookmark82"/>
      <w:bookmarkEnd w:id="102"/>
      <w:r>
        <w:rPr>
          <w:position w:val="6"/>
          <w:sz w:val="10"/>
        </w:rPr>
        <w:t>64</w:t>
      </w:r>
      <w:r>
        <w:rPr>
          <w:position w:val="6"/>
          <w:sz w:val="10"/>
        </w:rPr>
        <w:tab/>
      </w:r>
      <w:r>
        <w:rPr>
          <w:i/>
          <w:sz w:val="16"/>
        </w:rPr>
        <w:t xml:space="preserve">Cfr. </w:t>
      </w:r>
      <w:r>
        <w:rPr>
          <w:sz w:val="16"/>
        </w:rPr>
        <w:t>Sentencia de 30 de marzo de 2000 (expediente de prueba, folio</w:t>
      </w:r>
      <w:r>
        <w:rPr>
          <w:spacing w:val="-12"/>
          <w:sz w:val="16"/>
        </w:rPr>
        <w:t xml:space="preserve"> </w:t>
      </w:r>
      <w:r>
        <w:rPr>
          <w:sz w:val="16"/>
        </w:rPr>
        <w:t>176).</w:t>
      </w:r>
    </w:p>
    <w:p w14:paraId="147DBCB5" w14:textId="77777777" w:rsidR="00492688" w:rsidRDefault="00C9584B">
      <w:pPr>
        <w:tabs>
          <w:tab w:val="left" w:pos="829"/>
        </w:tabs>
        <w:spacing w:before="101"/>
        <w:ind w:left="121" w:right="116" w:hanging="1"/>
        <w:jc w:val="both"/>
        <w:rPr>
          <w:sz w:val="16"/>
        </w:rPr>
      </w:pPr>
      <w:bookmarkStart w:id="103" w:name="_bookmark83"/>
      <w:bookmarkEnd w:id="103"/>
      <w:r>
        <w:rPr>
          <w:position w:val="6"/>
          <w:sz w:val="10"/>
        </w:rPr>
        <w:t>65</w:t>
      </w:r>
      <w:r>
        <w:rPr>
          <w:position w:val="6"/>
          <w:sz w:val="10"/>
        </w:rPr>
        <w:tab/>
      </w:r>
      <w:r>
        <w:rPr>
          <w:i/>
          <w:sz w:val="16"/>
        </w:rPr>
        <w:t xml:space="preserve">Cfr. </w:t>
      </w:r>
      <w:r>
        <w:rPr>
          <w:sz w:val="16"/>
        </w:rPr>
        <w:t>Corte Superior de Justicia de Huánuco. Sentencia de 19 de julio de 2000 (expediente de prueba, folios 178 a</w:t>
      </w:r>
      <w:r>
        <w:rPr>
          <w:spacing w:val="-2"/>
          <w:sz w:val="16"/>
        </w:rPr>
        <w:t xml:space="preserve"> </w:t>
      </w:r>
      <w:r>
        <w:rPr>
          <w:sz w:val="16"/>
        </w:rPr>
        <w:t>187).</w:t>
      </w:r>
    </w:p>
    <w:p w14:paraId="36BD381B" w14:textId="77777777" w:rsidR="00492688" w:rsidRDefault="00C9584B">
      <w:pPr>
        <w:tabs>
          <w:tab w:val="left" w:pos="829"/>
        </w:tabs>
        <w:spacing w:before="101"/>
        <w:ind w:left="122" w:right="116" w:hanging="1"/>
        <w:jc w:val="both"/>
        <w:rPr>
          <w:sz w:val="16"/>
        </w:rPr>
      </w:pPr>
      <w:bookmarkStart w:id="104" w:name="_bookmark84"/>
      <w:bookmarkEnd w:id="104"/>
      <w:r>
        <w:rPr>
          <w:position w:val="6"/>
          <w:sz w:val="10"/>
        </w:rPr>
        <w:t>66</w:t>
      </w:r>
      <w:r>
        <w:rPr>
          <w:position w:val="6"/>
          <w:sz w:val="10"/>
        </w:rPr>
        <w:tab/>
      </w:r>
      <w:r>
        <w:rPr>
          <w:i/>
          <w:sz w:val="16"/>
        </w:rPr>
        <w:t xml:space="preserve">Cfr. </w:t>
      </w:r>
      <w:r>
        <w:rPr>
          <w:sz w:val="16"/>
        </w:rPr>
        <w:t>Interposición de recurso de apelación posterior a la lectura de sentencia, 19 de julio del 2000 (expediente de prueba, folio</w:t>
      </w:r>
      <w:r>
        <w:rPr>
          <w:spacing w:val="-6"/>
          <w:sz w:val="16"/>
        </w:rPr>
        <w:t xml:space="preserve"> </w:t>
      </w:r>
      <w:r>
        <w:rPr>
          <w:sz w:val="16"/>
        </w:rPr>
        <w:t>190).</w:t>
      </w:r>
    </w:p>
    <w:p w14:paraId="141E412C" w14:textId="77777777" w:rsidR="00492688" w:rsidRDefault="00C9584B">
      <w:pPr>
        <w:tabs>
          <w:tab w:val="left" w:pos="829"/>
        </w:tabs>
        <w:spacing w:before="98"/>
        <w:ind w:left="121"/>
        <w:jc w:val="both"/>
        <w:rPr>
          <w:sz w:val="16"/>
        </w:rPr>
      </w:pPr>
      <w:bookmarkStart w:id="105" w:name="_bookmark85"/>
      <w:bookmarkEnd w:id="105"/>
      <w:r>
        <w:rPr>
          <w:position w:val="6"/>
          <w:sz w:val="10"/>
        </w:rPr>
        <w:t>67</w:t>
      </w:r>
      <w:r>
        <w:rPr>
          <w:position w:val="6"/>
          <w:sz w:val="10"/>
        </w:rPr>
        <w:tab/>
      </w:r>
      <w:r>
        <w:rPr>
          <w:i/>
          <w:sz w:val="16"/>
        </w:rPr>
        <w:t xml:space="preserve">Cfr. </w:t>
      </w:r>
      <w:r>
        <w:rPr>
          <w:sz w:val="16"/>
        </w:rPr>
        <w:t>Sentencia de 26 de septiembre del 2000 (expediente de prueba, folios 192 a</w:t>
      </w:r>
      <w:r>
        <w:rPr>
          <w:spacing w:val="-20"/>
          <w:sz w:val="16"/>
        </w:rPr>
        <w:t xml:space="preserve"> </w:t>
      </w:r>
      <w:r>
        <w:rPr>
          <w:sz w:val="16"/>
        </w:rPr>
        <w:t>193).</w:t>
      </w:r>
    </w:p>
    <w:p w14:paraId="67B6F4E5" w14:textId="77777777" w:rsidR="00492688" w:rsidRDefault="00C9584B">
      <w:pPr>
        <w:tabs>
          <w:tab w:val="left" w:pos="829"/>
        </w:tabs>
        <w:spacing w:before="101"/>
        <w:ind w:left="121" w:right="114" w:hanging="1"/>
        <w:jc w:val="both"/>
        <w:rPr>
          <w:sz w:val="16"/>
        </w:rPr>
      </w:pPr>
      <w:bookmarkStart w:id="106" w:name="_bookmark86"/>
      <w:bookmarkEnd w:id="106"/>
      <w:r>
        <w:rPr>
          <w:position w:val="6"/>
          <w:sz w:val="10"/>
        </w:rPr>
        <w:t>68</w:t>
      </w:r>
      <w:r>
        <w:rPr>
          <w:position w:val="6"/>
          <w:sz w:val="10"/>
        </w:rPr>
        <w:tab/>
      </w:r>
      <w:r>
        <w:rPr>
          <w:i/>
          <w:sz w:val="16"/>
        </w:rPr>
        <w:t xml:space="preserve">Cfr. </w:t>
      </w:r>
      <w:r>
        <w:rPr>
          <w:sz w:val="16"/>
        </w:rPr>
        <w:t>Corte Superior de Justicia de Huánuco. Sentencia de 21 de junio de 2005 (expediente de prueba, folios 195 a</w:t>
      </w:r>
      <w:r>
        <w:rPr>
          <w:spacing w:val="-2"/>
          <w:sz w:val="16"/>
        </w:rPr>
        <w:t xml:space="preserve"> </w:t>
      </w:r>
      <w:r>
        <w:rPr>
          <w:sz w:val="16"/>
        </w:rPr>
        <w:t>203).</w:t>
      </w:r>
    </w:p>
    <w:p w14:paraId="70DDF311" w14:textId="77777777" w:rsidR="00492688" w:rsidRDefault="00492688">
      <w:pPr>
        <w:jc w:val="both"/>
        <w:rPr>
          <w:sz w:val="16"/>
        </w:rPr>
        <w:sectPr w:rsidR="00492688">
          <w:pgSz w:w="12240" w:h="15840"/>
          <w:pgMar w:top="1340" w:right="1580" w:bottom="280" w:left="1580" w:header="720" w:footer="720" w:gutter="0"/>
          <w:cols w:space="720"/>
        </w:sectPr>
      </w:pPr>
    </w:p>
    <w:p w14:paraId="0DC2D960" w14:textId="77777777" w:rsidR="00492688" w:rsidRDefault="00C9584B">
      <w:pPr>
        <w:pStyle w:val="Textoindependiente"/>
        <w:spacing w:before="79"/>
        <w:ind w:left="121"/>
      </w:pPr>
      <w:r>
        <w:lastRenderedPageBreak/>
        <w:t xml:space="preserve">apelada por el Fiscal Superior, quien </w:t>
      </w:r>
      <w:r>
        <w:t>solicitó declarar nula la sentencia de primera instancia porque la responsabilidad del acusado se encontraba acreditada</w:t>
      </w:r>
      <w:hyperlink w:anchor="_bookmark88" w:history="1">
        <w:r>
          <w:rPr>
            <w:position w:val="7"/>
            <w:sz w:val="13"/>
          </w:rPr>
          <w:t>69</w:t>
        </w:r>
      </w:hyperlink>
      <w:r>
        <w:t>.</w:t>
      </w:r>
    </w:p>
    <w:p w14:paraId="0719F7A5" w14:textId="77777777" w:rsidR="00492688" w:rsidRDefault="00492688">
      <w:pPr>
        <w:pStyle w:val="Textoindependiente"/>
      </w:pPr>
    </w:p>
    <w:p w14:paraId="0A3E1829" w14:textId="77777777" w:rsidR="00492688" w:rsidRDefault="00C9584B">
      <w:pPr>
        <w:pStyle w:val="Prrafodelista"/>
        <w:numPr>
          <w:ilvl w:val="0"/>
          <w:numId w:val="12"/>
        </w:numPr>
        <w:tabs>
          <w:tab w:val="left" w:pos="689"/>
        </w:tabs>
        <w:ind w:right="115" w:firstLine="0"/>
        <w:jc w:val="both"/>
        <w:rPr>
          <w:sz w:val="20"/>
        </w:rPr>
      </w:pPr>
      <w:r>
        <w:rPr>
          <w:sz w:val="20"/>
        </w:rPr>
        <w:t xml:space="preserve">El 22 de agosto de 2005, en sentencia de segunda instancia, se confirmó la decisión del 21 de junio de ese mismo </w:t>
      </w:r>
      <w:r>
        <w:rPr>
          <w:spacing w:val="2"/>
          <w:sz w:val="20"/>
        </w:rPr>
        <w:t>año</w:t>
      </w:r>
      <w:hyperlink w:anchor="_bookmark89" w:history="1">
        <w:r>
          <w:rPr>
            <w:spacing w:val="2"/>
            <w:position w:val="7"/>
            <w:sz w:val="13"/>
          </w:rPr>
          <w:t>70</w:t>
        </w:r>
      </w:hyperlink>
      <w:r>
        <w:rPr>
          <w:spacing w:val="2"/>
          <w:sz w:val="20"/>
        </w:rPr>
        <w:t xml:space="preserve">, </w:t>
      </w:r>
      <w:r>
        <w:rPr>
          <w:sz w:val="20"/>
        </w:rPr>
        <w:t>por considerar que la decisión que concedió la libertad incondicional fue un acto jurisdiccional que bien</w:t>
      </w:r>
      <w:r>
        <w:rPr>
          <w:sz w:val="20"/>
        </w:rPr>
        <w:t xml:space="preserve"> podía ser revisado por autoridad superior como, en efecto, ocurrió. Además, la sentencia indicó que el sujeto activo del delito de encubrimiento no puede ser un juez y que “el delito de prevaricato no se comete a título de culpa”</w:t>
      </w:r>
      <w:hyperlink w:anchor="_bookmark90" w:history="1">
        <w:r>
          <w:rPr>
            <w:position w:val="7"/>
            <w:sz w:val="13"/>
          </w:rPr>
          <w:t>71</w:t>
        </w:r>
      </w:hyperlink>
      <w:r>
        <w:rPr>
          <w:sz w:val="20"/>
        </w:rPr>
        <w:t>. El 25 de agosto de 2005 la Procuraduría Anticorrupción Descentralizada del Distrito Judicial de Huánuco-Pasco interpuso recurso de nulidad, el cual fue declarado improcedente el 1 de septiembre de</w:t>
      </w:r>
      <w:r>
        <w:rPr>
          <w:spacing w:val="-13"/>
          <w:sz w:val="20"/>
        </w:rPr>
        <w:t xml:space="preserve"> </w:t>
      </w:r>
      <w:r>
        <w:rPr>
          <w:sz w:val="20"/>
        </w:rPr>
        <w:t>2005</w:t>
      </w:r>
      <w:hyperlink w:anchor="_bookmark91" w:history="1">
        <w:r>
          <w:rPr>
            <w:position w:val="7"/>
            <w:sz w:val="13"/>
          </w:rPr>
          <w:t>72</w:t>
        </w:r>
      </w:hyperlink>
      <w:r>
        <w:rPr>
          <w:sz w:val="20"/>
        </w:rPr>
        <w:t>.</w:t>
      </w:r>
    </w:p>
    <w:p w14:paraId="0B319E9C" w14:textId="77777777" w:rsidR="00492688" w:rsidRDefault="00492688">
      <w:pPr>
        <w:pStyle w:val="Textoindependiente"/>
        <w:spacing w:before="11"/>
        <w:rPr>
          <w:sz w:val="19"/>
        </w:rPr>
      </w:pPr>
    </w:p>
    <w:p w14:paraId="099E859E" w14:textId="77777777" w:rsidR="00492688" w:rsidRDefault="00C9584B">
      <w:pPr>
        <w:pStyle w:val="Ttulo1"/>
        <w:numPr>
          <w:ilvl w:val="0"/>
          <w:numId w:val="9"/>
        </w:numPr>
        <w:tabs>
          <w:tab w:val="left" w:pos="830"/>
        </w:tabs>
        <w:ind w:left="829" w:hanging="349"/>
      </w:pPr>
      <w:bookmarkStart w:id="107" w:name="G._Recurso_de_Nulidad"/>
      <w:bookmarkStart w:id="108" w:name="_bookmark87"/>
      <w:bookmarkEnd w:id="107"/>
      <w:bookmarkEnd w:id="108"/>
      <w:r>
        <w:t>Recurso de</w:t>
      </w:r>
      <w:r>
        <w:t xml:space="preserve"> Nulidad</w:t>
      </w:r>
    </w:p>
    <w:p w14:paraId="2178A1B1" w14:textId="77777777" w:rsidR="00492688" w:rsidRDefault="00492688">
      <w:pPr>
        <w:pStyle w:val="Textoindependiente"/>
        <w:spacing w:before="1"/>
        <w:rPr>
          <w:b/>
        </w:rPr>
      </w:pPr>
    </w:p>
    <w:p w14:paraId="2BDFCBFC" w14:textId="77777777" w:rsidR="00492688" w:rsidRDefault="00C9584B">
      <w:pPr>
        <w:pStyle w:val="Prrafodelista"/>
        <w:numPr>
          <w:ilvl w:val="0"/>
          <w:numId w:val="12"/>
        </w:numPr>
        <w:tabs>
          <w:tab w:val="left" w:pos="689"/>
        </w:tabs>
        <w:ind w:right="116" w:firstLine="0"/>
        <w:jc w:val="both"/>
        <w:rPr>
          <w:sz w:val="20"/>
        </w:rPr>
      </w:pPr>
      <w:r>
        <w:rPr>
          <w:sz w:val="20"/>
        </w:rPr>
        <w:t xml:space="preserve">El 17 de noviembre de 2005 el señor Cordero Bernal presentó recurso de nulidad contra la resolución del 14 de agosto de 1996 del CNM y solicitó su reincorporación al cargo. Argumentó que se había proferido sentencia absolutoria en su caso y que, </w:t>
      </w:r>
      <w:r>
        <w:rPr>
          <w:sz w:val="20"/>
        </w:rPr>
        <w:t>para el momento en que se le impuso la sanción de destitución había dos normas vigentes y se le aplicó la desfavorable a sus</w:t>
      </w:r>
      <w:r>
        <w:rPr>
          <w:spacing w:val="-9"/>
          <w:sz w:val="20"/>
        </w:rPr>
        <w:t xml:space="preserve"> </w:t>
      </w:r>
      <w:r>
        <w:rPr>
          <w:sz w:val="20"/>
        </w:rPr>
        <w:t>intereses</w:t>
      </w:r>
      <w:hyperlink w:anchor="_bookmark92" w:history="1">
        <w:r>
          <w:rPr>
            <w:position w:val="7"/>
            <w:sz w:val="13"/>
          </w:rPr>
          <w:t>73</w:t>
        </w:r>
      </w:hyperlink>
      <w:r>
        <w:rPr>
          <w:sz w:val="20"/>
        </w:rPr>
        <w:t>.</w:t>
      </w:r>
    </w:p>
    <w:p w14:paraId="43A13D5E" w14:textId="77777777" w:rsidR="00492688" w:rsidRDefault="00492688">
      <w:pPr>
        <w:pStyle w:val="Textoindependiente"/>
        <w:spacing w:before="10"/>
        <w:rPr>
          <w:sz w:val="19"/>
        </w:rPr>
      </w:pPr>
    </w:p>
    <w:p w14:paraId="1BBC092E" w14:textId="77777777" w:rsidR="00492688" w:rsidRDefault="00C9584B">
      <w:pPr>
        <w:pStyle w:val="Prrafodelista"/>
        <w:numPr>
          <w:ilvl w:val="0"/>
          <w:numId w:val="12"/>
        </w:numPr>
        <w:tabs>
          <w:tab w:val="left" w:pos="689"/>
        </w:tabs>
        <w:spacing w:before="1"/>
        <w:ind w:right="115" w:firstLine="0"/>
        <w:jc w:val="both"/>
        <w:rPr>
          <w:sz w:val="20"/>
        </w:rPr>
      </w:pPr>
      <w:r>
        <w:rPr>
          <w:sz w:val="20"/>
        </w:rPr>
        <w:t>El 30 de diciembre de 2005 el CNM profirió la Resolución No. 1198-2005-CNM en la que declaró improcedente la nulidad e inadmisible el pedido de reincorporación al cargo. Indicó que la presunta víctima no interpuso recurso de reconsideración en contra de la</w:t>
      </w:r>
      <w:r>
        <w:rPr>
          <w:sz w:val="20"/>
        </w:rPr>
        <w:t xml:space="preserve"> resolución impugnada, por lo que la decisión tenía valor de cosa juzgada, y señaló que no podían confundirse la responsabilidad penal y la disciplinaria. También señaló que dentro de las funciones del CNM no está la de reincorporar al ejercicio de su carg</w:t>
      </w:r>
      <w:r>
        <w:rPr>
          <w:sz w:val="20"/>
        </w:rPr>
        <w:t>o a jueces</w:t>
      </w:r>
      <w:r>
        <w:rPr>
          <w:spacing w:val="-5"/>
          <w:sz w:val="20"/>
        </w:rPr>
        <w:t xml:space="preserve"> </w:t>
      </w:r>
      <w:r>
        <w:rPr>
          <w:sz w:val="20"/>
        </w:rPr>
        <w:t>destituidos</w:t>
      </w:r>
      <w:hyperlink w:anchor="_bookmark93" w:history="1">
        <w:r>
          <w:rPr>
            <w:position w:val="7"/>
            <w:sz w:val="13"/>
          </w:rPr>
          <w:t>74</w:t>
        </w:r>
      </w:hyperlink>
      <w:r>
        <w:rPr>
          <w:sz w:val="20"/>
        </w:rPr>
        <w:t>.</w:t>
      </w:r>
    </w:p>
    <w:p w14:paraId="17B8EEDF" w14:textId="77777777" w:rsidR="00492688" w:rsidRDefault="00492688">
      <w:pPr>
        <w:pStyle w:val="Textoindependiente"/>
        <w:spacing w:before="1"/>
      </w:pPr>
    </w:p>
    <w:p w14:paraId="2CB0AD97" w14:textId="77777777" w:rsidR="00492688" w:rsidRDefault="00C9584B">
      <w:pPr>
        <w:pStyle w:val="Prrafodelista"/>
        <w:numPr>
          <w:ilvl w:val="0"/>
          <w:numId w:val="12"/>
        </w:numPr>
        <w:tabs>
          <w:tab w:val="left" w:pos="688"/>
        </w:tabs>
        <w:spacing w:before="1"/>
        <w:ind w:right="118" w:hanging="1"/>
        <w:jc w:val="both"/>
        <w:rPr>
          <w:sz w:val="20"/>
        </w:rPr>
      </w:pPr>
      <w:r>
        <w:rPr>
          <w:sz w:val="20"/>
        </w:rPr>
        <w:t xml:space="preserve">El 25 de enero de 2006 el señor Cordero Bernal interpuso recurso de apelación contra la Resolución No. 1198-2005-CNM. Reiteró los argumentos de su escrito de 17 de noviembre de 2005 e indicó que no </w:t>
      </w:r>
      <w:r>
        <w:rPr>
          <w:sz w:val="20"/>
        </w:rPr>
        <w:t>interpuso recurso de reconsideración porque fue sometido al proceso</w:t>
      </w:r>
      <w:r>
        <w:rPr>
          <w:spacing w:val="-6"/>
          <w:sz w:val="20"/>
        </w:rPr>
        <w:t xml:space="preserve"> </w:t>
      </w:r>
      <w:r>
        <w:rPr>
          <w:sz w:val="20"/>
        </w:rPr>
        <w:t>penal</w:t>
      </w:r>
      <w:hyperlink w:anchor="_bookmark94" w:history="1">
        <w:r>
          <w:rPr>
            <w:position w:val="7"/>
            <w:sz w:val="13"/>
          </w:rPr>
          <w:t>75</w:t>
        </w:r>
      </w:hyperlink>
      <w:r>
        <w:rPr>
          <w:sz w:val="20"/>
        </w:rPr>
        <w:t>.</w:t>
      </w:r>
    </w:p>
    <w:p w14:paraId="110045C3" w14:textId="77777777" w:rsidR="00492688" w:rsidRDefault="00492688">
      <w:pPr>
        <w:pStyle w:val="Textoindependiente"/>
        <w:spacing w:before="11"/>
        <w:rPr>
          <w:sz w:val="19"/>
        </w:rPr>
      </w:pPr>
    </w:p>
    <w:p w14:paraId="5280FD64" w14:textId="77777777" w:rsidR="00492688" w:rsidRDefault="00C9584B">
      <w:pPr>
        <w:pStyle w:val="Prrafodelista"/>
        <w:numPr>
          <w:ilvl w:val="0"/>
          <w:numId w:val="12"/>
        </w:numPr>
        <w:tabs>
          <w:tab w:val="left" w:pos="688"/>
        </w:tabs>
        <w:ind w:right="120" w:firstLine="0"/>
        <w:jc w:val="both"/>
        <w:rPr>
          <w:sz w:val="20"/>
        </w:rPr>
      </w:pPr>
      <w:r>
        <w:rPr>
          <w:sz w:val="20"/>
        </w:rPr>
        <w:t>El 20 de febrero de 2006, mediante resolución No. 078-2006-CNM, el CNM declaró inadmisible por extemporáneo el recurso de apelación, entendido como</w:t>
      </w:r>
      <w:r>
        <w:rPr>
          <w:sz w:val="20"/>
        </w:rPr>
        <w:t xml:space="preserve"> de reconsideración. Indicó que tenía la naturaleza de recurso de reconsideración por ser el CNM</w:t>
      </w:r>
      <w:r>
        <w:rPr>
          <w:spacing w:val="37"/>
          <w:sz w:val="20"/>
        </w:rPr>
        <w:t xml:space="preserve"> </w:t>
      </w:r>
      <w:r>
        <w:rPr>
          <w:sz w:val="20"/>
        </w:rPr>
        <w:t>un</w:t>
      </w:r>
      <w:r>
        <w:rPr>
          <w:spacing w:val="39"/>
          <w:sz w:val="20"/>
        </w:rPr>
        <w:t xml:space="preserve"> </w:t>
      </w:r>
      <w:r>
        <w:rPr>
          <w:sz w:val="20"/>
        </w:rPr>
        <w:t>órgano</w:t>
      </w:r>
      <w:r>
        <w:rPr>
          <w:spacing w:val="37"/>
          <w:sz w:val="20"/>
        </w:rPr>
        <w:t xml:space="preserve"> </w:t>
      </w:r>
      <w:r>
        <w:rPr>
          <w:sz w:val="20"/>
        </w:rPr>
        <w:t>de</w:t>
      </w:r>
      <w:r>
        <w:rPr>
          <w:spacing w:val="36"/>
          <w:sz w:val="20"/>
        </w:rPr>
        <w:t xml:space="preserve"> </w:t>
      </w:r>
      <w:r>
        <w:rPr>
          <w:sz w:val="20"/>
        </w:rPr>
        <w:t>única</w:t>
      </w:r>
      <w:r>
        <w:rPr>
          <w:spacing w:val="39"/>
          <w:sz w:val="20"/>
        </w:rPr>
        <w:t xml:space="preserve"> </w:t>
      </w:r>
      <w:r>
        <w:rPr>
          <w:sz w:val="20"/>
        </w:rPr>
        <w:t>instancia</w:t>
      </w:r>
      <w:r>
        <w:rPr>
          <w:spacing w:val="39"/>
          <w:sz w:val="20"/>
        </w:rPr>
        <w:t xml:space="preserve"> </w:t>
      </w:r>
      <w:r>
        <w:rPr>
          <w:sz w:val="20"/>
        </w:rPr>
        <w:t>y</w:t>
      </w:r>
      <w:r>
        <w:rPr>
          <w:spacing w:val="37"/>
          <w:sz w:val="20"/>
        </w:rPr>
        <w:t xml:space="preserve"> </w:t>
      </w:r>
      <w:r>
        <w:rPr>
          <w:sz w:val="20"/>
        </w:rPr>
        <w:t>que</w:t>
      </w:r>
      <w:r>
        <w:rPr>
          <w:spacing w:val="37"/>
          <w:sz w:val="20"/>
        </w:rPr>
        <w:t xml:space="preserve"> </w:t>
      </w:r>
      <w:r>
        <w:rPr>
          <w:sz w:val="20"/>
        </w:rPr>
        <w:t>el</w:t>
      </w:r>
      <w:r>
        <w:rPr>
          <w:spacing w:val="41"/>
          <w:sz w:val="20"/>
        </w:rPr>
        <w:t xml:space="preserve"> </w:t>
      </w:r>
      <w:r>
        <w:rPr>
          <w:sz w:val="20"/>
        </w:rPr>
        <w:t>recuso</w:t>
      </w:r>
      <w:r>
        <w:rPr>
          <w:spacing w:val="37"/>
          <w:sz w:val="20"/>
        </w:rPr>
        <w:t xml:space="preserve"> </w:t>
      </w:r>
      <w:r>
        <w:rPr>
          <w:sz w:val="20"/>
        </w:rPr>
        <w:t>debía</w:t>
      </w:r>
      <w:r>
        <w:rPr>
          <w:spacing w:val="38"/>
          <w:sz w:val="20"/>
        </w:rPr>
        <w:t xml:space="preserve"> </w:t>
      </w:r>
      <w:r>
        <w:rPr>
          <w:sz w:val="20"/>
        </w:rPr>
        <w:t>haberse</w:t>
      </w:r>
      <w:r>
        <w:rPr>
          <w:spacing w:val="37"/>
          <w:sz w:val="20"/>
        </w:rPr>
        <w:t xml:space="preserve"> </w:t>
      </w:r>
      <w:r>
        <w:rPr>
          <w:sz w:val="20"/>
        </w:rPr>
        <w:t>presentado</w:t>
      </w:r>
      <w:r>
        <w:rPr>
          <w:spacing w:val="40"/>
          <w:sz w:val="20"/>
        </w:rPr>
        <w:t xml:space="preserve"> </w:t>
      </w:r>
      <w:r>
        <w:rPr>
          <w:sz w:val="20"/>
        </w:rPr>
        <w:t>en</w:t>
      </w:r>
      <w:r>
        <w:rPr>
          <w:spacing w:val="41"/>
          <w:sz w:val="20"/>
        </w:rPr>
        <w:t xml:space="preserve"> </w:t>
      </w:r>
      <w:r>
        <w:rPr>
          <w:sz w:val="20"/>
        </w:rPr>
        <w:t>el</w:t>
      </w:r>
    </w:p>
    <w:p w14:paraId="3985BDF8" w14:textId="77777777" w:rsidR="00492688" w:rsidRDefault="00492688">
      <w:pPr>
        <w:pStyle w:val="Textoindependiente"/>
      </w:pPr>
    </w:p>
    <w:p w14:paraId="5AD5A85C" w14:textId="77777777" w:rsidR="00492688" w:rsidRDefault="00492688">
      <w:pPr>
        <w:pStyle w:val="Textoindependiente"/>
      </w:pPr>
    </w:p>
    <w:p w14:paraId="51A8C662" w14:textId="474DF9AE" w:rsidR="00492688" w:rsidRDefault="00C9584B">
      <w:pPr>
        <w:pStyle w:val="Textoindependiente"/>
        <w:spacing w:before="7"/>
        <w:rPr>
          <w:sz w:val="11"/>
        </w:rPr>
      </w:pPr>
      <w:r>
        <w:rPr>
          <w:noProof/>
        </w:rPr>
        <mc:AlternateContent>
          <mc:Choice Requires="wps">
            <w:drawing>
              <wp:anchor distT="0" distB="0" distL="0" distR="0" simplePos="0" relativeHeight="251671552" behindDoc="1" locked="0" layoutInCell="1" allowOverlap="1" wp14:anchorId="43EAB08D" wp14:editId="02F68B63">
                <wp:simplePos x="0" y="0"/>
                <wp:positionH relativeFrom="page">
                  <wp:posOffset>1080770</wp:posOffset>
                </wp:positionH>
                <wp:positionV relativeFrom="paragraph">
                  <wp:posOffset>118110</wp:posOffset>
                </wp:positionV>
                <wp:extent cx="1828800" cy="1270"/>
                <wp:effectExtent l="0" t="0" r="0" b="0"/>
                <wp:wrapTopAndBottom/>
                <wp:docPr id="28"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A2345" id="Freeform 29" o:spid="_x0000_s1026" style="position:absolute;margin-left:85.1pt;margin-top:9.3pt;width:2in;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" path="m,l2880,e" filled="f" strokeweight=".21131mm">
                <v:path arrowok="t" o:connecttype="custom" o:connectlocs="0,0;1828800,0" o:connectangles="0,0"/>
                <w10:wrap type="topAndBottom" anchorx="page"/>
              </v:shape>
            </w:pict>
          </mc:Fallback>
        </mc:AlternateContent>
      </w:r>
    </w:p>
    <w:p w14:paraId="52CF8C32" w14:textId="77777777" w:rsidR="00492688" w:rsidRDefault="00492688">
      <w:pPr>
        <w:pStyle w:val="Textoindependiente"/>
        <w:spacing w:before="1"/>
        <w:rPr>
          <w:sz w:val="6"/>
        </w:rPr>
      </w:pPr>
    </w:p>
    <w:p w14:paraId="7F4237E5" w14:textId="77777777" w:rsidR="00492688" w:rsidRDefault="00C9584B">
      <w:pPr>
        <w:tabs>
          <w:tab w:val="left" w:pos="829"/>
        </w:tabs>
        <w:spacing w:before="101"/>
        <w:ind w:left="121" w:right="121"/>
        <w:rPr>
          <w:sz w:val="16"/>
        </w:rPr>
      </w:pPr>
      <w:bookmarkStart w:id="109" w:name="_bookmark88"/>
      <w:bookmarkEnd w:id="109"/>
      <w:r>
        <w:rPr>
          <w:position w:val="6"/>
          <w:sz w:val="10"/>
        </w:rPr>
        <w:t>69</w:t>
      </w:r>
      <w:r>
        <w:rPr>
          <w:position w:val="6"/>
          <w:sz w:val="10"/>
        </w:rPr>
        <w:tab/>
      </w:r>
      <w:r>
        <w:rPr>
          <w:i/>
          <w:sz w:val="16"/>
        </w:rPr>
        <w:t xml:space="preserve">Cfr. </w:t>
      </w:r>
      <w:r>
        <w:rPr>
          <w:sz w:val="16"/>
        </w:rPr>
        <w:t>Fiscalía Superior. Apelación de Sentencia, 12 de julio de 2005 (expediente de prueba, folio 205).</w:t>
      </w:r>
    </w:p>
    <w:p w14:paraId="2A675550" w14:textId="77777777" w:rsidR="00492688" w:rsidRDefault="00C9584B">
      <w:pPr>
        <w:tabs>
          <w:tab w:val="left" w:pos="829"/>
        </w:tabs>
        <w:spacing w:before="100"/>
        <w:ind w:left="121" w:right="114"/>
        <w:rPr>
          <w:sz w:val="16"/>
        </w:rPr>
      </w:pPr>
      <w:bookmarkStart w:id="110" w:name="_bookmark89"/>
      <w:bookmarkEnd w:id="110"/>
      <w:r>
        <w:rPr>
          <w:position w:val="6"/>
          <w:sz w:val="10"/>
        </w:rPr>
        <w:t>70</w:t>
      </w:r>
      <w:r>
        <w:rPr>
          <w:position w:val="6"/>
          <w:sz w:val="10"/>
        </w:rPr>
        <w:tab/>
      </w:r>
      <w:r>
        <w:rPr>
          <w:i/>
          <w:sz w:val="16"/>
        </w:rPr>
        <w:t xml:space="preserve">Cfr. </w:t>
      </w:r>
      <w:r>
        <w:rPr>
          <w:sz w:val="16"/>
        </w:rPr>
        <w:t>Decisión confirmatoria de Sentencia, 22 de agosto de 2005 (expediente de prueba, folios 207 a 209).</w:t>
      </w:r>
    </w:p>
    <w:p w14:paraId="5940A11F" w14:textId="77777777" w:rsidR="00492688" w:rsidRDefault="00C9584B">
      <w:pPr>
        <w:tabs>
          <w:tab w:val="left" w:pos="829"/>
        </w:tabs>
        <w:spacing w:before="99"/>
        <w:ind w:left="121"/>
        <w:rPr>
          <w:sz w:val="16"/>
        </w:rPr>
      </w:pPr>
      <w:bookmarkStart w:id="111" w:name="_bookmark90"/>
      <w:bookmarkEnd w:id="111"/>
      <w:r>
        <w:rPr>
          <w:position w:val="6"/>
          <w:sz w:val="10"/>
        </w:rPr>
        <w:t>71</w:t>
      </w:r>
      <w:r>
        <w:rPr>
          <w:position w:val="6"/>
          <w:sz w:val="10"/>
        </w:rPr>
        <w:tab/>
      </w:r>
      <w:r>
        <w:rPr>
          <w:i/>
          <w:sz w:val="16"/>
        </w:rPr>
        <w:t xml:space="preserve">Cfr. </w:t>
      </w:r>
      <w:r>
        <w:rPr>
          <w:sz w:val="16"/>
        </w:rPr>
        <w:t>Decisión confirmatoria de Sentencia, 22 de</w:t>
      </w:r>
      <w:r>
        <w:rPr>
          <w:sz w:val="16"/>
        </w:rPr>
        <w:t xml:space="preserve"> agosto de 2005 (expediente de prueba, folio</w:t>
      </w:r>
      <w:r>
        <w:rPr>
          <w:spacing w:val="-23"/>
          <w:sz w:val="16"/>
        </w:rPr>
        <w:t xml:space="preserve"> </w:t>
      </w:r>
      <w:r>
        <w:rPr>
          <w:sz w:val="16"/>
        </w:rPr>
        <w:t>208).</w:t>
      </w:r>
    </w:p>
    <w:p w14:paraId="1F7211E8" w14:textId="77777777" w:rsidR="00492688" w:rsidRDefault="00C9584B">
      <w:pPr>
        <w:tabs>
          <w:tab w:val="left" w:pos="829"/>
        </w:tabs>
        <w:spacing w:before="100"/>
        <w:ind w:left="121" w:right="121" w:hanging="1"/>
        <w:rPr>
          <w:sz w:val="16"/>
        </w:rPr>
      </w:pPr>
      <w:bookmarkStart w:id="112" w:name="_bookmark91"/>
      <w:bookmarkEnd w:id="112"/>
      <w:r>
        <w:rPr>
          <w:position w:val="6"/>
          <w:sz w:val="10"/>
        </w:rPr>
        <w:t>72</w:t>
      </w:r>
      <w:r>
        <w:rPr>
          <w:position w:val="6"/>
          <w:sz w:val="10"/>
        </w:rPr>
        <w:tab/>
      </w:r>
      <w:r>
        <w:rPr>
          <w:i/>
          <w:sz w:val="16"/>
        </w:rPr>
        <w:t xml:space="preserve">Cfr. </w:t>
      </w:r>
      <w:r>
        <w:rPr>
          <w:sz w:val="16"/>
        </w:rPr>
        <w:t xml:space="preserve">Primera Sala Penal Superior de Huánuco. Decisión de 1 de septiembre de 2005 (expediente </w:t>
      </w:r>
      <w:r>
        <w:rPr>
          <w:spacing w:val="-5"/>
          <w:sz w:val="16"/>
        </w:rPr>
        <w:t xml:space="preserve">de </w:t>
      </w:r>
      <w:r>
        <w:rPr>
          <w:sz w:val="16"/>
        </w:rPr>
        <w:t>prueba, folio</w:t>
      </w:r>
      <w:r>
        <w:rPr>
          <w:spacing w:val="-2"/>
          <w:sz w:val="16"/>
        </w:rPr>
        <w:t xml:space="preserve"> </w:t>
      </w:r>
      <w:r>
        <w:rPr>
          <w:sz w:val="16"/>
        </w:rPr>
        <w:t>213).</w:t>
      </w:r>
    </w:p>
    <w:p w14:paraId="7625BD7B" w14:textId="77777777" w:rsidR="00492688" w:rsidRDefault="00C9584B">
      <w:pPr>
        <w:tabs>
          <w:tab w:val="left" w:pos="829"/>
        </w:tabs>
        <w:spacing w:before="101"/>
        <w:ind w:left="121" w:right="121"/>
        <w:rPr>
          <w:sz w:val="16"/>
        </w:rPr>
      </w:pPr>
      <w:bookmarkStart w:id="113" w:name="_bookmark92"/>
      <w:bookmarkEnd w:id="113"/>
      <w:r>
        <w:rPr>
          <w:position w:val="6"/>
          <w:sz w:val="10"/>
        </w:rPr>
        <w:t>73</w:t>
      </w:r>
      <w:r>
        <w:rPr>
          <w:position w:val="6"/>
          <w:sz w:val="10"/>
        </w:rPr>
        <w:tab/>
      </w:r>
      <w:r>
        <w:rPr>
          <w:i/>
          <w:sz w:val="16"/>
        </w:rPr>
        <w:t xml:space="preserve">Cfr. </w:t>
      </w:r>
      <w:r>
        <w:rPr>
          <w:sz w:val="16"/>
        </w:rPr>
        <w:t>Recurso de Nulidad de la Resolución No. 008-96/PCNM del Consejo Nacional de la</w:t>
      </w:r>
      <w:r>
        <w:rPr>
          <w:sz w:val="16"/>
        </w:rPr>
        <w:t xml:space="preserve"> Magistratura, 17 de noviembre de 2005 (expediente de prueba, folios 215 a</w:t>
      </w:r>
      <w:r>
        <w:rPr>
          <w:spacing w:val="-8"/>
          <w:sz w:val="16"/>
        </w:rPr>
        <w:t xml:space="preserve"> </w:t>
      </w:r>
      <w:r>
        <w:rPr>
          <w:sz w:val="16"/>
        </w:rPr>
        <w:t>220).</w:t>
      </w:r>
    </w:p>
    <w:p w14:paraId="20E30D79" w14:textId="77777777" w:rsidR="00492688" w:rsidRDefault="00C9584B">
      <w:pPr>
        <w:tabs>
          <w:tab w:val="left" w:pos="829"/>
        </w:tabs>
        <w:spacing w:before="98"/>
        <w:ind w:left="121" w:right="121"/>
        <w:rPr>
          <w:sz w:val="16"/>
        </w:rPr>
      </w:pPr>
      <w:bookmarkStart w:id="114" w:name="_bookmark93"/>
      <w:bookmarkEnd w:id="114"/>
      <w:r>
        <w:rPr>
          <w:position w:val="6"/>
          <w:sz w:val="10"/>
        </w:rPr>
        <w:t>74</w:t>
      </w:r>
      <w:r>
        <w:rPr>
          <w:position w:val="6"/>
          <w:sz w:val="10"/>
        </w:rPr>
        <w:tab/>
      </w:r>
      <w:r>
        <w:rPr>
          <w:i/>
          <w:sz w:val="16"/>
        </w:rPr>
        <w:t xml:space="preserve">Cfr. </w:t>
      </w:r>
      <w:r>
        <w:rPr>
          <w:sz w:val="16"/>
        </w:rPr>
        <w:t>Consejo Nacional de la Magistratura, Resolución 1198-2005-CNM, 30 de diciembre de 2005 (expediente de prueba, folios 222 a</w:t>
      </w:r>
      <w:r>
        <w:rPr>
          <w:spacing w:val="-9"/>
          <w:sz w:val="16"/>
        </w:rPr>
        <w:t xml:space="preserve"> </w:t>
      </w:r>
      <w:r>
        <w:rPr>
          <w:sz w:val="16"/>
        </w:rPr>
        <w:t>224).</w:t>
      </w:r>
    </w:p>
    <w:p w14:paraId="4188A31D" w14:textId="77777777" w:rsidR="00492688" w:rsidRDefault="00C9584B">
      <w:pPr>
        <w:tabs>
          <w:tab w:val="left" w:pos="829"/>
        </w:tabs>
        <w:spacing w:before="101"/>
        <w:ind w:left="121" w:right="117"/>
        <w:rPr>
          <w:sz w:val="16"/>
        </w:rPr>
      </w:pPr>
      <w:bookmarkStart w:id="115" w:name="_bookmark94"/>
      <w:bookmarkEnd w:id="115"/>
      <w:r>
        <w:rPr>
          <w:position w:val="6"/>
          <w:sz w:val="10"/>
        </w:rPr>
        <w:t>75</w:t>
      </w:r>
      <w:r>
        <w:rPr>
          <w:position w:val="6"/>
          <w:sz w:val="10"/>
        </w:rPr>
        <w:tab/>
      </w:r>
      <w:r>
        <w:rPr>
          <w:i/>
          <w:sz w:val="16"/>
        </w:rPr>
        <w:t xml:space="preserve">Cfr. </w:t>
      </w:r>
      <w:r>
        <w:rPr>
          <w:sz w:val="16"/>
        </w:rPr>
        <w:t>Recurso de Apelación presentad</w:t>
      </w:r>
      <w:r>
        <w:rPr>
          <w:sz w:val="16"/>
        </w:rPr>
        <w:t>o por el señor Cordero Bernal, 25 de enero de 2006 (expediente de prueba, folios 226 a</w:t>
      </w:r>
      <w:r>
        <w:rPr>
          <w:spacing w:val="-10"/>
          <w:sz w:val="16"/>
        </w:rPr>
        <w:t xml:space="preserve"> </w:t>
      </w:r>
      <w:r>
        <w:rPr>
          <w:sz w:val="16"/>
        </w:rPr>
        <w:t>230).</w:t>
      </w:r>
    </w:p>
    <w:p w14:paraId="31E6664E" w14:textId="77777777" w:rsidR="00492688" w:rsidRDefault="00492688">
      <w:pPr>
        <w:rPr>
          <w:sz w:val="16"/>
        </w:rPr>
        <w:sectPr w:rsidR="00492688">
          <w:pgSz w:w="12240" w:h="15840"/>
          <w:pgMar w:top="1340" w:right="1580" w:bottom="280" w:left="1580" w:header="720" w:footer="720" w:gutter="0"/>
          <w:cols w:space="720"/>
        </w:sectPr>
      </w:pPr>
    </w:p>
    <w:p w14:paraId="6EEF7ED9" w14:textId="77777777" w:rsidR="00492688" w:rsidRDefault="00C9584B">
      <w:pPr>
        <w:pStyle w:val="Textoindependiente"/>
        <w:spacing w:before="79"/>
        <w:ind w:left="121"/>
      </w:pPr>
      <w:r>
        <w:lastRenderedPageBreak/>
        <w:t>término de 10 días desde la notificación de la decisión</w:t>
      </w:r>
      <w:hyperlink w:anchor="_bookmark98" w:history="1">
        <w:r>
          <w:rPr>
            <w:position w:val="7"/>
            <w:sz w:val="13"/>
          </w:rPr>
          <w:t>76</w:t>
        </w:r>
      </w:hyperlink>
      <w:r>
        <w:t>.</w:t>
      </w:r>
    </w:p>
    <w:p w14:paraId="74E233BB" w14:textId="77777777" w:rsidR="00492688" w:rsidRDefault="00492688">
      <w:pPr>
        <w:pStyle w:val="Textoindependiente"/>
        <w:spacing w:before="10"/>
        <w:rPr>
          <w:sz w:val="19"/>
        </w:rPr>
      </w:pPr>
    </w:p>
    <w:p w14:paraId="24E7722A" w14:textId="77777777" w:rsidR="00492688" w:rsidRDefault="00C9584B">
      <w:pPr>
        <w:pStyle w:val="Ttulo1"/>
        <w:ind w:left="4136" w:right="4138" w:hanging="1"/>
      </w:pPr>
      <w:bookmarkStart w:id="116" w:name="VII_FONDO"/>
      <w:bookmarkStart w:id="117" w:name="_bookmark95"/>
      <w:bookmarkEnd w:id="116"/>
      <w:bookmarkEnd w:id="117"/>
      <w:r>
        <w:t xml:space="preserve">VII </w:t>
      </w:r>
      <w:r>
        <w:rPr>
          <w:w w:val="95"/>
        </w:rPr>
        <w:t>FONDO</w:t>
      </w:r>
    </w:p>
    <w:p w14:paraId="5E137804" w14:textId="77777777" w:rsidR="00492688" w:rsidRDefault="00492688">
      <w:pPr>
        <w:pStyle w:val="Textoindependiente"/>
        <w:spacing w:before="1"/>
        <w:rPr>
          <w:b/>
        </w:rPr>
      </w:pPr>
    </w:p>
    <w:p w14:paraId="2BF02B96" w14:textId="77777777" w:rsidR="00492688" w:rsidRDefault="00C9584B">
      <w:pPr>
        <w:pStyle w:val="Prrafodelista"/>
        <w:numPr>
          <w:ilvl w:val="0"/>
          <w:numId w:val="12"/>
        </w:numPr>
        <w:tabs>
          <w:tab w:val="left" w:pos="688"/>
        </w:tabs>
        <w:ind w:left="120" w:right="117" w:firstLine="0"/>
        <w:jc w:val="both"/>
        <w:rPr>
          <w:sz w:val="20"/>
        </w:rPr>
      </w:pPr>
      <w:r>
        <w:rPr>
          <w:sz w:val="20"/>
        </w:rPr>
        <w:t>El presente caso se relaciona con el proceso disciplinario seguido en contra del señor Héctor Fidel Cordero Bernal, por haber concedido la libertad incondicional a dos procesados. Dicho proceso culminó con su destitución como Juez Provisional del Cuarto Ju</w:t>
      </w:r>
      <w:r>
        <w:rPr>
          <w:sz w:val="20"/>
        </w:rPr>
        <w:t xml:space="preserve">zgado Penal de la Provincia de Huánuco, Perú. La Comisión Interamericana, la presunta víctima y sus representantes, alegaron que el proceso sancionatorio desconoció las garantías judiciales, el principio de legalidad, los derechos políticos y los derechos </w:t>
      </w:r>
      <w:r>
        <w:rPr>
          <w:sz w:val="20"/>
        </w:rPr>
        <w:t>a derecho a recurrir el fallo y a la protección judicial, establecidos en los artículos 8.1, 8.2.h), 9, 23.1.c) y 25.1 de la Convención Americana, en relación con las obligaciones contenidas en los artículos 1.1 y 2 del mismo instrumento. A la luz de lo se</w:t>
      </w:r>
      <w:r>
        <w:rPr>
          <w:sz w:val="20"/>
        </w:rPr>
        <w:t>ñalado por la Comisión Interamericana, en este caso la falta de motivación habría constituido un hecho ilícito internacional, en la medida en que “era obligación de la autoridad disciplinaria ofrecer una motivación que de manera clara estableciera las razo</w:t>
      </w:r>
      <w:r>
        <w:rPr>
          <w:sz w:val="20"/>
        </w:rPr>
        <w:t>nes por las cuales la decisión emitida por el señor Cordero Bernal, más allá de haber sido corregida mediante los recursos disponibles en la legislación, requería de un control disciplinario por denotar su falta de competencia e idoneidad como juez, a punt</w:t>
      </w:r>
      <w:r>
        <w:rPr>
          <w:sz w:val="20"/>
        </w:rPr>
        <w:t>o de ameritar la sanción más severa”</w:t>
      </w:r>
      <w:hyperlink w:anchor="_bookmark99" w:history="1">
        <w:r>
          <w:rPr>
            <w:position w:val="7"/>
            <w:sz w:val="13"/>
          </w:rPr>
          <w:t>77</w:t>
        </w:r>
      </w:hyperlink>
      <w:r>
        <w:rPr>
          <w:sz w:val="20"/>
        </w:rPr>
        <w:t>. Por su parte, el Estado controvirtió las afirmaciones según las cuales es responsable por la violación a los derechos del señor Cordero</w:t>
      </w:r>
      <w:r>
        <w:rPr>
          <w:spacing w:val="-3"/>
          <w:sz w:val="20"/>
        </w:rPr>
        <w:t xml:space="preserve"> </w:t>
      </w:r>
      <w:r>
        <w:rPr>
          <w:sz w:val="20"/>
        </w:rPr>
        <w:t>Bernal.</w:t>
      </w:r>
    </w:p>
    <w:p w14:paraId="37C4F62E" w14:textId="77777777" w:rsidR="00492688" w:rsidRDefault="00492688">
      <w:pPr>
        <w:pStyle w:val="Textoindependiente"/>
        <w:spacing w:before="11"/>
        <w:rPr>
          <w:sz w:val="19"/>
        </w:rPr>
      </w:pPr>
    </w:p>
    <w:p w14:paraId="1A2510A4" w14:textId="77777777" w:rsidR="00492688" w:rsidRDefault="00C9584B">
      <w:pPr>
        <w:pStyle w:val="Prrafodelista"/>
        <w:numPr>
          <w:ilvl w:val="0"/>
          <w:numId w:val="12"/>
        </w:numPr>
        <w:tabs>
          <w:tab w:val="left" w:pos="689"/>
        </w:tabs>
        <w:ind w:right="116" w:hanging="1"/>
        <w:jc w:val="both"/>
        <w:rPr>
          <w:sz w:val="20"/>
        </w:rPr>
      </w:pPr>
      <w:r>
        <w:rPr>
          <w:sz w:val="20"/>
        </w:rPr>
        <w:t>Corresponde a este Tribunal evaluar si e</w:t>
      </w:r>
      <w:r>
        <w:rPr>
          <w:sz w:val="20"/>
        </w:rPr>
        <w:t>l proceso disciplinario seguido en contra del señor Cordero Bernal y la decisión de destitución adoptada fueron acordes o no con el régimen de garantías previsto en la Convención y si la sanción impuesta fue proporcional a la conducta llevada a cabo por el</w:t>
      </w:r>
      <w:r>
        <w:rPr>
          <w:sz w:val="20"/>
        </w:rPr>
        <w:t xml:space="preserve"> entonces juez. En esta medida, la Comisión solicitó a la Corte que se pronunciara sobre la legalidad de la norma en que se basó el proceso y sobre la Resolución del CNM, en particular, sobre si careció de motivación y afectó con ello la independencia judi</w:t>
      </w:r>
      <w:r>
        <w:rPr>
          <w:sz w:val="20"/>
        </w:rPr>
        <w:t>cial desde la perspectiva de la inamovilidad. Para resolver este asunto, la Corte analizará (1) las alegadas violaciones a las garantías judiciales, al principio de legalidad y a los derechos políticos y (2) las alegadas violaciones al derecho a recurrir e</w:t>
      </w:r>
      <w:r>
        <w:rPr>
          <w:sz w:val="20"/>
        </w:rPr>
        <w:t>l fallo y a la protección</w:t>
      </w:r>
      <w:r>
        <w:rPr>
          <w:spacing w:val="-11"/>
          <w:sz w:val="20"/>
        </w:rPr>
        <w:t xml:space="preserve"> </w:t>
      </w:r>
      <w:r>
        <w:rPr>
          <w:sz w:val="20"/>
        </w:rPr>
        <w:t>judicial.</w:t>
      </w:r>
    </w:p>
    <w:p w14:paraId="1AFC1376" w14:textId="77777777" w:rsidR="00492688" w:rsidRDefault="00492688">
      <w:pPr>
        <w:pStyle w:val="Textoindependiente"/>
        <w:spacing w:before="3"/>
      </w:pPr>
    </w:p>
    <w:p w14:paraId="53834BF7" w14:textId="77777777" w:rsidR="00492688" w:rsidRDefault="00C9584B">
      <w:pPr>
        <w:spacing w:line="243" w:lineRule="exact"/>
        <w:ind w:left="124" w:right="125"/>
        <w:jc w:val="center"/>
        <w:rPr>
          <w:b/>
          <w:sz w:val="20"/>
        </w:rPr>
      </w:pPr>
      <w:bookmarkStart w:id="118" w:name="VII-1_GARANTÍAS_JUDICIALES,_PRINCIPIO_DE"/>
      <w:bookmarkStart w:id="119" w:name="_bookmark96"/>
      <w:bookmarkEnd w:id="118"/>
      <w:bookmarkEnd w:id="119"/>
      <w:r>
        <w:rPr>
          <w:b/>
          <w:sz w:val="20"/>
        </w:rPr>
        <w:t>VII-1</w:t>
      </w:r>
    </w:p>
    <w:p w14:paraId="6F06221D" w14:textId="77777777" w:rsidR="00492688" w:rsidRDefault="00C9584B">
      <w:pPr>
        <w:ind w:left="124" w:right="121"/>
        <w:jc w:val="center"/>
        <w:rPr>
          <w:b/>
          <w:sz w:val="13"/>
        </w:rPr>
      </w:pPr>
      <w:r>
        <w:rPr>
          <w:b/>
          <w:sz w:val="20"/>
        </w:rPr>
        <w:t>GARANTÍAS JUDICIALES, PRINCIPIO DE LEGALIDAD Y DERECHOS POLÍTICOS, EN RELACIÓN CON LAS OBLIGACIONES DE RESPETAR Y GARANTIZAR LOS DERECHOS Y ADOPTAR DISPOSICIONES DE DERECHO INTERNO</w:t>
      </w:r>
      <w:hyperlink w:anchor="_bookmark100" w:history="1">
        <w:r>
          <w:rPr>
            <w:b/>
            <w:position w:val="7"/>
            <w:sz w:val="13"/>
          </w:rPr>
          <w:t>78</w:t>
        </w:r>
      </w:hyperlink>
    </w:p>
    <w:p w14:paraId="59579524" w14:textId="77777777" w:rsidR="00492688" w:rsidRDefault="00492688">
      <w:pPr>
        <w:pStyle w:val="Textoindependiente"/>
        <w:spacing w:before="11"/>
        <w:rPr>
          <w:b/>
          <w:sz w:val="19"/>
        </w:rPr>
      </w:pPr>
    </w:p>
    <w:p w14:paraId="1001616B" w14:textId="77777777" w:rsidR="00492688" w:rsidRDefault="00C9584B">
      <w:pPr>
        <w:pStyle w:val="Ttulo1"/>
        <w:numPr>
          <w:ilvl w:val="0"/>
          <w:numId w:val="7"/>
        </w:numPr>
        <w:tabs>
          <w:tab w:val="left" w:pos="830"/>
        </w:tabs>
        <w:ind w:hanging="349"/>
      </w:pPr>
      <w:bookmarkStart w:id="120" w:name="_bookmark97"/>
      <w:bookmarkEnd w:id="120"/>
      <w:r>
        <w:t>Alegatos de las partes y de la</w:t>
      </w:r>
      <w:r>
        <w:rPr>
          <w:spacing w:val="-4"/>
        </w:rPr>
        <w:t xml:space="preserve"> </w:t>
      </w:r>
      <w:r>
        <w:t>Comisión</w:t>
      </w:r>
    </w:p>
    <w:p w14:paraId="20030975" w14:textId="77777777" w:rsidR="00492688" w:rsidRDefault="00492688">
      <w:pPr>
        <w:pStyle w:val="Textoindependiente"/>
        <w:spacing w:before="11"/>
        <w:rPr>
          <w:b/>
          <w:sz w:val="19"/>
        </w:rPr>
      </w:pPr>
    </w:p>
    <w:p w14:paraId="2F8EA133" w14:textId="77777777" w:rsidR="00492688" w:rsidRDefault="00C9584B">
      <w:pPr>
        <w:pStyle w:val="Prrafodelista"/>
        <w:numPr>
          <w:ilvl w:val="0"/>
          <w:numId w:val="12"/>
        </w:numPr>
        <w:tabs>
          <w:tab w:val="left" w:pos="688"/>
        </w:tabs>
        <w:ind w:right="119" w:hanging="1"/>
        <w:jc w:val="both"/>
        <w:rPr>
          <w:sz w:val="20"/>
        </w:rPr>
      </w:pPr>
      <w:r>
        <w:rPr>
          <w:sz w:val="20"/>
        </w:rPr>
        <w:t xml:space="preserve">La </w:t>
      </w:r>
      <w:r>
        <w:rPr>
          <w:b/>
          <w:i/>
          <w:sz w:val="20"/>
        </w:rPr>
        <w:t xml:space="preserve">Comisión </w:t>
      </w:r>
      <w:r>
        <w:rPr>
          <w:sz w:val="20"/>
        </w:rPr>
        <w:t>alegó que las garantías establecidas en el artículo 8 de la Convención Americana no se limitan a los procesos penales, sino que son aplicables en procesos de otra naturaleza, especialmente sancionatorios, por hacer parte del ejercicio</w:t>
      </w:r>
      <w:r>
        <w:rPr>
          <w:spacing w:val="8"/>
          <w:sz w:val="20"/>
        </w:rPr>
        <w:t xml:space="preserve"> </w:t>
      </w:r>
      <w:r>
        <w:rPr>
          <w:sz w:val="20"/>
        </w:rPr>
        <w:t>del</w:t>
      </w:r>
      <w:r>
        <w:rPr>
          <w:spacing w:val="9"/>
          <w:sz w:val="20"/>
        </w:rPr>
        <w:t xml:space="preserve"> </w:t>
      </w:r>
      <w:r>
        <w:rPr>
          <w:sz w:val="20"/>
        </w:rPr>
        <w:t>pode</w:t>
      </w:r>
      <w:r>
        <w:rPr>
          <w:sz w:val="20"/>
        </w:rPr>
        <w:t>r</w:t>
      </w:r>
      <w:r>
        <w:rPr>
          <w:spacing w:val="8"/>
          <w:sz w:val="20"/>
        </w:rPr>
        <w:t xml:space="preserve"> </w:t>
      </w:r>
      <w:r>
        <w:rPr>
          <w:sz w:val="20"/>
        </w:rPr>
        <w:t>punitivo</w:t>
      </w:r>
      <w:r>
        <w:rPr>
          <w:spacing w:val="8"/>
          <w:sz w:val="20"/>
        </w:rPr>
        <w:t xml:space="preserve"> </w:t>
      </w:r>
      <w:r>
        <w:rPr>
          <w:sz w:val="20"/>
        </w:rPr>
        <w:t>del</w:t>
      </w:r>
      <w:r>
        <w:rPr>
          <w:spacing w:val="9"/>
          <w:sz w:val="20"/>
        </w:rPr>
        <w:t xml:space="preserve"> </w:t>
      </w:r>
      <w:r>
        <w:rPr>
          <w:sz w:val="20"/>
        </w:rPr>
        <w:t>Estado.</w:t>
      </w:r>
      <w:r>
        <w:rPr>
          <w:spacing w:val="9"/>
          <w:sz w:val="20"/>
        </w:rPr>
        <w:t xml:space="preserve"> </w:t>
      </w:r>
      <w:r>
        <w:rPr>
          <w:sz w:val="20"/>
        </w:rPr>
        <w:t>En</w:t>
      </w:r>
      <w:r>
        <w:rPr>
          <w:spacing w:val="12"/>
          <w:sz w:val="20"/>
        </w:rPr>
        <w:t xml:space="preserve"> </w:t>
      </w:r>
      <w:r>
        <w:rPr>
          <w:sz w:val="20"/>
        </w:rPr>
        <w:t>ese</w:t>
      </w:r>
      <w:r>
        <w:rPr>
          <w:spacing w:val="10"/>
          <w:sz w:val="20"/>
        </w:rPr>
        <w:t xml:space="preserve"> </w:t>
      </w:r>
      <w:r>
        <w:rPr>
          <w:sz w:val="20"/>
        </w:rPr>
        <w:t>sentido</w:t>
      </w:r>
      <w:r>
        <w:rPr>
          <w:spacing w:val="10"/>
          <w:sz w:val="20"/>
        </w:rPr>
        <w:t xml:space="preserve"> </w:t>
      </w:r>
      <w:r>
        <w:rPr>
          <w:sz w:val="20"/>
        </w:rPr>
        <w:t>sostuvo</w:t>
      </w:r>
      <w:r>
        <w:rPr>
          <w:spacing w:val="10"/>
          <w:sz w:val="20"/>
        </w:rPr>
        <w:t xml:space="preserve"> </w:t>
      </w:r>
      <w:r>
        <w:rPr>
          <w:sz w:val="20"/>
        </w:rPr>
        <w:t>que,</w:t>
      </w:r>
      <w:r>
        <w:rPr>
          <w:spacing w:val="11"/>
          <w:sz w:val="20"/>
        </w:rPr>
        <w:t xml:space="preserve"> </w:t>
      </w:r>
      <w:r>
        <w:rPr>
          <w:sz w:val="20"/>
        </w:rPr>
        <w:t>debido</w:t>
      </w:r>
      <w:r>
        <w:rPr>
          <w:spacing w:val="8"/>
          <w:sz w:val="20"/>
        </w:rPr>
        <w:t xml:space="preserve"> </w:t>
      </w:r>
      <w:r>
        <w:rPr>
          <w:sz w:val="20"/>
        </w:rPr>
        <w:t>a</w:t>
      </w:r>
      <w:r>
        <w:rPr>
          <w:spacing w:val="10"/>
          <w:sz w:val="20"/>
        </w:rPr>
        <w:t xml:space="preserve"> </w:t>
      </w:r>
      <w:r>
        <w:rPr>
          <w:sz w:val="20"/>
        </w:rPr>
        <w:t>que</w:t>
      </w:r>
      <w:r>
        <w:rPr>
          <w:spacing w:val="10"/>
          <w:sz w:val="20"/>
        </w:rPr>
        <w:t xml:space="preserve"> </w:t>
      </w:r>
      <w:r>
        <w:rPr>
          <w:sz w:val="20"/>
        </w:rPr>
        <w:t>este</w:t>
      </w:r>
    </w:p>
    <w:p w14:paraId="0DCAF740" w14:textId="0759C7B6" w:rsidR="00492688" w:rsidRDefault="00C9584B">
      <w:pPr>
        <w:pStyle w:val="Textoindependiente"/>
        <w:spacing w:before="8"/>
        <w:rPr>
          <w:sz w:val="16"/>
        </w:rPr>
      </w:pPr>
      <w:r>
        <w:rPr>
          <w:noProof/>
        </w:rPr>
        <mc:AlternateContent>
          <mc:Choice Requires="wps">
            <w:drawing>
              <wp:anchor distT="0" distB="0" distL="0" distR="0" simplePos="0" relativeHeight="251672576" behindDoc="1" locked="0" layoutInCell="1" allowOverlap="1" wp14:anchorId="1D83DEED" wp14:editId="53EEB31A">
                <wp:simplePos x="0" y="0"/>
                <wp:positionH relativeFrom="page">
                  <wp:posOffset>1080770</wp:posOffset>
                </wp:positionH>
                <wp:positionV relativeFrom="paragraph">
                  <wp:posOffset>157480</wp:posOffset>
                </wp:positionV>
                <wp:extent cx="1828800" cy="1270"/>
                <wp:effectExtent l="0" t="0" r="0" b="0"/>
                <wp:wrapTopAndBottom/>
                <wp:docPr id="27"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9CF66" id="Freeform 28" o:spid="_x0000_s1026" style="position:absolute;margin-left:85.1pt;margin-top:12.4pt;width:2in;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" path="m,l2880,e" filled="f" strokeweight=".6pt">
                <v:path arrowok="t" o:connecttype="custom" o:connectlocs="0,0;1828800,0" o:connectangles="0,0"/>
                <w10:wrap type="topAndBottom" anchorx="page"/>
              </v:shape>
            </w:pict>
          </mc:Fallback>
        </mc:AlternateContent>
      </w:r>
    </w:p>
    <w:p w14:paraId="3E7BFDEF" w14:textId="77777777" w:rsidR="00492688" w:rsidRDefault="00492688">
      <w:pPr>
        <w:pStyle w:val="Textoindependiente"/>
        <w:spacing w:before="1"/>
        <w:rPr>
          <w:sz w:val="6"/>
        </w:rPr>
      </w:pPr>
    </w:p>
    <w:p w14:paraId="35C98FB1" w14:textId="77777777" w:rsidR="00492688" w:rsidRDefault="00C9584B">
      <w:pPr>
        <w:tabs>
          <w:tab w:val="left" w:pos="829"/>
        </w:tabs>
        <w:spacing w:before="101"/>
        <w:ind w:left="121" w:right="733"/>
        <w:rPr>
          <w:sz w:val="16"/>
        </w:rPr>
      </w:pPr>
      <w:bookmarkStart w:id="121" w:name="_bookmark98"/>
      <w:bookmarkEnd w:id="121"/>
      <w:r>
        <w:rPr>
          <w:position w:val="6"/>
          <w:sz w:val="10"/>
        </w:rPr>
        <w:t>76</w:t>
      </w:r>
      <w:r>
        <w:rPr>
          <w:position w:val="6"/>
          <w:sz w:val="10"/>
        </w:rPr>
        <w:tab/>
      </w:r>
      <w:r>
        <w:rPr>
          <w:i/>
          <w:sz w:val="16"/>
        </w:rPr>
        <w:t xml:space="preserve">Cfr. </w:t>
      </w:r>
      <w:r>
        <w:rPr>
          <w:sz w:val="16"/>
        </w:rPr>
        <w:t>Consejo Nacional de la Magistratura, Resolución 078-2006-CNM, 20 de febrero de 2006 (expediente de prueba, folios 232 a</w:t>
      </w:r>
      <w:r>
        <w:rPr>
          <w:spacing w:val="-9"/>
          <w:sz w:val="16"/>
        </w:rPr>
        <w:t xml:space="preserve"> </w:t>
      </w:r>
      <w:r>
        <w:rPr>
          <w:sz w:val="16"/>
        </w:rPr>
        <w:t>233).</w:t>
      </w:r>
    </w:p>
    <w:p w14:paraId="109A594A" w14:textId="77777777" w:rsidR="00492688" w:rsidRDefault="00C9584B">
      <w:pPr>
        <w:tabs>
          <w:tab w:val="left" w:pos="829"/>
        </w:tabs>
        <w:spacing w:before="98"/>
        <w:ind w:left="121" w:right="114" w:hanging="1"/>
        <w:rPr>
          <w:sz w:val="16"/>
        </w:rPr>
      </w:pPr>
      <w:bookmarkStart w:id="122" w:name="_bookmark99"/>
      <w:bookmarkEnd w:id="122"/>
      <w:r>
        <w:rPr>
          <w:position w:val="6"/>
          <w:sz w:val="10"/>
        </w:rPr>
        <w:t>77</w:t>
      </w:r>
      <w:r>
        <w:rPr>
          <w:position w:val="6"/>
          <w:sz w:val="10"/>
        </w:rPr>
        <w:tab/>
      </w:r>
      <w:r>
        <w:rPr>
          <w:sz w:val="16"/>
        </w:rPr>
        <w:t>Comisión Interamericana de Derechos Humanos. Informe de Fondo No. 115/18 (expediente de fondo, folio</w:t>
      </w:r>
      <w:r>
        <w:rPr>
          <w:spacing w:val="-4"/>
          <w:sz w:val="16"/>
        </w:rPr>
        <w:t xml:space="preserve"> </w:t>
      </w:r>
      <w:r>
        <w:rPr>
          <w:sz w:val="16"/>
        </w:rPr>
        <w:t>26).</w:t>
      </w:r>
    </w:p>
    <w:p w14:paraId="0C601326" w14:textId="77777777" w:rsidR="00492688" w:rsidRDefault="00C9584B">
      <w:pPr>
        <w:tabs>
          <w:tab w:val="left" w:pos="829"/>
        </w:tabs>
        <w:spacing w:before="101"/>
        <w:ind w:left="122" w:right="121" w:hanging="1"/>
        <w:rPr>
          <w:sz w:val="16"/>
        </w:rPr>
      </w:pPr>
      <w:bookmarkStart w:id="123" w:name="_bookmark100"/>
      <w:bookmarkEnd w:id="123"/>
      <w:r>
        <w:rPr>
          <w:position w:val="6"/>
          <w:sz w:val="10"/>
        </w:rPr>
        <w:t>78</w:t>
      </w:r>
      <w:r>
        <w:rPr>
          <w:position w:val="6"/>
          <w:sz w:val="10"/>
        </w:rPr>
        <w:tab/>
      </w:r>
      <w:r>
        <w:rPr>
          <w:sz w:val="16"/>
        </w:rPr>
        <w:t>Artículos 8, 9 y 23 de la Convención Americana, en relación con los artículos 1.1 y 2 del mismo instrumento.</w:t>
      </w:r>
    </w:p>
    <w:p w14:paraId="5CCB532C" w14:textId="77777777" w:rsidR="00492688" w:rsidRDefault="00492688">
      <w:pPr>
        <w:rPr>
          <w:sz w:val="16"/>
        </w:rPr>
        <w:sectPr w:rsidR="00492688">
          <w:pgSz w:w="12240" w:h="15840"/>
          <w:pgMar w:top="1340" w:right="1580" w:bottom="280" w:left="1580" w:header="720" w:footer="720" w:gutter="0"/>
          <w:cols w:space="720"/>
        </w:sectPr>
      </w:pPr>
    </w:p>
    <w:p w14:paraId="7F42ABED" w14:textId="77777777" w:rsidR="00492688" w:rsidRDefault="00C9584B">
      <w:pPr>
        <w:pStyle w:val="Textoindependiente"/>
        <w:spacing w:before="79"/>
        <w:ind w:left="121" w:right="118"/>
        <w:jc w:val="both"/>
      </w:pPr>
      <w:r>
        <w:lastRenderedPageBreak/>
        <w:t>caso se refiere a un proceso</w:t>
      </w:r>
      <w:r>
        <w:t xml:space="preserve"> que dio lugar a una sanción de destitución, son aplicables las garantías del debido proceso, en relación con el principio de independencia judicial. Indicó que de ese principio se desprenden garantías reforzadas que los Estados deben brindar a los jueces </w:t>
      </w:r>
      <w:r>
        <w:t>a fin de garantizar su independencia y dentro de esas garantías se encuentra la inamovilidad en el cargo.</w:t>
      </w:r>
    </w:p>
    <w:p w14:paraId="3BCAA759" w14:textId="77777777" w:rsidR="00492688" w:rsidRDefault="00492688">
      <w:pPr>
        <w:pStyle w:val="Textoindependiente"/>
        <w:spacing w:before="10"/>
        <w:rPr>
          <w:sz w:val="19"/>
        </w:rPr>
      </w:pPr>
    </w:p>
    <w:p w14:paraId="6882CBBC" w14:textId="77777777" w:rsidR="00492688" w:rsidRDefault="00C9584B">
      <w:pPr>
        <w:pStyle w:val="Prrafodelista"/>
        <w:numPr>
          <w:ilvl w:val="0"/>
          <w:numId w:val="12"/>
        </w:numPr>
        <w:tabs>
          <w:tab w:val="left" w:pos="688"/>
        </w:tabs>
        <w:ind w:right="117" w:hanging="1"/>
        <w:jc w:val="both"/>
        <w:rPr>
          <w:sz w:val="20"/>
        </w:rPr>
      </w:pPr>
      <w:r>
        <w:rPr>
          <w:sz w:val="20"/>
        </w:rPr>
        <w:t>Señaló, además, que la decisión mediante la cual se impuso una sanción disciplinaria al señor Cordero Bernal no ofrece una motivación orientada a dem</w:t>
      </w:r>
      <w:r>
        <w:rPr>
          <w:sz w:val="20"/>
        </w:rPr>
        <w:t>ostrar su falta de competencia e idoneidad, sino que “se limita a indicar que la decisión emitida […] careció de toda racionalidad y sentido común”. Por esa razón, consideró que el Estado violó el derecho a contar con decisiones debidamente motivadas, en r</w:t>
      </w:r>
      <w:r>
        <w:rPr>
          <w:sz w:val="20"/>
        </w:rPr>
        <w:t>elación con el principio de independencia judicial. Sobre el derecho a recurrir el fallo sostuvo que también es parte del derecho al debido proceso en procedimientos sancionatorios y que “implica un examen por un juez o tribunal distinto y de superior jera</w:t>
      </w:r>
      <w:r>
        <w:rPr>
          <w:sz w:val="20"/>
        </w:rPr>
        <w:t>rquía tanto de aspectos de hecho como de derecho de la decisión</w:t>
      </w:r>
      <w:r>
        <w:rPr>
          <w:spacing w:val="-21"/>
          <w:sz w:val="20"/>
        </w:rPr>
        <w:t xml:space="preserve"> </w:t>
      </w:r>
      <w:r>
        <w:rPr>
          <w:sz w:val="20"/>
        </w:rPr>
        <w:t>recurrida”.</w:t>
      </w:r>
    </w:p>
    <w:p w14:paraId="7CCED34B" w14:textId="77777777" w:rsidR="00492688" w:rsidRDefault="00492688">
      <w:pPr>
        <w:pStyle w:val="Textoindependiente"/>
        <w:spacing w:before="1"/>
      </w:pPr>
    </w:p>
    <w:p w14:paraId="258CE8F2" w14:textId="77777777" w:rsidR="00492688" w:rsidRDefault="00C9584B">
      <w:pPr>
        <w:pStyle w:val="Prrafodelista"/>
        <w:numPr>
          <w:ilvl w:val="0"/>
          <w:numId w:val="12"/>
        </w:numPr>
        <w:tabs>
          <w:tab w:val="left" w:pos="689"/>
        </w:tabs>
        <w:ind w:right="118" w:firstLine="0"/>
        <w:jc w:val="both"/>
        <w:rPr>
          <w:sz w:val="20"/>
        </w:rPr>
      </w:pPr>
      <w:r>
        <w:rPr>
          <w:sz w:val="20"/>
        </w:rPr>
        <w:t xml:space="preserve">En relación con los derechos políticos, señaló que, de acuerdo con la Convención Americana, jueces y juezas tienen derecho a acceder a cargos públicos en condiciones de igualdad, </w:t>
      </w:r>
      <w:r>
        <w:rPr>
          <w:sz w:val="20"/>
        </w:rPr>
        <w:t>y que cuando se afecta en forma arbitraria su permanencia en el cargo, se desconoce el artículo 23, en relación con el principio de independencia judicial establecido en el artículo 8.1 de la Convención</w:t>
      </w:r>
      <w:r>
        <w:rPr>
          <w:spacing w:val="-3"/>
          <w:sz w:val="20"/>
        </w:rPr>
        <w:t xml:space="preserve"> </w:t>
      </w:r>
      <w:r>
        <w:rPr>
          <w:sz w:val="20"/>
        </w:rPr>
        <w:t>Americana.</w:t>
      </w:r>
    </w:p>
    <w:p w14:paraId="29D159C4" w14:textId="77777777" w:rsidR="00492688" w:rsidRDefault="00492688">
      <w:pPr>
        <w:pStyle w:val="Textoindependiente"/>
        <w:spacing w:before="1"/>
      </w:pPr>
    </w:p>
    <w:p w14:paraId="5F6D837A" w14:textId="77777777" w:rsidR="00492688" w:rsidRDefault="00C9584B">
      <w:pPr>
        <w:pStyle w:val="Prrafodelista"/>
        <w:numPr>
          <w:ilvl w:val="0"/>
          <w:numId w:val="12"/>
        </w:numPr>
        <w:tabs>
          <w:tab w:val="left" w:pos="689"/>
        </w:tabs>
        <w:ind w:right="118" w:hanging="1"/>
        <w:jc w:val="both"/>
        <w:rPr>
          <w:sz w:val="20"/>
        </w:rPr>
      </w:pPr>
      <w:r>
        <w:rPr>
          <w:sz w:val="20"/>
        </w:rPr>
        <w:t xml:space="preserve">Finalmente, en relación con el principio </w:t>
      </w:r>
      <w:r>
        <w:rPr>
          <w:sz w:val="20"/>
        </w:rPr>
        <w:t>de legalidad, sostuvo que su violación se desprende de la imprecisión normativa de la sanción aplicada al señor Cordero Bernal; de la no aplicación de la norma más favorable a sus intereses; y de las contradicciones derivadas de usar los mismos hechos para</w:t>
      </w:r>
      <w:r>
        <w:rPr>
          <w:sz w:val="20"/>
        </w:rPr>
        <w:t xml:space="preserve"> sustentar el proceso penal y el administrativo sancionatorio.</w:t>
      </w:r>
    </w:p>
    <w:p w14:paraId="0759BFE8" w14:textId="77777777" w:rsidR="00492688" w:rsidRDefault="00492688">
      <w:pPr>
        <w:pStyle w:val="Textoindependiente"/>
        <w:spacing w:before="1"/>
      </w:pPr>
    </w:p>
    <w:p w14:paraId="1923DFEE" w14:textId="77777777" w:rsidR="00492688" w:rsidRDefault="00C9584B">
      <w:pPr>
        <w:pStyle w:val="Prrafodelista"/>
        <w:numPr>
          <w:ilvl w:val="0"/>
          <w:numId w:val="12"/>
        </w:numPr>
        <w:tabs>
          <w:tab w:val="left" w:pos="689"/>
        </w:tabs>
        <w:ind w:right="117" w:firstLine="0"/>
        <w:jc w:val="both"/>
        <w:rPr>
          <w:sz w:val="20"/>
        </w:rPr>
      </w:pPr>
      <w:r>
        <w:rPr>
          <w:sz w:val="20"/>
        </w:rPr>
        <w:t xml:space="preserve">Las </w:t>
      </w:r>
      <w:r>
        <w:rPr>
          <w:b/>
          <w:i/>
          <w:sz w:val="20"/>
        </w:rPr>
        <w:t xml:space="preserve">representantes </w:t>
      </w:r>
      <w:r>
        <w:rPr>
          <w:sz w:val="20"/>
        </w:rPr>
        <w:t>destacaron que el principio de independencia judicial implica un proceso adecuado de nombramiento, la inamovilidad en el cargo y la garantía contra presiones externas. Ademá</w:t>
      </w:r>
      <w:r>
        <w:rPr>
          <w:sz w:val="20"/>
        </w:rPr>
        <w:t xml:space="preserve">s, reiteraron lo alegado por la Comisión en el sentido de que la motivación del fallo mediante el cual se destituyó al señor Cordero Bernal no satisface los estándares en materia de independencia judicial y derechos políticos. En relación con el principio </w:t>
      </w:r>
      <w:r>
        <w:rPr>
          <w:sz w:val="20"/>
        </w:rPr>
        <w:t>de legalidad, sostuvieron que su violación se desprende de la amplitud del tipo disciplinario; de que había una norma más favorable a los intereses de la presunta víctima, y de haberse sustentado el proceso penal y disciplinario en los mismos</w:t>
      </w:r>
      <w:r>
        <w:rPr>
          <w:spacing w:val="-5"/>
          <w:sz w:val="20"/>
        </w:rPr>
        <w:t xml:space="preserve"> </w:t>
      </w:r>
      <w:r>
        <w:rPr>
          <w:sz w:val="20"/>
        </w:rPr>
        <w:t>hechos.</w:t>
      </w:r>
    </w:p>
    <w:p w14:paraId="10526D3A" w14:textId="77777777" w:rsidR="00492688" w:rsidRDefault="00492688">
      <w:pPr>
        <w:pStyle w:val="Textoindependiente"/>
        <w:spacing w:before="10"/>
        <w:rPr>
          <w:sz w:val="19"/>
        </w:rPr>
      </w:pPr>
    </w:p>
    <w:p w14:paraId="453513A6" w14:textId="77777777" w:rsidR="00492688" w:rsidRDefault="00C9584B">
      <w:pPr>
        <w:pStyle w:val="Prrafodelista"/>
        <w:numPr>
          <w:ilvl w:val="0"/>
          <w:numId w:val="12"/>
        </w:numPr>
        <w:tabs>
          <w:tab w:val="left" w:pos="689"/>
        </w:tabs>
        <w:spacing w:before="1"/>
        <w:ind w:right="118" w:hanging="1"/>
        <w:jc w:val="both"/>
        <w:rPr>
          <w:sz w:val="20"/>
        </w:rPr>
      </w:pPr>
      <w:r>
        <w:rPr>
          <w:sz w:val="20"/>
        </w:rPr>
        <w:t xml:space="preserve">El </w:t>
      </w:r>
      <w:r>
        <w:rPr>
          <w:b/>
          <w:i/>
          <w:sz w:val="20"/>
        </w:rPr>
        <w:t xml:space="preserve">Estado </w:t>
      </w:r>
      <w:r>
        <w:rPr>
          <w:sz w:val="20"/>
        </w:rPr>
        <w:t>se refirió a las garantías de inamovilidad en el cargo y a la prohibición de libre remoción y argumentó que estas tienen lugar salvo que se trate de conductas claramente reprochables, como faltas disciplinarias graves o incompetencia establecidas</w:t>
      </w:r>
      <w:r>
        <w:rPr>
          <w:sz w:val="20"/>
        </w:rPr>
        <w:t xml:space="preserve"> en un proceso disciplinario objetivo e imparcial. Señaló que en este caso “se ha respetado el principio de independencia judicial, porque el señor Cordero Bernal fue destituido […] debido a una falta disciplinaria o incompetencia, tipificada en la normati</w:t>
      </w:r>
      <w:r>
        <w:rPr>
          <w:sz w:val="20"/>
        </w:rPr>
        <w:t>va vigente; es decir, en el presente caso no existió una libre remoción del cargo”. También argumentó que la decisión de destitución contó con motivación suficiente.</w:t>
      </w:r>
    </w:p>
    <w:p w14:paraId="203FAF62" w14:textId="77777777" w:rsidR="00492688" w:rsidRDefault="00492688">
      <w:pPr>
        <w:pStyle w:val="Textoindependiente"/>
      </w:pPr>
    </w:p>
    <w:p w14:paraId="4638018B" w14:textId="77777777" w:rsidR="00492688" w:rsidRDefault="00C9584B">
      <w:pPr>
        <w:pStyle w:val="Prrafodelista"/>
        <w:numPr>
          <w:ilvl w:val="0"/>
          <w:numId w:val="12"/>
        </w:numPr>
        <w:tabs>
          <w:tab w:val="left" w:pos="689"/>
        </w:tabs>
        <w:ind w:left="122" w:right="118" w:hanging="1"/>
        <w:jc w:val="both"/>
        <w:rPr>
          <w:sz w:val="20"/>
        </w:rPr>
      </w:pPr>
      <w:r>
        <w:rPr>
          <w:sz w:val="20"/>
        </w:rPr>
        <w:t>Finalmente, en relación con el principio de legalidad, argumentó que el grado de precisió</w:t>
      </w:r>
      <w:r>
        <w:rPr>
          <w:sz w:val="20"/>
        </w:rPr>
        <w:t>n requerido por una norma depende de la materia, y que ciertos grados de indeterminación no implican necesariamente una violación de la Convención Americana. Además, señaló que no existe conflicto alguno entre dos normas. Por último,</w:t>
      </w:r>
      <w:r>
        <w:rPr>
          <w:spacing w:val="17"/>
          <w:sz w:val="20"/>
        </w:rPr>
        <w:t xml:space="preserve"> </w:t>
      </w:r>
      <w:r>
        <w:rPr>
          <w:sz w:val="20"/>
        </w:rPr>
        <w:t>destacó</w:t>
      </w:r>
      <w:r>
        <w:rPr>
          <w:spacing w:val="18"/>
          <w:sz w:val="20"/>
        </w:rPr>
        <w:t xml:space="preserve"> </w:t>
      </w:r>
      <w:r>
        <w:rPr>
          <w:sz w:val="20"/>
        </w:rPr>
        <w:t>que</w:t>
      </w:r>
      <w:r>
        <w:rPr>
          <w:spacing w:val="19"/>
          <w:sz w:val="20"/>
        </w:rPr>
        <w:t xml:space="preserve"> </w:t>
      </w:r>
      <w:r>
        <w:rPr>
          <w:sz w:val="20"/>
        </w:rPr>
        <w:t>el</w:t>
      </w:r>
      <w:r>
        <w:rPr>
          <w:spacing w:val="21"/>
          <w:sz w:val="20"/>
        </w:rPr>
        <w:t xml:space="preserve"> </w:t>
      </w:r>
      <w:r>
        <w:rPr>
          <w:sz w:val="20"/>
        </w:rPr>
        <w:t>texto</w:t>
      </w:r>
      <w:r>
        <w:rPr>
          <w:spacing w:val="19"/>
          <w:sz w:val="20"/>
        </w:rPr>
        <w:t xml:space="preserve"> </w:t>
      </w:r>
      <w:r>
        <w:rPr>
          <w:sz w:val="20"/>
        </w:rPr>
        <w:t>d</w:t>
      </w:r>
      <w:r>
        <w:rPr>
          <w:sz w:val="20"/>
        </w:rPr>
        <w:t>e</w:t>
      </w:r>
      <w:r>
        <w:rPr>
          <w:spacing w:val="20"/>
          <w:sz w:val="20"/>
        </w:rPr>
        <w:t xml:space="preserve"> </w:t>
      </w:r>
      <w:r>
        <w:rPr>
          <w:sz w:val="20"/>
        </w:rPr>
        <w:t>la</w:t>
      </w:r>
      <w:r>
        <w:rPr>
          <w:spacing w:val="18"/>
          <w:sz w:val="20"/>
        </w:rPr>
        <w:t xml:space="preserve"> </w:t>
      </w:r>
      <w:r>
        <w:rPr>
          <w:sz w:val="20"/>
        </w:rPr>
        <w:t>norma</w:t>
      </w:r>
      <w:r>
        <w:rPr>
          <w:spacing w:val="21"/>
          <w:sz w:val="20"/>
        </w:rPr>
        <w:t xml:space="preserve"> </w:t>
      </w:r>
      <w:r>
        <w:rPr>
          <w:sz w:val="20"/>
        </w:rPr>
        <w:t>que</w:t>
      </w:r>
      <w:r>
        <w:rPr>
          <w:spacing w:val="21"/>
          <w:sz w:val="20"/>
        </w:rPr>
        <w:t xml:space="preserve"> </w:t>
      </w:r>
      <w:r>
        <w:rPr>
          <w:sz w:val="20"/>
        </w:rPr>
        <w:t>contempla</w:t>
      </w:r>
      <w:r>
        <w:rPr>
          <w:spacing w:val="21"/>
          <w:sz w:val="20"/>
        </w:rPr>
        <w:t xml:space="preserve"> </w:t>
      </w:r>
      <w:r>
        <w:rPr>
          <w:sz w:val="20"/>
        </w:rPr>
        <w:t>la</w:t>
      </w:r>
      <w:r>
        <w:rPr>
          <w:spacing w:val="20"/>
          <w:sz w:val="20"/>
        </w:rPr>
        <w:t xml:space="preserve"> </w:t>
      </w:r>
      <w:r>
        <w:rPr>
          <w:sz w:val="20"/>
        </w:rPr>
        <w:t>sanción</w:t>
      </w:r>
      <w:r>
        <w:rPr>
          <w:spacing w:val="21"/>
          <w:sz w:val="20"/>
        </w:rPr>
        <w:t xml:space="preserve"> </w:t>
      </w:r>
      <w:r>
        <w:rPr>
          <w:sz w:val="20"/>
        </w:rPr>
        <w:t>administrativa</w:t>
      </w:r>
      <w:r>
        <w:rPr>
          <w:spacing w:val="19"/>
          <w:sz w:val="20"/>
        </w:rPr>
        <w:t xml:space="preserve"> </w:t>
      </w:r>
      <w:r>
        <w:rPr>
          <w:sz w:val="20"/>
        </w:rPr>
        <w:t>no</w:t>
      </w:r>
    </w:p>
    <w:p w14:paraId="6D9FFB26" w14:textId="77777777" w:rsidR="00492688" w:rsidRDefault="00492688">
      <w:pPr>
        <w:jc w:val="both"/>
        <w:rPr>
          <w:sz w:val="20"/>
        </w:rPr>
        <w:sectPr w:rsidR="00492688">
          <w:pgSz w:w="12240" w:h="15840"/>
          <w:pgMar w:top="1340" w:right="1580" w:bottom="280" w:left="1580" w:header="720" w:footer="720" w:gutter="0"/>
          <w:cols w:space="720"/>
        </w:sectPr>
      </w:pPr>
    </w:p>
    <w:p w14:paraId="2D72CFDA" w14:textId="77777777" w:rsidR="00492688" w:rsidRDefault="00C9584B">
      <w:pPr>
        <w:pStyle w:val="Textoindependiente"/>
        <w:spacing w:before="79"/>
        <w:ind w:left="121"/>
      </w:pPr>
      <w:r>
        <w:lastRenderedPageBreak/>
        <w:t>puede excluir la persecución penal, pues la causal por la que se destituyó al señor Cordero Bernal no implica la exclusión de responsabilidad penal.</w:t>
      </w:r>
    </w:p>
    <w:p w14:paraId="289C992A" w14:textId="77777777" w:rsidR="00492688" w:rsidRDefault="00492688">
      <w:pPr>
        <w:pStyle w:val="Textoindependiente"/>
      </w:pPr>
    </w:p>
    <w:p w14:paraId="1AACB83A" w14:textId="77777777" w:rsidR="00492688" w:rsidRDefault="00C9584B">
      <w:pPr>
        <w:pStyle w:val="Ttulo1"/>
        <w:numPr>
          <w:ilvl w:val="0"/>
          <w:numId w:val="7"/>
        </w:numPr>
        <w:tabs>
          <w:tab w:val="left" w:pos="830"/>
        </w:tabs>
        <w:ind w:hanging="349"/>
      </w:pPr>
      <w:bookmarkStart w:id="124" w:name="_bookmark101"/>
      <w:bookmarkEnd w:id="124"/>
      <w:r>
        <w:t>Consideraciones de la</w:t>
      </w:r>
      <w:r>
        <w:rPr>
          <w:spacing w:val="-3"/>
        </w:rPr>
        <w:t xml:space="preserve"> </w:t>
      </w:r>
      <w:r>
        <w:t>Corte</w:t>
      </w:r>
    </w:p>
    <w:p w14:paraId="6F2445FC" w14:textId="77777777" w:rsidR="00492688" w:rsidRDefault="00492688">
      <w:pPr>
        <w:pStyle w:val="Textoindependiente"/>
        <w:spacing w:before="11"/>
        <w:rPr>
          <w:b/>
          <w:sz w:val="19"/>
        </w:rPr>
      </w:pPr>
    </w:p>
    <w:p w14:paraId="5D9DC83C" w14:textId="77777777" w:rsidR="00492688" w:rsidRDefault="00C9584B">
      <w:pPr>
        <w:pStyle w:val="Prrafodelista"/>
        <w:numPr>
          <w:ilvl w:val="0"/>
          <w:numId w:val="12"/>
        </w:numPr>
        <w:tabs>
          <w:tab w:val="left" w:pos="689"/>
        </w:tabs>
        <w:ind w:right="117" w:firstLine="0"/>
        <w:jc w:val="both"/>
        <w:rPr>
          <w:sz w:val="20"/>
        </w:rPr>
      </w:pPr>
      <w:r>
        <w:rPr>
          <w:sz w:val="20"/>
        </w:rPr>
        <w:t>La Corte recuerda que, en este caso, se estudia la destitución de un juez pro</w:t>
      </w:r>
      <w:r>
        <w:rPr>
          <w:sz w:val="20"/>
        </w:rPr>
        <w:t xml:space="preserve">visional, temporalmente encargado del Primer Juzgado Penal de la Corte Superior de Huánuco, ocurrida como consecuencia de un proceso disciplinario seguido en su contra. Por esa razón, procederá a analizar </w:t>
      </w:r>
      <w:r>
        <w:rPr>
          <w:spacing w:val="-12"/>
          <w:sz w:val="20"/>
        </w:rPr>
        <w:t xml:space="preserve">(1) </w:t>
      </w:r>
      <w:r>
        <w:rPr>
          <w:sz w:val="20"/>
        </w:rPr>
        <w:t>la garantía de independencia judicial en relaci</w:t>
      </w:r>
      <w:r>
        <w:rPr>
          <w:sz w:val="20"/>
        </w:rPr>
        <w:t>ón con el principio de legalidad, los derechos políticos y la garantía de motivación y (2) el principio de aplicación de la ley sancionatoria más</w:t>
      </w:r>
      <w:r>
        <w:rPr>
          <w:spacing w:val="-16"/>
          <w:sz w:val="20"/>
        </w:rPr>
        <w:t xml:space="preserve"> </w:t>
      </w:r>
      <w:r>
        <w:rPr>
          <w:sz w:val="20"/>
        </w:rPr>
        <w:t>favorable.</w:t>
      </w:r>
    </w:p>
    <w:p w14:paraId="09179106" w14:textId="77777777" w:rsidR="00492688" w:rsidRDefault="00492688">
      <w:pPr>
        <w:pStyle w:val="Textoindependiente"/>
      </w:pPr>
    </w:p>
    <w:p w14:paraId="682343E2" w14:textId="77777777" w:rsidR="00492688" w:rsidRDefault="00C9584B">
      <w:pPr>
        <w:pStyle w:val="Ttulo2"/>
        <w:numPr>
          <w:ilvl w:val="1"/>
          <w:numId w:val="7"/>
        </w:numPr>
        <w:tabs>
          <w:tab w:val="left" w:pos="1269"/>
        </w:tabs>
        <w:ind w:right="119" w:hanging="1"/>
      </w:pPr>
      <w:bookmarkStart w:id="125" w:name="B.1_La_garantía_de_independencia_judicia"/>
      <w:bookmarkStart w:id="126" w:name="_bookmark102"/>
      <w:bookmarkEnd w:id="125"/>
      <w:bookmarkEnd w:id="126"/>
      <w:r>
        <w:t xml:space="preserve">La garantía de independencia judicial en relación con el principio de </w:t>
      </w:r>
      <w:r>
        <w:t>legalidad, los derechos polí</w:t>
      </w:r>
      <w:r>
        <w:t>ticos y la garantía de</w:t>
      </w:r>
      <w:r>
        <w:rPr>
          <w:spacing w:val="-11"/>
        </w:rPr>
        <w:t xml:space="preserve"> </w:t>
      </w:r>
      <w:r>
        <w:t>motivación</w:t>
      </w:r>
    </w:p>
    <w:p w14:paraId="2BF0117D" w14:textId="77777777" w:rsidR="00492688" w:rsidRDefault="00492688">
      <w:pPr>
        <w:pStyle w:val="Textoindependiente"/>
        <w:spacing w:before="1"/>
        <w:rPr>
          <w:b/>
          <w:i/>
        </w:rPr>
      </w:pPr>
    </w:p>
    <w:p w14:paraId="33DBC0D4" w14:textId="77777777" w:rsidR="00492688" w:rsidRDefault="00C9584B">
      <w:pPr>
        <w:pStyle w:val="Prrafodelista"/>
        <w:numPr>
          <w:ilvl w:val="0"/>
          <w:numId w:val="12"/>
        </w:numPr>
        <w:tabs>
          <w:tab w:val="left" w:pos="688"/>
        </w:tabs>
        <w:ind w:right="117" w:hanging="1"/>
        <w:jc w:val="both"/>
        <w:rPr>
          <w:sz w:val="20"/>
        </w:rPr>
      </w:pPr>
      <w:r>
        <w:rPr>
          <w:sz w:val="20"/>
        </w:rPr>
        <w:t>Esta Corte ha establecido que los jueces cuentan con garantías específicas debido a la independencia necesaria del Poder Judicial, la cual se ha entendido como esencial para el ejercicio de su función. En ese sentido, ha afirmado que uno de los objetivos p</w:t>
      </w:r>
      <w:r>
        <w:rPr>
          <w:sz w:val="20"/>
        </w:rPr>
        <w:t>rincipales que tiene la separación de los poderes públicos es la garantía de la independencia judicial. Dicho ejercicio autónomo debe ser garantizado por el Estado tanto en su faceta institucional, esto es, en relación con el Poder Judicial como sistema, c</w:t>
      </w:r>
      <w:r>
        <w:rPr>
          <w:sz w:val="20"/>
        </w:rPr>
        <w:t>omo en su vertiente individual, es decir, en relación con la persona del juez específico</w:t>
      </w:r>
      <w:hyperlink w:anchor="_bookmark103" w:history="1">
        <w:r>
          <w:rPr>
            <w:position w:val="7"/>
            <w:sz w:val="13"/>
          </w:rPr>
          <w:t>79</w:t>
        </w:r>
      </w:hyperlink>
      <w:r>
        <w:rPr>
          <w:sz w:val="20"/>
        </w:rPr>
        <w:t>. El objetivo de la protección radica en evitar que el sistema judicial, en general, y sus integrantes, en particular, se vean sometid</w:t>
      </w:r>
      <w:r>
        <w:rPr>
          <w:sz w:val="20"/>
        </w:rPr>
        <w:t>os a posibles restricciones indebidas en el ejercicio de su función por parte de órganos ajenos al Poder Judicial, o incluso por parte de quienes ejercen funciones de revisión o</w:t>
      </w:r>
      <w:r>
        <w:rPr>
          <w:spacing w:val="-9"/>
          <w:sz w:val="20"/>
        </w:rPr>
        <w:t xml:space="preserve"> </w:t>
      </w:r>
      <w:r>
        <w:rPr>
          <w:sz w:val="20"/>
        </w:rPr>
        <w:t>apelación</w:t>
      </w:r>
      <w:hyperlink w:anchor="_bookmark104" w:history="1">
        <w:r>
          <w:rPr>
            <w:position w:val="7"/>
            <w:sz w:val="13"/>
          </w:rPr>
          <w:t>80</w:t>
        </w:r>
      </w:hyperlink>
      <w:r>
        <w:rPr>
          <w:sz w:val="20"/>
        </w:rPr>
        <w:t>.</w:t>
      </w:r>
    </w:p>
    <w:p w14:paraId="10814562" w14:textId="77777777" w:rsidR="00492688" w:rsidRDefault="00492688">
      <w:pPr>
        <w:pStyle w:val="Textoindependiente"/>
        <w:spacing w:before="11"/>
        <w:rPr>
          <w:sz w:val="19"/>
        </w:rPr>
      </w:pPr>
    </w:p>
    <w:p w14:paraId="4A4F7533" w14:textId="77777777" w:rsidR="00492688" w:rsidRDefault="00C9584B">
      <w:pPr>
        <w:pStyle w:val="Prrafodelista"/>
        <w:numPr>
          <w:ilvl w:val="0"/>
          <w:numId w:val="12"/>
        </w:numPr>
        <w:tabs>
          <w:tab w:val="left" w:pos="688"/>
        </w:tabs>
        <w:ind w:right="116" w:firstLine="0"/>
        <w:jc w:val="both"/>
        <w:rPr>
          <w:sz w:val="20"/>
        </w:rPr>
      </w:pPr>
      <w:r>
        <w:rPr>
          <w:sz w:val="20"/>
        </w:rPr>
        <w:t>Asimismo, este Tribunal ha señal</w:t>
      </w:r>
      <w:r>
        <w:rPr>
          <w:sz w:val="20"/>
        </w:rPr>
        <w:t>ado que de la independencia judicial se derivan las garantías (a) a la estabilidad e inamovilidad en el cargo, (b) a un adecuado proceso de nombramiento, y (c) a ser protegidos contra presiones externas</w:t>
      </w:r>
      <w:hyperlink w:anchor="_bookmark105" w:history="1">
        <w:r>
          <w:rPr>
            <w:position w:val="7"/>
            <w:sz w:val="13"/>
          </w:rPr>
          <w:t>81</w:t>
        </w:r>
      </w:hyperlink>
      <w:r>
        <w:rPr>
          <w:sz w:val="20"/>
        </w:rPr>
        <w:t xml:space="preserve">. Sobre la garantía </w:t>
      </w:r>
      <w:r>
        <w:rPr>
          <w:sz w:val="20"/>
        </w:rPr>
        <w:t>de estabilidad e inamovilidad en el cargo, la Corte ha considerado que implica, a su vez, (i) que la separación de los jueces de sus cargos deba obedecer exclusivamente a causales permitidas, ya sea por medio de un proceso que cumpla con las garantías judi</w:t>
      </w:r>
      <w:r>
        <w:rPr>
          <w:sz w:val="20"/>
        </w:rPr>
        <w:t>ciales o porque han cumplido el término de su mandato; (ii) que los jueces solo pueden ser destituidos por faltas de disciplina graves o incompetencia; y (iii)</w:t>
      </w:r>
      <w:r>
        <w:rPr>
          <w:spacing w:val="13"/>
          <w:sz w:val="20"/>
        </w:rPr>
        <w:t xml:space="preserve"> </w:t>
      </w:r>
      <w:r>
        <w:rPr>
          <w:sz w:val="20"/>
        </w:rPr>
        <w:t>que todo</w:t>
      </w:r>
    </w:p>
    <w:p w14:paraId="655012FF" w14:textId="4911DF4B" w:rsidR="00492688" w:rsidRDefault="00C9584B">
      <w:pPr>
        <w:pStyle w:val="Textoindependiente"/>
        <w:spacing w:before="8"/>
        <w:rPr>
          <w:sz w:val="28"/>
        </w:rPr>
      </w:pPr>
      <w:r>
        <w:rPr>
          <w:noProof/>
        </w:rPr>
        <mc:AlternateContent>
          <mc:Choice Requires="wps">
            <w:drawing>
              <wp:anchor distT="0" distB="0" distL="0" distR="0" simplePos="0" relativeHeight="251673600" behindDoc="1" locked="0" layoutInCell="1" allowOverlap="1" wp14:anchorId="670BEB6F" wp14:editId="1A15956B">
                <wp:simplePos x="0" y="0"/>
                <wp:positionH relativeFrom="page">
                  <wp:posOffset>1080770</wp:posOffset>
                </wp:positionH>
                <wp:positionV relativeFrom="paragraph">
                  <wp:posOffset>250190</wp:posOffset>
                </wp:positionV>
                <wp:extent cx="1828800" cy="1270"/>
                <wp:effectExtent l="0" t="0" r="0" b="0"/>
                <wp:wrapTopAndBottom/>
                <wp:docPr id="2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17CF0" id="Freeform 27" o:spid="_x0000_s1026" style="position:absolute;margin-left:85.1pt;margin-top:19.7pt;width:2in;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" path="m,l2880,e" filled="f" strokeweight=".6pt">
                <v:path arrowok="t" o:connecttype="custom" o:connectlocs="0,0;1828800,0" o:connectangles="0,0"/>
                <w10:wrap type="topAndBottom" anchorx="page"/>
              </v:shape>
            </w:pict>
          </mc:Fallback>
        </mc:AlternateContent>
      </w:r>
    </w:p>
    <w:p w14:paraId="4BF5A8F0" w14:textId="77777777" w:rsidR="00492688" w:rsidRDefault="00492688">
      <w:pPr>
        <w:pStyle w:val="Textoindependiente"/>
        <w:spacing w:before="10"/>
        <w:rPr>
          <w:sz w:val="5"/>
        </w:rPr>
      </w:pPr>
    </w:p>
    <w:p w14:paraId="2A5ED309" w14:textId="77777777" w:rsidR="00492688" w:rsidRDefault="00C9584B">
      <w:pPr>
        <w:tabs>
          <w:tab w:val="left" w:pos="829"/>
        </w:tabs>
        <w:spacing w:before="101"/>
        <w:ind w:left="121" w:right="113" w:hanging="1"/>
        <w:jc w:val="both"/>
        <w:rPr>
          <w:sz w:val="16"/>
        </w:rPr>
      </w:pPr>
      <w:bookmarkStart w:id="127" w:name="_bookmark103"/>
      <w:bookmarkEnd w:id="127"/>
      <w:r>
        <w:rPr>
          <w:position w:val="6"/>
          <w:sz w:val="10"/>
        </w:rPr>
        <w:t>79</w:t>
      </w:r>
      <w:r>
        <w:rPr>
          <w:position w:val="6"/>
          <w:sz w:val="10"/>
        </w:rPr>
        <w:tab/>
      </w:r>
      <w:r>
        <w:rPr>
          <w:sz w:val="16"/>
        </w:rPr>
        <w:t>El Consejo Consultivo de los Jueces Europeos (CCJE) en su Informe No. 3 (2002) so</w:t>
      </w:r>
      <w:r>
        <w:rPr>
          <w:sz w:val="16"/>
        </w:rPr>
        <w:t>bre “Los comportamientos incompatibles y la imparcialidad, destacó que “la independencia de los jueces constituye  un principio esencial y una garantía para todos los ciudadanos, comprendiendo a los jueces. Dicha independencia incluye a la vez un aspecto i</w:t>
      </w:r>
      <w:r>
        <w:rPr>
          <w:sz w:val="16"/>
        </w:rPr>
        <w:t>nstitucional y un aspecto individual […]”. Consejo Consultivo de los Jueces Europeos (CCJE). Informe No. 3 (2002), párr. 16. Disponible en:</w:t>
      </w:r>
      <w:r>
        <w:rPr>
          <w:spacing w:val="-32"/>
          <w:sz w:val="16"/>
        </w:rPr>
        <w:t xml:space="preserve"> </w:t>
      </w:r>
      <w:hyperlink r:id="rId8">
        <w:r>
          <w:rPr>
            <w:sz w:val="16"/>
            <w:u w:val="single"/>
          </w:rPr>
          <w:t>https://rm.coe.int/1680747c00</w:t>
        </w:r>
      </w:hyperlink>
      <w:r>
        <w:rPr>
          <w:sz w:val="16"/>
        </w:rPr>
        <w:t>.</w:t>
      </w:r>
    </w:p>
    <w:p w14:paraId="12D2BD90" w14:textId="77777777" w:rsidR="00492688" w:rsidRDefault="00C9584B">
      <w:pPr>
        <w:tabs>
          <w:tab w:val="left" w:pos="829"/>
        </w:tabs>
        <w:spacing w:before="101"/>
        <w:ind w:left="122" w:right="110" w:hanging="1"/>
        <w:jc w:val="both"/>
        <w:rPr>
          <w:sz w:val="16"/>
        </w:rPr>
      </w:pPr>
      <w:bookmarkStart w:id="128" w:name="_bookmark104"/>
      <w:bookmarkEnd w:id="128"/>
      <w:r>
        <w:rPr>
          <w:position w:val="6"/>
          <w:sz w:val="10"/>
        </w:rPr>
        <w:t>80</w:t>
      </w:r>
      <w:r>
        <w:rPr>
          <w:position w:val="6"/>
          <w:sz w:val="10"/>
        </w:rPr>
        <w:tab/>
      </w:r>
      <w:r>
        <w:rPr>
          <w:i/>
          <w:sz w:val="16"/>
        </w:rPr>
        <w:t xml:space="preserve">Cfr. Caso Apitz Barbera y otros (“Corte Primera de lo Contencioso Administrativo”) Vs. Venezuela. Excepción Preliminar, Fondo, Reparaciones y Costas. </w:t>
      </w:r>
      <w:r>
        <w:rPr>
          <w:sz w:val="16"/>
        </w:rPr>
        <w:t xml:space="preserve">Sentencia de 5 de agosto de 2008. Serie C No. 182, párr. 55, y </w:t>
      </w:r>
      <w:r>
        <w:rPr>
          <w:i/>
          <w:sz w:val="16"/>
        </w:rPr>
        <w:t>Caso Martínez Esquivia Vs. Colombia. Excepc</w:t>
      </w:r>
      <w:r>
        <w:rPr>
          <w:i/>
          <w:sz w:val="16"/>
        </w:rPr>
        <w:t xml:space="preserve">iones preliminares, Fondo y Reparaciones. </w:t>
      </w:r>
      <w:r>
        <w:rPr>
          <w:sz w:val="16"/>
        </w:rPr>
        <w:t>Sentencia de 6 de octubre de 2020. Serie C No. 412, párr.</w:t>
      </w:r>
      <w:r>
        <w:rPr>
          <w:spacing w:val="-9"/>
          <w:sz w:val="16"/>
        </w:rPr>
        <w:t xml:space="preserve"> </w:t>
      </w:r>
      <w:r>
        <w:rPr>
          <w:sz w:val="16"/>
        </w:rPr>
        <w:t>84.</w:t>
      </w:r>
    </w:p>
    <w:p w14:paraId="39BF071E" w14:textId="77777777" w:rsidR="00492688" w:rsidRDefault="00C9584B">
      <w:pPr>
        <w:tabs>
          <w:tab w:val="left" w:pos="829"/>
        </w:tabs>
        <w:spacing w:before="101"/>
        <w:ind w:left="120" w:right="112"/>
        <w:jc w:val="both"/>
        <w:rPr>
          <w:sz w:val="16"/>
        </w:rPr>
      </w:pPr>
      <w:bookmarkStart w:id="129" w:name="_bookmark105"/>
      <w:bookmarkEnd w:id="129"/>
      <w:r>
        <w:rPr>
          <w:position w:val="6"/>
          <w:sz w:val="10"/>
        </w:rPr>
        <w:t>81</w:t>
      </w:r>
      <w:r>
        <w:rPr>
          <w:position w:val="6"/>
          <w:sz w:val="10"/>
        </w:rPr>
        <w:tab/>
      </w:r>
      <w:r>
        <w:rPr>
          <w:i/>
          <w:sz w:val="16"/>
        </w:rPr>
        <w:t xml:space="preserve">Cfr. Caso Colindres Schonenberg Vs. El Salvador. Fondo, Reparaciones y Costas. </w:t>
      </w:r>
      <w:r>
        <w:rPr>
          <w:sz w:val="16"/>
        </w:rPr>
        <w:t xml:space="preserve">Sentencia de 4 de febrero de 2019. Serie C No. 373, párr. 68 y </w:t>
      </w:r>
      <w:r>
        <w:rPr>
          <w:i/>
          <w:sz w:val="16"/>
        </w:rPr>
        <w:t>Caso de</w:t>
      </w:r>
      <w:r>
        <w:rPr>
          <w:i/>
          <w:sz w:val="16"/>
        </w:rPr>
        <w:t xml:space="preserve">l Tribunal Constitucional Vs. Perú. Fondo, Reparaciones y Costas. </w:t>
      </w:r>
      <w:r>
        <w:rPr>
          <w:sz w:val="16"/>
        </w:rPr>
        <w:t xml:space="preserve">Sentencia de 31 de enero de 2001, párr. 75. Véase también: </w:t>
      </w:r>
      <w:r>
        <w:rPr>
          <w:i/>
          <w:sz w:val="16"/>
        </w:rPr>
        <w:t>mutatis Mutandis, Caso Martínez Esquivia Vs. Colombia, supra</w:t>
      </w:r>
      <w:r>
        <w:rPr>
          <w:sz w:val="16"/>
        </w:rPr>
        <w:t xml:space="preserve">, párr. 95. En relación con este asunto, el Tribunal de Justicia de la </w:t>
      </w:r>
      <w:r>
        <w:rPr>
          <w:sz w:val="16"/>
        </w:rPr>
        <w:t>Unión Europea, en sentencia del 24 de junio de 2019, señaló: “En particular, esta indispensable libertad de los jueces frente a cualquier injerencia o presión externa exige, como en repetidas ocasiones ha recordado el Tribunal de Justicia, ciertas garantía</w:t>
      </w:r>
      <w:r>
        <w:rPr>
          <w:sz w:val="16"/>
        </w:rPr>
        <w:t>s, como la inamovilidad, idóneas para proteger la persona de quienes tienen la misión de juzgar”. Tribunal de Justicia de la Unión Europea. Sentencia de 24 de junio de 2019, C- 619/18, ECLI:EU:C:2019:531, apartado 75. Disponible en:</w:t>
      </w:r>
      <w:r>
        <w:rPr>
          <w:spacing w:val="19"/>
          <w:sz w:val="16"/>
        </w:rPr>
        <w:t xml:space="preserve"> </w:t>
      </w:r>
      <w:hyperlink r:id="rId9">
        <w:r>
          <w:rPr>
            <w:sz w:val="16"/>
            <w:u w:val="single"/>
          </w:rPr>
          <w:t>http://curia.europa.eu/juris/document/document</w:t>
        </w:r>
      </w:hyperlink>
    </w:p>
    <w:p w14:paraId="7080E083" w14:textId="77777777" w:rsidR="00492688" w:rsidRDefault="00C9584B">
      <w:pPr>
        <w:spacing w:line="194" w:lineRule="exact"/>
        <w:ind w:left="121"/>
        <w:rPr>
          <w:sz w:val="16"/>
        </w:rPr>
      </w:pPr>
      <w:r>
        <w:rPr>
          <w:sz w:val="16"/>
        </w:rPr>
        <w:t>.jsf?text=&amp;docid=215341&amp;pageIndex=0&amp;doclang=es&amp;mode=lst&amp;dir=&amp;occ=first&amp;part=1&amp;cid=1961447</w:t>
      </w:r>
    </w:p>
    <w:p w14:paraId="1B3200E5" w14:textId="77777777" w:rsidR="00492688" w:rsidRDefault="00492688">
      <w:pPr>
        <w:spacing w:line="194" w:lineRule="exact"/>
        <w:rPr>
          <w:sz w:val="16"/>
        </w:rPr>
        <w:sectPr w:rsidR="00492688">
          <w:pgSz w:w="12240" w:h="15840"/>
          <w:pgMar w:top="1340" w:right="1580" w:bottom="280" w:left="1580" w:header="720" w:footer="720" w:gutter="0"/>
          <w:cols w:space="720"/>
        </w:sectPr>
      </w:pPr>
    </w:p>
    <w:p w14:paraId="68591C0B" w14:textId="77777777" w:rsidR="00492688" w:rsidRDefault="00C9584B">
      <w:pPr>
        <w:pStyle w:val="Textoindependiente"/>
        <w:spacing w:before="79"/>
        <w:ind w:left="121" w:right="118"/>
        <w:jc w:val="both"/>
      </w:pPr>
      <w:r>
        <w:lastRenderedPageBreak/>
        <w:t>proceso deberá resolverse de acuerdo con las normas de comportamie</w:t>
      </w:r>
      <w:r>
        <w:t>nto judicial establecidas y mediante procedimientos justos que aseguren la objetividad e imparcialidad según la Constitución o la ley</w:t>
      </w:r>
      <w:hyperlink w:anchor="_bookmark106" w:history="1">
        <w:r>
          <w:rPr>
            <w:position w:val="7"/>
            <w:sz w:val="13"/>
          </w:rPr>
          <w:t>82</w:t>
        </w:r>
      </w:hyperlink>
      <w:r>
        <w:t>.</w:t>
      </w:r>
    </w:p>
    <w:p w14:paraId="3D95BD72" w14:textId="77777777" w:rsidR="00492688" w:rsidRDefault="00492688">
      <w:pPr>
        <w:pStyle w:val="Textoindependiente"/>
        <w:spacing w:before="11"/>
        <w:rPr>
          <w:sz w:val="19"/>
        </w:rPr>
      </w:pPr>
    </w:p>
    <w:p w14:paraId="34918406" w14:textId="77777777" w:rsidR="00492688" w:rsidRDefault="00C9584B">
      <w:pPr>
        <w:pStyle w:val="Prrafodelista"/>
        <w:numPr>
          <w:ilvl w:val="0"/>
          <w:numId w:val="12"/>
        </w:numPr>
        <w:tabs>
          <w:tab w:val="left" w:pos="689"/>
        </w:tabs>
        <w:spacing w:before="1"/>
        <w:ind w:right="120" w:hanging="1"/>
        <w:jc w:val="both"/>
        <w:rPr>
          <w:sz w:val="20"/>
        </w:rPr>
      </w:pPr>
      <w:r>
        <w:rPr>
          <w:sz w:val="20"/>
        </w:rPr>
        <w:t>Sobre este mismo asunto, el Estatuto del Juez Iberoamericano señala, en su artículo 14, lo</w:t>
      </w:r>
      <w:r>
        <w:rPr>
          <w:spacing w:val="-5"/>
          <w:sz w:val="20"/>
        </w:rPr>
        <w:t xml:space="preserve"> </w:t>
      </w:r>
      <w:r>
        <w:rPr>
          <w:sz w:val="20"/>
        </w:rPr>
        <w:t>siguiente:</w:t>
      </w:r>
    </w:p>
    <w:p w14:paraId="4D82AA34" w14:textId="77777777" w:rsidR="00492688" w:rsidRDefault="00492688">
      <w:pPr>
        <w:pStyle w:val="Textoindependiente"/>
        <w:spacing w:before="11"/>
        <w:rPr>
          <w:sz w:val="19"/>
        </w:rPr>
      </w:pPr>
    </w:p>
    <w:p w14:paraId="28C8666F" w14:textId="77777777" w:rsidR="00492688" w:rsidRDefault="00C9584B">
      <w:pPr>
        <w:ind w:left="829" w:right="730"/>
        <w:jc w:val="both"/>
        <w:rPr>
          <w:sz w:val="16"/>
        </w:rPr>
      </w:pPr>
      <w:r>
        <w:rPr>
          <w:sz w:val="16"/>
        </w:rPr>
        <w:t>Artículo 14. PRINCIPIO DE INAMOVILIDAD. Los jueces deben ser inamovibles desde el momento en que adquieren tal categoría e ingresan a la Carrera Judicial</w:t>
      </w:r>
      <w:r>
        <w:rPr>
          <w:sz w:val="16"/>
        </w:rPr>
        <w:t>, en los términos que la constitución establezca. No obstante, podrán ser suspendidos o separados de sus cargos por incapacidad física o mental, evaluación negativa de su desempeño profesional en los casos en que la ley lo establezca, o destitución o separ</w:t>
      </w:r>
      <w:r>
        <w:rPr>
          <w:sz w:val="16"/>
        </w:rPr>
        <w:t>ación del cargo declarada en caso de responsabilidad penal o disciplinaria, por los órganos legalmente establecidos, mediante procedimientos que garanticen el respeto del debido proceso y, en particular, el de los derechos de audiencia, defensa, contradicc</w:t>
      </w:r>
      <w:r>
        <w:rPr>
          <w:sz w:val="16"/>
        </w:rPr>
        <w:t>ión y recursos legales que</w:t>
      </w:r>
      <w:r>
        <w:rPr>
          <w:spacing w:val="-14"/>
          <w:sz w:val="16"/>
        </w:rPr>
        <w:t xml:space="preserve"> </w:t>
      </w:r>
      <w:r>
        <w:rPr>
          <w:sz w:val="16"/>
        </w:rPr>
        <w:t>correspondan.</w:t>
      </w:r>
    </w:p>
    <w:p w14:paraId="2B0E6620" w14:textId="77777777" w:rsidR="00492688" w:rsidRDefault="00492688">
      <w:pPr>
        <w:pStyle w:val="Textoindependiente"/>
      </w:pPr>
    </w:p>
    <w:p w14:paraId="62709D22" w14:textId="77777777" w:rsidR="00492688" w:rsidRDefault="00C9584B">
      <w:pPr>
        <w:pStyle w:val="Prrafodelista"/>
        <w:numPr>
          <w:ilvl w:val="0"/>
          <w:numId w:val="12"/>
        </w:numPr>
        <w:tabs>
          <w:tab w:val="left" w:pos="689"/>
        </w:tabs>
        <w:ind w:right="116" w:firstLine="0"/>
        <w:jc w:val="both"/>
        <w:rPr>
          <w:sz w:val="20"/>
        </w:rPr>
      </w:pPr>
      <w:r>
        <w:rPr>
          <w:sz w:val="20"/>
        </w:rPr>
        <w:t>En relación con los hechos objeto el presente caso, la Corte recuerda que el  señor Cordero Bernal fue nombrado como Juez Provisional del Cuarto Juzgado Penal de la Provincia de Huánuco mediante Resolución del 15 d</w:t>
      </w:r>
      <w:r>
        <w:rPr>
          <w:sz w:val="20"/>
        </w:rPr>
        <w:t xml:space="preserve">e noviembre de 1994, proferida por la Corte Superior de Justicia de esa provincia. En dicha resolución no se indican los términos de su nombramiento. Asimismo, fue destituido por Resolución del 14 de agosto de 1996 del Consejo Nacional de la Magistratura, </w:t>
      </w:r>
      <w:r>
        <w:rPr>
          <w:sz w:val="20"/>
        </w:rPr>
        <w:t>por haber incurrido en la causal disciplinaria contenida en el numeral 2º del artículo 31 de la Ley Orgánica del Consejo Nacional de la Magistratura, que establecía la sanción de destitución por “[l]a comisión de un hecho grave que sin ser delito compromet</w:t>
      </w:r>
      <w:r>
        <w:rPr>
          <w:sz w:val="20"/>
        </w:rPr>
        <w:t>e la dignidad del cargo y [lo] desmere[ce] en el concepto público”. En esa medida, en este caso resultan relevantes las garantías de estabilidad e inamovilidad en el cargo de los jueces nombrados en provisionalidad.</w:t>
      </w:r>
    </w:p>
    <w:p w14:paraId="15491472" w14:textId="77777777" w:rsidR="00492688" w:rsidRDefault="00492688">
      <w:pPr>
        <w:pStyle w:val="Textoindependiente"/>
        <w:spacing w:before="1"/>
      </w:pPr>
    </w:p>
    <w:p w14:paraId="2FA20CE4" w14:textId="77777777" w:rsidR="00492688" w:rsidRDefault="00C9584B">
      <w:pPr>
        <w:pStyle w:val="Prrafodelista"/>
        <w:numPr>
          <w:ilvl w:val="0"/>
          <w:numId w:val="12"/>
        </w:numPr>
        <w:tabs>
          <w:tab w:val="left" w:pos="689"/>
        </w:tabs>
        <w:ind w:right="116" w:firstLine="0"/>
        <w:jc w:val="both"/>
        <w:rPr>
          <w:sz w:val="20"/>
        </w:rPr>
      </w:pPr>
      <w:r>
        <w:rPr>
          <w:sz w:val="20"/>
        </w:rPr>
        <w:t xml:space="preserve">Al respecto, esta Corte ha establecido </w:t>
      </w:r>
      <w:r>
        <w:rPr>
          <w:sz w:val="20"/>
        </w:rPr>
        <w:t>que la separación del cargo de un juez provisional debe responder a las causales legalmente previstas, sean estas (i) el acaecimiento</w:t>
      </w:r>
      <w:r>
        <w:rPr>
          <w:spacing w:val="-12"/>
          <w:sz w:val="20"/>
        </w:rPr>
        <w:t xml:space="preserve"> </w:t>
      </w:r>
      <w:r>
        <w:rPr>
          <w:sz w:val="20"/>
        </w:rPr>
        <w:t>de</w:t>
      </w:r>
      <w:r>
        <w:rPr>
          <w:spacing w:val="-11"/>
          <w:sz w:val="20"/>
        </w:rPr>
        <w:t xml:space="preserve"> </w:t>
      </w:r>
      <w:r>
        <w:rPr>
          <w:sz w:val="20"/>
        </w:rPr>
        <w:t>la</w:t>
      </w:r>
      <w:r>
        <w:rPr>
          <w:spacing w:val="-11"/>
          <w:sz w:val="20"/>
        </w:rPr>
        <w:t xml:space="preserve"> </w:t>
      </w:r>
      <w:r>
        <w:rPr>
          <w:sz w:val="20"/>
        </w:rPr>
        <w:t>condición</w:t>
      </w:r>
      <w:r>
        <w:rPr>
          <w:spacing w:val="-10"/>
          <w:sz w:val="20"/>
        </w:rPr>
        <w:t xml:space="preserve"> </w:t>
      </w:r>
      <w:r>
        <w:rPr>
          <w:sz w:val="20"/>
        </w:rPr>
        <w:t>resolutoria</w:t>
      </w:r>
      <w:r>
        <w:rPr>
          <w:spacing w:val="-13"/>
          <w:sz w:val="20"/>
        </w:rPr>
        <w:t xml:space="preserve"> </w:t>
      </w:r>
      <w:r>
        <w:rPr>
          <w:sz w:val="20"/>
        </w:rPr>
        <w:t>a</w:t>
      </w:r>
      <w:r>
        <w:rPr>
          <w:spacing w:val="-10"/>
          <w:sz w:val="20"/>
        </w:rPr>
        <w:t xml:space="preserve"> </w:t>
      </w:r>
      <w:r>
        <w:rPr>
          <w:sz w:val="20"/>
        </w:rPr>
        <w:t>que</w:t>
      </w:r>
      <w:r>
        <w:rPr>
          <w:spacing w:val="-13"/>
          <w:sz w:val="20"/>
        </w:rPr>
        <w:t xml:space="preserve"> </w:t>
      </w:r>
      <w:r>
        <w:rPr>
          <w:sz w:val="20"/>
        </w:rPr>
        <w:t>se</w:t>
      </w:r>
      <w:r>
        <w:rPr>
          <w:spacing w:val="-11"/>
          <w:sz w:val="20"/>
        </w:rPr>
        <w:t xml:space="preserve"> </w:t>
      </w:r>
      <w:r>
        <w:rPr>
          <w:sz w:val="20"/>
        </w:rPr>
        <w:t>sujetó</w:t>
      </w:r>
      <w:r>
        <w:rPr>
          <w:spacing w:val="-15"/>
          <w:sz w:val="20"/>
        </w:rPr>
        <w:t xml:space="preserve"> </w:t>
      </w:r>
      <w:r>
        <w:rPr>
          <w:sz w:val="20"/>
        </w:rPr>
        <w:t>la</w:t>
      </w:r>
      <w:r>
        <w:rPr>
          <w:spacing w:val="-12"/>
          <w:sz w:val="20"/>
        </w:rPr>
        <w:t xml:space="preserve"> </w:t>
      </w:r>
      <w:r>
        <w:rPr>
          <w:sz w:val="20"/>
        </w:rPr>
        <w:t>designación</w:t>
      </w:r>
      <w:r>
        <w:rPr>
          <w:spacing w:val="-10"/>
          <w:sz w:val="20"/>
        </w:rPr>
        <w:t xml:space="preserve"> </w:t>
      </w:r>
      <w:r>
        <w:rPr>
          <w:sz w:val="20"/>
        </w:rPr>
        <w:t>o</w:t>
      </w:r>
      <w:r>
        <w:rPr>
          <w:spacing w:val="-9"/>
          <w:sz w:val="20"/>
        </w:rPr>
        <w:t xml:space="preserve"> </w:t>
      </w:r>
      <w:r>
        <w:rPr>
          <w:sz w:val="20"/>
        </w:rPr>
        <w:t>nombramiento, o el cumplimiento de un plazo predeterminado debido a la celebración y conclusión de un concurso público, a partir del cual se nombre o designe al reemplazante del o la juez provisional con carácter permanente, o (ii) por faltas disciplinaria</w:t>
      </w:r>
      <w:r>
        <w:rPr>
          <w:sz w:val="20"/>
        </w:rPr>
        <w:t>s graves o comprobada incompetencia, en los términos definidos en el párrafo 72 de esta sentencia</w:t>
      </w:r>
      <w:hyperlink w:anchor="_bookmark107" w:history="1">
        <w:r>
          <w:rPr>
            <w:position w:val="7"/>
            <w:sz w:val="13"/>
          </w:rPr>
          <w:t>83</w:t>
        </w:r>
      </w:hyperlink>
      <w:r>
        <w:rPr>
          <w:sz w:val="20"/>
        </w:rPr>
        <w:t>.</w:t>
      </w:r>
    </w:p>
    <w:p w14:paraId="76D5587F" w14:textId="77777777" w:rsidR="00492688" w:rsidRDefault="00492688">
      <w:pPr>
        <w:pStyle w:val="Textoindependiente"/>
        <w:spacing w:before="11"/>
        <w:rPr>
          <w:sz w:val="19"/>
        </w:rPr>
      </w:pPr>
    </w:p>
    <w:p w14:paraId="71B0FFE3" w14:textId="77777777" w:rsidR="00492688" w:rsidRDefault="00C9584B">
      <w:pPr>
        <w:pStyle w:val="Prrafodelista"/>
        <w:numPr>
          <w:ilvl w:val="0"/>
          <w:numId w:val="12"/>
        </w:numPr>
        <w:tabs>
          <w:tab w:val="left" w:pos="689"/>
        </w:tabs>
        <w:ind w:left="688" w:hanging="568"/>
        <w:jc w:val="both"/>
        <w:rPr>
          <w:sz w:val="20"/>
        </w:rPr>
      </w:pPr>
      <w:r>
        <w:rPr>
          <w:sz w:val="20"/>
        </w:rPr>
        <w:t>Por</w:t>
      </w:r>
      <w:r>
        <w:rPr>
          <w:spacing w:val="11"/>
          <w:sz w:val="20"/>
        </w:rPr>
        <w:t xml:space="preserve"> </w:t>
      </w:r>
      <w:r>
        <w:rPr>
          <w:sz w:val="20"/>
        </w:rPr>
        <w:t>su</w:t>
      </w:r>
      <w:r>
        <w:rPr>
          <w:spacing w:val="12"/>
          <w:sz w:val="20"/>
        </w:rPr>
        <w:t xml:space="preserve"> </w:t>
      </w:r>
      <w:r>
        <w:rPr>
          <w:sz w:val="20"/>
        </w:rPr>
        <w:t>parte,</w:t>
      </w:r>
      <w:r>
        <w:rPr>
          <w:spacing w:val="9"/>
          <w:sz w:val="20"/>
        </w:rPr>
        <w:t xml:space="preserve"> </w:t>
      </w:r>
      <w:r>
        <w:rPr>
          <w:sz w:val="20"/>
        </w:rPr>
        <w:t>la</w:t>
      </w:r>
      <w:r>
        <w:rPr>
          <w:spacing w:val="13"/>
          <w:sz w:val="20"/>
        </w:rPr>
        <w:t xml:space="preserve"> </w:t>
      </w:r>
      <w:r>
        <w:rPr>
          <w:sz w:val="20"/>
        </w:rPr>
        <w:t>entonces</w:t>
      </w:r>
      <w:r>
        <w:rPr>
          <w:spacing w:val="10"/>
          <w:sz w:val="20"/>
        </w:rPr>
        <w:t xml:space="preserve"> </w:t>
      </w:r>
      <w:r>
        <w:rPr>
          <w:sz w:val="20"/>
        </w:rPr>
        <w:t>Relatora</w:t>
      </w:r>
      <w:r>
        <w:rPr>
          <w:spacing w:val="10"/>
          <w:sz w:val="20"/>
        </w:rPr>
        <w:t xml:space="preserve"> </w:t>
      </w:r>
      <w:r>
        <w:rPr>
          <w:sz w:val="20"/>
        </w:rPr>
        <w:t>Especial</w:t>
      </w:r>
      <w:r>
        <w:rPr>
          <w:spacing w:val="13"/>
          <w:sz w:val="20"/>
        </w:rPr>
        <w:t xml:space="preserve"> </w:t>
      </w:r>
      <w:r>
        <w:rPr>
          <w:sz w:val="20"/>
        </w:rPr>
        <w:t>sobre</w:t>
      </w:r>
      <w:r>
        <w:rPr>
          <w:spacing w:val="9"/>
          <w:sz w:val="20"/>
        </w:rPr>
        <w:t xml:space="preserve"> </w:t>
      </w:r>
      <w:r>
        <w:rPr>
          <w:sz w:val="20"/>
        </w:rPr>
        <w:t>la</w:t>
      </w:r>
      <w:r>
        <w:rPr>
          <w:spacing w:val="10"/>
          <w:sz w:val="20"/>
        </w:rPr>
        <w:t xml:space="preserve"> </w:t>
      </w:r>
      <w:r>
        <w:rPr>
          <w:sz w:val="20"/>
        </w:rPr>
        <w:t>independencia</w:t>
      </w:r>
      <w:r>
        <w:rPr>
          <w:spacing w:val="11"/>
          <w:sz w:val="20"/>
        </w:rPr>
        <w:t xml:space="preserve"> </w:t>
      </w:r>
      <w:r>
        <w:rPr>
          <w:sz w:val="20"/>
        </w:rPr>
        <w:t>de</w:t>
      </w:r>
      <w:r>
        <w:rPr>
          <w:spacing w:val="9"/>
          <w:sz w:val="20"/>
        </w:rPr>
        <w:t xml:space="preserve"> </w:t>
      </w:r>
      <w:r>
        <w:rPr>
          <w:sz w:val="20"/>
        </w:rPr>
        <w:t>los</w:t>
      </w:r>
    </w:p>
    <w:p w14:paraId="2E559C21" w14:textId="560AC086" w:rsidR="00492688" w:rsidRDefault="00C9584B">
      <w:pPr>
        <w:pStyle w:val="Textoindependiente"/>
        <w:spacing w:before="9"/>
      </w:pPr>
      <w:r>
        <w:rPr>
          <w:noProof/>
        </w:rPr>
        <mc:AlternateContent>
          <mc:Choice Requires="wps">
            <w:drawing>
              <wp:anchor distT="0" distB="0" distL="0" distR="0" simplePos="0" relativeHeight="251674624" behindDoc="1" locked="0" layoutInCell="1" allowOverlap="1" wp14:anchorId="4F53EA26" wp14:editId="464812EC">
                <wp:simplePos x="0" y="0"/>
                <wp:positionH relativeFrom="page">
                  <wp:posOffset>1080770</wp:posOffset>
                </wp:positionH>
                <wp:positionV relativeFrom="paragraph">
                  <wp:posOffset>189230</wp:posOffset>
                </wp:positionV>
                <wp:extent cx="1828800" cy="1270"/>
                <wp:effectExtent l="0" t="0" r="0" b="0"/>
                <wp:wrapTopAndBottom/>
                <wp:docPr id="25"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C9A3C" id="Freeform 26" o:spid="_x0000_s1026" style="position:absolute;margin-left:85.1pt;margin-top:14.9pt;width:2in;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" path="m,l2880,e" filled="f" strokeweight=".6pt">
                <v:path arrowok="t" o:connecttype="custom" o:connectlocs="0,0;1828800,0" o:connectangles="0,0"/>
                <w10:wrap type="topAndBottom" anchorx="page"/>
              </v:shape>
            </w:pict>
          </mc:Fallback>
        </mc:AlternateContent>
      </w:r>
    </w:p>
    <w:p w14:paraId="255370C9" w14:textId="77777777" w:rsidR="00492688" w:rsidRDefault="00492688">
      <w:pPr>
        <w:pStyle w:val="Textoindependiente"/>
        <w:spacing w:before="1"/>
        <w:rPr>
          <w:sz w:val="6"/>
        </w:rPr>
      </w:pPr>
    </w:p>
    <w:p w14:paraId="0D1A9DD9" w14:textId="77777777" w:rsidR="00492688" w:rsidRDefault="00C9584B">
      <w:pPr>
        <w:tabs>
          <w:tab w:val="left" w:pos="829"/>
        </w:tabs>
        <w:spacing w:before="101"/>
        <w:ind w:left="121" w:right="111"/>
        <w:jc w:val="both"/>
        <w:rPr>
          <w:sz w:val="16"/>
        </w:rPr>
      </w:pPr>
      <w:bookmarkStart w:id="130" w:name="_bookmark106"/>
      <w:bookmarkEnd w:id="130"/>
      <w:r>
        <w:rPr>
          <w:position w:val="6"/>
          <w:sz w:val="10"/>
        </w:rPr>
        <w:t>82</w:t>
      </w:r>
      <w:r>
        <w:rPr>
          <w:position w:val="6"/>
          <w:sz w:val="10"/>
        </w:rPr>
        <w:tab/>
      </w:r>
      <w:r>
        <w:rPr>
          <w:i/>
          <w:sz w:val="16"/>
        </w:rPr>
        <w:t xml:space="preserve">Cfr. Caso Reverón Trujillo Vs. Venezuela. </w:t>
      </w:r>
      <w:r>
        <w:rPr>
          <w:i/>
          <w:sz w:val="16"/>
        </w:rPr>
        <w:t xml:space="preserve">Excepción Preliminar, Fondo, Reparaciones y Costas. </w:t>
      </w:r>
      <w:r>
        <w:rPr>
          <w:sz w:val="16"/>
        </w:rPr>
        <w:t xml:space="preserve">Sentencia de 30 de junio de 2009. Serie C No. 197, párr. 77, y </w:t>
      </w:r>
      <w:r>
        <w:rPr>
          <w:i/>
          <w:sz w:val="16"/>
        </w:rPr>
        <w:t>Caso Martínez Esquivia Vs. Colombia, supra</w:t>
      </w:r>
      <w:r>
        <w:rPr>
          <w:sz w:val="16"/>
        </w:rPr>
        <w:t xml:space="preserve">, párr. 85. Sobre la garantía de estabilidad e inamovilidad en el cargo también se han pronunciado </w:t>
      </w:r>
      <w:r>
        <w:rPr>
          <w:sz w:val="16"/>
        </w:rPr>
        <w:t>diferentes órganos y tribunales internacionales, así como los Principios Básicos de Naciones Unidas relativos a la independencia de la judicatura y el Estatuto del Juez Iberoamericano. Este Tribunal ha acogido sus criterios y, además, ha afirmado que la li</w:t>
      </w:r>
      <w:r>
        <w:rPr>
          <w:sz w:val="16"/>
        </w:rPr>
        <w:t xml:space="preserve">bre remoción de jueces fomenta la duda objetiva sobre la posibilidad efectiva de decidir controversias concretas sin temor a represalias. </w:t>
      </w:r>
      <w:r>
        <w:rPr>
          <w:i/>
          <w:spacing w:val="-4"/>
          <w:sz w:val="16"/>
        </w:rPr>
        <w:t xml:space="preserve">Cfr. </w:t>
      </w:r>
      <w:r>
        <w:rPr>
          <w:spacing w:val="-5"/>
          <w:sz w:val="16"/>
        </w:rPr>
        <w:t xml:space="preserve">Comité </w:t>
      </w:r>
      <w:r>
        <w:rPr>
          <w:spacing w:val="-3"/>
          <w:sz w:val="16"/>
        </w:rPr>
        <w:t xml:space="preserve">de </w:t>
      </w:r>
      <w:r>
        <w:rPr>
          <w:spacing w:val="-5"/>
          <w:sz w:val="16"/>
        </w:rPr>
        <w:t xml:space="preserve">Derechos Humanos, Observación General </w:t>
      </w:r>
      <w:r>
        <w:rPr>
          <w:spacing w:val="-4"/>
          <w:sz w:val="16"/>
        </w:rPr>
        <w:t xml:space="preserve">No. </w:t>
      </w:r>
      <w:r>
        <w:rPr>
          <w:spacing w:val="-3"/>
          <w:sz w:val="16"/>
        </w:rPr>
        <w:t xml:space="preserve">32, </w:t>
      </w:r>
      <w:r>
        <w:rPr>
          <w:i/>
          <w:spacing w:val="-5"/>
          <w:sz w:val="16"/>
        </w:rPr>
        <w:t xml:space="preserve">Artículo </w:t>
      </w:r>
      <w:r>
        <w:rPr>
          <w:i/>
          <w:spacing w:val="-3"/>
          <w:sz w:val="16"/>
        </w:rPr>
        <w:t xml:space="preserve">14: El </w:t>
      </w:r>
      <w:r>
        <w:rPr>
          <w:i/>
          <w:spacing w:val="-5"/>
          <w:sz w:val="16"/>
        </w:rPr>
        <w:t xml:space="preserve">Derecho </w:t>
      </w:r>
      <w:r>
        <w:rPr>
          <w:i/>
          <w:sz w:val="16"/>
        </w:rPr>
        <w:t xml:space="preserve">a un </w:t>
      </w:r>
      <w:r>
        <w:rPr>
          <w:i/>
          <w:spacing w:val="-4"/>
          <w:sz w:val="16"/>
        </w:rPr>
        <w:t xml:space="preserve">Juicio </w:t>
      </w:r>
      <w:r>
        <w:rPr>
          <w:i/>
          <w:spacing w:val="-5"/>
          <w:sz w:val="16"/>
        </w:rPr>
        <w:t xml:space="preserve">Imparcial </w:t>
      </w:r>
      <w:r>
        <w:rPr>
          <w:i/>
          <w:sz w:val="16"/>
        </w:rPr>
        <w:t xml:space="preserve">y a </w:t>
      </w:r>
      <w:r>
        <w:rPr>
          <w:i/>
          <w:spacing w:val="-3"/>
          <w:sz w:val="16"/>
        </w:rPr>
        <w:t xml:space="preserve">la </w:t>
      </w:r>
      <w:r>
        <w:rPr>
          <w:i/>
          <w:spacing w:val="-5"/>
          <w:sz w:val="16"/>
        </w:rPr>
        <w:t xml:space="preserve">Igualdad </w:t>
      </w:r>
      <w:r>
        <w:rPr>
          <w:i/>
          <w:spacing w:val="-4"/>
          <w:sz w:val="16"/>
        </w:rPr>
        <w:t xml:space="preserve">ante los </w:t>
      </w:r>
      <w:r>
        <w:rPr>
          <w:i/>
          <w:spacing w:val="-5"/>
          <w:sz w:val="16"/>
        </w:rPr>
        <w:t xml:space="preserve">Tribunales </w:t>
      </w:r>
      <w:r>
        <w:rPr>
          <w:i/>
          <w:sz w:val="16"/>
        </w:rPr>
        <w:t xml:space="preserve">y </w:t>
      </w:r>
      <w:r>
        <w:rPr>
          <w:i/>
          <w:spacing w:val="-4"/>
          <w:sz w:val="16"/>
        </w:rPr>
        <w:t xml:space="preserve">Cortes </w:t>
      </w:r>
      <w:r>
        <w:rPr>
          <w:i/>
          <w:spacing w:val="-3"/>
          <w:sz w:val="16"/>
        </w:rPr>
        <w:t xml:space="preserve">de </w:t>
      </w:r>
      <w:r>
        <w:rPr>
          <w:i/>
          <w:spacing w:val="-5"/>
          <w:sz w:val="16"/>
        </w:rPr>
        <w:t>Justicia</w:t>
      </w:r>
      <w:r>
        <w:rPr>
          <w:spacing w:val="-5"/>
          <w:sz w:val="16"/>
        </w:rPr>
        <w:t xml:space="preserve">, </w:t>
      </w:r>
      <w:r>
        <w:rPr>
          <w:spacing w:val="-3"/>
          <w:sz w:val="16"/>
        </w:rPr>
        <w:t xml:space="preserve">UN </w:t>
      </w:r>
      <w:r>
        <w:rPr>
          <w:spacing w:val="-4"/>
          <w:sz w:val="16"/>
        </w:rPr>
        <w:t xml:space="preserve">Doc. </w:t>
      </w:r>
      <w:r>
        <w:rPr>
          <w:spacing w:val="-5"/>
          <w:sz w:val="16"/>
        </w:rPr>
        <w:t xml:space="preserve">CCPR/C/GC/32, </w:t>
      </w:r>
      <w:r>
        <w:rPr>
          <w:sz w:val="16"/>
        </w:rPr>
        <w:t xml:space="preserve">23 </w:t>
      </w:r>
      <w:r>
        <w:rPr>
          <w:spacing w:val="-3"/>
          <w:sz w:val="16"/>
        </w:rPr>
        <w:t xml:space="preserve">de </w:t>
      </w:r>
      <w:r>
        <w:rPr>
          <w:spacing w:val="-5"/>
          <w:sz w:val="16"/>
        </w:rPr>
        <w:t xml:space="preserve">agosto </w:t>
      </w:r>
      <w:r>
        <w:rPr>
          <w:spacing w:val="-3"/>
          <w:sz w:val="16"/>
        </w:rPr>
        <w:t xml:space="preserve">de </w:t>
      </w:r>
      <w:r>
        <w:rPr>
          <w:spacing w:val="-4"/>
          <w:sz w:val="16"/>
        </w:rPr>
        <w:t xml:space="preserve">2007, párr. </w:t>
      </w:r>
      <w:r>
        <w:rPr>
          <w:spacing w:val="-3"/>
          <w:sz w:val="16"/>
        </w:rPr>
        <w:t xml:space="preserve">20; </w:t>
      </w:r>
      <w:r>
        <w:rPr>
          <w:spacing w:val="-5"/>
          <w:sz w:val="16"/>
        </w:rPr>
        <w:t xml:space="preserve">Comité </w:t>
      </w:r>
      <w:r>
        <w:rPr>
          <w:spacing w:val="-3"/>
          <w:sz w:val="16"/>
        </w:rPr>
        <w:t xml:space="preserve">de </w:t>
      </w:r>
      <w:r>
        <w:rPr>
          <w:spacing w:val="-5"/>
          <w:sz w:val="16"/>
        </w:rPr>
        <w:t xml:space="preserve">Derechos Humanos, Soratha Bandaranayake </w:t>
      </w:r>
      <w:r>
        <w:rPr>
          <w:spacing w:val="-4"/>
          <w:sz w:val="16"/>
        </w:rPr>
        <w:t xml:space="preserve">Vs. </w:t>
      </w:r>
      <w:r>
        <w:rPr>
          <w:spacing w:val="-3"/>
          <w:sz w:val="16"/>
        </w:rPr>
        <w:t xml:space="preserve">Sri </w:t>
      </w:r>
      <w:r>
        <w:rPr>
          <w:spacing w:val="-4"/>
          <w:sz w:val="16"/>
        </w:rPr>
        <w:t xml:space="preserve">Lanka </w:t>
      </w:r>
      <w:r>
        <w:rPr>
          <w:spacing w:val="-5"/>
          <w:sz w:val="16"/>
        </w:rPr>
        <w:t xml:space="preserve">(Comunicación </w:t>
      </w:r>
      <w:r>
        <w:rPr>
          <w:spacing w:val="-4"/>
          <w:sz w:val="16"/>
        </w:rPr>
        <w:t xml:space="preserve">No. </w:t>
      </w:r>
      <w:r>
        <w:rPr>
          <w:spacing w:val="-5"/>
          <w:sz w:val="16"/>
        </w:rPr>
        <w:t xml:space="preserve">1376/2005), </w:t>
      </w:r>
      <w:r>
        <w:rPr>
          <w:spacing w:val="-3"/>
          <w:sz w:val="16"/>
        </w:rPr>
        <w:t xml:space="preserve">UN </w:t>
      </w:r>
      <w:r>
        <w:rPr>
          <w:spacing w:val="-4"/>
          <w:sz w:val="16"/>
        </w:rPr>
        <w:t xml:space="preserve">Doc. </w:t>
      </w:r>
      <w:r>
        <w:rPr>
          <w:spacing w:val="-5"/>
          <w:sz w:val="16"/>
        </w:rPr>
        <w:t xml:space="preserve">CCPR/C/93/D/1376/2005, dictamen adoptado </w:t>
      </w:r>
      <w:r>
        <w:rPr>
          <w:sz w:val="16"/>
        </w:rPr>
        <w:t xml:space="preserve">el 24 </w:t>
      </w:r>
      <w:r>
        <w:rPr>
          <w:spacing w:val="-3"/>
          <w:sz w:val="16"/>
        </w:rPr>
        <w:t>de</w:t>
      </w:r>
      <w:r>
        <w:rPr>
          <w:spacing w:val="-3"/>
          <w:sz w:val="16"/>
        </w:rPr>
        <w:t xml:space="preserve"> </w:t>
      </w:r>
      <w:r>
        <w:rPr>
          <w:spacing w:val="-5"/>
          <w:sz w:val="16"/>
        </w:rPr>
        <w:t xml:space="preserve">julio </w:t>
      </w:r>
      <w:r>
        <w:rPr>
          <w:spacing w:val="-3"/>
          <w:sz w:val="16"/>
        </w:rPr>
        <w:t xml:space="preserve">de </w:t>
      </w:r>
      <w:r>
        <w:rPr>
          <w:spacing w:val="-4"/>
          <w:sz w:val="16"/>
        </w:rPr>
        <w:t xml:space="preserve">2008, párr. 7.3; </w:t>
      </w:r>
      <w:r>
        <w:rPr>
          <w:spacing w:val="-5"/>
          <w:sz w:val="16"/>
        </w:rPr>
        <w:t xml:space="preserve">Tribunal </w:t>
      </w:r>
      <w:r>
        <w:rPr>
          <w:spacing w:val="-3"/>
          <w:sz w:val="16"/>
        </w:rPr>
        <w:t xml:space="preserve">de </w:t>
      </w:r>
      <w:r>
        <w:rPr>
          <w:spacing w:val="-5"/>
          <w:sz w:val="16"/>
        </w:rPr>
        <w:t xml:space="preserve">Justicia </w:t>
      </w:r>
      <w:r>
        <w:rPr>
          <w:spacing w:val="-3"/>
          <w:sz w:val="16"/>
        </w:rPr>
        <w:t xml:space="preserve">de </w:t>
      </w:r>
      <w:r>
        <w:rPr>
          <w:sz w:val="16"/>
        </w:rPr>
        <w:t xml:space="preserve">la </w:t>
      </w:r>
      <w:r>
        <w:rPr>
          <w:spacing w:val="-4"/>
          <w:sz w:val="16"/>
        </w:rPr>
        <w:t xml:space="preserve">Unión </w:t>
      </w:r>
      <w:r>
        <w:rPr>
          <w:spacing w:val="-5"/>
          <w:sz w:val="16"/>
        </w:rPr>
        <w:t xml:space="preserve">Europea, </w:t>
      </w:r>
      <w:r>
        <w:rPr>
          <w:i/>
          <w:spacing w:val="-4"/>
          <w:sz w:val="16"/>
        </w:rPr>
        <w:t>supra</w:t>
      </w:r>
      <w:r>
        <w:rPr>
          <w:spacing w:val="-4"/>
          <w:sz w:val="16"/>
        </w:rPr>
        <w:t xml:space="preserve">; Consejo </w:t>
      </w:r>
      <w:r>
        <w:rPr>
          <w:spacing w:val="-5"/>
          <w:sz w:val="16"/>
        </w:rPr>
        <w:t xml:space="preserve">Consultivo </w:t>
      </w:r>
      <w:r>
        <w:rPr>
          <w:spacing w:val="-3"/>
          <w:sz w:val="16"/>
        </w:rPr>
        <w:t xml:space="preserve">de </w:t>
      </w:r>
      <w:r>
        <w:rPr>
          <w:spacing w:val="-5"/>
          <w:sz w:val="16"/>
        </w:rPr>
        <w:t xml:space="preserve">Jueces Europeos (CCJE), Informe </w:t>
      </w:r>
      <w:r>
        <w:rPr>
          <w:spacing w:val="-3"/>
          <w:sz w:val="16"/>
        </w:rPr>
        <w:t xml:space="preserve">No. </w:t>
      </w:r>
      <w:r>
        <w:rPr>
          <w:sz w:val="16"/>
        </w:rPr>
        <w:t xml:space="preserve">1 </w:t>
      </w:r>
      <w:r>
        <w:rPr>
          <w:spacing w:val="-4"/>
          <w:sz w:val="16"/>
        </w:rPr>
        <w:t xml:space="preserve">(2001), párrs. </w:t>
      </w:r>
      <w:r>
        <w:rPr>
          <w:sz w:val="16"/>
        </w:rPr>
        <w:t xml:space="preserve">16 y </w:t>
      </w:r>
      <w:r>
        <w:rPr>
          <w:spacing w:val="-3"/>
          <w:sz w:val="16"/>
        </w:rPr>
        <w:t xml:space="preserve">60; </w:t>
      </w:r>
      <w:r>
        <w:rPr>
          <w:spacing w:val="-5"/>
          <w:sz w:val="16"/>
        </w:rPr>
        <w:t xml:space="preserve">Principios </w:t>
      </w:r>
      <w:r>
        <w:rPr>
          <w:spacing w:val="-3"/>
          <w:sz w:val="16"/>
        </w:rPr>
        <w:t xml:space="preserve">12, 17, </w:t>
      </w:r>
      <w:r>
        <w:rPr>
          <w:sz w:val="16"/>
        </w:rPr>
        <w:t xml:space="preserve">18 y 19 </w:t>
      </w:r>
      <w:r>
        <w:rPr>
          <w:spacing w:val="-3"/>
          <w:sz w:val="16"/>
        </w:rPr>
        <w:t xml:space="preserve">de </w:t>
      </w:r>
      <w:r>
        <w:rPr>
          <w:spacing w:val="-4"/>
          <w:sz w:val="16"/>
        </w:rPr>
        <w:t xml:space="preserve">los </w:t>
      </w:r>
      <w:r>
        <w:rPr>
          <w:spacing w:val="-5"/>
          <w:sz w:val="16"/>
        </w:rPr>
        <w:t>Principios</w:t>
      </w:r>
      <w:r>
        <w:rPr>
          <w:spacing w:val="-8"/>
          <w:sz w:val="16"/>
        </w:rPr>
        <w:t xml:space="preserve"> </w:t>
      </w:r>
      <w:r>
        <w:rPr>
          <w:spacing w:val="-5"/>
          <w:sz w:val="16"/>
        </w:rPr>
        <w:t>Básicos</w:t>
      </w:r>
      <w:r>
        <w:rPr>
          <w:spacing w:val="-7"/>
          <w:sz w:val="16"/>
        </w:rPr>
        <w:t xml:space="preserve"> </w:t>
      </w:r>
      <w:r>
        <w:rPr>
          <w:spacing w:val="-3"/>
          <w:sz w:val="16"/>
        </w:rPr>
        <w:t>de</w:t>
      </w:r>
      <w:r>
        <w:rPr>
          <w:spacing w:val="-8"/>
          <w:sz w:val="16"/>
        </w:rPr>
        <w:t xml:space="preserve"> </w:t>
      </w:r>
      <w:r>
        <w:rPr>
          <w:spacing w:val="-4"/>
          <w:sz w:val="16"/>
        </w:rPr>
        <w:t>las</w:t>
      </w:r>
      <w:r>
        <w:rPr>
          <w:spacing w:val="-6"/>
          <w:sz w:val="16"/>
        </w:rPr>
        <w:t xml:space="preserve"> </w:t>
      </w:r>
      <w:r>
        <w:rPr>
          <w:spacing w:val="-5"/>
          <w:sz w:val="16"/>
        </w:rPr>
        <w:t>Naciones</w:t>
      </w:r>
      <w:r>
        <w:rPr>
          <w:spacing w:val="-8"/>
          <w:sz w:val="16"/>
        </w:rPr>
        <w:t xml:space="preserve"> </w:t>
      </w:r>
      <w:r>
        <w:rPr>
          <w:spacing w:val="-5"/>
          <w:sz w:val="16"/>
        </w:rPr>
        <w:t>Unidas</w:t>
      </w:r>
      <w:r>
        <w:rPr>
          <w:spacing w:val="-7"/>
          <w:sz w:val="16"/>
        </w:rPr>
        <w:t xml:space="preserve"> </w:t>
      </w:r>
      <w:r>
        <w:rPr>
          <w:spacing w:val="-5"/>
          <w:sz w:val="16"/>
        </w:rPr>
        <w:t>relativos</w:t>
      </w:r>
      <w:r>
        <w:rPr>
          <w:spacing w:val="-8"/>
          <w:sz w:val="16"/>
        </w:rPr>
        <w:t xml:space="preserve"> </w:t>
      </w:r>
      <w:r>
        <w:rPr>
          <w:sz w:val="16"/>
        </w:rPr>
        <w:t>a</w:t>
      </w:r>
      <w:r>
        <w:rPr>
          <w:spacing w:val="-5"/>
          <w:sz w:val="16"/>
        </w:rPr>
        <w:t xml:space="preserve"> </w:t>
      </w:r>
      <w:r>
        <w:rPr>
          <w:spacing w:val="-3"/>
          <w:sz w:val="16"/>
        </w:rPr>
        <w:t>la</w:t>
      </w:r>
      <w:r>
        <w:rPr>
          <w:spacing w:val="-8"/>
          <w:sz w:val="16"/>
        </w:rPr>
        <w:t xml:space="preserve"> </w:t>
      </w:r>
      <w:r>
        <w:rPr>
          <w:spacing w:val="-5"/>
          <w:sz w:val="16"/>
        </w:rPr>
        <w:t>independencia</w:t>
      </w:r>
      <w:r>
        <w:rPr>
          <w:spacing w:val="-8"/>
          <w:sz w:val="16"/>
        </w:rPr>
        <w:t xml:space="preserve"> </w:t>
      </w:r>
      <w:r>
        <w:rPr>
          <w:spacing w:val="-3"/>
          <w:sz w:val="16"/>
        </w:rPr>
        <w:t>de</w:t>
      </w:r>
      <w:r>
        <w:rPr>
          <w:spacing w:val="-8"/>
          <w:sz w:val="16"/>
        </w:rPr>
        <w:t xml:space="preserve"> </w:t>
      </w:r>
      <w:r>
        <w:rPr>
          <w:spacing w:val="-3"/>
          <w:sz w:val="16"/>
        </w:rPr>
        <w:t>la</w:t>
      </w:r>
      <w:r>
        <w:rPr>
          <w:spacing w:val="-7"/>
          <w:sz w:val="16"/>
        </w:rPr>
        <w:t xml:space="preserve"> </w:t>
      </w:r>
      <w:r>
        <w:rPr>
          <w:spacing w:val="-5"/>
          <w:sz w:val="16"/>
        </w:rPr>
        <w:t>judicatura.</w:t>
      </w:r>
    </w:p>
    <w:p w14:paraId="5126449B" w14:textId="77777777" w:rsidR="00492688" w:rsidRDefault="00C9584B">
      <w:pPr>
        <w:tabs>
          <w:tab w:val="left" w:pos="829"/>
        </w:tabs>
        <w:spacing w:before="100"/>
        <w:ind w:left="122" w:right="115" w:hanging="1"/>
        <w:jc w:val="both"/>
        <w:rPr>
          <w:sz w:val="16"/>
        </w:rPr>
      </w:pPr>
      <w:bookmarkStart w:id="131" w:name="_bookmark107"/>
      <w:bookmarkEnd w:id="131"/>
      <w:r>
        <w:rPr>
          <w:position w:val="6"/>
          <w:sz w:val="10"/>
        </w:rPr>
        <w:t>83</w:t>
      </w:r>
      <w:r>
        <w:rPr>
          <w:position w:val="6"/>
          <w:sz w:val="10"/>
        </w:rPr>
        <w:tab/>
      </w:r>
      <w:r>
        <w:rPr>
          <w:i/>
          <w:sz w:val="16"/>
        </w:rPr>
        <w:t>Cfr. Caso Apitz Barbera y otros (“Corte Primera de lo Contencioso Administrativo”) Vs. Venezuela, supra</w:t>
      </w:r>
      <w:r>
        <w:rPr>
          <w:sz w:val="16"/>
        </w:rPr>
        <w:t xml:space="preserve">, párr. 43, y </w:t>
      </w:r>
      <w:r>
        <w:rPr>
          <w:i/>
          <w:sz w:val="16"/>
        </w:rPr>
        <w:t>Caso Álvarez Ramos Vs. Venezuela. Excepción Preliminar, Fondo, Reparaciones y Costas</w:t>
      </w:r>
      <w:r>
        <w:rPr>
          <w:sz w:val="16"/>
        </w:rPr>
        <w:t>. Sentencia de 30 de</w:t>
      </w:r>
      <w:r>
        <w:rPr>
          <w:sz w:val="16"/>
        </w:rPr>
        <w:t xml:space="preserve"> agosto de 2019. Serie C No. 380, párr. 148. Véase también: </w:t>
      </w:r>
      <w:r>
        <w:rPr>
          <w:i/>
          <w:sz w:val="16"/>
        </w:rPr>
        <w:t>mutatis mutandis, Caso Martínez Esquivia Vs. Colombia, supra</w:t>
      </w:r>
      <w:r>
        <w:rPr>
          <w:sz w:val="16"/>
        </w:rPr>
        <w:t xml:space="preserve">, párr. 99, y </w:t>
      </w:r>
      <w:r>
        <w:rPr>
          <w:i/>
          <w:sz w:val="16"/>
        </w:rPr>
        <w:t>Caso Casa Nina Vs. Perú, supra</w:t>
      </w:r>
      <w:r>
        <w:rPr>
          <w:sz w:val="16"/>
        </w:rPr>
        <w:t>, párr.</w:t>
      </w:r>
      <w:r>
        <w:rPr>
          <w:spacing w:val="-25"/>
          <w:sz w:val="16"/>
        </w:rPr>
        <w:t xml:space="preserve"> </w:t>
      </w:r>
      <w:r>
        <w:rPr>
          <w:sz w:val="16"/>
        </w:rPr>
        <w:t>81.</w:t>
      </w:r>
    </w:p>
    <w:p w14:paraId="4422BFAE" w14:textId="77777777" w:rsidR="00492688" w:rsidRDefault="00492688">
      <w:pPr>
        <w:jc w:val="both"/>
        <w:rPr>
          <w:sz w:val="16"/>
        </w:rPr>
        <w:sectPr w:rsidR="00492688">
          <w:pgSz w:w="12240" w:h="15840"/>
          <w:pgMar w:top="1340" w:right="1580" w:bottom="280" w:left="1580" w:header="720" w:footer="720" w:gutter="0"/>
          <w:cols w:space="720"/>
        </w:sectPr>
      </w:pPr>
    </w:p>
    <w:p w14:paraId="04205A18" w14:textId="77777777" w:rsidR="00492688" w:rsidRDefault="00C9584B">
      <w:pPr>
        <w:pStyle w:val="Textoindependiente"/>
        <w:spacing w:before="79"/>
        <w:ind w:left="121" w:right="116"/>
        <w:jc w:val="both"/>
      </w:pPr>
      <w:r>
        <w:lastRenderedPageBreak/>
        <w:t>magistrados y abogados, Gabriela Knaul, señaló en Informes presentados en 2013 y 2014 que, si bien los jueces pueden ser sometidos a procesos disciplinarios por conductas que desacrediten el cargo o desconozcan la ética judicial</w:t>
      </w:r>
      <w:hyperlink w:anchor="_bookmark108" w:history="1">
        <w:r>
          <w:rPr>
            <w:position w:val="7"/>
            <w:sz w:val="13"/>
          </w:rPr>
          <w:t>84</w:t>
        </w:r>
      </w:hyperlink>
      <w:r>
        <w:t>, los tipos disciplinarios referidos en términos generales al peligro o menoscabo de la administración de justicia, tienen el riesgo de “socavar la independencia del poder judicial”</w:t>
      </w:r>
      <w:hyperlink w:anchor="_bookmark109" w:history="1">
        <w:r>
          <w:rPr>
            <w:position w:val="7"/>
            <w:sz w:val="13"/>
          </w:rPr>
          <w:t>85</w:t>
        </w:r>
      </w:hyperlink>
      <w:r>
        <w:t>.</w:t>
      </w:r>
    </w:p>
    <w:p w14:paraId="682D0310" w14:textId="77777777" w:rsidR="00492688" w:rsidRDefault="00492688">
      <w:pPr>
        <w:pStyle w:val="Textoindependiente"/>
      </w:pPr>
    </w:p>
    <w:p w14:paraId="21DB6D6F" w14:textId="77777777" w:rsidR="00492688" w:rsidRDefault="00C9584B">
      <w:pPr>
        <w:pStyle w:val="Prrafodelista"/>
        <w:numPr>
          <w:ilvl w:val="0"/>
          <w:numId w:val="12"/>
        </w:numPr>
        <w:tabs>
          <w:tab w:val="left" w:pos="689"/>
        </w:tabs>
        <w:ind w:right="117" w:hanging="1"/>
        <w:jc w:val="both"/>
        <w:rPr>
          <w:sz w:val="20"/>
        </w:rPr>
      </w:pPr>
      <w:r>
        <w:rPr>
          <w:sz w:val="20"/>
        </w:rPr>
        <w:t xml:space="preserve">En este caso la Corte encuentra </w:t>
      </w:r>
      <w:r>
        <w:rPr>
          <w:sz w:val="20"/>
        </w:rPr>
        <w:t>que se siguió un proceso disciplinario en contra del señor Cordero Bernal que fue sustanciado conforme al procedimiento previsto en la Constitución y la ley y con fundamento en una causal legalmente establecida. Esa causal era de carácter abierto, y estaba</w:t>
      </w:r>
      <w:r>
        <w:rPr>
          <w:sz w:val="20"/>
        </w:rPr>
        <w:t xml:space="preserve"> referida a un hecho grave que comprometiera la dignidad del cargo. La Corte reitera que la precisión de una norma sancionatoria de naturaleza disciplinaria puede ser diferente a la requerida por el principio de legalidad en materia penal, por la naturalez</w:t>
      </w:r>
      <w:r>
        <w:rPr>
          <w:sz w:val="20"/>
        </w:rPr>
        <w:t>a de los conflictos que cada una está llamada a resolver</w:t>
      </w:r>
      <w:hyperlink w:anchor="_bookmark110" w:history="1">
        <w:r>
          <w:rPr>
            <w:position w:val="7"/>
            <w:sz w:val="13"/>
          </w:rPr>
          <w:t>86</w:t>
        </w:r>
      </w:hyperlink>
      <w:r>
        <w:rPr>
          <w:sz w:val="20"/>
        </w:rPr>
        <w:t>. De modo que, los problemas de indeterminación de un tipo disciplinario no pueden ser examinados en abstracto, sino a la luz de la motivación del juzgador al momento</w:t>
      </w:r>
      <w:r>
        <w:rPr>
          <w:sz w:val="20"/>
        </w:rPr>
        <w:t xml:space="preserve"> de su aplicación. A juicio de la Corte, la aplicación de un tipo disciplinario abierto no constituye, en principio, una violación al derecho al debido proceso, siempre que se respeten los parámetros jurisprudenciales que se han definido para tal</w:t>
      </w:r>
      <w:r>
        <w:rPr>
          <w:spacing w:val="-32"/>
          <w:sz w:val="20"/>
        </w:rPr>
        <w:t xml:space="preserve"> </w:t>
      </w:r>
      <w:r>
        <w:rPr>
          <w:sz w:val="20"/>
        </w:rPr>
        <w:t>efecto.</w:t>
      </w:r>
    </w:p>
    <w:p w14:paraId="7A01EF06" w14:textId="77777777" w:rsidR="00492688" w:rsidRDefault="00492688">
      <w:pPr>
        <w:pStyle w:val="Textoindependiente"/>
        <w:spacing w:before="10"/>
        <w:rPr>
          <w:sz w:val="19"/>
        </w:rPr>
      </w:pPr>
    </w:p>
    <w:p w14:paraId="373B9FC2" w14:textId="77777777" w:rsidR="00492688" w:rsidRDefault="00C9584B">
      <w:pPr>
        <w:pStyle w:val="Prrafodelista"/>
        <w:numPr>
          <w:ilvl w:val="0"/>
          <w:numId w:val="12"/>
        </w:numPr>
        <w:tabs>
          <w:tab w:val="left" w:pos="689"/>
        </w:tabs>
        <w:spacing w:before="1"/>
        <w:ind w:right="116" w:hanging="1"/>
        <w:jc w:val="both"/>
        <w:rPr>
          <w:sz w:val="20"/>
        </w:rPr>
      </w:pPr>
      <w:r>
        <w:rPr>
          <w:sz w:val="20"/>
        </w:rPr>
        <w:t xml:space="preserve">Así, este Tribunal ha establecido que la normatividad orientada a juzgar disciplinariamente a jueces y juezas debe buscar la protección de la función judicial al evaluar el desempeño de los jueces en el ejercicio de sus funciones. De modo que, “al aplicar </w:t>
      </w:r>
      <w:r>
        <w:rPr>
          <w:sz w:val="20"/>
        </w:rPr>
        <w:t>normas disciplinarias abiertas o indeterminadas, que exijan la consideración de conceptos tales como el decoro y la dignidad de la administración de justicia, es indispensable tener en cuenta la afectación que la conducta examinada podría tener en el ejerc</w:t>
      </w:r>
      <w:r>
        <w:rPr>
          <w:sz w:val="20"/>
        </w:rPr>
        <w:t>icio de la función judicial, ya sea positivamente a través del establecimiento de criterios normativos para su aplicación o por medio de un adecuado razonamiento e interpretación del juzgador al momento de su aplicación. De lo contrario, se expondría el al</w:t>
      </w:r>
      <w:r>
        <w:rPr>
          <w:sz w:val="20"/>
        </w:rPr>
        <w:t>cance de estos tipos disciplinarios a las creencias morales o privadas del juzgador”</w:t>
      </w:r>
      <w:hyperlink w:anchor="_bookmark111" w:history="1">
        <w:r>
          <w:rPr>
            <w:position w:val="7"/>
            <w:sz w:val="13"/>
          </w:rPr>
          <w:t>87</w:t>
        </w:r>
      </w:hyperlink>
      <w:r>
        <w:rPr>
          <w:sz w:val="20"/>
        </w:rPr>
        <w:t>. En esa medida, ante la falta de criterios normativos que orienten la conducta del juzgador, la motivación del fallo sancionatorio permit</w:t>
      </w:r>
      <w:r>
        <w:rPr>
          <w:sz w:val="20"/>
        </w:rPr>
        <w:t>e dar claridad a los tipos disciplinarios abiertos o indeterminados. Por lo tanto, para determinar si se vulnera en un caso concreto la independencia judicial por la destitución de un juez con fundamento en la aplicación de una causal disciplinaria de cará</w:t>
      </w:r>
      <w:r>
        <w:rPr>
          <w:sz w:val="20"/>
        </w:rPr>
        <w:t>cter abierto, la Corte estima necesario examinar la motivación de la decisión mediante la cual se impone</w:t>
      </w:r>
      <w:r>
        <w:rPr>
          <w:spacing w:val="-30"/>
          <w:sz w:val="20"/>
        </w:rPr>
        <w:t xml:space="preserve"> </w:t>
      </w:r>
      <w:r>
        <w:rPr>
          <w:sz w:val="20"/>
        </w:rPr>
        <w:t>una</w:t>
      </w:r>
    </w:p>
    <w:p w14:paraId="056CA295" w14:textId="77777777" w:rsidR="00492688" w:rsidRDefault="00492688">
      <w:pPr>
        <w:pStyle w:val="Textoindependiente"/>
      </w:pPr>
    </w:p>
    <w:p w14:paraId="33A5DE16" w14:textId="64403386" w:rsidR="00492688" w:rsidRDefault="00C9584B">
      <w:pPr>
        <w:pStyle w:val="Textoindependiente"/>
        <w:spacing w:before="4"/>
        <w:rPr>
          <w:sz w:val="28"/>
        </w:rPr>
      </w:pPr>
      <w:r>
        <w:rPr>
          <w:noProof/>
        </w:rPr>
        <mc:AlternateContent>
          <mc:Choice Requires="wps">
            <w:drawing>
              <wp:anchor distT="0" distB="0" distL="0" distR="0" simplePos="0" relativeHeight="251675648" behindDoc="1" locked="0" layoutInCell="1" allowOverlap="1" wp14:anchorId="614A9210" wp14:editId="4BF3D506">
                <wp:simplePos x="0" y="0"/>
                <wp:positionH relativeFrom="page">
                  <wp:posOffset>1080770</wp:posOffset>
                </wp:positionH>
                <wp:positionV relativeFrom="paragraph">
                  <wp:posOffset>247650</wp:posOffset>
                </wp:positionV>
                <wp:extent cx="1828800" cy="1270"/>
                <wp:effectExtent l="0" t="0" r="0" b="0"/>
                <wp:wrapTopAndBottom/>
                <wp:docPr id="2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0DD5" id="Freeform 25" o:spid="_x0000_s1026" style="position:absolute;margin-left:85.1pt;margin-top:19.5pt;width:2in;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" path="m,l2880,e" filled="f" strokeweight=".6pt">
                <v:path arrowok="t" o:connecttype="custom" o:connectlocs="0,0;1828800,0" o:connectangles="0,0"/>
                <w10:wrap type="topAndBottom" anchorx="page"/>
              </v:shape>
            </w:pict>
          </mc:Fallback>
        </mc:AlternateContent>
      </w:r>
    </w:p>
    <w:p w14:paraId="7D45AF0E" w14:textId="77777777" w:rsidR="00492688" w:rsidRDefault="00492688">
      <w:pPr>
        <w:pStyle w:val="Textoindependiente"/>
        <w:spacing w:before="1"/>
        <w:rPr>
          <w:sz w:val="6"/>
        </w:rPr>
      </w:pPr>
    </w:p>
    <w:p w14:paraId="7559ADB5" w14:textId="77777777" w:rsidR="00492688" w:rsidRDefault="00C9584B">
      <w:pPr>
        <w:tabs>
          <w:tab w:val="left" w:pos="829"/>
        </w:tabs>
        <w:spacing w:before="101"/>
        <w:ind w:left="121" w:right="114"/>
        <w:jc w:val="both"/>
        <w:rPr>
          <w:sz w:val="16"/>
        </w:rPr>
      </w:pPr>
      <w:bookmarkStart w:id="132" w:name="_bookmark108"/>
      <w:bookmarkEnd w:id="132"/>
      <w:r>
        <w:rPr>
          <w:position w:val="6"/>
          <w:sz w:val="10"/>
        </w:rPr>
        <w:t>84</w:t>
      </w:r>
      <w:r>
        <w:rPr>
          <w:position w:val="6"/>
          <w:sz w:val="10"/>
        </w:rPr>
        <w:tab/>
      </w:r>
      <w:r>
        <w:rPr>
          <w:sz w:val="16"/>
        </w:rPr>
        <w:t xml:space="preserve">Al respecto, la Relatora señaló: “los jueces no deben ser destituidos o castigados por errores cometidos de buena fe o por discrepar con una determinada interpretación del derecho. Los jueces y </w:t>
      </w:r>
      <w:r>
        <w:rPr>
          <w:spacing w:val="-2"/>
          <w:sz w:val="16"/>
        </w:rPr>
        <w:t xml:space="preserve">los </w:t>
      </w:r>
      <w:r>
        <w:rPr>
          <w:sz w:val="16"/>
        </w:rPr>
        <w:t>fiscales pueden ser sometidos justificadamente a sanciones</w:t>
      </w:r>
      <w:r>
        <w:rPr>
          <w:sz w:val="16"/>
        </w:rPr>
        <w:t xml:space="preserve"> disciplinarias, suspendidos o destituidos de </w:t>
      </w:r>
      <w:r>
        <w:rPr>
          <w:spacing w:val="-3"/>
          <w:sz w:val="16"/>
        </w:rPr>
        <w:t xml:space="preserve">sus </w:t>
      </w:r>
      <w:r>
        <w:rPr>
          <w:sz w:val="16"/>
        </w:rPr>
        <w:t>cargos por incapacidad persistente para desempeñar sus funciones, intemperancia frecuente, mala conducta intencional en el cargo, conducta que desacredite el cargo judicial o vulneración sustancial de la ét</w:t>
      </w:r>
      <w:r>
        <w:rPr>
          <w:sz w:val="16"/>
        </w:rPr>
        <w:t xml:space="preserve">ica judicial”. Consejo de Derechos Humanos. Informe de la Relatora Especial sobre la independencia de los magistrados y abogados, Gabriela Knaul. UN Doc. A/HRC/26/32, 28 de abril de 2014, párrs. 84 y 87. Disponible en: </w:t>
      </w:r>
      <w:hyperlink r:id="rId10">
        <w:r>
          <w:rPr>
            <w:sz w:val="16"/>
            <w:u w:val="single"/>
          </w:rPr>
          <w:t>https://undocs.org/es/A/HRC/26/32</w:t>
        </w:r>
      </w:hyperlink>
      <w:r>
        <w:rPr>
          <w:sz w:val="16"/>
        </w:rPr>
        <w:t>.</w:t>
      </w:r>
    </w:p>
    <w:p w14:paraId="0C6A0240" w14:textId="77777777" w:rsidR="00492688" w:rsidRDefault="00C9584B">
      <w:pPr>
        <w:tabs>
          <w:tab w:val="left" w:pos="829"/>
        </w:tabs>
        <w:spacing w:before="100"/>
        <w:ind w:left="121" w:right="116"/>
        <w:jc w:val="both"/>
        <w:rPr>
          <w:sz w:val="16"/>
        </w:rPr>
      </w:pPr>
      <w:bookmarkStart w:id="133" w:name="_bookmark109"/>
      <w:bookmarkEnd w:id="133"/>
      <w:r>
        <w:rPr>
          <w:position w:val="6"/>
          <w:sz w:val="10"/>
        </w:rPr>
        <w:t>85</w:t>
      </w:r>
      <w:r>
        <w:rPr>
          <w:position w:val="6"/>
          <w:sz w:val="10"/>
        </w:rPr>
        <w:tab/>
      </w:r>
      <w:r>
        <w:rPr>
          <w:sz w:val="16"/>
        </w:rPr>
        <w:t xml:space="preserve">Consejo de Derechos Humanos. Informe de la Relatora Especial sobre la independencia </w:t>
      </w:r>
      <w:r>
        <w:rPr>
          <w:spacing w:val="-5"/>
          <w:sz w:val="16"/>
        </w:rPr>
        <w:t xml:space="preserve">de </w:t>
      </w:r>
      <w:r>
        <w:rPr>
          <w:sz w:val="16"/>
        </w:rPr>
        <w:t xml:space="preserve">magistrados y abogados, Gabriela Knaul. Misión a El Salvador. UN Doc. A/HRC/23/43/Add.1, párr. 76. Disponible en: </w:t>
      </w:r>
      <w:hyperlink r:id="rId11">
        <w:r>
          <w:rPr>
            <w:sz w:val="16"/>
            <w:u w:val="single"/>
          </w:rPr>
          <w:t>https://undocs.org/es/A/HRC/23/43/Add.1</w:t>
        </w:r>
      </w:hyperlink>
    </w:p>
    <w:p w14:paraId="59E510B7" w14:textId="77777777" w:rsidR="00492688" w:rsidRDefault="00C9584B">
      <w:pPr>
        <w:tabs>
          <w:tab w:val="left" w:pos="829"/>
        </w:tabs>
        <w:spacing w:before="98"/>
        <w:ind w:left="121" w:right="112" w:hanging="1"/>
        <w:jc w:val="both"/>
        <w:rPr>
          <w:sz w:val="16"/>
        </w:rPr>
      </w:pPr>
      <w:bookmarkStart w:id="134" w:name="_bookmark110"/>
      <w:bookmarkEnd w:id="134"/>
      <w:r>
        <w:rPr>
          <w:position w:val="6"/>
          <w:sz w:val="10"/>
        </w:rPr>
        <w:t>86</w:t>
      </w:r>
      <w:r>
        <w:rPr>
          <w:position w:val="6"/>
          <w:sz w:val="10"/>
        </w:rPr>
        <w:tab/>
      </w:r>
      <w:r>
        <w:rPr>
          <w:i/>
          <w:sz w:val="16"/>
        </w:rPr>
        <w:t xml:space="preserve">Cfr. Caso Urrutia Laubreaux Vs. Chile. Excepciones Preliminares, Fondo, Reparaciones y Costas. </w:t>
      </w:r>
      <w:r>
        <w:rPr>
          <w:sz w:val="16"/>
        </w:rPr>
        <w:t>Sentencia de 27 de agosto de 2020. Serie C No. 409, párr. 12</w:t>
      </w:r>
      <w:r>
        <w:rPr>
          <w:sz w:val="16"/>
        </w:rPr>
        <w:t xml:space="preserve">9, y </w:t>
      </w:r>
      <w:r>
        <w:rPr>
          <w:i/>
          <w:sz w:val="16"/>
        </w:rPr>
        <w:t xml:space="preserve">Caso López Lone y otros Vs. Honduras. Excepción Preliminar, Fondo, Reparaciones y Costas. </w:t>
      </w:r>
      <w:r>
        <w:rPr>
          <w:sz w:val="16"/>
        </w:rPr>
        <w:t>Sentencia de 5 de octubre de 2015. Serie C No. 302, párr.</w:t>
      </w:r>
      <w:r>
        <w:rPr>
          <w:spacing w:val="-1"/>
          <w:sz w:val="16"/>
        </w:rPr>
        <w:t xml:space="preserve"> </w:t>
      </w:r>
      <w:r>
        <w:rPr>
          <w:sz w:val="16"/>
        </w:rPr>
        <w:t>257.</w:t>
      </w:r>
    </w:p>
    <w:p w14:paraId="43BF108D" w14:textId="77777777" w:rsidR="00492688" w:rsidRDefault="00C9584B">
      <w:pPr>
        <w:tabs>
          <w:tab w:val="left" w:pos="829"/>
        </w:tabs>
        <w:spacing w:before="101"/>
        <w:ind w:left="121"/>
        <w:jc w:val="both"/>
        <w:rPr>
          <w:sz w:val="16"/>
        </w:rPr>
      </w:pPr>
      <w:bookmarkStart w:id="135" w:name="_bookmark111"/>
      <w:bookmarkEnd w:id="135"/>
      <w:r>
        <w:rPr>
          <w:position w:val="6"/>
          <w:sz w:val="10"/>
        </w:rPr>
        <w:t>87</w:t>
      </w:r>
      <w:r>
        <w:rPr>
          <w:position w:val="6"/>
          <w:sz w:val="10"/>
        </w:rPr>
        <w:tab/>
      </w:r>
      <w:r>
        <w:rPr>
          <w:i/>
          <w:sz w:val="16"/>
        </w:rPr>
        <w:t>Caso López Lone y otros Vs. Honduras, supra</w:t>
      </w:r>
      <w:r>
        <w:rPr>
          <w:sz w:val="16"/>
        </w:rPr>
        <w:t>, párr.</w:t>
      </w:r>
      <w:r>
        <w:rPr>
          <w:spacing w:val="-9"/>
          <w:sz w:val="16"/>
        </w:rPr>
        <w:t xml:space="preserve"> </w:t>
      </w:r>
      <w:r>
        <w:rPr>
          <w:sz w:val="16"/>
        </w:rPr>
        <w:t>273.</w:t>
      </w:r>
    </w:p>
    <w:p w14:paraId="13EAC36C" w14:textId="77777777" w:rsidR="00492688" w:rsidRDefault="00492688">
      <w:pPr>
        <w:jc w:val="both"/>
        <w:rPr>
          <w:sz w:val="16"/>
        </w:rPr>
        <w:sectPr w:rsidR="00492688">
          <w:pgSz w:w="12240" w:h="15840"/>
          <w:pgMar w:top="1340" w:right="1580" w:bottom="280" w:left="1580" w:header="720" w:footer="720" w:gutter="0"/>
          <w:cols w:space="720"/>
        </w:sectPr>
      </w:pPr>
    </w:p>
    <w:p w14:paraId="3057C3AD" w14:textId="77777777" w:rsidR="00492688" w:rsidRDefault="00C9584B">
      <w:pPr>
        <w:pStyle w:val="Textoindependiente"/>
        <w:spacing w:before="79"/>
        <w:ind w:left="121"/>
      </w:pPr>
      <w:r>
        <w:lastRenderedPageBreak/>
        <w:t>sanción disciplinaria a un juez o jueza</w:t>
      </w:r>
      <w:hyperlink w:anchor="_bookmark112" w:history="1">
        <w:r>
          <w:rPr>
            <w:position w:val="7"/>
            <w:sz w:val="13"/>
          </w:rPr>
          <w:t>88</w:t>
        </w:r>
      </w:hyperlink>
      <w:r>
        <w:t>.</w:t>
      </w:r>
    </w:p>
    <w:p w14:paraId="31FA9B97" w14:textId="77777777" w:rsidR="00492688" w:rsidRDefault="00492688">
      <w:pPr>
        <w:pStyle w:val="Textoindependiente"/>
        <w:spacing w:before="10"/>
        <w:rPr>
          <w:sz w:val="19"/>
        </w:rPr>
      </w:pPr>
    </w:p>
    <w:p w14:paraId="762FBE3A" w14:textId="77777777" w:rsidR="00492688" w:rsidRDefault="00C9584B">
      <w:pPr>
        <w:pStyle w:val="Prrafodelista"/>
        <w:numPr>
          <w:ilvl w:val="0"/>
          <w:numId w:val="12"/>
        </w:numPr>
        <w:tabs>
          <w:tab w:val="left" w:pos="688"/>
        </w:tabs>
        <w:ind w:right="118" w:hanging="1"/>
        <w:jc w:val="both"/>
        <w:rPr>
          <w:sz w:val="20"/>
        </w:rPr>
      </w:pPr>
      <w:r>
        <w:rPr>
          <w:sz w:val="20"/>
        </w:rPr>
        <w:t>Sobre el deber de motivación, la Corte ha señalado de forma reiterada que “es la exteriorización de la justificación razonada que permite llegar a una conclusión”</w:t>
      </w:r>
      <w:hyperlink w:anchor="_bookmark113" w:history="1">
        <w:r>
          <w:rPr>
            <w:position w:val="7"/>
            <w:sz w:val="13"/>
          </w:rPr>
          <w:t>89</w:t>
        </w:r>
      </w:hyperlink>
      <w:r>
        <w:rPr>
          <w:position w:val="7"/>
          <w:sz w:val="13"/>
        </w:rPr>
        <w:t xml:space="preserve"> </w:t>
      </w:r>
      <w:r>
        <w:rPr>
          <w:sz w:val="20"/>
        </w:rPr>
        <w:t>y  que implica una exposición racional de las razones que llevan al juzgador a tomar una decisión</w:t>
      </w:r>
      <w:hyperlink w:anchor="_bookmark114" w:history="1">
        <w:r>
          <w:rPr>
            <w:position w:val="7"/>
            <w:sz w:val="13"/>
          </w:rPr>
          <w:t>90</w:t>
        </w:r>
      </w:hyperlink>
      <w:r>
        <w:rPr>
          <w:sz w:val="20"/>
        </w:rPr>
        <w:t>. El deber de motivar las decisiones es una garantía que se desprende del artículo 8.1 de la Convención, vin</w:t>
      </w:r>
      <w:r>
        <w:rPr>
          <w:sz w:val="20"/>
        </w:rPr>
        <w:t>culada a la correcta administración de justicia, pues protege el derecho de los ciudadanos a ser juzgados por las razones que el derecho suministra y da credibilidad a las decisiones jurídicas en una sociedad</w:t>
      </w:r>
      <w:r>
        <w:rPr>
          <w:spacing w:val="-19"/>
          <w:sz w:val="20"/>
        </w:rPr>
        <w:t xml:space="preserve"> </w:t>
      </w:r>
      <w:r>
        <w:rPr>
          <w:sz w:val="20"/>
        </w:rPr>
        <w:t>democrática</w:t>
      </w:r>
      <w:hyperlink w:anchor="_bookmark115" w:history="1">
        <w:r>
          <w:rPr>
            <w:position w:val="7"/>
            <w:sz w:val="13"/>
          </w:rPr>
          <w:t>91</w:t>
        </w:r>
      </w:hyperlink>
      <w:r>
        <w:rPr>
          <w:sz w:val="20"/>
        </w:rPr>
        <w:t>.</w:t>
      </w:r>
    </w:p>
    <w:p w14:paraId="20A1B720" w14:textId="77777777" w:rsidR="00492688" w:rsidRDefault="00492688">
      <w:pPr>
        <w:pStyle w:val="Textoindependiente"/>
        <w:spacing w:before="2"/>
      </w:pPr>
    </w:p>
    <w:p w14:paraId="76FB0A6F" w14:textId="77777777" w:rsidR="00492688" w:rsidRDefault="00C9584B">
      <w:pPr>
        <w:pStyle w:val="Prrafodelista"/>
        <w:numPr>
          <w:ilvl w:val="0"/>
          <w:numId w:val="12"/>
        </w:numPr>
        <w:tabs>
          <w:tab w:val="left" w:pos="688"/>
        </w:tabs>
        <w:ind w:right="117" w:hanging="1"/>
        <w:jc w:val="both"/>
        <w:rPr>
          <w:sz w:val="20"/>
        </w:rPr>
      </w:pPr>
      <w:r>
        <w:rPr>
          <w:sz w:val="20"/>
        </w:rPr>
        <w:t xml:space="preserve">Así, la motivación demuestra a las partes que han sido oídas y, en aquellos casos en que las decisiones son recurribles, proporciona la posibilidad de criticar la resolución y lograr un nuevo examen ante instancias superiores. Conforme a lo anterior, la </w:t>
      </w:r>
      <w:r>
        <w:rPr>
          <w:sz w:val="20"/>
        </w:rPr>
        <w:t>argumentación de un fallo y de ciertos actos administrativos debe permitir conocer cuáles fueron los hechos, motivos y normas en que se basó la autoridad para tomar su decisión, a fin de descartar cualquier indicio de</w:t>
      </w:r>
      <w:r>
        <w:rPr>
          <w:spacing w:val="-9"/>
          <w:sz w:val="20"/>
        </w:rPr>
        <w:t xml:space="preserve"> </w:t>
      </w:r>
      <w:r>
        <w:rPr>
          <w:sz w:val="20"/>
        </w:rPr>
        <w:t>arbitrariedad</w:t>
      </w:r>
      <w:hyperlink w:anchor="_bookmark116" w:history="1">
        <w:r>
          <w:rPr>
            <w:position w:val="7"/>
            <w:sz w:val="13"/>
          </w:rPr>
          <w:t>92</w:t>
        </w:r>
      </w:hyperlink>
      <w:r>
        <w:rPr>
          <w:sz w:val="20"/>
        </w:rPr>
        <w:t>.</w:t>
      </w:r>
    </w:p>
    <w:p w14:paraId="17CC2CED" w14:textId="77777777" w:rsidR="00492688" w:rsidRDefault="00492688">
      <w:pPr>
        <w:pStyle w:val="Textoindependiente"/>
      </w:pPr>
    </w:p>
    <w:p w14:paraId="0EE44975" w14:textId="77777777" w:rsidR="00492688" w:rsidRDefault="00C9584B">
      <w:pPr>
        <w:pStyle w:val="Prrafodelista"/>
        <w:numPr>
          <w:ilvl w:val="0"/>
          <w:numId w:val="12"/>
        </w:numPr>
        <w:tabs>
          <w:tab w:val="left" w:pos="689"/>
        </w:tabs>
        <w:ind w:right="118" w:firstLine="0"/>
        <w:jc w:val="both"/>
        <w:rPr>
          <w:sz w:val="20"/>
        </w:rPr>
      </w:pPr>
      <w:r>
        <w:rPr>
          <w:sz w:val="20"/>
        </w:rPr>
        <w:t xml:space="preserve">Sobre este asunto, recientemente, en el </w:t>
      </w:r>
      <w:r>
        <w:rPr>
          <w:i/>
          <w:sz w:val="20"/>
        </w:rPr>
        <w:t>caso Casa Nina Vs. Perú</w:t>
      </w:r>
      <w:r>
        <w:rPr>
          <w:sz w:val="20"/>
        </w:rPr>
        <w:t>, esta Corte estableció que una destitución fundamentada en las necesidades del servicio, denotaba la aplicación de un concepto jurídico indeterminado, “es decir, referido a una esf</w:t>
      </w:r>
      <w:r>
        <w:rPr>
          <w:sz w:val="20"/>
        </w:rPr>
        <w:t>era de la realidad cuyos límites no aparecen claramente establecidos en su enunciado”</w:t>
      </w:r>
      <w:hyperlink w:anchor="_bookmark117" w:history="1">
        <w:r>
          <w:rPr>
            <w:position w:val="7"/>
            <w:sz w:val="13"/>
          </w:rPr>
          <w:t>93</w:t>
        </w:r>
      </w:hyperlink>
      <w:r>
        <w:rPr>
          <w:position w:val="7"/>
          <w:sz w:val="13"/>
        </w:rPr>
        <w:t xml:space="preserve"> </w:t>
      </w:r>
      <w:r>
        <w:rPr>
          <w:sz w:val="20"/>
        </w:rPr>
        <w:t>y que, por tanto, su aplicación debía responder a circunstancias claramente relevadas por la autoridad, lo que implicaba, a su vez, intr</w:t>
      </w:r>
      <w:r>
        <w:rPr>
          <w:sz w:val="20"/>
        </w:rPr>
        <w:t>oducir un análisis razonado del caso concreto.</w:t>
      </w:r>
    </w:p>
    <w:p w14:paraId="66E2BA4F" w14:textId="77777777" w:rsidR="00492688" w:rsidRDefault="00492688">
      <w:pPr>
        <w:pStyle w:val="Textoindependiente"/>
      </w:pPr>
    </w:p>
    <w:p w14:paraId="23125A5E" w14:textId="77777777" w:rsidR="00492688" w:rsidRDefault="00C9584B">
      <w:pPr>
        <w:pStyle w:val="Prrafodelista"/>
        <w:numPr>
          <w:ilvl w:val="0"/>
          <w:numId w:val="12"/>
        </w:numPr>
        <w:tabs>
          <w:tab w:val="left" w:pos="688"/>
        </w:tabs>
        <w:ind w:left="120" w:right="118" w:firstLine="0"/>
        <w:jc w:val="both"/>
        <w:rPr>
          <w:sz w:val="20"/>
        </w:rPr>
      </w:pPr>
      <w:r>
        <w:rPr>
          <w:sz w:val="20"/>
        </w:rPr>
        <w:t>Le corresponde, entonces, a la Corte establecer si la decisión que impuso la sanción de destitución al señor Cordero Bernal tuvo una motivación adecuada. Para ello, es necesario definir si los argumentos expu</w:t>
      </w:r>
      <w:r>
        <w:rPr>
          <w:sz w:val="20"/>
        </w:rPr>
        <w:t>estos por el Consejo Nacional de la Magistratura permiten llenar de contenido la norma aplicada. Además, por tratarse de la destitución de un juez, es necesario determinar si la decisión tuvo en cuenta la afectación que la conducta examinada podía tener en</w:t>
      </w:r>
      <w:r>
        <w:rPr>
          <w:sz w:val="20"/>
        </w:rPr>
        <w:t xml:space="preserve"> el ejercicio de la función judicial, a través de un adecuado razonamiento e interpretación, así como la gravedad de la conducta y proporcionalidad de la</w:t>
      </w:r>
      <w:r>
        <w:rPr>
          <w:spacing w:val="-2"/>
          <w:sz w:val="20"/>
        </w:rPr>
        <w:t xml:space="preserve"> </w:t>
      </w:r>
      <w:r>
        <w:rPr>
          <w:sz w:val="20"/>
        </w:rPr>
        <w:t>sanción</w:t>
      </w:r>
      <w:hyperlink w:anchor="_bookmark118" w:history="1">
        <w:r>
          <w:rPr>
            <w:position w:val="7"/>
            <w:sz w:val="13"/>
          </w:rPr>
          <w:t>94</w:t>
        </w:r>
      </w:hyperlink>
      <w:r>
        <w:rPr>
          <w:sz w:val="20"/>
        </w:rPr>
        <w:t>.</w:t>
      </w:r>
    </w:p>
    <w:p w14:paraId="122190AF" w14:textId="51DCC564" w:rsidR="00492688" w:rsidRDefault="00C9584B">
      <w:pPr>
        <w:pStyle w:val="Textoindependiente"/>
        <w:spacing w:before="7"/>
        <w:rPr>
          <w:sz w:val="19"/>
        </w:rPr>
      </w:pPr>
      <w:r>
        <w:rPr>
          <w:noProof/>
        </w:rPr>
        <mc:AlternateContent>
          <mc:Choice Requires="wps">
            <w:drawing>
              <wp:anchor distT="0" distB="0" distL="0" distR="0" simplePos="0" relativeHeight="251676672" behindDoc="1" locked="0" layoutInCell="1" allowOverlap="1" wp14:anchorId="04D25CFD" wp14:editId="5E17CB3D">
                <wp:simplePos x="0" y="0"/>
                <wp:positionH relativeFrom="page">
                  <wp:posOffset>1080770</wp:posOffset>
                </wp:positionH>
                <wp:positionV relativeFrom="paragraph">
                  <wp:posOffset>180340</wp:posOffset>
                </wp:positionV>
                <wp:extent cx="1828800" cy="1270"/>
                <wp:effectExtent l="0" t="0" r="0" b="0"/>
                <wp:wrapTopAndBottom/>
                <wp:docPr id="2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499E5" id="Freeform 24" o:spid="_x0000_s1026" style="position:absolute;margin-left:85.1pt;margin-top:14.2pt;width:2in;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" path="m,l2880,e" filled="f" strokeweight=".21131mm">
                <v:path arrowok="t" o:connecttype="custom" o:connectlocs="0,0;1828800,0" o:connectangles="0,0"/>
                <w10:wrap type="topAndBottom" anchorx="page"/>
              </v:shape>
            </w:pict>
          </mc:Fallback>
        </mc:AlternateContent>
      </w:r>
    </w:p>
    <w:p w14:paraId="2CB83675" w14:textId="77777777" w:rsidR="00492688" w:rsidRDefault="00492688">
      <w:pPr>
        <w:pStyle w:val="Textoindependiente"/>
        <w:spacing w:before="1"/>
        <w:rPr>
          <w:sz w:val="6"/>
        </w:rPr>
      </w:pPr>
    </w:p>
    <w:p w14:paraId="320DF8C7" w14:textId="77777777" w:rsidR="00492688" w:rsidRDefault="00C9584B">
      <w:pPr>
        <w:tabs>
          <w:tab w:val="left" w:pos="829"/>
        </w:tabs>
        <w:spacing w:before="101"/>
        <w:ind w:left="121" w:right="113"/>
        <w:jc w:val="both"/>
        <w:rPr>
          <w:sz w:val="16"/>
        </w:rPr>
      </w:pPr>
      <w:bookmarkStart w:id="136" w:name="_bookmark112"/>
      <w:bookmarkEnd w:id="136"/>
      <w:r>
        <w:rPr>
          <w:position w:val="6"/>
          <w:sz w:val="10"/>
        </w:rPr>
        <w:t>88</w:t>
      </w:r>
      <w:r>
        <w:rPr>
          <w:position w:val="6"/>
          <w:sz w:val="10"/>
        </w:rPr>
        <w:tab/>
      </w:r>
      <w:r>
        <w:rPr>
          <w:sz w:val="16"/>
        </w:rPr>
        <w:t xml:space="preserve">Sobre este asunto, en el </w:t>
      </w:r>
      <w:r>
        <w:rPr>
          <w:i/>
          <w:sz w:val="16"/>
        </w:rPr>
        <w:t xml:space="preserve">Caso López Lone y otros Vs. Honduras, </w:t>
      </w:r>
      <w:r>
        <w:rPr>
          <w:sz w:val="16"/>
        </w:rPr>
        <w:t>esta Corte señaló: “tal como indicó el perito Ibáñez, en materia disciplinaria ‘es imposible codificar todos los supuestos’ por lo que ‘al final siempre tiene que haber una cláusula relativamente abierta referida a deb</w:t>
      </w:r>
      <w:r>
        <w:rPr>
          <w:sz w:val="16"/>
        </w:rPr>
        <w:t>eres profesionales’. Sin embargo, en estos supuestos y ante el uso de tipos disciplinarios abiertos o indeterminados, la motivación al momento de su aplicación es fundamental, pues corresponde al juzgador disciplinario, interpretar dichas normas respetando</w:t>
      </w:r>
      <w:r>
        <w:rPr>
          <w:sz w:val="16"/>
        </w:rPr>
        <w:t xml:space="preserve"> el principio de legalidad y observando la mayor rigurosidad para verificar la existencia de la conducta sancionable”. </w:t>
      </w:r>
      <w:r>
        <w:rPr>
          <w:i/>
          <w:sz w:val="16"/>
        </w:rPr>
        <w:t>Caso López Lone y otros Vs. Honduras, supra</w:t>
      </w:r>
      <w:r>
        <w:rPr>
          <w:sz w:val="16"/>
        </w:rPr>
        <w:t>, párr.</w:t>
      </w:r>
      <w:r>
        <w:rPr>
          <w:spacing w:val="-15"/>
          <w:sz w:val="16"/>
        </w:rPr>
        <w:t xml:space="preserve"> </w:t>
      </w:r>
      <w:r>
        <w:rPr>
          <w:sz w:val="16"/>
        </w:rPr>
        <w:t>270.</w:t>
      </w:r>
    </w:p>
    <w:p w14:paraId="5D0DAEB3" w14:textId="77777777" w:rsidR="00492688" w:rsidRDefault="00C9584B">
      <w:pPr>
        <w:tabs>
          <w:tab w:val="left" w:pos="829"/>
        </w:tabs>
        <w:spacing w:before="100"/>
        <w:ind w:left="122" w:right="115" w:hanging="1"/>
        <w:jc w:val="both"/>
        <w:rPr>
          <w:sz w:val="16"/>
        </w:rPr>
      </w:pPr>
      <w:bookmarkStart w:id="137" w:name="_bookmark113"/>
      <w:bookmarkEnd w:id="137"/>
      <w:r>
        <w:rPr>
          <w:position w:val="6"/>
          <w:sz w:val="10"/>
        </w:rPr>
        <w:t>89</w:t>
      </w:r>
      <w:r>
        <w:rPr>
          <w:position w:val="6"/>
          <w:sz w:val="10"/>
        </w:rPr>
        <w:tab/>
      </w:r>
      <w:r>
        <w:rPr>
          <w:i/>
          <w:sz w:val="16"/>
        </w:rPr>
        <w:t>Caso Chaparro Álvarez y Lapo Íñiguez. Vs. Ecuador. Excepción Preliminar, Fondo</w:t>
      </w:r>
      <w:r>
        <w:rPr>
          <w:i/>
          <w:sz w:val="16"/>
        </w:rPr>
        <w:t>, Reparaciones y Costas</w:t>
      </w:r>
      <w:r>
        <w:rPr>
          <w:sz w:val="16"/>
        </w:rPr>
        <w:t>. Sentencia de 21 de noviembre de 2007. Serie C No. 170, párr. 107</w:t>
      </w:r>
      <w:r>
        <w:rPr>
          <w:i/>
          <w:sz w:val="16"/>
        </w:rPr>
        <w:t xml:space="preserve">, </w:t>
      </w:r>
      <w:r>
        <w:rPr>
          <w:sz w:val="16"/>
        </w:rPr>
        <w:t xml:space="preserve">y </w:t>
      </w:r>
      <w:r>
        <w:rPr>
          <w:i/>
          <w:sz w:val="16"/>
        </w:rPr>
        <w:t xml:space="preserve">Caso Rosadio Villavicencio Vs. Perú. Excepciones Preliminares, Fondo, Reparaciones y Costas. </w:t>
      </w:r>
      <w:r>
        <w:rPr>
          <w:sz w:val="16"/>
        </w:rPr>
        <w:t>Sentencia de 14 de octubre de 2019. Serie C No. 388, párr.</w:t>
      </w:r>
      <w:r>
        <w:rPr>
          <w:spacing w:val="-6"/>
          <w:sz w:val="16"/>
        </w:rPr>
        <w:t xml:space="preserve"> </w:t>
      </w:r>
      <w:r>
        <w:rPr>
          <w:sz w:val="16"/>
        </w:rPr>
        <w:t>154.</w:t>
      </w:r>
    </w:p>
    <w:p w14:paraId="70F40302" w14:textId="77777777" w:rsidR="00492688" w:rsidRDefault="00C9584B">
      <w:pPr>
        <w:tabs>
          <w:tab w:val="left" w:pos="829"/>
        </w:tabs>
        <w:spacing w:before="98"/>
        <w:ind w:left="121" w:right="113" w:hanging="1"/>
        <w:jc w:val="both"/>
        <w:rPr>
          <w:sz w:val="16"/>
        </w:rPr>
      </w:pPr>
      <w:bookmarkStart w:id="138" w:name="_bookmark114"/>
      <w:bookmarkEnd w:id="138"/>
      <w:r>
        <w:rPr>
          <w:position w:val="6"/>
          <w:sz w:val="10"/>
        </w:rPr>
        <w:t>90</w:t>
      </w:r>
      <w:r>
        <w:rPr>
          <w:position w:val="6"/>
          <w:sz w:val="10"/>
        </w:rPr>
        <w:tab/>
      </w:r>
      <w:r>
        <w:rPr>
          <w:i/>
          <w:sz w:val="16"/>
        </w:rPr>
        <w:t>Cfr</w:t>
      </w:r>
      <w:r>
        <w:rPr>
          <w:i/>
          <w:sz w:val="16"/>
        </w:rPr>
        <w:t xml:space="preserve">. Caso Amrhein y otros Vs. Costa Rica. Excepciones Preliminares, Fondo, Reparaciones y Costas. </w:t>
      </w:r>
      <w:r>
        <w:rPr>
          <w:sz w:val="16"/>
        </w:rPr>
        <w:t xml:space="preserve">Sentencia de 25 de abril de 2018. Serie C No. 354, párr. 268, y </w:t>
      </w:r>
      <w:r>
        <w:rPr>
          <w:i/>
          <w:sz w:val="16"/>
        </w:rPr>
        <w:t>Caso Rosadio Villavicencio Vs. Perú, supra</w:t>
      </w:r>
      <w:r>
        <w:rPr>
          <w:sz w:val="16"/>
        </w:rPr>
        <w:t>, párr.</w:t>
      </w:r>
      <w:r>
        <w:rPr>
          <w:spacing w:val="-1"/>
          <w:sz w:val="16"/>
        </w:rPr>
        <w:t xml:space="preserve"> </w:t>
      </w:r>
      <w:r>
        <w:rPr>
          <w:sz w:val="16"/>
        </w:rPr>
        <w:t>154.</w:t>
      </w:r>
    </w:p>
    <w:p w14:paraId="5C2458D7" w14:textId="77777777" w:rsidR="00492688" w:rsidRDefault="00C9584B">
      <w:pPr>
        <w:tabs>
          <w:tab w:val="left" w:pos="829"/>
        </w:tabs>
        <w:spacing w:before="101"/>
        <w:ind w:left="122" w:right="115" w:hanging="1"/>
        <w:jc w:val="both"/>
        <w:rPr>
          <w:sz w:val="16"/>
        </w:rPr>
      </w:pPr>
      <w:bookmarkStart w:id="139" w:name="_bookmark115"/>
      <w:bookmarkEnd w:id="139"/>
      <w:r>
        <w:rPr>
          <w:position w:val="6"/>
          <w:sz w:val="10"/>
        </w:rPr>
        <w:t>91</w:t>
      </w:r>
      <w:r>
        <w:rPr>
          <w:position w:val="6"/>
          <w:sz w:val="10"/>
        </w:rPr>
        <w:tab/>
      </w:r>
      <w:r>
        <w:rPr>
          <w:i/>
          <w:sz w:val="16"/>
        </w:rPr>
        <w:t>Cfr. Caso Apitz Barbera y otros (“Corte Primera de lo Contencioso Administrativo”) Vs. Venezuela</w:t>
      </w:r>
      <w:r>
        <w:rPr>
          <w:sz w:val="16"/>
        </w:rPr>
        <w:t xml:space="preserve">, </w:t>
      </w:r>
      <w:r>
        <w:rPr>
          <w:i/>
          <w:sz w:val="16"/>
        </w:rPr>
        <w:t xml:space="preserve">supra, </w:t>
      </w:r>
      <w:r>
        <w:rPr>
          <w:sz w:val="16"/>
        </w:rPr>
        <w:t xml:space="preserve">párr. 77, y </w:t>
      </w:r>
      <w:r>
        <w:rPr>
          <w:i/>
          <w:sz w:val="16"/>
        </w:rPr>
        <w:t>Caso Casa Nina Vs. Perú, supra</w:t>
      </w:r>
      <w:r>
        <w:rPr>
          <w:sz w:val="16"/>
        </w:rPr>
        <w:t>, párr.</w:t>
      </w:r>
      <w:r>
        <w:rPr>
          <w:spacing w:val="-21"/>
          <w:sz w:val="16"/>
        </w:rPr>
        <w:t xml:space="preserve"> </w:t>
      </w:r>
      <w:r>
        <w:rPr>
          <w:sz w:val="16"/>
        </w:rPr>
        <w:t>89.</w:t>
      </w:r>
    </w:p>
    <w:p w14:paraId="79710658" w14:textId="77777777" w:rsidR="00492688" w:rsidRDefault="00C9584B">
      <w:pPr>
        <w:tabs>
          <w:tab w:val="left" w:pos="829"/>
        </w:tabs>
        <w:spacing w:before="101"/>
        <w:ind w:left="122" w:right="118" w:hanging="1"/>
        <w:jc w:val="both"/>
        <w:rPr>
          <w:sz w:val="16"/>
        </w:rPr>
      </w:pPr>
      <w:bookmarkStart w:id="140" w:name="_bookmark116"/>
      <w:bookmarkEnd w:id="140"/>
      <w:r>
        <w:rPr>
          <w:position w:val="6"/>
          <w:sz w:val="10"/>
        </w:rPr>
        <w:t>92</w:t>
      </w:r>
      <w:r>
        <w:rPr>
          <w:position w:val="6"/>
          <w:sz w:val="10"/>
        </w:rPr>
        <w:tab/>
      </w:r>
      <w:r>
        <w:rPr>
          <w:i/>
          <w:sz w:val="16"/>
        </w:rPr>
        <w:t xml:space="preserve">Cfr. Caso Claude Reyes y otros Vs. Chile. Fondo, Reparaciones y Costas. </w:t>
      </w:r>
      <w:r>
        <w:rPr>
          <w:sz w:val="16"/>
        </w:rPr>
        <w:t>Sentencia de 19 de sep</w:t>
      </w:r>
      <w:r>
        <w:rPr>
          <w:sz w:val="16"/>
        </w:rPr>
        <w:t xml:space="preserve">tiembre de 2006. Serie C No. 151, párr. 122, y </w:t>
      </w:r>
      <w:r>
        <w:rPr>
          <w:i/>
          <w:sz w:val="16"/>
        </w:rPr>
        <w:t>Caso Casa Nina Vs. Perú, supra</w:t>
      </w:r>
      <w:r>
        <w:rPr>
          <w:sz w:val="16"/>
        </w:rPr>
        <w:t>, párr.</w:t>
      </w:r>
      <w:r>
        <w:rPr>
          <w:spacing w:val="-25"/>
          <w:sz w:val="16"/>
        </w:rPr>
        <w:t xml:space="preserve"> </w:t>
      </w:r>
      <w:r>
        <w:rPr>
          <w:sz w:val="16"/>
        </w:rPr>
        <w:t>89.</w:t>
      </w:r>
    </w:p>
    <w:p w14:paraId="000D60CC" w14:textId="77777777" w:rsidR="00492688" w:rsidRDefault="00C9584B">
      <w:pPr>
        <w:tabs>
          <w:tab w:val="left" w:pos="829"/>
        </w:tabs>
        <w:spacing w:before="98"/>
        <w:ind w:left="121"/>
        <w:jc w:val="both"/>
        <w:rPr>
          <w:sz w:val="16"/>
        </w:rPr>
      </w:pPr>
      <w:bookmarkStart w:id="141" w:name="_bookmark117"/>
      <w:bookmarkEnd w:id="141"/>
      <w:r>
        <w:rPr>
          <w:position w:val="6"/>
          <w:sz w:val="10"/>
        </w:rPr>
        <w:t>93</w:t>
      </w:r>
      <w:r>
        <w:rPr>
          <w:position w:val="6"/>
          <w:sz w:val="10"/>
        </w:rPr>
        <w:tab/>
      </w:r>
      <w:r>
        <w:rPr>
          <w:i/>
          <w:sz w:val="16"/>
        </w:rPr>
        <w:t>Caso Casa Nina Vs. Perú, supra</w:t>
      </w:r>
      <w:r>
        <w:rPr>
          <w:sz w:val="16"/>
        </w:rPr>
        <w:t>, párr.</w:t>
      </w:r>
      <w:r>
        <w:rPr>
          <w:spacing w:val="-8"/>
          <w:sz w:val="16"/>
        </w:rPr>
        <w:t xml:space="preserve"> </w:t>
      </w:r>
      <w:r>
        <w:rPr>
          <w:sz w:val="16"/>
        </w:rPr>
        <w:t>93.</w:t>
      </w:r>
    </w:p>
    <w:p w14:paraId="1C472B48" w14:textId="77777777" w:rsidR="00492688" w:rsidRDefault="00C9584B">
      <w:pPr>
        <w:tabs>
          <w:tab w:val="left" w:pos="829"/>
        </w:tabs>
        <w:spacing w:before="101"/>
        <w:ind w:left="121"/>
        <w:jc w:val="both"/>
        <w:rPr>
          <w:i/>
          <w:sz w:val="16"/>
        </w:rPr>
      </w:pPr>
      <w:bookmarkStart w:id="142" w:name="_bookmark118"/>
      <w:bookmarkEnd w:id="142"/>
      <w:r>
        <w:rPr>
          <w:position w:val="6"/>
          <w:sz w:val="10"/>
        </w:rPr>
        <w:t>94</w:t>
      </w:r>
      <w:r>
        <w:rPr>
          <w:position w:val="6"/>
          <w:sz w:val="10"/>
        </w:rPr>
        <w:tab/>
      </w:r>
      <w:r>
        <w:rPr>
          <w:i/>
          <w:sz w:val="16"/>
        </w:rPr>
        <w:t>Cfr. Caso Chocrón Chocrón Vs. Venezuela. Excepción Preliminar, Fondo, Reparaciones y</w:t>
      </w:r>
      <w:r>
        <w:rPr>
          <w:i/>
          <w:spacing w:val="-22"/>
          <w:sz w:val="16"/>
        </w:rPr>
        <w:t xml:space="preserve"> </w:t>
      </w:r>
      <w:r>
        <w:rPr>
          <w:i/>
          <w:sz w:val="16"/>
        </w:rPr>
        <w:t>Costas.</w:t>
      </w:r>
    </w:p>
    <w:p w14:paraId="71543355" w14:textId="77777777" w:rsidR="00492688" w:rsidRDefault="00492688">
      <w:pPr>
        <w:jc w:val="both"/>
        <w:rPr>
          <w:sz w:val="16"/>
        </w:rPr>
        <w:sectPr w:rsidR="00492688">
          <w:pgSz w:w="12240" w:h="15840"/>
          <w:pgMar w:top="1340" w:right="1580" w:bottom="280" w:left="1580" w:header="720" w:footer="720" w:gutter="0"/>
          <w:cols w:space="720"/>
        </w:sectPr>
      </w:pPr>
    </w:p>
    <w:p w14:paraId="46424AF9" w14:textId="77777777" w:rsidR="00492688" w:rsidRDefault="00C9584B">
      <w:pPr>
        <w:pStyle w:val="Prrafodelista"/>
        <w:numPr>
          <w:ilvl w:val="0"/>
          <w:numId w:val="12"/>
        </w:numPr>
        <w:tabs>
          <w:tab w:val="left" w:pos="689"/>
        </w:tabs>
        <w:spacing w:before="161"/>
        <w:ind w:right="116" w:firstLine="0"/>
        <w:jc w:val="both"/>
        <w:rPr>
          <w:sz w:val="20"/>
        </w:rPr>
      </w:pPr>
      <w:r>
        <w:rPr>
          <w:sz w:val="20"/>
        </w:rPr>
        <w:lastRenderedPageBreak/>
        <w:t>La Corte encuent</w:t>
      </w:r>
      <w:r>
        <w:rPr>
          <w:sz w:val="20"/>
        </w:rPr>
        <w:t>ra que, en el marco del proceso disciplinario iniciado contra el señor Cordero Bernal, fueron emitidos un informe y dos resoluciones que dan cuenta de los fundamentos de hecho y de derecho que sustentaron la propuesta y posterior decisión de destitución. S</w:t>
      </w:r>
      <w:r>
        <w:rPr>
          <w:sz w:val="20"/>
        </w:rPr>
        <w:t>e trata del Informe de Investigación de 21 de julio de 1995, suscrito por la señora Inés Villa Bonilla, investigadora de la OCMA; la Resolución de la OCMA de 3 de agosto de 1995 que contiene el informe de la investigación y la propuesta de destitución, y l</w:t>
      </w:r>
      <w:r>
        <w:rPr>
          <w:sz w:val="20"/>
        </w:rPr>
        <w:t>a Resolución del Consejo Nacional de la Magistratura, de 14 de agosto de 1996, que destituye al señor Cordero Bernal. Estos tres documentos coinciden en sostener (i) que el encargo del señor Cordero Bernal en el Primer Juzgado Penal de Huánuco fue irregula</w:t>
      </w:r>
      <w:r>
        <w:rPr>
          <w:sz w:val="20"/>
        </w:rPr>
        <w:t>r, y (ii) que la decisión del señor Cordero Bernal de otorgar la libertad incondicional a dos procesados no dio cuenta de las circunstancias particulares del caso, ni de una adecuada valoración de los medios de prueba</w:t>
      </w:r>
      <w:hyperlink w:anchor="_bookmark119" w:history="1">
        <w:r>
          <w:rPr>
            <w:position w:val="7"/>
            <w:sz w:val="13"/>
          </w:rPr>
          <w:t>95</w:t>
        </w:r>
      </w:hyperlink>
      <w:r>
        <w:rPr>
          <w:sz w:val="20"/>
        </w:rPr>
        <w:t>. Las</w:t>
      </w:r>
      <w:r>
        <w:rPr>
          <w:sz w:val="20"/>
        </w:rPr>
        <w:t xml:space="preserve"> alegadas irregularidades en el encargo del señor Cordero fueron el fundamento de procesos disciplinarios seguidos en contra de otras personas, mientras que las irregularidades relacionadas con la decisión de conceder la libertad incondicional, llevaron al</w:t>
      </w:r>
      <w:r>
        <w:rPr>
          <w:sz w:val="20"/>
        </w:rPr>
        <w:t xml:space="preserve"> Consejo Nacional de la Magistratura a sostener que esta última no tenía sustento racional y era</w:t>
      </w:r>
      <w:r>
        <w:rPr>
          <w:spacing w:val="1"/>
          <w:sz w:val="20"/>
        </w:rPr>
        <w:t xml:space="preserve"> </w:t>
      </w:r>
      <w:r>
        <w:rPr>
          <w:sz w:val="20"/>
        </w:rPr>
        <w:t>grave.</w:t>
      </w:r>
    </w:p>
    <w:p w14:paraId="78431F79" w14:textId="77777777" w:rsidR="00492688" w:rsidRDefault="00492688">
      <w:pPr>
        <w:pStyle w:val="Textoindependiente"/>
      </w:pPr>
    </w:p>
    <w:p w14:paraId="421B702D" w14:textId="77777777" w:rsidR="00492688" w:rsidRDefault="00C9584B">
      <w:pPr>
        <w:pStyle w:val="Prrafodelista"/>
        <w:numPr>
          <w:ilvl w:val="0"/>
          <w:numId w:val="12"/>
        </w:numPr>
        <w:tabs>
          <w:tab w:val="left" w:pos="689"/>
        </w:tabs>
        <w:ind w:right="117" w:hanging="1"/>
        <w:jc w:val="both"/>
        <w:rPr>
          <w:sz w:val="20"/>
        </w:rPr>
      </w:pPr>
      <w:r>
        <w:rPr>
          <w:sz w:val="20"/>
        </w:rPr>
        <w:t>A juicio de esta Corte, la motivación de la decisión del CNM, que retoma los informes de investigación, da cuenta de un análisis detallado de los hechos que dieron lugar a la decisión de destitución y de las razones que permiten calificar esta conducta com</w:t>
      </w:r>
      <w:r>
        <w:rPr>
          <w:sz w:val="20"/>
        </w:rPr>
        <w:t>o una falta disciplinaria grave. Si bien esos hechos están relacionados con una decisión judicial, la Corte nota que la motivación de la resolución del Consejo Nacional de la Magistratura no cuestiona la decisión en sí misma, sino el proceso de toma de dec</w:t>
      </w:r>
      <w:r>
        <w:rPr>
          <w:sz w:val="20"/>
        </w:rPr>
        <w:t>isión, el cual, a juicio del CNM, no ofreció un análisis racional de los hechos y de las normas aplicables, y por esa razón originó una decisión sin sustento racional o</w:t>
      </w:r>
      <w:r>
        <w:rPr>
          <w:spacing w:val="-27"/>
          <w:sz w:val="20"/>
        </w:rPr>
        <w:t xml:space="preserve"> </w:t>
      </w:r>
      <w:r>
        <w:rPr>
          <w:sz w:val="20"/>
        </w:rPr>
        <w:t>lógico.</w:t>
      </w:r>
    </w:p>
    <w:p w14:paraId="31AB34B5" w14:textId="77777777" w:rsidR="00492688" w:rsidRDefault="00492688">
      <w:pPr>
        <w:pStyle w:val="Textoindependiente"/>
        <w:spacing w:before="1"/>
      </w:pPr>
    </w:p>
    <w:p w14:paraId="1011CCBD" w14:textId="77777777" w:rsidR="00492688" w:rsidRDefault="00C9584B">
      <w:pPr>
        <w:pStyle w:val="Prrafodelista"/>
        <w:numPr>
          <w:ilvl w:val="0"/>
          <w:numId w:val="12"/>
        </w:numPr>
        <w:tabs>
          <w:tab w:val="left" w:pos="689"/>
        </w:tabs>
        <w:spacing w:before="1"/>
        <w:ind w:left="122" w:right="116" w:hanging="1"/>
        <w:jc w:val="both"/>
        <w:rPr>
          <w:sz w:val="20"/>
        </w:rPr>
      </w:pPr>
      <w:r>
        <w:rPr>
          <w:sz w:val="20"/>
        </w:rPr>
        <w:t>En particular, sobre la orden de libertad incondicional y la consecuente respo</w:t>
      </w:r>
      <w:r>
        <w:rPr>
          <w:sz w:val="20"/>
        </w:rPr>
        <w:t>nsabilidad disciplinaria del señor Cordero Bernal, el CNM</w:t>
      </w:r>
      <w:r>
        <w:rPr>
          <w:spacing w:val="-12"/>
          <w:sz w:val="20"/>
        </w:rPr>
        <w:t xml:space="preserve"> </w:t>
      </w:r>
      <w:r>
        <w:rPr>
          <w:sz w:val="20"/>
        </w:rPr>
        <w:t>estableció:</w:t>
      </w:r>
    </w:p>
    <w:p w14:paraId="15E81EFE" w14:textId="77777777" w:rsidR="00492688" w:rsidRDefault="00492688">
      <w:pPr>
        <w:pStyle w:val="Textoindependiente"/>
        <w:spacing w:before="9"/>
        <w:rPr>
          <w:sz w:val="19"/>
        </w:rPr>
      </w:pPr>
    </w:p>
    <w:p w14:paraId="04F9AFD3" w14:textId="77777777" w:rsidR="00492688" w:rsidRDefault="00C9584B">
      <w:pPr>
        <w:ind w:left="709" w:right="765"/>
        <w:jc w:val="both"/>
        <w:rPr>
          <w:sz w:val="16"/>
        </w:rPr>
      </w:pPr>
      <w:r>
        <w:rPr>
          <w:sz w:val="16"/>
        </w:rPr>
        <w:t>SÉPTIMO.- Que a pesar de estos antecedentes el juez sometido a proceso concedió a los dos inculpados el beneficio de la libertad incondicional tramitada en incidencia aparte; que esa re</w:t>
      </w:r>
      <w:r>
        <w:rPr>
          <w:sz w:val="16"/>
        </w:rPr>
        <w:t>solución no es sustentable ni puede fundamentarse en los hechos establecidos, ni en las declaraciones de los inculpados pues son inverosímiles; que lo correcto y razonable debió ser la continuación y terminación de la investigación judicial en el expedient</w:t>
      </w:r>
      <w:r>
        <w:rPr>
          <w:sz w:val="16"/>
        </w:rPr>
        <w:t>e principal reservándose el pronunciamiento sobre la responsabilidad de los inculpados al final del proceso investigatorio y no interrumpirlo como se ha hecho. OCTAVO. – Que el descargo presentado por el magistrado sometido a proceso y los documentos que h</w:t>
      </w:r>
      <w:r>
        <w:rPr>
          <w:sz w:val="16"/>
        </w:rPr>
        <w:t>a acompañado se refieren, primero, a su alegación de que el presente proceso disciplinario “está referido exclusivamente a actos de naturaleza jurisdiccional”, segundo, a que en el auto por el que concedió el beneficio de libertad incondicional su “actuaci</w:t>
      </w:r>
      <w:r>
        <w:rPr>
          <w:sz w:val="16"/>
        </w:rPr>
        <w:t>ón se ha circunscrito a la ley y a los hechos y pruebas actuadas en la respectiva instrucción”, tercero, que el representante del Ministerio Público “no ofreció ni indicó la actuación de pruebas, limitándose a ejercer los recursos establecidos por ley para</w:t>
      </w:r>
      <w:r>
        <w:rPr>
          <w:sz w:val="16"/>
        </w:rPr>
        <w:t xml:space="preserve"> que la decisión sea revisada por los superiores”, cuarto, que así quedo “efectivizada la instancia plural que constituye principio y garantía de la</w:t>
      </w:r>
    </w:p>
    <w:p w14:paraId="79DAD1F1" w14:textId="78F86B4C" w:rsidR="00492688" w:rsidRDefault="00C9584B">
      <w:pPr>
        <w:pStyle w:val="Textoindependiente"/>
        <w:spacing w:before="1"/>
        <w:rPr>
          <w:sz w:val="13"/>
        </w:rPr>
      </w:pPr>
      <w:r>
        <w:rPr>
          <w:noProof/>
        </w:rPr>
        <mc:AlternateContent>
          <mc:Choice Requires="wps">
            <w:drawing>
              <wp:anchor distT="0" distB="0" distL="0" distR="0" simplePos="0" relativeHeight="251677696" behindDoc="1" locked="0" layoutInCell="1" allowOverlap="1" wp14:anchorId="1545FBFA" wp14:editId="6C439D5A">
                <wp:simplePos x="0" y="0"/>
                <wp:positionH relativeFrom="page">
                  <wp:posOffset>1080770</wp:posOffset>
                </wp:positionH>
                <wp:positionV relativeFrom="paragraph">
                  <wp:posOffset>130175</wp:posOffset>
                </wp:positionV>
                <wp:extent cx="5611495" cy="1270"/>
                <wp:effectExtent l="0" t="0" r="0" b="0"/>
                <wp:wrapTopAndBottom/>
                <wp:docPr id="22"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1495" cy="1270"/>
                        </a:xfrm>
                        <a:custGeom>
                          <a:avLst/>
                          <a:gdLst>
                            <a:gd name="T0" fmla="+- 0 1702 1702"/>
                            <a:gd name="T1" fmla="*/ T0 w 8837"/>
                            <a:gd name="T2" fmla="+- 0 10538 1702"/>
                            <a:gd name="T3" fmla="*/ T2 w 8837"/>
                          </a:gdLst>
                          <a:ahLst/>
                          <a:cxnLst>
                            <a:cxn ang="0">
                              <a:pos x="T1" y="0"/>
                            </a:cxn>
                            <a:cxn ang="0">
                              <a:pos x="T3" y="0"/>
                            </a:cxn>
                          </a:cxnLst>
                          <a:rect l="0" t="0" r="r" b="b"/>
                          <a:pathLst>
                            <a:path w="8837">
                              <a:moveTo>
                                <a:pt x="0" y="0"/>
                              </a:moveTo>
                              <a:lnTo>
                                <a:pt x="8836"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DA499" id="Freeform 23" o:spid="_x0000_s1026" style="position:absolute;margin-left:85.1pt;margin-top:10.25pt;width:441.8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" path="m,l8836,e" filled="f" strokeweight=".6pt">
                <v:path arrowok="t" o:connecttype="custom" o:connectlocs="0,0;5610860,0" o:connectangles="0,0"/>
                <w10:wrap type="topAndBottom" anchorx="page"/>
              </v:shape>
            </w:pict>
          </mc:Fallback>
        </mc:AlternateContent>
      </w:r>
    </w:p>
    <w:p w14:paraId="5AB515C4" w14:textId="77777777" w:rsidR="00492688" w:rsidRDefault="00C9584B">
      <w:pPr>
        <w:spacing w:before="74"/>
        <w:ind w:left="121"/>
        <w:rPr>
          <w:sz w:val="16"/>
        </w:rPr>
      </w:pPr>
      <w:r>
        <w:rPr>
          <w:sz w:val="16"/>
        </w:rPr>
        <w:t xml:space="preserve">Sentencia de 1 de julio de 2011. Serie C No. 227, párr. 120, y </w:t>
      </w:r>
      <w:r>
        <w:rPr>
          <w:i/>
          <w:sz w:val="16"/>
        </w:rPr>
        <w:t>Caso López Lone y otros Vs. Honduras, supr</w:t>
      </w:r>
      <w:r>
        <w:rPr>
          <w:i/>
          <w:sz w:val="16"/>
        </w:rPr>
        <w:t>a</w:t>
      </w:r>
      <w:r>
        <w:rPr>
          <w:sz w:val="16"/>
        </w:rPr>
        <w:t>, párr. 267.</w:t>
      </w:r>
    </w:p>
    <w:p w14:paraId="7010ECEC" w14:textId="77777777" w:rsidR="00492688" w:rsidRDefault="00C9584B">
      <w:pPr>
        <w:tabs>
          <w:tab w:val="left" w:pos="829"/>
        </w:tabs>
        <w:spacing w:before="101"/>
        <w:ind w:left="121" w:right="113"/>
        <w:jc w:val="both"/>
        <w:rPr>
          <w:sz w:val="16"/>
        </w:rPr>
      </w:pPr>
      <w:bookmarkStart w:id="143" w:name="_bookmark119"/>
      <w:bookmarkEnd w:id="143"/>
      <w:r>
        <w:rPr>
          <w:position w:val="6"/>
          <w:sz w:val="10"/>
        </w:rPr>
        <w:t>95</w:t>
      </w:r>
      <w:r>
        <w:rPr>
          <w:position w:val="6"/>
          <w:sz w:val="10"/>
        </w:rPr>
        <w:tab/>
      </w:r>
      <w:r>
        <w:rPr>
          <w:sz w:val="16"/>
        </w:rPr>
        <w:t>Esa decisión fue calificada por las autoridades a cargo de la investigación como prematura. Lo anterior, porque los procesados habían ingresado al espacio aéreo peruano sin autorización, lo que implicaba la presunta comisión de un delito que no fue investi</w:t>
      </w:r>
      <w:r>
        <w:rPr>
          <w:sz w:val="16"/>
        </w:rPr>
        <w:t>gado, además, porque justificaron su presencia en hechos que podían implicar la comisión de otros delitos, que tampoco fueron investigados. Por otra parte, el señor Cordero Bernal decretó la libertad incondicional solo once días después de que fuera solici</w:t>
      </w:r>
      <w:r>
        <w:rPr>
          <w:sz w:val="16"/>
        </w:rPr>
        <w:t xml:space="preserve">tada, sin </w:t>
      </w:r>
      <w:r>
        <w:rPr>
          <w:spacing w:val="-4"/>
          <w:sz w:val="16"/>
        </w:rPr>
        <w:t xml:space="preserve">que </w:t>
      </w:r>
      <w:r>
        <w:rPr>
          <w:sz w:val="16"/>
        </w:rPr>
        <w:t xml:space="preserve">hubiera vencido el plazo ordinario de investigación de cuatro meses y sin que se hubieran agotado las diligencias de investigación orientadas a establecer la plena identidad de los procesados. </w:t>
      </w:r>
      <w:r>
        <w:rPr>
          <w:i/>
          <w:sz w:val="16"/>
        </w:rPr>
        <w:t xml:space="preserve">Cfr. </w:t>
      </w:r>
      <w:r>
        <w:rPr>
          <w:sz w:val="16"/>
        </w:rPr>
        <w:t>Consejo Nacional de la Magistratura. Resoluc</w:t>
      </w:r>
      <w:r>
        <w:rPr>
          <w:sz w:val="16"/>
        </w:rPr>
        <w:t>ión No. 008-96-PCNM de 14 de agosto de 1996 (expediente de prueba, folios 9 a</w:t>
      </w:r>
      <w:r>
        <w:rPr>
          <w:spacing w:val="-4"/>
          <w:sz w:val="16"/>
        </w:rPr>
        <w:t xml:space="preserve"> </w:t>
      </w:r>
      <w:r>
        <w:rPr>
          <w:sz w:val="16"/>
        </w:rPr>
        <w:t>13).</w:t>
      </w:r>
    </w:p>
    <w:p w14:paraId="545E0914" w14:textId="77777777" w:rsidR="00492688" w:rsidRDefault="00492688">
      <w:pPr>
        <w:jc w:val="both"/>
        <w:rPr>
          <w:sz w:val="16"/>
        </w:rPr>
        <w:sectPr w:rsidR="00492688">
          <w:pgSz w:w="12240" w:h="15840"/>
          <w:pgMar w:top="1500" w:right="1580" w:bottom="280" w:left="1580" w:header="720" w:footer="720" w:gutter="0"/>
          <w:cols w:space="720"/>
        </w:sectPr>
      </w:pPr>
    </w:p>
    <w:p w14:paraId="368F1B1C" w14:textId="77777777" w:rsidR="00492688" w:rsidRDefault="00C9584B">
      <w:pPr>
        <w:spacing w:before="78"/>
        <w:ind w:left="709" w:right="764"/>
        <w:jc w:val="both"/>
        <w:rPr>
          <w:sz w:val="16"/>
        </w:rPr>
      </w:pPr>
      <w:r>
        <w:rPr>
          <w:sz w:val="16"/>
        </w:rPr>
        <w:lastRenderedPageBreak/>
        <w:t>administración de justicia”; quinto, que el Fiscal no cuestionó su actuación como juez del proceso; sexto, que no es cierto que hubiera habido connivencia con el P</w:t>
      </w:r>
      <w:r>
        <w:rPr>
          <w:sz w:val="16"/>
        </w:rPr>
        <w:t>residente de la Corte Superior de Huánuco, pues como juez inferior está sometido a la supervisión del Presidente de la Corte y debe acatar las directivas emanadas de esa autoridad; séptimo, que no es  cierto que se invierta la carga de la prueba tratándose</w:t>
      </w:r>
      <w:r>
        <w:rPr>
          <w:sz w:val="16"/>
        </w:rPr>
        <w:t xml:space="preserve"> del delito de narcotráfico y que desaparezca la presunción de inocencia, por la coincidente presencia de indicios, criterio que atenta contra el apartado e), numeral veinticuatro, del artículo segundo de a Constitución; octavo, que las apreciaciones de lo</w:t>
      </w:r>
      <w:r>
        <w:rPr>
          <w:sz w:val="16"/>
        </w:rPr>
        <w:t xml:space="preserve">s funcionarios de la Oficina de Control sobre el contenido del expediente penal son subjetivas; noveno, que por último, el juez de la causa, Doctor Oriol San Martín, en el Informe Final, se ha pronunciado por la “irresponsabilidad penal de los inculpados” </w:t>
      </w:r>
      <w:r>
        <w:rPr>
          <w:sz w:val="16"/>
        </w:rPr>
        <w:t>con lo que se le ha dado la razón. NOVENO.- Que esas alegaciones de descargo debidamente analizadas no modifican la apreciación de la Oficina de Control de la Magistratura y del Consejo Ejecutivo del Poder Judicial, que han solicitado la destitución del pr</w:t>
      </w:r>
      <w:r>
        <w:rPr>
          <w:sz w:val="16"/>
        </w:rPr>
        <w:t xml:space="preserve">ocesado, ni el resultado de la apreciación de los hechos y de la resolución objeto del presente proceso, pues la irregularidad que se detecta en el presente caso es la irracionalidad de la resolución concesoria de la libertad, esto es, la imposibilidad de </w:t>
      </w:r>
      <w:r>
        <w:rPr>
          <w:sz w:val="16"/>
        </w:rPr>
        <w:t>encontrar un sustento de sentido común y menos de sentido jurídico que son las exigencias mínimas o elementales del ejercicio de la función jurisdiccional; que no se trata de debatir las razones de una resolución como en actitud de defensa arguye el proces</w:t>
      </w:r>
      <w:r>
        <w:rPr>
          <w:sz w:val="16"/>
        </w:rPr>
        <w:t>ado; al contrario, claramente se deja establecido que no se está procediendo de ese modo pues para que sea posible efectuar un análisis de las razones de una resolución es condición sine qua non que esta tenga un contenido racional jurídico, lo que no se d</w:t>
      </w:r>
      <w:r>
        <w:rPr>
          <w:sz w:val="16"/>
        </w:rPr>
        <w:t>a en el auto dictado concediendo la libertad incondicional solicitada por los inculpados; que la alegación del procesado de que el representante del Ministerio Público apeló la resolución sin cuestionar la actuación del procesado, es una argumentación fala</w:t>
      </w:r>
      <w:r>
        <w:rPr>
          <w:sz w:val="16"/>
        </w:rPr>
        <w:t>z pues modifica el objeto del análisis de la racionalidad de la resolución por la cual se concedió prematura libertad incondicional a los inculpados cuya situación claramente era la de haber violado el espacio territorial peruano para conducir dinero extra</w:t>
      </w:r>
      <w:r>
        <w:rPr>
          <w:sz w:val="16"/>
        </w:rPr>
        <w:t xml:space="preserve">njero en cantidad considerable y haberse encontrado droga prohibida de comercio, sin que pueda considerarse válida la especie de que su viaje fuera para trasladar cadáveres; que la opinión del Juez que posteriormente se hizo cargo del expediente penal, al </w:t>
      </w:r>
      <w:r>
        <w:rPr>
          <w:sz w:val="16"/>
        </w:rPr>
        <w:t>redactar el informe final en el sentido de la irresponsabilidad de los inculpados, situación que el procesado quiere hacer valer en favor suyo, se encuentra contradicha por la posterior acusación del Fiscal Superior a fojas ochocientas setentinueve (sic) d</w:t>
      </w:r>
      <w:r>
        <w:rPr>
          <w:sz w:val="16"/>
        </w:rPr>
        <w:t xml:space="preserve">el expediente penal remitido y por el consiguiente auto de enjuiciamiento dictado por la Sala Plena de la Corte Superior de Huánuco a fojas ochocientos ochentiuna (sic), por lo que aquella opinión del Juez Penal carece de efecto alguno en lo que concierne </w:t>
      </w:r>
      <w:r>
        <w:rPr>
          <w:sz w:val="16"/>
        </w:rPr>
        <w:t xml:space="preserve">al presente proceso disciplinario; que, además, el auto que concedió la libertad incondicional fue revocado por la Sala Penal (fojas cuatrocientas ocho) disponiendo la recaptura de los inculpados y absteniéndose de sancionar disciplinariamente al Juez por </w:t>
      </w:r>
      <w:r>
        <w:rPr>
          <w:sz w:val="16"/>
        </w:rPr>
        <w:t>encontrarse en trámite la investigación abierta por la Oficina de Control de la Magistratura</w:t>
      </w:r>
      <w:r>
        <w:rPr>
          <w:spacing w:val="-2"/>
          <w:sz w:val="16"/>
        </w:rPr>
        <w:t xml:space="preserve"> </w:t>
      </w:r>
      <w:r>
        <w:rPr>
          <w:sz w:val="16"/>
        </w:rPr>
        <w:t>[…]</w:t>
      </w:r>
    </w:p>
    <w:p w14:paraId="2B0FC8A8" w14:textId="77777777" w:rsidR="00492688" w:rsidRDefault="00492688">
      <w:pPr>
        <w:pStyle w:val="Textoindependiente"/>
      </w:pPr>
    </w:p>
    <w:p w14:paraId="17919373" w14:textId="77777777" w:rsidR="00492688" w:rsidRDefault="00C9584B">
      <w:pPr>
        <w:pStyle w:val="Prrafodelista"/>
        <w:numPr>
          <w:ilvl w:val="0"/>
          <w:numId w:val="12"/>
        </w:numPr>
        <w:tabs>
          <w:tab w:val="left" w:pos="689"/>
        </w:tabs>
        <w:ind w:right="116" w:firstLine="0"/>
        <w:jc w:val="both"/>
        <w:rPr>
          <w:sz w:val="20"/>
        </w:rPr>
      </w:pPr>
      <w:r>
        <w:rPr>
          <w:sz w:val="20"/>
        </w:rPr>
        <w:t>La Corte advierte que el Informe de Investigación y las resoluciones de la OCMA y del CNM dan cuenta de forma pormenorizada de las irregularidades en que el s</w:t>
      </w:r>
      <w:r>
        <w:rPr>
          <w:sz w:val="20"/>
        </w:rPr>
        <w:t>eñor Cordero Bernal habría incurrido al adoptar la decisión mediante la cual concedió la libertad incondicional a dos procesados. Según los órganos disciplinarios dicha resolución no se ajustaba al supuesto normativo previsto en la legislación peruana  par</w:t>
      </w:r>
      <w:r>
        <w:rPr>
          <w:sz w:val="20"/>
        </w:rPr>
        <w:t>a otorgar tal beneficio, pues de esta forma se daba por concluido prematuramente el proceso penal “a dos inculpados cuya situación claramente era la de haber violado el espacio territorial peruano para conducir dinero extranjero en cantidad considerable”</w:t>
      </w:r>
      <w:hyperlink w:anchor="_bookmark120" w:history="1">
        <w:r>
          <w:rPr>
            <w:position w:val="7"/>
            <w:sz w:val="13"/>
          </w:rPr>
          <w:t>96</w:t>
        </w:r>
      </w:hyperlink>
      <w:r>
        <w:rPr>
          <w:sz w:val="20"/>
        </w:rPr>
        <w:t>. Estas irregularidades dan cuenta de una inconducta del juez, quien no habría llevado a cabo ninguna diligencia de carácter sustantivo dentro del proceso; tomó la decisión de conceder la libertad incondicional sin que se hu</w:t>
      </w:r>
      <w:r>
        <w:rPr>
          <w:sz w:val="20"/>
        </w:rPr>
        <w:t>biese cumplido el plazo previsto para ello, y no habría apreciado el conjunto de la prueba (</w:t>
      </w:r>
      <w:r>
        <w:rPr>
          <w:i/>
          <w:sz w:val="20"/>
        </w:rPr>
        <w:t xml:space="preserve">supra </w:t>
      </w:r>
      <w:r>
        <w:rPr>
          <w:sz w:val="20"/>
        </w:rPr>
        <w:t>párr. 40). A juicio del CNM esa conducta fue grave y comprometió la dignidad del cargo, porque no tuvo sustento jurídico racional, siendo este el requisito mí</w:t>
      </w:r>
      <w:r>
        <w:rPr>
          <w:sz w:val="20"/>
        </w:rPr>
        <w:t>nimo de cualquier decisión jurisdiccional. Sobre este asunto, la Corte nota que el CNM valoró la gravedad de la conducta del juez, esto es, adoptar una decisión irrazonable, así como su impacto en la función judicial. Por cuenta de tal valoración, procedió</w:t>
      </w:r>
      <w:r>
        <w:rPr>
          <w:sz w:val="20"/>
        </w:rPr>
        <w:t xml:space="preserve"> a adoptar la decisión de</w:t>
      </w:r>
      <w:r>
        <w:rPr>
          <w:spacing w:val="-26"/>
          <w:sz w:val="20"/>
        </w:rPr>
        <w:t xml:space="preserve"> </w:t>
      </w:r>
      <w:r>
        <w:rPr>
          <w:sz w:val="20"/>
        </w:rPr>
        <w:t>destitución.</w:t>
      </w:r>
    </w:p>
    <w:p w14:paraId="46D26204" w14:textId="44D38BCF" w:rsidR="00492688" w:rsidRDefault="00C9584B">
      <w:pPr>
        <w:pStyle w:val="Textoindependiente"/>
        <w:spacing w:before="12"/>
        <w:rPr>
          <w:sz w:val="16"/>
        </w:rPr>
      </w:pPr>
      <w:r>
        <w:rPr>
          <w:noProof/>
        </w:rPr>
        <mc:AlternateContent>
          <mc:Choice Requires="wps">
            <w:drawing>
              <wp:anchor distT="0" distB="0" distL="0" distR="0" simplePos="0" relativeHeight="251678720" behindDoc="1" locked="0" layoutInCell="1" allowOverlap="1" wp14:anchorId="38E063C9" wp14:editId="2E2B0E62">
                <wp:simplePos x="0" y="0"/>
                <wp:positionH relativeFrom="page">
                  <wp:posOffset>1080770</wp:posOffset>
                </wp:positionH>
                <wp:positionV relativeFrom="paragraph">
                  <wp:posOffset>159385</wp:posOffset>
                </wp:positionV>
                <wp:extent cx="1828800" cy="1270"/>
                <wp:effectExtent l="0" t="0" r="0" b="0"/>
                <wp:wrapTopAndBottom/>
                <wp:docPr id="2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F67DF" id="Freeform 22" o:spid="_x0000_s1026" style="position:absolute;margin-left:85.1pt;margin-top:12.55pt;width:2in;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" path="m,l2880,e" filled="f" strokeweight=".6pt">
                <v:path arrowok="t" o:connecttype="custom" o:connectlocs="0,0;1828800,0" o:connectangles="0,0"/>
                <w10:wrap type="topAndBottom" anchorx="page"/>
              </v:shape>
            </w:pict>
          </mc:Fallback>
        </mc:AlternateContent>
      </w:r>
    </w:p>
    <w:p w14:paraId="100718FC" w14:textId="77777777" w:rsidR="00492688" w:rsidRDefault="00492688">
      <w:pPr>
        <w:pStyle w:val="Textoindependiente"/>
        <w:spacing w:before="1"/>
        <w:rPr>
          <w:sz w:val="6"/>
        </w:rPr>
      </w:pPr>
    </w:p>
    <w:p w14:paraId="7B5633BD" w14:textId="77777777" w:rsidR="00492688" w:rsidRDefault="00C9584B">
      <w:pPr>
        <w:tabs>
          <w:tab w:val="left" w:pos="829"/>
        </w:tabs>
        <w:spacing w:before="101"/>
        <w:ind w:left="122" w:right="733" w:hanging="1"/>
        <w:rPr>
          <w:sz w:val="16"/>
        </w:rPr>
      </w:pPr>
      <w:bookmarkStart w:id="144" w:name="_bookmark120"/>
      <w:bookmarkEnd w:id="144"/>
      <w:r>
        <w:rPr>
          <w:position w:val="6"/>
          <w:sz w:val="10"/>
        </w:rPr>
        <w:t>96</w:t>
      </w:r>
      <w:r>
        <w:rPr>
          <w:position w:val="6"/>
          <w:sz w:val="10"/>
        </w:rPr>
        <w:tab/>
      </w:r>
      <w:r>
        <w:rPr>
          <w:sz w:val="16"/>
        </w:rPr>
        <w:t>Consejo Nacional de la Magistratura, Resolución No. 008-96-PCNM de 14 de agosto de 1996 (expediente de prueba, folio</w:t>
      </w:r>
      <w:r>
        <w:rPr>
          <w:spacing w:val="-6"/>
          <w:sz w:val="16"/>
        </w:rPr>
        <w:t xml:space="preserve"> </w:t>
      </w:r>
      <w:r>
        <w:rPr>
          <w:sz w:val="16"/>
        </w:rPr>
        <w:t>12)</w:t>
      </w:r>
    </w:p>
    <w:p w14:paraId="350BE2B4" w14:textId="77777777" w:rsidR="00492688" w:rsidRDefault="00492688">
      <w:pPr>
        <w:rPr>
          <w:sz w:val="16"/>
        </w:rPr>
        <w:sectPr w:rsidR="00492688">
          <w:pgSz w:w="12240" w:h="15840"/>
          <w:pgMar w:top="1340" w:right="1580" w:bottom="280" w:left="1580" w:header="720" w:footer="720" w:gutter="0"/>
          <w:cols w:space="720"/>
        </w:sectPr>
      </w:pPr>
    </w:p>
    <w:p w14:paraId="2404F5C6" w14:textId="77777777" w:rsidR="00492688" w:rsidRDefault="00C9584B">
      <w:pPr>
        <w:pStyle w:val="Prrafodelista"/>
        <w:numPr>
          <w:ilvl w:val="0"/>
          <w:numId w:val="12"/>
        </w:numPr>
        <w:tabs>
          <w:tab w:val="left" w:pos="689"/>
        </w:tabs>
        <w:spacing w:before="161"/>
        <w:ind w:right="118" w:firstLine="0"/>
        <w:jc w:val="both"/>
        <w:rPr>
          <w:sz w:val="20"/>
        </w:rPr>
      </w:pPr>
      <w:r>
        <w:rPr>
          <w:sz w:val="20"/>
        </w:rPr>
        <w:lastRenderedPageBreak/>
        <w:t>Los anteriores argumentos evidencian el examen pormenorizado que hizo el CNM, tanto de los alegatos del señor Cordero Bernal,</w:t>
      </w:r>
      <w:r>
        <w:rPr>
          <w:sz w:val="20"/>
        </w:rPr>
        <w:t xml:space="preserve"> como de los supuestos fácticos y jurídicos y de las razones por las cuales su conducta era sancionable con destitución. En ese sentido, del estudio hecho por la autoridad disciplinaria se desprenden las razones que llevaron al CNM a determinar que la cond</w:t>
      </w:r>
      <w:r>
        <w:rPr>
          <w:sz w:val="20"/>
        </w:rPr>
        <w:t>ucta del señor Cordero Bernal no solo fue grave, sino que además comprometió la dignidad del cargo y lo desmereció en el concepto público, por cuenta de su irrazonabilidad e impacto</w:t>
      </w:r>
      <w:r>
        <w:rPr>
          <w:spacing w:val="-19"/>
          <w:sz w:val="20"/>
        </w:rPr>
        <w:t xml:space="preserve"> </w:t>
      </w:r>
      <w:r>
        <w:rPr>
          <w:sz w:val="20"/>
        </w:rPr>
        <w:t>público.</w:t>
      </w:r>
    </w:p>
    <w:p w14:paraId="6D55735C" w14:textId="77777777" w:rsidR="00492688" w:rsidRDefault="00492688">
      <w:pPr>
        <w:pStyle w:val="Textoindependiente"/>
      </w:pPr>
    </w:p>
    <w:p w14:paraId="023786BD" w14:textId="77777777" w:rsidR="00492688" w:rsidRDefault="00C9584B">
      <w:pPr>
        <w:pStyle w:val="Prrafodelista"/>
        <w:numPr>
          <w:ilvl w:val="0"/>
          <w:numId w:val="12"/>
        </w:numPr>
        <w:tabs>
          <w:tab w:val="left" w:pos="688"/>
        </w:tabs>
        <w:ind w:right="114" w:firstLine="0"/>
        <w:jc w:val="both"/>
        <w:rPr>
          <w:sz w:val="20"/>
        </w:rPr>
      </w:pPr>
      <w:r>
        <w:rPr>
          <w:sz w:val="20"/>
        </w:rPr>
        <w:t>Ahora bien, esta Corte tiene en cuenta que la Resolución mediant</w:t>
      </w:r>
      <w:r>
        <w:rPr>
          <w:sz w:val="20"/>
        </w:rPr>
        <w:t>e la cual el señor Cordero Bernal otorgó la libertad incondicional a dos procesados, no carece totalmente de fundamentación. No obstante, parece a todas luces precipitada, dado que el caso se refería a la violación del espacio aéreo peruano, en una aeronav</w:t>
      </w:r>
      <w:r>
        <w:rPr>
          <w:sz w:val="20"/>
        </w:rPr>
        <w:t>e extranjera que parecía ser robada, con casi 400 mil dólares a bordo, con dos ciudadanos extranjeros que daban explicaciones poco coherentes. Además, la  aeronave había sido forzada a aterrizar mediante disparos</w:t>
      </w:r>
      <w:hyperlink w:anchor="_bookmark122" w:history="1">
        <w:r>
          <w:rPr>
            <w:position w:val="7"/>
            <w:sz w:val="13"/>
          </w:rPr>
          <w:t>97</w:t>
        </w:r>
      </w:hyperlink>
      <w:r>
        <w:rPr>
          <w:position w:val="7"/>
          <w:sz w:val="13"/>
        </w:rPr>
        <w:t xml:space="preserve"> </w:t>
      </w:r>
      <w:r>
        <w:rPr>
          <w:sz w:val="20"/>
        </w:rPr>
        <w:t>y el juez</w:t>
      </w:r>
      <w:r>
        <w:rPr>
          <w:sz w:val="20"/>
        </w:rPr>
        <w:t xml:space="preserve"> no estaba urgido por ningún plazo perentorio, pese a lo cual tomó la decisión de cerrar el proceso en escasos días y tratándose de un juzgado en el que se desempeñaba interinamente por poco tiempo, en una causa que presentaba características poco comunes </w:t>
      </w:r>
      <w:r>
        <w:rPr>
          <w:sz w:val="20"/>
        </w:rPr>
        <w:t>y en la que no había dispuesto ninguna medida. Esta Corte entiende que la sanción impuesta en estas circunstancias es adecuada a la grave imprudencia de la conducta y, por ende, no viola el principio de</w:t>
      </w:r>
      <w:r>
        <w:rPr>
          <w:spacing w:val="-6"/>
          <w:sz w:val="20"/>
        </w:rPr>
        <w:t xml:space="preserve"> </w:t>
      </w:r>
      <w:r>
        <w:rPr>
          <w:sz w:val="20"/>
        </w:rPr>
        <w:t>proporcionalidad.</w:t>
      </w:r>
    </w:p>
    <w:p w14:paraId="2738ACF2" w14:textId="77777777" w:rsidR="00492688" w:rsidRDefault="00492688">
      <w:pPr>
        <w:pStyle w:val="Textoindependiente"/>
      </w:pPr>
    </w:p>
    <w:p w14:paraId="444F80CE" w14:textId="77777777" w:rsidR="00492688" w:rsidRDefault="00C9584B">
      <w:pPr>
        <w:pStyle w:val="Prrafodelista"/>
        <w:numPr>
          <w:ilvl w:val="0"/>
          <w:numId w:val="12"/>
        </w:numPr>
        <w:tabs>
          <w:tab w:val="left" w:pos="688"/>
        </w:tabs>
        <w:ind w:left="120" w:right="121" w:firstLine="0"/>
        <w:jc w:val="both"/>
        <w:rPr>
          <w:sz w:val="20"/>
        </w:rPr>
      </w:pPr>
      <w:r>
        <w:rPr>
          <w:sz w:val="20"/>
        </w:rPr>
        <w:t>En mérito de lo anterior, la Corte</w:t>
      </w:r>
      <w:r>
        <w:rPr>
          <w:sz w:val="20"/>
        </w:rPr>
        <w:t xml:space="preserve"> concluye que la decisión del CNM está debidamente motivada y no es arbitraria y, en consecuencia, no se vulneraron las garantías al debido proceso ni el principio de legalidad establecidos en la</w:t>
      </w:r>
      <w:r>
        <w:rPr>
          <w:spacing w:val="-32"/>
          <w:sz w:val="20"/>
        </w:rPr>
        <w:t xml:space="preserve"> </w:t>
      </w:r>
      <w:r>
        <w:rPr>
          <w:sz w:val="20"/>
        </w:rPr>
        <w:t>Convención.</w:t>
      </w:r>
    </w:p>
    <w:p w14:paraId="390D34DB" w14:textId="77777777" w:rsidR="00492688" w:rsidRDefault="00492688">
      <w:pPr>
        <w:pStyle w:val="Textoindependiente"/>
      </w:pPr>
    </w:p>
    <w:p w14:paraId="4AB17D1D" w14:textId="77777777" w:rsidR="00492688" w:rsidRDefault="00C9584B">
      <w:pPr>
        <w:pStyle w:val="Prrafodelista"/>
        <w:numPr>
          <w:ilvl w:val="0"/>
          <w:numId w:val="12"/>
        </w:numPr>
        <w:tabs>
          <w:tab w:val="left" w:pos="688"/>
        </w:tabs>
        <w:ind w:left="120" w:right="118" w:firstLine="0"/>
        <w:jc w:val="both"/>
        <w:rPr>
          <w:sz w:val="20"/>
        </w:rPr>
      </w:pPr>
      <w:r>
        <w:rPr>
          <w:sz w:val="20"/>
        </w:rPr>
        <w:t>Por otra parte, debido a que en este caso no se</w:t>
      </w:r>
      <w:r>
        <w:rPr>
          <w:sz w:val="20"/>
        </w:rPr>
        <w:t xml:space="preserve"> afectó en forma arbitraria la permanencia de los jueces y las juezas en su cargo, tampoco se configura una violación del derecho a la independencia judicial (artículo 8.1 de la Convención), en relación con el derecho de acceso y permanencia en condiciones</w:t>
      </w:r>
      <w:r>
        <w:rPr>
          <w:sz w:val="20"/>
        </w:rPr>
        <w:t xml:space="preserve"> generales de igualdad en un cargo público (artículo 23.1.c de la</w:t>
      </w:r>
      <w:r>
        <w:rPr>
          <w:spacing w:val="-13"/>
          <w:sz w:val="20"/>
        </w:rPr>
        <w:t xml:space="preserve"> </w:t>
      </w:r>
      <w:r>
        <w:rPr>
          <w:sz w:val="20"/>
        </w:rPr>
        <w:t>Convención).</w:t>
      </w:r>
    </w:p>
    <w:p w14:paraId="1619AD49" w14:textId="77777777" w:rsidR="00492688" w:rsidRDefault="00492688">
      <w:pPr>
        <w:pStyle w:val="Textoindependiente"/>
        <w:spacing w:before="1"/>
      </w:pPr>
    </w:p>
    <w:p w14:paraId="721984A3" w14:textId="77777777" w:rsidR="00492688" w:rsidRDefault="00C9584B">
      <w:pPr>
        <w:pStyle w:val="Prrafodelista"/>
        <w:numPr>
          <w:ilvl w:val="0"/>
          <w:numId w:val="12"/>
        </w:numPr>
        <w:tabs>
          <w:tab w:val="left" w:pos="688"/>
        </w:tabs>
        <w:ind w:left="120" w:right="118" w:hanging="1"/>
        <w:jc w:val="both"/>
        <w:rPr>
          <w:sz w:val="20"/>
        </w:rPr>
      </w:pPr>
      <w:r>
        <w:rPr>
          <w:sz w:val="20"/>
        </w:rPr>
        <w:t>En cuanto a la alegada vulneración al derecho de recurrir el fallo ante un tribunal superior, esta Corte se remite al análisis de los alegatos relacionados con el derecho a la protección judicial, en el marco del cual será examinado el recurso de amparo in</w:t>
      </w:r>
      <w:r>
        <w:rPr>
          <w:sz w:val="20"/>
        </w:rPr>
        <w:t>terpuesto por el señor Cordero Bernal, tal como ha hecho en decisiones anteriores sobre el mismo</w:t>
      </w:r>
      <w:r>
        <w:rPr>
          <w:spacing w:val="-2"/>
          <w:sz w:val="20"/>
        </w:rPr>
        <w:t xml:space="preserve"> </w:t>
      </w:r>
      <w:r>
        <w:rPr>
          <w:sz w:val="20"/>
        </w:rPr>
        <w:t>asunto</w:t>
      </w:r>
      <w:hyperlink w:anchor="_bookmark123" w:history="1">
        <w:r>
          <w:rPr>
            <w:position w:val="7"/>
            <w:sz w:val="13"/>
          </w:rPr>
          <w:t>98</w:t>
        </w:r>
      </w:hyperlink>
      <w:r>
        <w:rPr>
          <w:sz w:val="20"/>
        </w:rPr>
        <w:t>.</w:t>
      </w:r>
    </w:p>
    <w:p w14:paraId="5802471E" w14:textId="77777777" w:rsidR="00492688" w:rsidRDefault="00492688">
      <w:pPr>
        <w:pStyle w:val="Textoindependiente"/>
        <w:spacing w:before="10"/>
        <w:rPr>
          <w:sz w:val="18"/>
        </w:rPr>
      </w:pPr>
    </w:p>
    <w:p w14:paraId="6A6F24EF" w14:textId="77777777" w:rsidR="00492688" w:rsidRDefault="00C9584B">
      <w:pPr>
        <w:pStyle w:val="Ttulo2"/>
        <w:numPr>
          <w:ilvl w:val="1"/>
          <w:numId w:val="7"/>
        </w:numPr>
        <w:tabs>
          <w:tab w:val="left" w:pos="1262"/>
        </w:tabs>
        <w:ind w:left="1261" w:hanging="433"/>
      </w:pPr>
      <w:bookmarkStart w:id="145" w:name="B.2_El_principio_de_aplicación_de_la_ley"/>
      <w:bookmarkStart w:id="146" w:name="_bookmark121"/>
      <w:bookmarkEnd w:id="145"/>
      <w:bookmarkEnd w:id="146"/>
      <w:r>
        <w:t>El principio de aplicación de la ley sancionatoria más</w:t>
      </w:r>
      <w:r>
        <w:rPr>
          <w:spacing w:val="-11"/>
        </w:rPr>
        <w:t xml:space="preserve"> </w:t>
      </w:r>
      <w:r>
        <w:t>favorable</w:t>
      </w:r>
    </w:p>
    <w:p w14:paraId="44E8D943" w14:textId="77777777" w:rsidR="00492688" w:rsidRDefault="00492688">
      <w:pPr>
        <w:pStyle w:val="Textoindependiente"/>
        <w:spacing w:before="1"/>
        <w:rPr>
          <w:b/>
          <w:i/>
          <w:sz w:val="23"/>
        </w:rPr>
      </w:pPr>
    </w:p>
    <w:p w14:paraId="33E3C385" w14:textId="77777777" w:rsidR="00492688" w:rsidRDefault="00C9584B">
      <w:pPr>
        <w:pStyle w:val="Prrafodelista"/>
        <w:numPr>
          <w:ilvl w:val="0"/>
          <w:numId w:val="12"/>
        </w:numPr>
        <w:tabs>
          <w:tab w:val="left" w:pos="688"/>
        </w:tabs>
        <w:ind w:right="116" w:hanging="1"/>
        <w:jc w:val="both"/>
        <w:rPr>
          <w:sz w:val="20"/>
        </w:rPr>
      </w:pPr>
      <w:r>
        <w:rPr>
          <w:sz w:val="20"/>
        </w:rPr>
        <w:t>La Comisión y las representantes alegaron que la v</w:t>
      </w:r>
      <w:r>
        <w:rPr>
          <w:sz w:val="20"/>
        </w:rPr>
        <w:t>iolación del artículo 9 de la Convención también habría ocurrido porque, al momento de los hechos, existían dos normas que establecían consecuencias jurídicas diferentes y se aplicó una desfavorable a los intereses de la presunta víctima. Al respecto, la C</w:t>
      </w:r>
      <w:r>
        <w:rPr>
          <w:sz w:val="20"/>
        </w:rPr>
        <w:t>omisión alegó que las normas vigentes eran la Ley Orgánica del Poder Judicial (LOPJ), de 2 de junio de 1993, que establecía la condición de suspensión previa para aplicar la sanción de destitución y la Ley</w:t>
      </w:r>
      <w:r>
        <w:rPr>
          <w:spacing w:val="16"/>
          <w:sz w:val="20"/>
        </w:rPr>
        <w:t xml:space="preserve"> </w:t>
      </w:r>
      <w:r>
        <w:rPr>
          <w:sz w:val="20"/>
        </w:rPr>
        <w:t>Orgánica</w:t>
      </w:r>
      <w:r>
        <w:rPr>
          <w:spacing w:val="15"/>
          <w:sz w:val="20"/>
        </w:rPr>
        <w:t xml:space="preserve"> </w:t>
      </w:r>
      <w:r>
        <w:rPr>
          <w:sz w:val="20"/>
        </w:rPr>
        <w:t>del</w:t>
      </w:r>
      <w:r>
        <w:rPr>
          <w:spacing w:val="17"/>
          <w:sz w:val="20"/>
        </w:rPr>
        <w:t xml:space="preserve"> </w:t>
      </w:r>
      <w:r>
        <w:rPr>
          <w:sz w:val="20"/>
        </w:rPr>
        <w:t>Consejo</w:t>
      </w:r>
      <w:r>
        <w:rPr>
          <w:spacing w:val="14"/>
          <w:sz w:val="20"/>
        </w:rPr>
        <w:t xml:space="preserve"> </w:t>
      </w:r>
      <w:r>
        <w:rPr>
          <w:sz w:val="20"/>
        </w:rPr>
        <w:t>Nacional</w:t>
      </w:r>
      <w:r>
        <w:rPr>
          <w:spacing w:val="14"/>
          <w:sz w:val="20"/>
        </w:rPr>
        <w:t xml:space="preserve"> </w:t>
      </w:r>
      <w:r>
        <w:rPr>
          <w:sz w:val="20"/>
        </w:rPr>
        <w:t>de</w:t>
      </w:r>
      <w:r>
        <w:rPr>
          <w:spacing w:val="14"/>
          <w:sz w:val="20"/>
        </w:rPr>
        <w:t xml:space="preserve"> </w:t>
      </w:r>
      <w:r>
        <w:rPr>
          <w:sz w:val="20"/>
        </w:rPr>
        <w:t>la</w:t>
      </w:r>
      <w:r>
        <w:rPr>
          <w:spacing w:val="16"/>
          <w:sz w:val="20"/>
        </w:rPr>
        <w:t xml:space="preserve"> </w:t>
      </w:r>
      <w:r>
        <w:rPr>
          <w:sz w:val="20"/>
        </w:rPr>
        <w:t>Magistratura</w:t>
      </w:r>
      <w:r>
        <w:rPr>
          <w:spacing w:val="15"/>
          <w:sz w:val="20"/>
        </w:rPr>
        <w:t xml:space="preserve"> </w:t>
      </w:r>
      <w:r>
        <w:rPr>
          <w:sz w:val="20"/>
        </w:rPr>
        <w:t>(</w:t>
      </w:r>
      <w:r>
        <w:rPr>
          <w:sz w:val="20"/>
        </w:rPr>
        <w:t>LOCNM),</w:t>
      </w:r>
      <w:r>
        <w:rPr>
          <w:spacing w:val="13"/>
          <w:sz w:val="20"/>
        </w:rPr>
        <w:t xml:space="preserve"> </w:t>
      </w:r>
      <w:r>
        <w:rPr>
          <w:sz w:val="20"/>
        </w:rPr>
        <w:t>de</w:t>
      </w:r>
      <w:r>
        <w:rPr>
          <w:spacing w:val="14"/>
          <w:sz w:val="20"/>
        </w:rPr>
        <w:t xml:space="preserve"> </w:t>
      </w:r>
      <w:r>
        <w:rPr>
          <w:sz w:val="20"/>
        </w:rPr>
        <w:t>5</w:t>
      </w:r>
      <w:r>
        <w:rPr>
          <w:spacing w:val="19"/>
          <w:sz w:val="20"/>
        </w:rPr>
        <w:t xml:space="preserve"> </w:t>
      </w:r>
      <w:r>
        <w:rPr>
          <w:sz w:val="20"/>
        </w:rPr>
        <w:t>de</w:t>
      </w:r>
      <w:r>
        <w:rPr>
          <w:spacing w:val="14"/>
          <w:sz w:val="20"/>
        </w:rPr>
        <w:t xml:space="preserve"> </w:t>
      </w:r>
      <w:r>
        <w:rPr>
          <w:sz w:val="20"/>
        </w:rPr>
        <w:t>diciembre</w:t>
      </w:r>
      <w:r>
        <w:rPr>
          <w:spacing w:val="13"/>
          <w:sz w:val="20"/>
        </w:rPr>
        <w:t xml:space="preserve"> </w:t>
      </w:r>
      <w:r>
        <w:rPr>
          <w:sz w:val="20"/>
        </w:rPr>
        <w:t>de</w:t>
      </w:r>
    </w:p>
    <w:p w14:paraId="43D09989" w14:textId="64270FC8" w:rsidR="00492688" w:rsidRDefault="00C9584B">
      <w:pPr>
        <w:pStyle w:val="Textoindependiente"/>
        <w:spacing w:before="11"/>
        <w:rPr>
          <w:sz w:val="14"/>
        </w:rPr>
      </w:pPr>
      <w:r>
        <w:rPr>
          <w:noProof/>
        </w:rPr>
        <mc:AlternateContent>
          <mc:Choice Requires="wps">
            <w:drawing>
              <wp:anchor distT="0" distB="0" distL="0" distR="0" simplePos="0" relativeHeight="251679744" behindDoc="1" locked="0" layoutInCell="1" allowOverlap="1" wp14:anchorId="1360F82E" wp14:editId="2A539926">
                <wp:simplePos x="0" y="0"/>
                <wp:positionH relativeFrom="page">
                  <wp:posOffset>1080770</wp:posOffset>
                </wp:positionH>
                <wp:positionV relativeFrom="paragraph">
                  <wp:posOffset>143510</wp:posOffset>
                </wp:positionV>
                <wp:extent cx="1828800" cy="1270"/>
                <wp:effectExtent l="0" t="0" r="0" b="0"/>
                <wp:wrapTopAndBottom/>
                <wp:docPr id="2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FA12" id="Freeform 21" o:spid="_x0000_s1026" style="position:absolute;margin-left:85.1pt;margin-top:11.3pt;width:2in;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" path="m,l2880,e" filled="f" strokeweight=".6pt">
                <v:path arrowok="t" o:connecttype="custom" o:connectlocs="0,0;1828800,0" o:connectangles="0,0"/>
                <w10:wrap type="topAndBottom" anchorx="page"/>
              </v:shape>
            </w:pict>
          </mc:Fallback>
        </mc:AlternateContent>
      </w:r>
    </w:p>
    <w:p w14:paraId="349EFCE7" w14:textId="77777777" w:rsidR="00492688" w:rsidRDefault="00492688">
      <w:pPr>
        <w:pStyle w:val="Textoindependiente"/>
        <w:spacing w:before="10"/>
        <w:rPr>
          <w:sz w:val="5"/>
        </w:rPr>
      </w:pPr>
    </w:p>
    <w:p w14:paraId="5259057B" w14:textId="77777777" w:rsidR="00492688" w:rsidRDefault="00C9584B">
      <w:pPr>
        <w:tabs>
          <w:tab w:val="left" w:pos="829"/>
        </w:tabs>
        <w:spacing w:before="101"/>
        <w:ind w:left="122" w:right="114" w:hanging="1"/>
        <w:rPr>
          <w:sz w:val="16"/>
        </w:rPr>
      </w:pPr>
      <w:bookmarkStart w:id="147" w:name="_bookmark122"/>
      <w:bookmarkEnd w:id="147"/>
      <w:r>
        <w:rPr>
          <w:position w:val="6"/>
          <w:sz w:val="10"/>
        </w:rPr>
        <w:t>97</w:t>
      </w:r>
      <w:r>
        <w:rPr>
          <w:position w:val="6"/>
          <w:sz w:val="10"/>
        </w:rPr>
        <w:tab/>
      </w:r>
      <w:r>
        <w:rPr>
          <w:i/>
          <w:sz w:val="16"/>
        </w:rPr>
        <w:t xml:space="preserve">Cfr. </w:t>
      </w:r>
      <w:r>
        <w:rPr>
          <w:sz w:val="16"/>
        </w:rPr>
        <w:t>Escrito de Contestación del Estado (expediente de fondo, folio 269), y Auto de 11 de julio de 1995, emitido por el Juez del Primer Juzgado Penal de Huánuco (expediente de prueba, folio</w:t>
      </w:r>
      <w:r>
        <w:rPr>
          <w:spacing w:val="-20"/>
          <w:sz w:val="16"/>
        </w:rPr>
        <w:t xml:space="preserve"> </w:t>
      </w:r>
      <w:r>
        <w:rPr>
          <w:sz w:val="16"/>
        </w:rPr>
        <w:t>1155).</w:t>
      </w:r>
    </w:p>
    <w:p w14:paraId="3C34182D" w14:textId="77777777" w:rsidR="00492688" w:rsidRDefault="00C9584B">
      <w:pPr>
        <w:tabs>
          <w:tab w:val="left" w:pos="829"/>
        </w:tabs>
        <w:spacing w:before="101"/>
        <w:ind w:left="121" w:right="121"/>
        <w:rPr>
          <w:sz w:val="16"/>
        </w:rPr>
      </w:pPr>
      <w:bookmarkStart w:id="148" w:name="_bookmark123"/>
      <w:bookmarkEnd w:id="148"/>
      <w:r>
        <w:rPr>
          <w:position w:val="6"/>
          <w:sz w:val="10"/>
        </w:rPr>
        <w:t>98</w:t>
      </w:r>
      <w:r>
        <w:rPr>
          <w:position w:val="6"/>
          <w:sz w:val="10"/>
        </w:rPr>
        <w:tab/>
      </w:r>
      <w:r>
        <w:rPr>
          <w:i/>
          <w:sz w:val="16"/>
        </w:rPr>
        <w:t>Cfr. Caso López Lone y otros Vs. Honduras, supra</w:t>
      </w:r>
      <w:r>
        <w:rPr>
          <w:sz w:val="16"/>
        </w:rPr>
        <w:t xml:space="preserve">, párrs. 246 – 250, y </w:t>
      </w:r>
      <w:r>
        <w:rPr>
          <w:i/>
          <w:sz w:val="16"/>
        </w:rPr>
        <w:t xml:space="preserve">Caso Rico Vs. Argentina. Excepción Preliminar y Fondo. </w:t>
      </w:r>
      <w:r>
        <w:rPr>
          <w:sz w:val="16"/>
        </w:rPr>
        <w:t>Sentencia de 2 de septiembre de 2019. Serie C No. 383, párr.</w:t>
      </w:r>
      <w:r>
        <w:rPr>
          <w:spacing w:val="-23"/>
          <w:sz w:val="16"/>
        </w:rPr>
        <w:t xml:space="preserve"> </w:t>
      </w:r>
      <w:r>
        <w:rPr>
          <w:sz w:val="16"/>
        </w:rPr>
        <w:t>84.</w:t>
      </w:r>
    </w:p>
    <w:p w14:paraId="35903DAE" w14:textId="77777777" w:rsidR="00492688" w:rsidRDefault="00492688">
      <w:pPr>
        <w:rPr>
          <w:sz w:val="16"/>
        </w:rPr>
        <w:sectPr w:rsidR="00492688">
          <w:pgSz w:w="12240" w:h="15840"/>
          <w:pgMar w:top="1500" w:right="1580" w:bottom="280" w:left="1580" w:header="720" w:footer="720" w:gutter="0"/>
          <w:cols w:space="720"/>
        </w:sectPr>
      </w:pPr>
    </w:p>
    <w:p w14:paraId="799B130D" w14:textId="77777777" w:rsidR="00492688" w:rsidRDefault="00C9584B">
      <w:pPr>
        <w:pStyle w:val="Textoindependiente"/>
        <w:spacing w:before="79"/>
        <w:ind w:left="121" w:right="117"/>
        <w:jc w:val="both"/>
      </w:pPr>
      <w:r>
        <w:lastRenderedPageBreak/>
        <w:t>1994, que permitía aplicar como primera opción la sanció</w:t>
      </w:r>
      <w:r>
        <w:t>n de destitución. Por su  parte, el señor Cordero Bernal fue encargado en el Primer Juzgado Penal de la Corte Superior de Huánuco el 22 de junio de 1995, el 11 de julio de 1995 habría cometido la conducta que fue calificada como falta disciplinaria, y el 1</w:t>
      </w:r>
      <w:r>
        <w:t>6 de agosto de 1996, se ordenó su</w:t>
      </w:r>
      <w:r>
        <w:rPr>
          <w:spacing w:val="-1"/>
        </w:rPr>
        <w:t xml:space="preserve"> </w:t>
      </w:r>
      <w:r>
        <w:t>destitución.</w:t>
      </w:r>
    </w:p>
    <w:p w14:paraId="4D36C791" w14:textId="77777777" w:rsidR="00492688" w:rsidRDefault="00492688">
      <w:pPr>
        <w:pStyle w:val="Textoindependiente"/>
        <w:spacing w:before="10"/>
        <w:rPr>
          <w:sz w:val="19"/>
        </w:rPr>
      </w:pPr>
    </w:p>
    <w:p w14:paraId="4992EA9B" w14:textId="77777777" w:rsidR="00492688" w:rsidRDefault="00C9584B">
      <w:pPr>
        <w:pStyle w:val="Prrafodelista"/>
        <w:numPr>
          <w:ilvl w:val="0"/>
          <w:numId w:val="12"/>
        </w:numPr>
        <w:tabs>
          <w:tab w:val="left" w:pos="689"/>
        </w:tabs>
        <w:ind w:right="116" w:firstLine="0"/>
        <w:jc w:val="both"/>
        <w:rPr>
          <w:sz w:val="20"/>
        </w:rPr>
      </w:pPr>
      <w:r>
        <w:rPr>
          <w:sz w:val="20"/>
        </w:rPr>
        <w:t>La Corte recuerda que el artículo 9 de la Convención se refiere al principio de legalidad y al principio de aplicación de la ley sancionatoria más favorable. Este último, indica que no es posible “imponer pena más grave que la aplicable en el momento de la</w:t>
      </w:r>
      <w:r>
        <w:rPr>
          <w:sz w:val="20"/>
        </w:rPr>
        <w:t xml:space="preserve"> comisión del delito” y que “si con posterioridad a la comisión del delito la ley dispone la imposición de una pena más leve, el delincuente se beneficiará de ello”. La Corte ha entendido que debe interpretarse como ley más favorable aquella que (i) establ</w:t>
      </w:r>
      <w:r>
        <w:rPr>
          <w:sz w:val="20"/>
        </w:rPr>
        <w:t>ece una sanción menor; (ii) elimina la consideración de una conducta anteriormente sancionable; o (iii) crea una nueva causa de justificación, de inculpabilidad o de impedimento a la operatividad de la sanción, y que este no constituye un listado taxativo</w:t>
      </w:r>
      <w:hyperlink w:anchor="_bookmark124" w:history="1">
        <w:r>
          <w:rPr>
            <w:position w:val="7"/>
            <w:sz w:val="13"/>
          </w:rPr>
          <w:t>99</w:t>
        </w:r>
      </w:hyperlink>
      <w:r>
        <w:rPr>
          <w:sz w:val="20"/>
        </w:rPr>
        <w:t>. Si bien la Corte no se ha pronunciado de forma expresa sobre la aplicación del principio de aplicación de la ley penal más favorable a asuntos disciplinarios, en su jurisprudencia sobre el artículo 9 de la Convención no h</w:t>
      </w:r>
      <w:r>
        <w:rPr>
          <w:sz w:val="20"/>
        </w:rPr>
        <w:t>a hecho distinción alguna entre el alcance de las garantías allí contenidas, antes bien, ha señalado de forma reiterada que dicho artículo, sin distinguir entre sus apartados, es aplicable en materia sancionatoria</w:t>
      </w:r>
      <w:r>
        <w:rPr>
          <w:spacing w:val="-2"/>
          <w:sz w:val="20"/>
        </w:rPr>
        <w:t xml:space="preserve"> </w:t>
      </w:r>
      <w:r>
        <w:rPr>
          <w:sz w:val="20"/>
        </w:rPr>
        <w:t>administrativa</w:t>
      </w:r>
      <w:hyperlink w:anchor="_bookmark125" w:history="1">
        <w:r>
          <w:rPr>
            <w:position w:val="7"/>
            <w:sz w:val="13"/>
          </w:rPr>
          <w:t>100</w:t>
        </w:r>
      </w:hyperlink>
      <w:r>
        <w:rPr>
          <w:sz w:val="20"/>
        </w:rPr>
        <w:t>.</w:t>
      </w:r>
    </w:p>
    <w:p w14:paraId="243F097D" w14:textId="77777777" w:rsidR="00492688" w:rsidRDefault="00492688">
      <w:pPr>
        <w:pStyle w:val="Textoindependiente"/>
        <w:spacing w:before="1"/>
      </w:pPr>
    </w:p>
    <w:p w14:paraId="215BB756" w14:textId="77777777" w:rsidR="00492688" w:rsidRDefault="00C9584B">
      <w:pPr>
        <w:pStyle w:val="Prrafodelista"/>
        <w:numPr>
          <w:ilvl w:val="0"/>
          <w:numId w:val="12"/>
        </w:numPr>
        <w:tabs>
          <w:tab w:val="left" w:pos="689"/>
        </w:tabs>
        <w:spacing w:before="1"/>
        <w:ind w:right="118" w:firstLine="0"/>
        <w:jc w:val="both"/>
        <w:rPr>
          <w:sz w:val="20"/>
        </w:rPr>
      </w:pPr>
      <w:r>
        <w:rPr>
          <w:sz w:val="20"/>
        </w:rPr>
        <w:t>En este caso, si bien la Comisión alegó que la LOPJ estaba vigente al momento de los hechos y de haberse aplicado habría permitido que el señor Cordero Bernal fuera sancionado con suspensión, la Corte encuentra que la LOCNM es una norma posterior</w:t>
      </w:r>
      <w:r>
        <w:rPr>
          <w:sz w:val="20"/>
        </w:rPr>
        <w:t>, que ordenaba que se derogaran las disposiciones que le fueran contrarias</w:t>
      </w:r>
      <w:hyperlink w:anchor="_bookmark126" w:history="1">
        <w:r>
          <w:rPr>
            <w:position w:val="7"/>
            <w:sz w:val="13"/>
          </w:rPr>
          <w:t>101</w:t>
        </w:r>
      </w:hyperlink>
      <w:r>
        <w:rPr>
          <w:sz w:val="20"/>
        </w:rPr>
        <w:t>. En ese sentido, la LOPJ mantuvo su vigencia en relación con la destitución de auxiliares judiciales, mientras que fue derogada en lo que se refer</w:t>
      </w:r>
      <w:r>
        <w:rPr>
          <w:sz w:val="20"/>
        </w:rPr>
        <w:t>ía a la destitución de jueces y magistrados, asunto que pasó a ser regulado por la LOCNM. Esta conclusión fue respaldada por el perito propuesto por el Estado, quien destacó que “considerando los criterios de jerarquía, temporalidad y especialidad, se debe</w:t>
      </w:r>
      <w:r>
        <w:rPr>
          <w:sz w:val="20"/>
        </w:rPr>
        <w:t xml:space="preserve"> entender que el artículo 31 de la LOCNM es la única norma aplicable para la destitución de magistrados. En ese sentido, no existen dos normas posiblemente aplicables. Por el contrario, solo exista una: el artículo 31 de la</w:t>
      </w:r>
      <w:r>
        <w:rPr>
          <w:spacing w:val="-4"/>
          <w:sz w:val="20"/>
        </w:rPr>
        <w:t xml:space="preserve"> </w:t>
      </w:r>
      <w:r>
        <w:rPr>
          <w:sz w:val="20"/>
        </w:rPr>
        <w:t>LOCNM”</w:t>
      </w:r>
      <w:hyperlink w:anchor="_bookmark127" w:history="1">
        <w:r>
          <w:rPr>
            <w:position w:val="7"/>
            <w:sz w:val="13"/>
          </w:rPr>
          <w:t>102</w:t>
        </w:r>
      </w:hyperlink>
      <w:r>
        <w:rPr>
          <w:sz w:val="20"/>
        </w:rPr>
        <w:t>.</w:t>
      </w:r>
    </w:p>
    <w:p w14:paraId="56951730" w14:textId="77777777" w:rsidR="00492688" w:rsidRDefault="00492688">
      <w:pPr>
        <w:pStyle w:val="Textoindependiente"/>
      </w:pPr>
    </w:p>
    <w:p w14:paraId="30A76813" w14:textId="77777777" w:rsidR="00492688" w:rsidRDefault="00C9584B">
      <w:pPr>
        <w:pStyle w:val="Prrafodelista"/>
        <w:numPr>
          <w:ilvl w:val="0"/>
          <w:numId w:val="12"/>
        </w:numPr>
        <w:tabs>
          <w:tab w:val="left" w:pos="688"/>
        </w:tabs>
        <w:ind w:right="118" w:hanging="1"/>
        <w:jc w:val="both"/>
        <w:rPr>
          <w:sz w:val="20"/>
        </w:rPr>
      </w:pPr>
      <w:r>
        <w:rPr>
          <w:sz w:val="20"/>
        </w:rPr>
        <w:t xml:space="preserve">Conforme a lo anterior, en materia de destitución de jueces, la norma vigente al momento de los hechos, era la Ley Orgánica del Consejo Nacional de la Magistratura. Esa norma, además, es previa a la conducta reprochada al señor Cordero Bernal. </w:t>
      </w:r>
      <w:r>
        <w:rPr>
          <w:sz w:val="20"/>
        </w:rPr>
        <w:t>De modo que no es procedente hacer un análisis sobre el alcance y aplicación del principio de aplicación de la ley sancionatoria más favorable en el caso concreto, pues no había, al momento de imponer la sanción, dos normas</w:t>
      </w:r>
      <w:r>
        <w:rPr>
          <w:spacing w:val="-12"/>
          <w:sz w:val="20"/>
        </w:rPr>
        <w:t xml:space="preserve"> </w:t>
      </w:r>
      <w:r>
        <w:rPr>
          <w:sz w:val="20"/>
        </w:rPr>
        <w:t>vigentes.</w:t>
      </w:r>
    </w:p>
    <w:p w14:paraId="2150805D" w14:textId="6B866FBB" w:rsidR="00492688" w:rsidRDefault="00C9584B">
      <w:pPr>
        <w:pStyle w:val="Textoindependiente"/>
        <w:spacing w:before="3"/>
        <w:rPr>
          <w:sz w:val="28"/>
        </w:rPr>
      </w:pPr>
      <w:r>
        <w:rPr>
          <w:noProof/>
        </w:rPr>
        <mc:AlternateContent>
          <mc:Choice Requires="wps">
            <w:drawing>
              <wp:anchor distT="0" distB="0" distL="0" distR="0" simplePos="0" relativeHeight="251680768" behindDoc="1" locked="0" layoutInCell="1" allowOverlap="1" wp14:anchorId="0A1DAE3E" wp14:editId="11405195">
                <wp:simplePos x="0" y="0"/>
                <wp:positionH relativeFrom="page">
                  <wp:posOffset>1080770</wp:posOffset>
                </wp:positionH>
                <wp:positionV relativeFrom="paragraph">
                  <wp:posOffset>247015</wp:posOffset>
                </wp:positionV>
                <wp:extent cx="1828800" cy="1270"/>
                <wp:effectExtent l="0" t="0" r="0" b="0"/>
                <wp:wrapTopAndBottom/>
                <wp:docPr id="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D3ECD" id="Freeform 20" o:spid="_x0000_s1026" style="position:absolute;margin-left:85.1pt;margin-top:19.45pt;width:2in;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285932FF" w14:textId="77777777" w:rsidR="00492688" w:rsidRDefault="00492688">
      <w:pPr>
        <w:pStyle w:val="Textoindependiente"/>
        <w:spacing w:before="1"/>
        <w:rPr>
          <w:sz w:val="6"/>
        </w:rPr>
      </w:pPr>
    </w:p>
    <w:p w14:paraId="010637DB" w14:textId="77777777" w:rsidR="00492688" w:rsidRDefault="00C9584B">
      <w:pPr>
        <w:tabs>
          <w:tab w:val="left" w:pos="829"/>
        </w:tabs>
        <w:spacing w:before="101"/>
        <w:ind w:left="121" w:right="116" w:hanging="1"/>
        <w:jc w:val="both"/>
        <w:rPr>
          <w:sz w:val="16"/>
        </w:rPr>
      </w:pPr>
      <w:bookmarkStart w:id="149" w:name="_bookmark124"/>
      <w:bookmarkEnd w:id="149"/>
      <w:r>
        <w:rPr>
          <w:position w:val="6"/>
          <w:sz w:val="10"/>
        </w:rPr>
        <w:t>99</w:t>
      </w:r>
      <w:r>
        <w:rPr>
          <w:position w:val="6"/>
          <w:sz w:val="10"/>
        </w:rPr>
        <w:tab/>
      </w:r>
      <w:r>
        <w:rPr>
          <w:i/>
          <w:sz w:val="16"/>
        </w:rPr>
        <w:t>Cfr. Mutatis Mut</w:t>
      </w:r>
      <w:r>
        <w:rPr>
          <w:i/>
          <w:sz w:val="16"/>
        </w:rPr>
        <w:t xml:space="preserve">andis, Caso Ricardo Canese Vs. Paraguay. Fondo, Reparaciones y Costas. </w:t>
      </w:r>
      <w:r>
        <w:rPr>
          <w:sz w:val="16"/>
        </w:rPr>
        <w:t>Sentencia de 31 de agosto de 2004. Serie C No. 111, párr.</w:t>
      </w:r>
      <w:r>
        <w:rPr>
          <w:spacing w:val="-10"/>
          <w:sz w:val="16"/>
        </w:rPr>
        <w:t xml:space="preserve"> </w:t>
      </w:r>
      <w:r>
        <w:rPr>
          <w:sz w:val="16"/>
        </w:rPr>
        <w:t>179.</w:t>
      </w:r>
    </w:p>
    <w:p w14:paraId="66999084" w14:textId="77777777" w:rsidR="00492688" w:rsidRDefault="00C9584B">
      <w:pPr>
        <w:tabs>
          <w:tab w:val="left" w:pos="829"/>
        </w:tabs>
        <w:spacing w:before="100"/>
        <w:ind w:left="122" w:right="115" w:hanging="1"/>
        <w:jc w:val="both"/>
        <w:rPr>
          <w:sz w:val="16"/>
        </w:rPr>
      </w:pPr>
      <w:bookmarkStart w:id="150" w:name="_bookmark125"/>
      <w:bookmarkEnd w:id="150"/>
      <w:r>
        <w:rPr>
          <w:position w:val="6"/>
          <w:sz w:val="10"/>
        </w:rPr>
        <w:t>100</w:t>
      </w:r>
      <w:r>
        <w:rPr>
          <w:position w:val="6"/>
          <w:sz w:val="10"/>
        </w:rPr>
        <w:tab/>
      </w:r>
      <w:r>
        <w:rPr>
          <w:sz w:val="16"/>
        </w:rPr>
        <w:t xml:space="preserve">Por ejemplo, en el </w:t>
      </w:r>
      <w:r>
        <w:rPr>
          <w:i/>
          <w:sz w:val="16"/>
        </w:rPr>
        <w:t xml:space="preserve">caso López Lone Vs. Honduras </w:t>
      </w:r>
      <w:r>
        <w:rPr>
          <w:sz w:val="16"/>
        </w:rPr>
        <w:t xml:space="preserve">la Corte señaló: “el artículo 9 de la Convención Americana, el cual establece el principio de legalidad, es aplicable a la materia sancionatoria administrativa”. </w:t>
      </w:r>
      <w:r>
        <w:rPr>
          <w:i/>
          <w:sz w:val="16"/>
        </w:rPr>
        <w:t>Caso López Lone y otros Vs. Honduras, supra</w:t>
      </w:r>
      <w:r>
        <w:rPr>
          <w:sz w:val="16"/>
        </w:rPr>
        <w:t>, párr.</w:t>
      </w:r>
      <w:r>
        <w:rPr>
          <w:spacing w:val="-9"/>
          <w:sz w:val="16"/>
        </w:rPr>
        <w:t xml:space="preserve"> </w:t>
      </w:r>
      <w:r>
        <w:rPr>
          <w:sz w:val="16"/>
        </w:rPr>
        <w:t>257.</w:t>
      </w:r>
    </w:p>
    <w:p w14:paraId="2C4A0E7E" w14:textId="77777777" w:rsidR="00492688" w:rsidRDefault="00C9584B">
      <w:pPr>
        <w:tabs>
          <w:tab w:val="left" w:pos="829"/>
        </w:tabs>
        <w:spacing w:before="99"/>
        <w:ind w:left="119" w:right="116" w:firstLine="1"/>
        <w:jc w:val="both"/>
        <w:rPr>
          <w:sz w:val="16"/>
        </w:rPr>
      </w:pPr>
      <w:bookmarkStart w:id="151" w:name="_bookmark126"/>
      <w:bookmarkEnd w:id="151"/>
      <w:r>
        <w:rPr>
          <w:position w:val="6"/>
          <w:sz w:val="10"/>
        </w:rPr>
        <w:t>101</w:t>
      </w:r>
      <w:r>
        <w:rPr>
          <w:position w:val="6"/>
          <w:sz w:val="10"/>
        </w:rPr>
        <w:tab/>
      </w:r>
      <w:r>
        <w:rPr>
          <w:sz w:val="16"/>
        </w:rPr>
        <w:t>“Décima. - Deróganse el Decreto Le</w:t>
      </w:r>
      <w:r>
        <w:rPr>
          <w:sz w:val="16"/>
        </w:rPr>
        <w:t xml:space="preserve">gislativo Nº 25, el Artículo 226 de la Ley Orgánica del Poder Judicial y todas las disposiciones legales que se opongan a la presente ley”. Disposiciones Transitorias y Finales. Ley Orgánica del Consejo Nacional de la Magistratura, 25 de noviembre de 1994 </w:t>
      </w:r>
      <w:r>
        <w:rPr>
          <w:sz w:val="16"/>
        </w:rPr>
        <w:t>(expediente de prueba, folio</w:t>
      </w:r>
      <w:r>
        <w:rPr>
          <w:spacing w:val="-2"/>
          <w:sz w:val="16"/>
        </w:rPr>
        <w:t xml:space="preserve"> </w:t>
      </w:r>
      <w:r>
        <w:rPr>
          <w:sz w:val="16"/>
        </w:rPr>
        <w:t>1646).</w:t>
      </w:r>
    </w:p>
    <w:p w14:paraId="301AC45A" w14:textId="77777777" w:rsidR="00492688" w:rsidRDefault="00C9584B">
      <w:pPr>
        <w:tabs>
          <w:tab w:val="left" w:pos="829"/>
        </w:tabs>
        <w:spacing w:before="100"/>
        <w:ind w:left="121" w:right="118"/>
        <w:jc w:val="both"/>
        <w:rPr>
          <w:sz w:val="16"/>
        </w:rPr>
      </w:pPr>
      <w:bookmarkStart w:id="152" w:name="_bookmark127"/>
      <w:bookmarkEnd w:id="152"/>
      <w:r>
        <w:rPr>
          <w:position w:val="6"/>
          <w:sz w:val="10"/>
        </w:rPr>
        <w:t>102</w:t>
      </w:r>
      <w:r>
        <w:rPr>
          <w:position w:val="6"/>
          <w:sz w:val="10"/>
        </w:rPr>
        <w:tab/>
      </w:r>
      <w:r>
        <w:rPr>
          <w:sz w:val="16"/>
        </w:rPr>
        <w:t>Declaración pericial rendida por el señor Ramón Alberto Huapaya Tapia (expediente de prueba, folio 1856).</w:t>
      </w:r>
    </w:p>
    <w:p w14:paraId="0DEB7C9A" w14:textId="77777777" w:rsidR="00492688" w:rsidRDefault="00492688">
      <w:pPr>
        <w:jc w:val="both"/>
        <w:rPr>
          <w:sz w:val="16"/>
        </w:rPr>
        <w:sectPr w:rsidR="00492688">
          <w:pgSz w:w="12240" w:h="15840"/>
          <w:pgMar w:top="1340" w:right="1580" w:bottom="280" w:left="1580" w:header="720" w:footer="720" w:gutter="0"/>
          <w:cols w:space="720"/>
        </w:sectPr>
      </w:pPr>
    </w:p>
    <w:p w14:paraId="1E17D380" w14:textId="77777777" w:rsidR="00492688" w:rsidRDefault="00C9584B">
      <w:pPr>
        <w:pStyle w:val="Ttulo2"/>
        <w:spacing w:before="161"/>
      </w:pPr>
      <w:bookmarkStart w:id="153" w:name="B.5_Conclusión"/>
      <w:bookmarkStart w:id="154" w:name="_bookmark128"/>
      <w:bookmarkEnd w:id="153"/>
      <w:bookmarkEnd w:id="154"/>
      <w:r>
        <w:lastRenderedPageBreak/>
        <w:t>B.5 Conclusión</w:t>
      </w:r>
    </w:p>
    <w:p w14:paraId="131987C8" w14:textId="77777777" w:rsidR="00492688" w:rsidRDefault="00492688">
      <w:pPr>
        <w:pStyle w:val="Textoindependiente"/>
        <w:spacing w:before="1"/>
        <w:rPr>
          <w:b/>
          <w:i/>
        </w:rPr>
      </w:pPr>
    </w:p>
    <w:p w14:paraId="557AB28F" w14:textId="77777777" w:rsidR="00492688" w:rsidRDefault="00C9584B">
      <w:pPr>
        <w:pStyle w:val="Prrafodelista"/>
        <w:numPr>
          <w:ilvl w:val="0"/>
          <w:numId w:val="12"/>
        </w:numPr>
        <w:tabs>
          <w:tab w:val="left" w:pos="688"/>
        </w:tabs>
        <w:ind w:right="118" w:hanging="1"/>
        <w:jc w:val="both"/>
        <w:rPr>
          <w:sz w:val="20"/>
        </w:rPr>
      </w:pPr>
      <w:r>
        <w:rPr>
          <w:sz w:val="20"/>
        </w:rPr>
        <w:t>De conformidad con las consideraciones anteriores, la Corte encuentra que debido a que la resolución mediante la cual el Consejo Nacional de la Magistratura destituyó al señor Cordero Bernal está debidamente motivada, y a que fue adoptada conforme a la nor</w:t>
      </w:r>
      <w:r>
        <w:rPr>
          <w:sz w:val="20"/>
        </w:rPr>
        <w:t xml:space="preserve">matividad vigente para la fecha de los hechos, referida a la destitución de jueces y magistrados, el Estado no es responsable por la violación de los derechos a las garantías judiciales en relación con la garantía de inamovilidad en el cargo de los jueces </w:t>
      </w:r>
      <w:r>
        <w:rPr>
          <w:sz w:val="20"/>
        </w:rPr>
        <w:t xml:space="preserve">y juezas, el principio de legalidad y el derecho a acceder a un cargo público en condiciones de igualdad, establecidos en los artículos 8.1, 9 y 23.1 de la Convención Americana, en relación con los artículos 1.1 y 2 del mismo instrumento, en perjuicio del </w:t>
      </w:r>
      <w:r>
        <w:rPr>
          <w:sz w:val="20"/>
        </w:rPr>
        <w:t>señor Héctor Fidel Cordero</w:t>
      </w:r>
      <w:r>
        <w:rPr>
          <w:spacing w:val="-5"/>
          <w:sz w:val="20"/>
        </w:rPr>
        <w:t xml:space="preserve"> </w:t>
      </w:r>
      <w:r>
        <w:rPr>
          <w:sz w:val="20"/>
        </w:rPr>
        <w:t>Bernal.</w:t>
      </w:r>
    </w:p>
    <w:p w14:paraId="5F210CE9" w14:textId="77777777" w:rsidR="00492688" w:rsidRDefault="00492688">
      <w:pPr>
        <w:pStyle w:val="Textoindependiente"/>
      </w:pPr>
    </w:p>
    <w:p w14:paraId="11F9353E" w14:textId="77777777" w:rsidR="00492688" w:rsidRDefault="00C9584B">
      <w:pPr>
        <w:spacing w:line="243" w:lineRule="exact"/>
        <w:ind w:left="124" w:right="124"/>
        <w:jc w:val="center"/>
        <w:rPr>
          <w:b/>
          <w:sz w:val="20"/>
        </w:rPr>
      </w:pPr>
      <w:bookmarkStart w:id="155" w:name="VII-2_PROTECCIÓN_JUDICIAL,_EN_RELACIÓN_C"/>
      <w:bookmarkStart w:id="156" w:name="_bookmark129"/>
      <w:bookmarkEnd w:id="155"/>
      <w:bookmarkEnd w:id="156"/>
      <w:r>
        <w:rPr>
          <w:b/>
          <w:sz w:val="20"/>
        </w:rPr>
        <w:t>VII-2</w:t>
      </w:r>
    </w:p>
    <w:p w14:paraId="207C42E6" w14:textId="77777777" w:rsidR="00492688" w:rsidRDefault="00C9584B">
      <w:pPr>
        <w:ind w:left="124" w:right="126"/>
        <w:jc w:val="center"/>
        <w:rPr>
          <w:b/>
          <w:sz w:val="13"/>
        </w:rPr>
      </w:pPr>
      <w:r>
        <w:rPr>
          <w:b/>
          <w:sz w:val="20"/>
        </w:rPr>
        <w:t>PROTECCIÓN JUDICIAL, EN RELACIÓN CON LAS OBLIGACIONES DE RESPETAR Y GARANTIZAR LOS DERECHOS Y ADOPTAR DISPOSICIONES DE DERECHO INTERNO</w:t>
      </w:r>
      <w:hyperlink w:anchor="_bookmark132" w:history="1">
        <w:r>
          <w:rPr>
            <w:b/>
            <w:position w:val="7"/>
            <w:sz w:val="13"/>
          </w:rPr>
          <w:t>103</w:t>
        </w:r>
      </w:hyperlink>
    </w:p>
    <w:p w14:paraId="5A1F2DF2" w14:textId="77777777" w:rsidR="00492688" w:rsidRDefault="00492688">
      <w:pPr>
        <w:pStyle w:val="Textoindependiente"/>
        <w:spacing w:before="11"/>
        <w:rPr>
          <w:b/>
          <w:sz w:val="19"/>
        </w:rPr>
      </w:pPr>
    </w:p>
    <w:p w14:paraId="7932862F" w14:textId="77777777" w:rsidR="00492688" w:rsidRDefault="00C9584B">
      <w:pPr>
        <w:pStyle w:val="Ttulo1"/>
        <w:numPr>
          <w:ilvl w:val="0"/>
          <w:numId w:val="6"/>
        </w:numPr>
        <w:tabs>
          <w:tab w:val="left" w:pos="830"/>
        </w:tabs>
        <w:spacing w:before="1"/>
        <w:ind w:hanging="349"/>
      </w:pPr>
      <w:bookmarkStart w:id="157" w:name="A._Alegatos_de_las_partes_y_de_la_Comisi"/>
      <w:bookmarkStart w:id="158" w:name="_bookmark130"/>
      <w:bookmarkEnd w:id="157"/>
      <w:bookmarkEnd w:id="158"/>
      <w:r>
        <w:t>Alegatos de las partes y de la</w:t>
      </w:r>
      <w:r>
        <w:rPr>
          <w:spacing w:val="-4"/>
        </w:rPr>
        <w:t xml:space="preserve"> </w:t>
      </w:r>
      <w:r>
        <w:t>Comisión</w:t>
      </w:r>
    </w:p>
    <w:p w14:paraId="2252C125" w14:textId="77777777" w:rsidR="00492688" w:rsidRDefault="00492688">
      <w:pPr>
        <w:pStyle w:val="Textoindependiente"/>
        <w:rPr>
          <w:b/>
        </w:rPr>
      </w:pPr>
    </w:p>
    <w:p w14:paraId="5BC87CE2" w14:textId="77777777" w:rsidR="00492688" w:rsidRDefault="00C9584B">
      <w:pPr>
        <w:pStyle w:val="Prrafodelista"/>
        <w:numPr>
          <w:ilvl w:val="0"/>
          <w:numId w:val="12"/>
        </w:numPr>
        <w:tabs>
          <w:tab w:val="left" w:pos="688"/>
        </w:tabs>
        <w:spacing w:before="1"/>
        <w:ind w:right="119" w:hanging="1"/>
        <w:jc w:val="both"/>
        <w:rPr>
          <w:sz w:val="20"/>
        </w:rPr>
      </w:pPr>
      <w:r>
        <w:rPr>
          <w:sz w:val="20"/>
        </w:rPr>
        <w:t>La</w:t>
      </w:r>
      <w:r>
        <w:rPr>
          <w:sz w:val="20"/>
        </w:rPr>
        <w:t xml:space="preserve"> </w:t>
      </w:r>
      <w:r>
        <w:rPr>
          <w:b/>
          <w:i/>
          <w:sz w:val="20"/>
        </w:rPr>
        <w:t xml:space="preserve">Comisión </w:t>
      </w:r>
      <w:r>
        <w:rPr>
          <w:sz w:val="20"/>
        </w:rPr>
        <w:t>sostuvo que la Constitución y la ley peruanas disponen que no son impugnables las decisiones del Consejo Nacional de la Magistratura, y que solo procede el recurso de amparo en caso de violaciones al debido proceso. En ese sentido, concluyó que n</w:t>
      </w:r>
      <w:r>
        <w:rPr>
          <w:sz w:val="20"/>
        </w:rPr>
        <w:t>o existía un recurso ni en la vía administrativa ni en la judicial para obtener una revisión del fallo sancionatorio. Asimismo, indicó que del contenido de las decisiones de amparo se desprende que los órganos competentes no realizaron un examen integral t</w:t>
      </w:r>
      <w:r>
        <w:rPr>
          <w:sz w:val="20"/>
        </w:rPr>
        <w:t>anto de aspectos de hecho como de derecho respecto de la decisión de destitución de la presunta víctima, limitando el ámbito de su competencia a cuestiones de debido</w:t>
      </w:r>
      <w:r>
        <w:rPr>
          <w:spacing w:val="-2"/>
          <w:sz w:val="20"/>
        </w:rPr>
        <w:t xml:space="preserve"> </w:t>
      </w:r>
      <w:r>
        <w:rPr>
          <w:sz w:val="20"/>
        </w:rPr>
        <w:t>proceso.</w:t>
      </w:r>
    </w:p>
    <w:p w14:paraId="356BDF24" w14:textId="77777777" w:rsidR="00492688" w:rsidRDefault="00492688">
      <w:pPr>
        <w:pStyle w:val="Textoindependiente"/>
        <w:spacing w:before="10"/>
        <w:rPr>
          <w:sz w:val="19"/>
        </w:rPr>
      </w:pPr>
    </w:p>
    <w:p w14:paraId="065C3748" w14:textId="77777777" w:rsidR="00492688" w:rsidRDefault="00C9584B">
      <w:pPr>
        <w:pStyle w:val="Prrafodelista"/>
        <w:numPr>
          <w:ilvl w:val="0"/>
          <w:numId w:val="12"/>
        </w:numPr>
        <w:tabs>
          <w:tab w:val="left" w:pos="689"/>
        </w:tabs>
        <w:ind w:right="122" w:firstLine="0"/>
        <w:jc w:val="both"/>
        <w:rPr>
          <w:sz w:val="20"/>
        </w:rPr>
      </w:pPr>
      <w:r>
        <w:rPr>
          <w:sz w:val="20"/>
        </w:rPr>
        <w:t xml:space="preserve">Las </w:t>
      </w:r>
      <w:r>
        <w:rPr>
          <w:b/>
          <w:i/>
          <w:sz w:val="20"/>
        </w:rPr>
        <w:t xml:space="preserve">representantes </w:t>
      </w:r>
      <w:r>
        <w:rPr>
          <w:sz w:val="20"/>
        </w:rPr>
        <w:t>coincidieron con los argumentos presentados por la Comisión</w:t>
      </w:r>
      <w:r>
        <w:rPr>
          <w:spacing w:val="-1"/>
          <w:sz w:val="20"/>
        </w:rPr>
        <w:t xml:space="preserve"> </w:t>
      </w:r>
      <w:r>
        <w:rPr>
          <w:sz w:val="20"/>
        </w:rPr>
        <w:t>Interamericana.</w:t>
      </w:r>
    </w:p>
    <w:p w14:paraId="1AC17869" w14:textId="77777777" w:rsidR="00492688" w:rsidRDefault="00492688">
      <w:pPr>
        <w:pStyle w:val="Textoindependiente"/>
      </w:pPr>
    </w:p>
    <w:p w14:paraId="0B3510EA" w14:textId="77777777" w:rsidR="00492688" w:rsidRDefault="00C9584B">
      <w:pPr>
        <w:pStyle w:val="Prrafodelista"/>
        <w:numPr>
          <w:ilvl w:val="0"/>
          <w:numId w:val="12"/>
        </w:numPr>
        <w:tabs>
          <w:tab w:val="left" w:pos="688"/>
        </w:tabs>
        <w:spacing w:before="1"/>
        <w:ind w:right="118" w:firstLine="0"/>
        <w:jc w:val="both"/>
        <w:rPr>
          <w:sz w:val="20"/>
        </w:rPr>
      </w:pPr>
      <w:r>
        <w:rPr>
          <w:sz w:val="20"/>
        </w:rPr>
        <w:t xml:space="preserve">El </w:t>
      </w:r>
      <w:r>
        <w:rPr>
          <w:b/>
          <w:i/>
          <w:sz w:val="20"/>
        </w:rPr>
        <w:t xml:space="preserve">Estado </w:t>
      </w:r>
      <w:r>
        <w:rPr>
          <w:sz w:val="20"/>
        </w:rPr>
        <w:t>alegó que, al intervenir dos órganos independientes en el procedimiento que da lugar a la destitución (la OCMA y el CNM), se “justifica que no se requiera de una revisión judicial, pues de otro modo, se restaría valor y efectividad a las decisiones que sob</w:t>
      </w:r>
      <w:r>
        <w:rPr>
          <w:sz w:val="20"/>
        </w:rPr>
        <w:t xml:space="preserve">re este aspecto emita el CNM, más aún cuando este ha sido constitucionalmente creado especialmente para evaluar la destitución o no de Magistrados cuando así la ley lo disponga y bajo un procedimiento que es riguroso”. También argumentó que las decisiones </w:t>
      </w:r>
      <w:r>
        <w:rPr>
          <w:sz w:val="20"/>
        </w:rPr>
        <w:t>finales en materia de destitución de magistrados pueden ser cuestionadas en sede judicial mediante la acción de amparo y señaló que este es un procedimiento idóneo para evitar actuaciones arbitrarias y analizar la vulneración de derechos fundamentales como</w:t>
      </w:r>
      <w:r>
        <w:rPr>
          <w:sz w:val="20"/>
        </w:rPr>
        <w:t xml:space="preserve"> el debido</w:t>
      </w:r>
      <w:r>
        <w:rPr>
          <w:spacing w:val="-17"/>
          <w:sz w:val="20"/>
        </w:rPr>
        <w:t xml:space="preserve"> </w:t>
      </w:r>
      <w:r>
        <w:rPr>
          <w:sz w:val="20"/>
        </w:rPr>
        <w:t>proceso.</w:t>
      </w:r>
    </w:p>
    <w:p w14:paraId="0DD6A067" w14:textId="77777777" w:rsidR="00492688" w:rsidRDefault="00492688">
      <w:pPr>
        <w:pStyle w:val="Textoindependiente"/>
      </w:pPr>
    </w:p>
    <w:p w14:paraId="7DD43627" w14:textId="77777777" w:rsidR="00492688" w:rsidRDefault="00C9584B">
      <w:pPr>
        <w:pStyle w:val="Ttulo1"/>
        <w:numPr>
          <w:ilvl w:val="0"/>
          <w:numId w:val="6"/>
        </w:numPr>
        <w:tabs>
          <w:tab w:val="left" w:pos="829"/>
        </w:tabs>
        <w:ind w:left="828" w:hanging="349"/>
      </w:pPr>
      <w:bookmarkStart w:id="159" w:name="B._Consideraciones_de_la_Corte"/>
      <w:bookmarkStart w:id="160" w:name="_bookmark131"/>
      <w:bookmarkEnd w:id="159"/>
      <w:bookmarkEnd w:id="160"/>
      <w:r>
        <w:t>Consideraciones de la</w:t>
      </w:r>
      <w:r>
        <w:rPr>
          <w:spacing w:val="-3"/>
        </w:rPr>
        <w:t xml:space="preserve"> </w:t>
      </w:r>
      <w:r>
        <w:t>Corte</w:t>
      </w:r>
    </w:p>
    <w:p w14:paraId="512E72D9" w14:textId="77777777" w:rsidR="00492688" w:rsidRDefault="00492688">
      <w:pPr>
        <w:pStyle w:val="Textoindependiente"/>
        <w:rPr>
          <w:b/>
          <w:sz w:val="23"/>
        </w:rPr>
      </w:pPr>
    </w:p>
    <w:p w14:paraId="7DF8D242" w14:textId="77777777" w:rsidR="00492688" w:rsidRDefault="00C9584B">
      <w:pPr>
        <w:pStyle w:val="Prrafodelista"/>
        <w:numPr>
          <w:ilvl w:val="0"/>
          <w:numId w:val="12"/>
        </w:numPr>
        <w:tabs>
          <w:tab w:val="left" w:pos="688"/>
        </w:tabs>
        <w:spacing w:before="1"/>
        <w:ind w:right="119" w:firstLine="0"/>
        <w:jc w:val="both"/>
        <w:rPr>
          <w:sz w:val="20"/>
        </w:rPr>
      </w:pPr>
      <w:r>
        <w:rPr>
          <w:sz w:val="20"/>
        </w:rPr>
        <w:t>En relación con el artículo 25.1 de la Convención, este Tribunal ha indicado que contempla la obligación de los Estados parte de garantizar a todas las personas bajo su jurisdicción</w:t>
      </w:r>
      <w:r>
        <w:rPr>
          <w:spacing w:val="30"/>
          <w:sz w:val="20"/>
        </w:rPr>
        <w:t xml:space="preserve"> </w:t>
      </w:r>
      <w:r>
        <w:rPr>
          <w:sz w:val="20"/>
        </w:rPr>
        <w:t>un</w:t>
      </w:r>
      <w:r>
        <w:rPr>
          <w:spacing w:val="28"/>
          <w:sz w:val="20"/>
        </w:rPr>
        <w:t xml:space="preserve"> </w:t>
      </w:r>
      <w:r>
        <w:rPr>
          <w:sz w:val="20"/>
        </w:rPr>
        <w:t>recurso</w:t>
      </w:r>
      <w:r>
        <w:rPr>
          <w:spacing w:val="26"/>
          <w:sz w:val="20"/>
        </w:rPr>
        <w:t xml:space="preserve"> </w:t>
      </w:r>
      <w:r>
        <w:rPr>
          <w:sz w:val="20"/>
        </w:rPr>
        <w:t>judicial</w:t>
      </w:r>
      <w:r>
        <w:rPr>
          <w:spacing w:val="29"/>
          <w:sz w:val="20"/>
        </w:rPr>
        <w:t xml:space="preserve"> </w:t>
      </w:r>
      <w:r>
        <w:rPr>
          <w:sz w:val="20"/>
        </w:rPr>
        <w:t>senc</w:t>
      </w:r>
      <w:r>
        <w:rPr>
          <w:sz w:val="20"/>
        </w:rPr>
        <w:t>illo,</w:t>
      </w:r>
      <w:r>
        <w:rPr>
          <w:spacing w:val="29"/>
          <w:sz w:val="20"/>
        </w:rPr>
        <w:t xml:space="preserve"> </w:t>
      </w:r>
      <w:r>
        <w:rPr>
          <w:sz w:val="20"/>
        </w:rPr>
        <w:t>rápido</w:t>
      </w:r>
      <w:r>
        <w:rPr>
          <w:spacing w:val="26"/>
          <w:sz w:val="20"/>
        </w:rPr>
        <w:t xml:space="preserve"> </w:t>
      </w:r>
      <w:r>
        <w:rPr>
          <w:sz w:val="20"/>
        </w:rPr>
        <w:t>o</w:t>
      </w:r>
      <w:r>
        <w:rPr>
          <w:spacing w:val="30"/>
          <w:sz w:val="20"/>
        </w:rPr>
        <w:t xml:space="preserve"> </w:t>
      </w:r>
      <w:r>
        <w:rPr>
          <w:sz w:val="20"/>
        </w:rPr>
        <w:t>efectivo</w:t>
      </w:r>
      <w:r>
        <w:rPr>
          <w:spacing w:val="26"/>
          <w:sz w:val="20"/>
        </w:rPr>
        <w:t xml:space="preserve"> </w:t>
      </w:r>
      <w:r>
        <w:rPr>
          <w:sz w:val="20"/>
        </w:rPr>
        <w:t>ante</w:t>
      </w:r>
      <w:r>
        <w:rPr>
          <w:spacing w:val="29"/>
          <w:sz w:val="20"/>
        </w:rPr>
        <w:t xml:space="preserve"> </w:t>
      </w:r>
      <w:r>
        <w:rPr>
          <w:sz w:val="20"/>
        </w:rPr>
        <w:t>juez</w:t>
      </w:r>
      <w:r>
        <w:rPr>
          <w:spacing w:val="30"/>
          <w:sz w:val="20"/>
        </w:rPr>
        <w:t xml:space="preserve"> </w:t>
      </w:r>
      <w:r>
        <w:rPr>
          <w:sz w:val="20"/>
        </w:rPr>
        <w:t>o</w:t>
      </w:r>
      <w:r>
        <w:rPr>
          <w:spacing w:val="26"/>
          <w:sz w:val="20"/>
        </w:rPr>
        <w:t xml:space="preserve"> </w:t>
      </w:r>
      <w:r>
        <w:rPr>
          <w:sz w:val="20"/>
        </w:rPr>
        <w:t>tribunal</w:t>
      </w:r>
    </w:p>
    <w:p w14:paraId="4DA72F9A" w14:textId="6CCB9429" w:rsidR="00492688" w:rsidRDefault="00C9584B">
      <w:pPr>
        <w:pStyle w:val="Textoindependiente"/>
        <w:spacing w:before="10"/>
        <w:rPr>
          <w:sz w:val="29"/>
        </w:rPr>
      </w:pPr>
      <w:r>
        <w:rPr>
          <w:noProof/>
        </w:rPr>
        <mc:AlternateContent>
          <mc:Choice Requires="wps">
            <w:drawing>
              <wp:anchor distT="0" distB="0" distL="0" distR="0" simplePos="0" relativeHeight="251681792" behindDoc="1" locked="0" layoutInCell="1" allowOverlap="1" wp14:anchorId="2FB23679" wp14:editId="4DE1DC41">
                <wp:simplePos x="0" y="0"/>
                <wp:positionH relativeFrom="page">
                  <wp:posOffset>1080770</wp:posOffset>
                </wp:positionH>
                <wp:positionV relativeFrom="paragraph">
                  <wp:posOffset>259080</wp:posOffset>
                </wp:positionV>
                <wp:extent cx="1828800" cy="1270"/>
                <wp:effectExtent l="0" t="0" r="0" b="0"/>
                <wp:wrapTopAndBottom/>
                <wp:docPr id="1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DA99E" id="Freeform 19" o:spid="_x0000_s1026" style="position:absolute;margin-left:85.1pt;margin-top:20.4pt;width:2in;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21DA0A14" w14:textId="77777777" w:rsidR="00492688" w:rsidRDefault="00492688">
      <w:pPr>
        <w:pStyle w:val="Textoindependiente"/>
        <w:spacing w:before="1"/>
        <w:rPr>
          <w:sz w:val="6"/>
        </w:rPr>
      </w:pPr>
    </w:p>
    <w:p w14:paraId="44C160A8" w14:textId="77777777" w:rsidR="00492688" w:rsidRDefault="00C9584B">
      <w:pPr>
        <w:tabs>
          <w:tab w:val="left" w:pos="829"/>
        </w:tabs>
        <w:spacing w:before="101"/>
        <w:ind w:left="121"/>
        <w:rPr>
          <w:sz w:val="16"/>
        </w:rPr>
      </w:pPr>
      <w:bookmarkStart w:id="161" w:name="_bookmark132"/>
      <w:bookmarkEnd w:id="161"/>
      <w:r>
        <w:rPr>
          <w:position w:val="6"/>
          <w:sz w:val="10"/>
        </w:rPr>
        <w:t>103</w:t>
      </w:r>
      <w:r>
        <w:rPr>
          <w:position w:val="6"/>
          <w:sz w:val="10"/>
        </w:rPr>
        <w:tab/>
      </w:r>
      <w:r>
        <w:rPr>
          <w:sz w:val="16"/>
        </w:rPr>
        <w:t>Artículo 25 de la Convención Americana, en relación con el artículo 1.1 y 2 del mismo</w:t>
      </w:r>
      <w:r>
        <w:rPr>
          <w:spacing w:val="-30"/>
          <w:sz w:val="16"/>
        </w:rPr>
        <w:t xml:space="preserve"> </w:t>
      </w:r>
      <w:r>
        <w:rPr>
          <w:sz w:val="16"/>
        </w:rPr>
        <w:t>instrumento.</w:t>
      </w:r>
    </w:p>
    <w:p w14:paraId="49A5DA22" w14:textId="77777777" w:rsidR="00492688" w:rsidRDefault="00492688">
      <w:pPr>
        <w:rPr>
          <w:sz w:val="16"/>
        </w:rPr>
        <w:sectPr w:rsidR="00492688">
          <w:pgSz w:w="12240" w:h="15840"/>
          <w:pgMar w:top="1500" w:right="1580" w:bottom="280" w:left="1580" w:header="720" w:footer="720" w:gutter="0"/>
          <w:cols w:space="720"/>
        </w:sectPr>
      </w:pPr>
    </w:p>
    <w:p w14:paraId="7AAE20AA" w14:textId="77777777" w:rsidR="00492688" w:rsidRDefault="00C9584B">
      <w:pPr>
        <w:pStyle w:val="Textoindependiente"/>
        <w:spacing w:before="79"/>
        <w:ind w:left="121" w:right="117" w:hanging="1"/>
        <w:jc w:val="both"/>
      </w:pPr>
      <w:r>
        <w:lastRenderedPageBreak/>
        <w:t>competente, contra actos violatorios de sus derechos fundamentales</w:t>
      </w:r>
      <w:hyperlink w:anchor="_bookmark133" w:history="1">
        <w:r>
          <w:rPr>
            <w:position w:val="7"/>
            <w:sz w:val="13"/>
          </w:rPr>
          <w:t>104</w:t>
        </w:r>
      </w:hyperlink>
      <w:r>
        <w:t>. En cuanto a la efectividad del recurso, la Corte ha establecido que no basta con que esté previsto por la Constitución o la ley o con que sea formalmente admisible, sino que se requiere que sea realmente idóneo para establecer si se ha incurrido en</w:t>
      </w:r>
      <w:r>
        <w:t xml:space="preserve"> una violación a los derechos humanos y proveer lo necesario para remediarla. No pueden considerarse efectivos aquellos recursos que, por las condiciones generales del país o incluso por las circunstancias particulares del caso, resulten ilusorios. Ello pu</w:t>
      </w:r>
      <w:r>
        <w:t>ede ocurrir, por ejemplo, cuando su inutilidad haya quedado demostrada por la práctica, porque falten los medios para ejecutar sus decisiones o por cualquier otra situación que configure denegación de</w:t>
      </w:r>
      <w:r>
        <w:rPr>
          <w:spacing w:val="-1"/>
        </w:rPr>
        <w:t xml:space="preserve"> </w:t>
      </w:r>
      <w:r>
        <w:t>justicia</w:t>
      </w:r>
      <w:hyperlink w:anchor="_bookmark134" w:history="1">
        <w:r>
          <w:rPr>
            <w:position w:val="7"/>
            <w:sz w:val="13"/>
          </w:rPr>
          <w:t>105</w:t>
        </w:r>
      </w:hyperlink>
      <w:r>
        <w:t>.</w:t>
      </w:r>
    </w:p>
    <w:p w14:paraId="0528238E" w14:textId="77777777" w:rsidR="00492688" w:rsidRDefault="00492688">
      <w:pPr>
        <w:pStyle w:val="Textoindependiente"/>
        <w:spacing w:before="12"/>
        <w:rPr>
          <w:sz w:val="19"/>
        </w:rPr>
      </w:pPr>
    </w:p>
    <w:p w14:paraId="6FE8B38F" w14:textId="77777777" w:rsidR="00492688" w:rsidRDefault="00C9584B">
      <w:pPr>
        <w:pStyle w:val="Prrafodelista"/>
        <w:numPr>
          <w:ilvl w:val="0"/>
          <w:numId w:val="12"/>
        </w:numPr>
        <w:tabs>
          <w:tab w:val="left" w:pos="688"/>
        </w:tabs>
        <w:ind w:right="117" w:firstLine="0"/>
        <w:jc w:val="both"/>
        <w:rPr>
          <w:sz w:val="20"/>
        </w:rPr>
      </w:pPr>
      <w:r>
        <w:rPr>
          <w:sz w:val="20"/>
        </w:rPr>
        <w:t>Adicionalmente, al evaluar la efectividad de los recursos, la Corte debe observar si las decisiones tomadas han contribuido efectivamente a poner fin a una situación violatoria de derechos, a asegurar la no repetición de los actos lesivos y a garantizar el</w:t>
      </w:r>
      <w:r>
        <w:rPr>
          <w:sz w:val="20"/>
        </w:rPr>
        <w:t xml:space="preserve"> libre y pleno ejercicio de los derechos protegidos por la Convención</w:t>
      </w:r>
      <w:hyperlink w:anchor="_bookmark135" w:history="1">
        <w:r>
          <w:rPr>
            <w:position w:val="7"/>
            <w:sz w:val="13"/>
          </w:rPr>
          <w:t>106</w:t>
        </w:r>
      </w:hyperlink>
      <w:r>
        <w:rPr>
          <w:sz w:val="20"/>
        </w:rPr>
        <w:t>. En ese sentido, este Tribunal no evalúa la efectividad de los recursos interpuestos en función de una eventual resolución favorable a los intereses de</w:t>
      </w:r>
      <w:r>
        <w:rPr>
          <w:sz w:val="20"/>
        </w:rPr>
        <w:t xml:space="preserve"> la</w:t>
      </w:r>
      <w:r>
        <w:rPr>
          <w:spacing w:val="-10"/>
          <w:sz w:val="20"/>
        </w:rPr>
        <w:t xml:space="preserve"> </w:t>
      </w:r>
      <w:r>
        <w:rPr>
          <w:sz w:val="20"/>
        </w:rPr>
        <w:t>víctima.</w:t>
      </w:r>
    </w:p>
    <w:p w14:paraId="4D3D5EE6" w14:textId="77777777" w:rsidR="00492688" w:rsidRDefault="00492688">
      <w:pPr>
        <w:pStyle w:val="Textoindependiente"/>
      </w:pPr>
    </w:p>
    <w:p w14:paraId="466E7166" w14:textId="77777777" w:rsidR="00492688" w:rsidRDefault="00C9584B">
      <w:pPr>
        <w:pStyle w:val="Prrafodelista"/>
        <w:numPr>
          <w:ilvl w:val="0"/>
          <w:numId w:val="12"/>
        </w:numPr>
        <w:tabs>
          <w:tab w:val="left" w:pos="688"/>
        </w:tabs>
        <w:ind w:right="117" w:firstLine="0"/>
        <w:jc w:val="both"/>
        <w:rPr>
          <w:sz w:val="20"/>
        </w:rPr>
      </w:pPr>
      <w:r>
        <w:rPr>
          <w:sz w:val="20"/>
        </w:rPr>
        <w:t>Del análisis de los alegatos presentados por la Comisión y las representantes, se desprende que la controversia de este caso está relacionada con la efectividad del recurso de amparo contra las decisiones del Consejo Nacional de la Magistratu</w:t>
      </w:r>
      <w:r>
        <w:rPr>
          <w:sz w:val="20"/>
        </w:rPr>
        <w:t xml:space="preserve">ra. Al respecto, la Corte encuentra que la Constitución peruana disponía que las decisiones del Consejo Nacional de la Magistratura eran inimpugnables y los jueces interpretaban que contra ellas solo procedía el recurso de amparo por violaciones al debido </w:t>
      </w:r>
      <w:r>
        <w:rPr>
          <w:sz w:val="20"/>
        </w:rPr>
        <w:t>proceso. En efecto, en este caso concreto, el señor Cordero Bernal interpuso el recurso de amparo, el cual fue declarado improcedente en primera y segunda instancia por considerar que la decisión por medio de la cual se le destituyó daba cuenta de un ampli</w:t>
      </w:r>
      <w:r>
        <w:rPr>
          <w:sz w:val="20"/>
        </w:rPr>
        <w:t>o examen de lo actuado en el procedimiento disciplinario y se encontraba suficientemente motivada</w:t>
      </w:r>
      <w:hyperlink w:anchor="_bookmark136" w:history="1">
        <w:r>
          <w:rPr>
            <w:position w:val="7"/>
            <w:sz w:val="13"/>
          </w:rPr>
          <w:t>107</w:t>
        </w:r>
      </w:hyperlink>
      <w:r>
        <w:rPr>
          <w:sz w:val="20"/>
        </w:rPr>
        <w:t>. Posteriormente, el Tribunal Constitucional consideró que el proceso disciplinario garantizó el debido proceso y declaró in</w:t>
      </w:r>
      <w:r>
        <w:rPr>
          <w:sz w:val="20"/>
        </w:rPr>
        <w:t>fundada la</w:t>
      </w:r>
      <w:r>
        <w:rPr>
          <w:spacing w:val="-23"/>
          <w:sz w:val="20"/>
        </w:rPr>
        <w:t xml:space="preserve"> </w:t>
      </w:r>
      <w:r>
        <w:rPr>
          <w:sz w:val="20"/>
        </w:rPr>
        <w:t>acción.</w:t>
      </w:r>
    </w:p>
    <w:p w14:paraId="160139B6" w14:textId="77777777" w:rsidR="00492688" w:rsidRDefault="00492688">
      <w:pPr>
        <w:pStyle w:val="Textoindependiente"/>
        <w:spacing w:before="10"/>
        <w:rPr>
          <w:sz w:val="19"/>
        </w:rPr>
      </w:pPr>
    </w:p>
    <w:p w14:paraId="480FC4EC" w14:textId="77777777" w:rsidR="00492688" w:rsidRDefault="00C9584B">
      <w:pPr>
        <w:pStyle w:val="Prrafodelista"/>
        <w:numPr>
          <w:ilvl w:val="0"/>
          <w:numId w:val="12"/>
        </w:numPr>
        <w:tabs>
          <w:tab w:val="left" w:pos="688"/>
        </w:tabs>
        <w:spacing w:before="1"/>
        <w:ind w:right="116" w:firstLine="0"/>
        <w:jc w:val="both"/>
        <w:rPr>
          <w:sz w:val="20"/>
        </w:rPr>
      </w:pPr>
      <w:r>
        <w:rPr>
          <w:sz w:val="20"/>
        </w:rPr>
        <w:t>En este caso, los jueces de amparo examinaron la decisión adoptada por el CNM y concluyeron que estaba debidamente motivada y que no se había vulnerado el derecho al debido proceso. Esto indica, en efecto, que examinaron los reclamos de</w:t>
      </w:r>
      <w:r>
        <w:rPr>
          <w:sz w:val="20"/>
        </w:rPr>
        <w:t xml:space="preserve">l señor Cordero y determinaron que no eran procedentes. A juicio de la Corte, las conclusiones a las cuales arribaron los jueces de amparo, no resultan manifiestamente arbitrarias o irrazonables, además, como se indicó en párrafos precedentes, el análisis </w:t>
      </w:r>
      <w:r>
        <w:rPr>
          <w:sz w:val="20"/>
        </w:rPr>
        <w:t>de la efectividad de los recursos no depende de una eventual decisión favorable a los intereses de las presuntas</w:t>
      </w:r>
      <w:r>
        <w:rPr>
          <w:spacing w:val="-6"/>
          <w:sz w:val="20"/>
        </w:rPr>
        <w:t xml:space="preserve"> </w:t>
      </w:r>
      <w:r>
        <w:rPr>
          <w:sz w:val="20"/>
        </w:rPr>
        <w:t>víctimas.</w:t>
      </w:r>
    </w:p>
    <w:p w14:paraId="2002685B" w14:textId="77777777" w:rsidR="00492688" w:rsidRDefault="00492688">
      <w:pPr>
        <w:pStyle w:val="Textoindependiente"/>
        <w:spacing w:before="1"/>
      </w:pPr>
    </w:p>
    <w:p w14:paraId="176A1DA3" w14:textId="77777777" w:rsidR="00492688" w:rsidRDefault="00C9584B">
      <w:pPr>
        <w:pStyle w:val="Prrafodelista"/>
        <w:numPr>
          <w:ilvl w:val="0"/>
          <w:numId w:val="12"/>
        </w:numPr>
        <w:tabs>
          <w:tab w:val="left" w:pos="688"/>
        </w:tabs>
        <w:ind w:right="117" w:firstLine="0"/>
        <w:jc w:val="both"/>
        <w:rPr>
          <w:sz w:val="20"/>
        </w:rPr>
      </w:pPr>
      <w:r>
        <w:rPr>
          <w:sz w:val="20"/>
        </w:rPr>
        <w:t>En consecuencia, este Tribunal considera que el Estado de Perú no violó el derecho a la protección judicial contenido en el artículo</w:t>
      </w:r>
      <w:r>
        <w:rPr>
          <w:sz w:val="20"/>
        </w:rPr>
        <w:t xml:space="preserve"> 25.1 de la Convención Americana</w:t>
      </w:r>
      <w:r>
        <w:rPr>
          <w:spacing w:val="20"/>
          <w:sz w:val="20"/>
        </w:rPr>
        <w:t xml:space="preserve"> </w:t>
      </w:r>
      <w:r>
        <w:rPr>
          <w:sz w:val="20"/>
        </w:rPr>
        <w:t>sobre</w:t>
      </w:r>
      <w:r>
        <w:rPr>
          <w:spacing w:val="22"/>
          <w:sz w:val="20"/>
        </w:rPr>
        <w:t xml:space="preserve"> </w:t>
      </w:r>
      <w:r>
        <w:rPr>
          <w:sz w:val="20"/>
        </w:rPr>
        <w:t>Derechos</w:t>
      </w:r>
      <w:r>
        <w:rPr>
          <w:spacing w:val="19"/>
          <w:sz w:val="20"/>
        </w:rPr>
        <w:t xml:space="preserve"> </w:t>
      </w:r>
      <w:r>
        <w:rPr>
          <w:sz w:val="20"/>
        </w:rPr>
        <w:t>Humanos,</w:t>
      </w:r>
      <w:r>
        <w:rPr>
          <w:spacing w:val="23"/>
          <w:sz w:val="20"/>
        </w:rPr>
        <w:t xml:space="preserve"> </w:t>
      </w:r>
      <w:r>
        <w:rPr>
          <w:sz w:val="20"/>
        </w:rPr>
        <w:t>en</w:t>
      </w:r>
      <w:r>
        <w:rPr>
          <w:spacing w:val="21"/>
          <w:sz w:val="20"/>
        </w:rPr>
        <w:t xml:space="preserve"> </w:t>
      </w:r>
      <w:r>
        <w:rPr>
          <w:sz w:val="20"/>
        </w:rPr>
        <w:t>relación</w:t>
      </w:r>
      <w:r>
        <w:rPr>
          <w:spacing w:val="21"/>
          <w:sz w:val="20"/>
        </w:rPr>
        <w:t xml:space="preserve"> </w:t>
      </w:r>
      <w:r>
        <w:rPr>
          <w:sz w:val="20"/>
        </w:rPr>
        <w:t>con</w:t>
      </w:r>
      <w:r>
        <w:rPr>
          <w:spacing w:val="22"/>
          <w:sz w:val="20"/>
        </w:rPr>
        <w:t xml:space="preserve"> </w:t>
      </w:r>
      <w:r>
        <w:rPr>
          <w:sz w:val="20"/>
        </w:rPr>
        <w:t>los</w:t>
      </w:r>
      <w:r>
        <w:rPr>
          <w:spacing w:val="20"/>
          <w:sz w:val="20"/>
        </w:rPr>
        <w:t xml:space="preserve"> </w:t>
      </w:r>
      <w:r>
        <w:rPr>
          <w:sz w:val="20"/>
        </w:rPr>
        <w:t>artículos</w:t>
      </w:r>
      <w:r>
        <w:rPr>
          <w:spacing w:val="19"/>
          <w:sz w:val="20"/>
        </w:rPr>
        <w:t xml:space="preserve"> </w:t>
      </w:r>
      <w:r>
        <w:rPr>
          <w:sz w:val="20"/>
        </w:rPr>
        <w:t>1.1</w:t>
      </w:r>
      <w:r>
        <w:rPr>
          <w:spacing w:val="23"/>
          <w:sz w:val="20"/>
        </w:rPr>
        <w:t xml:space="preserve"> </w:t>
      </w:r>
      <w:r>
        <w:rPr>
          <w:sz w:val="20"/>
        </w:rPr>
        <w:t>y</w:t>
      </w:r>
      <w:r>
        <w:rPr>
          <w:spacing w:val="21"/>
          <w:sz w:val="20"/>
        </w:rPr>
        <w:t xml:space="preserve"> </w:t>
      </w:r>
      <w:r>
        <w:rPr>
          <w:sz w:val="20"/>
        </w:rPr>
        <w:t>2</w:t>
      </w:r>
      <w:r>
        <w:rPr>
          <w:spacing w:val="21"/>
          <w:sz w:val="20"/>
        </w:rPr>
        <w:t xml:space="preserve"> </w:t>
      </w:r>
      <w:r>
        <w:rPr>
          <w:sz w:val="20"/>
        </w:rPr>
        <w:t>del</w:t>
      </w:r>
      <w:r>
        <w:rPr>
          <w:spacing w:val="20"/>
          <w:sz w:val="20"/>
        </w:rPr>
        <w:t xml:space="preserve"> </w:t>
      </w:r>
      <w:r>
        <w:rPr>
          <w:sz w:val="20"/>
        </w:rPr>
        <w:t>mismo</w:t>
      </w:r>
    </w:p>
    <w:p w14:paraId="5CFFC0FE" w14:textId="255AAAE1" w:rsidR="00492688" w:rsidRDefault="00C9584B">
      <w:pPr>
        <w:pStyle w:val="Textoindependiente"/>
        <w:spacing w:before="3"/>
      </w:pPr>
      <w:r>
        <w:rPr>
          <w:noProof/>
        </w:rPr>
        <mc:AlternateContent>
          <mc:Choice Requires="wps">
            <w:drawing>
              <wp:anchor distT="0" distB="0" distL="0" distR="0" simplePos="0" relativeHeight="251682816" behindDoc="1" locked="0" layoutInCell="1" allowOverlap="1" wp14:anchorId="62E09167" wp14:editId="4DA746F9">
                <wp:simplePos x="0" y="0"/>
                <wp:positionH relativeFrom="page">
                  <wp:posOffset>1080770</wp:posOffset>
                </wp:positionH>
                <wp:positionV relativeFrom="paragraph">
                  <wp:posOffset>184785</wp:posOffset>
                </wp:positionV>
                <wp:extent cx="1828800" cy="1270"/>
                <wp:effectExtent l="0" t="0" r="0" b="0"/>
                <wp:wrapTopAndBottom/>
                <wp:docPr id="1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3679D" id="Freeform 18" o:spid="_x0000_s1026" style="position:absolute;margin-left:85.1pt;margin-top:14.55pt;width:2in;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" path="m,l2880,e" filled="f" strokeweight=".6pt">
                <v:path arrowok="t" o:connecttype="custom" o:connectlocs="0,0;1828800,0" o:connectangles="0,0"/>
                <w10:wrap type="topAndBottom" anchorx="page"/>
              </v:shape>
            </w:pict>
          </mc:Fallback>
        </mc:AlternateContent>
      </w:r>
    </w:p>
    <w:p w14:paraId="5A9BB4C0" w14:textId="77777777" w:rsidR="00492688" w:rsidRDefault="00492688">
      <w:pPr>
        <w:pStyle w:val="Textoindependiente"/>
        <w:spacing w:before="1"/>
        <w:rPr>
          <w:sz w:val="6"/>
        </w:rPr>
      </w:pPr>
    </w:p>
    <w:p w14:paraId="227219D8" w14:textId="77777777" w:rsidR="00492688" w:rsidRDefault="00C9584B">
      <w:pPr>
        <w:spacing w:before="101"/>
        <w:ind w:left="121"/>
        <w:jc w:val="both"/>
        <w:rPr>
          <w:i/>
          <w:sz w:val="16"/>
        </w:rPr>
      </w:pPr>
      <w:bookmarkStart w:id="162" w:name="_bookmark133"/>
      <w:bookmarkEnd w:id="162"/>
      <w:r>
        <w:rPr>
          <w:position w:val="6"/>
          <w:sz w:val="10"/>
        </w:rPr>
        <w:t xml:space="preserve">104        </w:t>
      </w:r>
      <w:r>
        <w:rPr>
          <w:spacing w:val="26"/>
          <w:position w:val="6"/>
          <w:sz w:val="10"/>
        </w:rPr>
        <w:t xml:space="preserve"> </w:t>
      </w:r>
      <w:r>
        <w:rPr>
          <w:i/>
          <w:sz w:val="16"/>
        </w:rPr>
        <w:t xml:space="preserve">Cfr. </w:t>
      </w:r>
      <w:r>
        <w:rPr>
          <w:i/>
          <w:spacing w:val="10"/>
          <w:sz w:val="16"/>
        </w:rPr>
        <w:t xml:space="preserve"> </w:t>
      </w:r>
      <w:r>
        <w:rPr>
          <w:i/>
          <w:sz w:val="16"/>
        </w:rPr>
        <w:t xml:space="preserve">Caso </w:t>
      </w:r>
      <w:r>
        <w:rPr>
          <w:i/>
          <w:spacing w:val="9"/>
          <w:sz w:val="16"/>
        </w:rPr>
        <w:t xml:space="preserve"> </w:t>
      </w:r>
      <w:r>
        <w:rPr>
          <w:i/>
          <w:sz w:val="16"/>
        </w:rPr>
        <w:t xml:space="preserve">Mejía </w:t>
      </w:r>
      <w:r>
        <w:rPr>
          <w:i/>
          <w:spacing w:val="10"/>
          <w:sz w:val="16"/>
        </w:rPr>
        <w:t xml:space="preserve"> </w:t>
      </w:r>
      <w:r>
        <w:rPr>
          <w:i/>
          <w:sz w:val="16"/>
        </w:rPr>
        <w:t xml:space="preserve">Idrovo </w:t>
      </w:r>
      <w:r>
        <w:rPr>
          <w:i/>
          <w:spacing w:val="9"/>
          <w:sz w:val="16"/>
        </w:rPr>
        <w:t xml:space="preserve"> </w:t>
      </w:r>
      <w:r>
        <w:rPr>
          <w:i/>
          <w:sz w:val="16"/>
        </w:rPr>
        <w:t xml:space="preserve">Vs. </w:t>
      </w:r>
      <w:r>
        <w:rPr>
          <w:i/>
          <w:spacing w:val="10"/>
          <w:sz w:val="16"/>
        </w:rPr>
        <w:t xml:space="preserve"> </w:t>
      </w:r>
      <w:r>
        <w:rPr>
          <w:i/>
          <w:sz w:val="16"/>
        </w:rPr>
        <w:t xml:space="preserve">Ecuador. </w:t>
      </w:r>
      <w:r>
        <w:rPr>
          <w:i/>
          <w:spacing w:val="10"/>
          <w:sz w:val="16"/>
        </w:rPr>
        <w:t xml:space="preserve"> </w:t>
      </w:r>
      <w:r>
        <w:rPr>
          <w:i/>
          <w:sz w:val="16"/>
        </w:rPr>
        <w:t xml:space="preserve">Excepciones </w:t>
      </w:r>
      <w:r>
        <w:rPr>
          <w:i/>
          <w:spacing w:val="12"/>
          <w:sz w:val="16"/>
        </w:rPr>
        <w:t xml:space="preserve"> </w:t>
      </w:r>
      <w:r>
        <w:rPr>
          <w:i/>
          <w:sz w:val="16"/>
        </w:rPr>
        <w:t xml:space="preserve">Preliminares, </w:t>
      </w:r>
      <w:r>
        <w:rPr>
          <w:i/>
          <w:spacing w:val="10"/>
          <w:sz w:val="16"/>
        </w:rPr>
        <w:t xml:space="preserve"> </w:t>
      </w:r>
      <w:r>
        <w:rPr>
          <w:i/>
          <w:sz w:val="16"/>
        </w:rPr>
        <w:t xml:space="preserve">Fondo, </w:t>
      </w:r>
      <w:r>
        <w:rPr>
          <w:i/>
          <w:spacing w:val="10"/>
          <w:sz w:val="16"/>
        </w:rPr>
        <w:t xml:space="preserve"> </w:t>
      </w:r>
      <w:r>
        <w:rPr>
          <w:i/>
          <w:sz w:val="16"/>
        </w:rPr>
        <w:t xml:space="preserve">Reparaciones </w:t>
      </w:r>
      <w:r>
        <w:rPr>
          <w:i/>
          <w:spacing w:val="11"/>
          <w:sz w:val="16"/>
        </w:rPr>
        <w:t xml:space="preserve"> </w:t>
      </w:r>
      <w:r>
        <w:rPr>
          <w:i/>
          <w:sz w:val="16"/>
        </w:rPr>
        <w:t xml:space="preserve">y </w:t>
      </w:r>
      <w:r>
        <w:rPr>
          <w:i/>
          <w:spacing w:val="12"/>
          <w:sz w:val="16"/>
        </w:rPr>
        <w:t xml:space="preserve"> </w:t>
      </w:r>
      <w:r>
        <w:rPr>
          <w:i/>
          <w:sz w:val="16"/>
        </w:rPr>
        <w:t>Costas.</w:t>
      </w:r>
    </w:p>
    <w:p w14:paraId="0E56431F" w14:textId="77777777" w:rsidR="00492688" w:rsidRDefault="00C9584B">
      <w:pPr>
        <w:ind w:left="121"/>
        <w:rPr>
          <w:sz w:val="16"/>
        </w:rPr>
      </w:pPr>
      <w:r>
        <w:rPr>
          <w:sz w:val="16"/>
        </w:rPr>
        <w:t xml:space="preserve">Sentencia de 5 de julio de 2011, Serie C No. 228, párr. 95, y </w:t>
      </w:r>
      <w:r>
        <w:rPr>
          <w:i/>
          <w:sz w:val="16"/>
        </w:rPr>
        <w:t>Caso Casa Nina Vs. Perú, supra</w:t>
      </w:r>
      <w:r>
        <w:rPr>
          <w:sz w:val="16"/>
        </w:rPr>
        <w:t>, párr. 116.</w:t>
      </w:r>
    </w:p>
    <w:p w14:paraId="1E59B2F6" w14:textId="77777777" w:rsidR="00492688" w:rsidRDefault="00C9584B">
      <w:pPr>
        <w:spacing w:before="100"/>
        <w:ind w:left="121" w:right="117"/>
        <w:jc w:val="both"/>
        <w:rPr>
          <w:i/>
          <w:sz w:val="16"/>
        </w:rPr>
      </w:pPr>
      <w:bookmarkStart w:id="163" w:name="_bookmark134"/>
      <w:bookmarkEnd w:id="163"/>
      <w:r>
        <w:rPr>
          <w:position w:val="6"/>
          <w:sz w:val="10"/>
        </w:rPr>
        <w:t xml:space="preserve">105 </w:t>
      </w:r>
      <w:r>
        <w:rPr>
          <w:i/>
          <w:sz w:val="16"/>
        </w:rPr>
        <w:t xml:space="preserve">Cfr. Caso Las  Palmeras Vs. Colombia. Fondo. </w:t>
      </w:r>
      <w:r>
        <w:rPr>
          <w:sz w:val="16"/>
        </w:rPr>
        <w:t xml:space="preserve">Sentencia de 6 de diciembre de 2001. Serie  C No. </w:t>
      </w:r>
      <w:r>
        <w:rPr>
          <w:spacing w:val="-2"/>
          <w:sz w:val="16"/>
        </w:rPr>
        <w:t>90,</w:t>
      </w:r>
      <w:r>
        <w:rPr>
          <w:spacing w:val="52"/>
          <w:sz w:val="16"/>
        </w:rPr>
        <w:t xml:space="preserve"> </w:t>
      </w:r>
      <w:r>
        <w:rPr>
          <w:sz w:val="16"/>
        </w:rPr>
        <w:t xml:space="preserve">párr. 58, y </w:t>
      </w:r>
      <w:r>
        <w:rPr>
          <w:i/>
          <w:sz w:val="16"/>
        </w:rPr>
        <w:t>Caso Martínez Esquivia Vs. Colombia,</w:t>
      </w:r>
      <w:r>
        <w:rPr>
          <w:i/>
          <w:sz w:val="16"/>
        </w:rPr>
        <w:t xml:space="preserve"> supra</w:t>
      </w:r>
      <w:r>
        <w:rPr>
          <w:sz w:val="16"/>
        </w:rPr>
        <w:t>, párr.</w:t>
      </w:r>
      <w:r>
        <w:rPr>
          <w:spacing w:val="-10"/>
          <w:sz w:val="16"/>
        </w:rPr>
        <w:t xml:space="preserve"> </w:t>
      </w:r>
      <w:r>
        <w:rPr>
          <w:sz w:val="16"/>
        </w:rPr>
        <w:t>130</w:t>
      </w:r>
      <w:r>
        <w:rPr>
          <w:i/>
          <w:sz w:val="16"/>
        </w:rPr>
        <w:t>.</w:t>
      </w:r>
    </w:p>
    <w:p w14:paraId="723351C5" w14:textId="77777777" w:rsidR="00492688" w:rsidRDefault="00C9584B">
      <w:pPr>
        <w:tabs>
          <w:tab w:val="left" w:pos="829"/>
        </w:tabs>
        <w:spacing w:before="99"/>
        <w:ind w:left="121" w:right="114"/>
        <w:jc w:val="both"/>
        <w:rPr>
          <w:sz w:val="16"/>
        </w:rPr>
      </w:pPr>
      <w:bookmarkStart w:id="164" w:name="_bookmark135"/>
      <w:bookmarkEnd w:id="164"/>
      <w:r>
        <w:rPr>
          <w:position w:val="6"/>
          <w:sz w:val="10"/>
        </w:rPr>
        <w:t>106</w:t>
      </w:r>
      <w:r>
        <w:rPr>
          <w:position w:val="6"/>
          <w:sz w:val="10"/>
        </w:rPr>
        <w:tab/>
      </w:r>
      <w:r>
        <w:rPr>
          <w:i/>
          <w:sz w:val="16"/>
        </w:rPr>
        <w:t xml:space="preserve">Cfr. Caso Ramírez Escobar y otros Vs. Guatemala. Fondo, Reparaciones y Costas. </w:t>
      </w:r>
      <w:r>
        <w:rPr>
          <w:sz w:val="16"/>
        </w:rPr>
        <w:t xml:space="preserve">Sentencia de 9 de marzo de 2018. Serie C No. 351, párr. 252, y </w:t>
      </w:r>
      <w:r>
        <w:rPr>
          <w:i/>
          <w:sz w:val="16"/>
        </w:rPr>
        <w:t xml:space="preserve">Caso López Mendoza Vs. Venezuela. Fondo, Reparaciones y Costas. </w:t>
      </w:r>
      <w:r>
        <w:rPr>
          <w:sz w:val="16"/>
        </w:rPr>
        <w:t>Sentencia de 1 de septiembr</w:t>
      </w:r>
      <w:r>
        <w:rPr>
          <w:sz w:val="16"/>
        </w:rPr>
        <w:t>e de 2011. Serie C No. 233, párr.</w:t>
      </w:r>
      <w:r>
        <w:rPr>
          <w:spacing w:val="-23"/>
          <w:sz w:val="16"/>
        </w:rPr>
        <w:t xml:space="preserve"> </w:t>
      </w:r>
      <w:r>
        <w:rPr>
          <w:sz w:val="16"/>
        </w:rPr>
        <w:t>184.</w:t>
      </w:r>
    </w:p>
    <w:p w14:paraId="35D4DA91" w14:textId="77777777" w:rsidR="00492688" w:rsidRDefault="00C9584B">
      <w:pPr>
        <w:tabs>
          <w:tab w:val="left" w:pos="829"/>
        </w:tabs>
        <w:spacing w:before="100"/>
        <w:ind w:left="122" w:right="115" w:hanging="1"/>
        <w:jc w:val="both"/>
        <w:rPr>
          <w:sz w:val="16"/>
        </w:rPr>
      </w:pPr>
      <w:bookmarkStart w:id="165" w:name="_bookmark136"/>
      <w:bookmarkEnd w:id="165"/>
      <w:r>
        <w:rPr>
          <w:position w:val="6"/>
          <w:sz w:val="10"/>
        </w:rPr>
        <w:t>107</w:t>
      </w:r>
      <w:r>
        <w:rPr>
          <w:position w:val="6"/>
          <w:sz w:val="10"/>
        </w:rPr>
        <w:tab/>
      </w:r>
      <w:r>
        <w:rPr>
          <w:i/>
          <w:sz w:val="16"/>
        </w:rPr>
        <w:t xml:space="preserve">Cfr. </w:t>
      </w:r>
      <w:r>
        <w:rPr>
          <w:sz w:val="16"/>
        </w:rPr>
        <w:t>Decisión de 27 de noviembre de 1996 emitida por el Primer Juzgado Especializado en Derecho Público (expediente de prueba, folios 1380 al</w:t>
      </w:r>
      <w:r>
        <w:rPr>
          <w:spacing w:val="-1"/>
          <w:sz w:val="16"/>
        </w:rPr>
        <w:t xml:space="preserve"> </w:t>
      </w:r>
      <w:r>
        <w:rPr>
          <w:sz w:val="16"/>
        </w:rPr>
        <w:t>1383).</w:t>
      </w:r>
    </w:p>
    <w:p w14:paraId="41D1CB03" w14:textId="77777777" w:rsidR="00492688" w:rsidRDefault="00492688">
      <w:pPr>
        <w:jc w:val="both"/>
        <w:rPr>
          <w:sz w:val="16"/>
        </w:rPr>
        <w:sectPr w:rsidR="00492688">
          <w:pgSz w:w="12240" w:h="15840"/>
          <w:pgMar w:top="1340" w:right="1580" w:bottom="280" w:left="1580" w:header="720" w:footer="720" w:gutter="0"/>
          <w:cols w:space="720"/>
        </w:sectPr>
      </w:pPr>
    </w:p>
    <w:p w14:paraId="2865FFDE" w14:textId="77777777" w:rsidR="00492688" w:rsidRDefault="00C9584B">
      <w:pPr>
        <w:pStyle w:val="Textoindependiente"/>
        <w:spacing w:before="79"/>
        <w:ind w:left="121"/>
      </w:pPr>
      <w:r>
        <w:lastRenderedPageBreak/>
        <w:t>instrumento, en perjuicio del señor Héctor Fidel Cordero Bernal.</w:t>
      </w:r>
    </w:p>
    <w:p w14:paraId="6C15AFF4" w14:textId="77777777" w:rsidR="00492688" w:rsidRDefault="00492688">
      <w:pPr>
        <w:pStyle w:val="Textoindependiente"/>
        <w:spacing w:before="10"/>
        <w:rPr>
          <w:sz w:val="19"/>
        </w:rPr>
      </w:pPr>
    </w:p>
    <w:p w14:paraId="170C0859" w14:textId="77777777" w:rsidR="00492688" w:rsidRDefault="00C9584B">
      <w:pPr>
        <w:pStyle w:val="Ttulo1"/>
        <w:ind w:right="125"/>
      </w:pPr>
      <w:bookmarkStart w:id="166" w:name="VIII_PUNTOS_RESOLUTIVOS"/>
      <w:bookmarkStart w:id="167" w:name="_bookmark137"/>
      <w:bookmarkEnd w:id="166"/>
      <w:bookmarkEnd w:id="167"/>
      <w:r>
        <w:t>VIII</w:t>
      </w:r>
    </w:p>
    <w:p w14:paraId="43A8F69A" w14:textId="77777777" w:rsidR="00492688" w:rsidRDefault="00C9584B">
      <w:pPr>
        <w:spacing w:before="2"/>
        <w:ind w:left="124" w:right="124"/>
        <w:jc w:val="center"/>
        <w:rPr>
          <w:b/>
          <w:sz w:val="20"/>
        </w:rPr>
      </w:pPr>
      <w:r>
        <w:rPr>
          <w:b/>
          <w:sz w:val="20"/>
        </w:rPr>
        <w:t>PUNTOS RESOLUTIVOS</w:t>
      </w:r>
    </w:p>
    <w:p w14:paraId="44095B98" w14:textId="77777777" w:rsidR="00492688" w:rsidRDefault="00492688">
      <w:pPr>
        <w:pStyle w:val="Textoindependiente"/>
        <w:spacing w:before="11"/>
        <w:rPr>
          <w:b/>
          <w:sz w:val="19"/>
        </w:rPr>
      </w:pPr>
    </w:p>
    <w:p w14:paraId="360BB468" w14:textId="77777777" w:rsidR="00492688" w:rsidRDefault="00C9584B">
      <w:pPr>
        <w:pStyle w:val="Prrafodelista"/>
        <w:numPr>
          <w:ilvl w:val="0"/>
          <w:numId w:val="12"/>
        </w:numPr>
        <w:tabs>
          <w:tab w:val="left" w:pos="688"/>
        </w:tabs>
        <w:spacing w:line="480" w:lineRule="auto"/>
        <w:ind w:right="7396" w:firstLine="0"/>
        <w:rPr>
          <w:b/>
          <w:sz w:val="20"/>
        </w:rPr>
      </w:pPr>
      <w:r>
        <w:rPr>
          <w:sz w:val="20"/>
        </w:rPr>
        <w:t>Por</w:t>
      </w:r>
      <w:r>
        <w:rPr>
          <w:spacing w:val="-14"/>
          <w:sz w:val="20"/>
        </w:rPr>
        <w:t xml:space="preserve"> </w:t>
      </w:r>
      <w:r>
        <w:rPr>
          <w:sz w:val="20"/>
        </w:rPr>
        <w:t xml:space="preserve">tanto, </w:t>
      </w:r>
      <w:r>
        <w:rPr>
          <w:b/>
          <w:sz w:val="20"/>
        </w:rPr>
        <w:t>LA CORTE DECIDE,</w:t>
      </w:r>
    </w:p>
    <w:p w14:paraId="7A14B99E" w14:textId="77777777" w:rsidR="00492688" w:rsidRDefault="00C9584B">
      <w:pPr>
        <w:pStyle w:val="Textoindependiente"/>
        <w:spacing w:before="1"/>
        <w:ind w:left="121"/>
      </w:pPr>
      <w:r>
        <w:t>Por unanimidad,</w:t>
      </w:r>
    </w:p>
    <w:p w14:paraId="0821D950" w14:textId="77777777" w:rsidR="00492688" w:rsidRDefault="00492688">
      <w:pPr>
        <w:pStyle w:val="Textoindependiente"/>
        <w:spacing w:before="11"/>
        <w:rPr>
          <w:sz w:val="19"/>
        </w:rPr>
      </w:pPr>
    </w:p>
    <w:p w14:paraId="159A8FBB" w14:textId="77777777" w:rsidR="00492688" w:rsidRDefault="00C9584B">
      <w:pPr>
        <w:pStyle w:val="Prrafodelista"/>
        <w:numPr>
          <w:ilvl w:val="0"/>
          <w:numId w:val="5"/>
        </w:numPr>
        <w:tabs>
          <w:tab w:val="left" w:pos="688"/>
        </w:tabs>
        <w:ind w:right="118" w:firstLine="0"/>
        <w:jc w:val="both"/>
        <w:rPr>
          <w:sz w:val="20"/>
        </w:rPr>
      </w:pPr>
      <w:r>
        <w:rPr>
          <w:sz w:val="20"/>
        </w:rPr>
        <w:t>Desestimar la excepción preliminar de “cuarta instancia”, de conformidad con los párrafos 18 a 19 de esta</w:t>
      </w:r>
      <w:r>
        <w:rPr>
          <w:spacing w:val="-2"/>
          <w:sz w:val="20"/>
        </w:rPr>
        <w:t xml:space="preserve"> </w:t>
      </w:r>
      <w:r>
        <w:rPr>
          <w:sz w:val="20"/>
        </w:rPr>
        <w:t>Sentencia.</w:t>
      </w:r>
    </w:p>
    <w:p w14:paraId="6588BF37" w14:textId="77777777" w:rsidR="00492688" w:rsidRDefault="00492688">
      <w:pPr>
        <w:pStyle w:val="Textoindependiente"/>
      </w:pPr>
    </w:p>
    <w:p w14:paraId="4A1C895B" w14:textId="77777777" w:rsidR="00492688" w:rsidRDefault="00C9584B">
      <w:pPr>
        <w:ind w:left="121"/>
        <w:rPr>
          <w:b/>
          <w:sz w:val="20"/>
        </w:rPr>
      </w:pPr>
      <w:r>
        <w:rPr>
          <w:b/>
          <w:sz w:val="20"/>
        </w:rPr>
        <w:t>DECLARA,</w:t>
      </w:r>
    </w:p>
    <w:p w14:paraId="43CE42DF" w14:textId="77777777" w:rsidR="00492688" w:rsidRDefault="00492688">
      <w:pPr>
        <w:pStyle w:val="Textoindependiente"/>
        <w:spacing w:before="1"/>
        <w:rPr>
          <w:b/>
        </w:rPr>
      </w:pPr>
    </w:p>
    <w:p w14:paraId="5AE8448B" w14:textId="77777777" w:rsidR="00492688" w:rsidRDefault="00C9584B">
      <w:pPr>
        <w:pStyle w:val="Textoindependiente"/>
        <w:spacing w:before="1"/>
        <w:ind w:left="121"/>
      </w:pPr>
      <w:r>
        <w:t>Por cinco votos a favor y dos en contra, que:</w:t>
      </w:r>
    </w:p>
    <w:p w14:paraId="1B9A790A" w14:textId="77777777" w:rsidR="00492688" w:rsidRDefault="00492688">
      <w:pPr>
        <w:pStyle w:val="Textoindependiente"/>
        <w:spacing w:before="10"/>
        <w:rPr>
          <w:sz w:val="19"/>
        </w:rPr>
      </w:pPr>
    </w:p>
    <w:p w14:paraId="102247BB" w14:textId="77777777" w:rsidR="00492688" w:rsidRDefault="00C9584B">
      <w:pPr>
        <w:pStyle w:val="Prrafodelista"/>
        <w:numPr>
          <w:ilvl w:val="0"/>
          <w:numId w:val="5"/>
        </w:numPr>
        <w:tabs>
          <w:tab w:val="left" w:pos="688"/>
        </w:tabs>
        <w:ind w:right="116" w:firstLine="0"/>
        <w:jc w:val="both"/>
        <w:rPr>
          <w:sz w:val="20"/>
        </w:rPr>
      </w:pPr>
      <w:r>
        <w:rPr>
          <w:sz w:val="20"/>
        </w:rPr>
        <w:t>El Estado no es responsable por la violación de los derechos reconocidos en los artículos 8, 9 y 23 de la Convención Americana sobre Derechos Humanos, en relación con las obligaciones de respetar y garantizar dichos derechos y de adoptar disposiciones de d</w:t>
      </w:r>
      <w:r>
        <w:rPr>
          <w:sz w:val="20"/>
        </w:rPr>
        <w:t>erecho interno, consagradas en los artículos 1.1 y 2 del mismo tratado, en los términos de los párrafos 70 a 96 de la presente</w:t>
      </w:r>
      <w:r>
        <w:rPr>
          <w:spacing w:val="-17"/>
          <w:sz w:val="20"/>
        </w:rPr>
        <w:t xml:space="preserve"> </w:t>
      </w:r>
      <w:r>
        <w:rPr>
          <w:sz w:val="20"/>
        </w:rPr>
        <w:t>Sentencia.</w:t>
      </w:r>
    </w:p>
    <w:p w14:paraId="0E269546" w14:textId="77777777" w:rsidR="00492688" w:rsidRDefault="00492688">
      <w:pPr>
        <w:pStyle w:val="Textoindependiente"/>
        <w:spacing w:before="1"/>
      </w:pPr>
    </w:p>
    <w:p w14:paraId="793944B7" w14:textId="77777777" w:rsidR="00492688" w:rsidRDefault="00C9584B">
      <w:pPr>
        <w:pStyle w:val="Textoindependiente"/>
        <w:spacing w:line="480" w:lineRule="auto"/>
        <w:ind w:left="121" w:right="554" w:hanging="1"/>
      </w:pPr>
      <w:r>
        <w:t xml:space="preserve">Disienten los jueces L. Patricio Pazmiño Freire y Eduardo Ferrer Mac-Gregor Poisot. Por cinco votos a favor y dos en </w:t>
      </w:r>
      <w:r>
        <w:t>contra, que:</w:t>
      </w:r>
    </w:p>
    <w:p w14:paraId="250E19B7" w14:textId="77777777" w:rsidR="00492688" w:rsidRDefault="00C9584B">
      <w:pPr>
        <w:pStyle w:val="Prrafodelista"/>
        <w:numPr>
          <w:ilvl w:val="0"/>
          <w:numId w:val="5"/>
        </w:numPr>
        <w:tabs>
          <w:tab w:val="left" w:pos="688"/>
        </w:tabs>
        <w:spacing w:line="243" w:lineRule="exact"/>
        <w:ind w:left="687"/>
        <w:jc w:val="both"/>
        <w:rPr>
          <w:sz w:val="20"/>
        </w:rPr>
      </w:pPr>
      <w:r>
        <w:rPr>
          <w:sz w:val="20"/>
        </w:rPr>
        <w:t>El Estado no es responsable por la violación del derecho reconocido en el</w:t>
      </w:r>
      <w:r>
        <w:rPr>
          <w:spacing w:val="63"/>
          <w:sz w:val="20"/>
        </w:rPr>
        <w:t xml:space="preserve"> </w:t>
      </w:r>
      <w:r>
        <w:rPr>
          <w:sz w:val="20"/>
        </w:rPr>
        <w:t>artículo</w:t>
      </w:r>
    </w:p>
    <w:p w14:paraId="28FD576D" w14:textId="77777777" w:rsidR="00492688" w:rsidRDefault="00C9584B">
      <w:pPr>
        <w:pStyle w:val="Textoindependiente"/>
        <w:ind w:left="121" w:right="118"/>
        <w:jc w:val="both"/>
      </w:pPr>
      <w:r>
        <w:t>25 de la Convención Americana sobre Derechos Humanos, en relación con las obligaciones de respetar y garantizar dicho derecho y de adoptar disposiciones de dere</w:t>
      </w:r>
      <w:r>
        <w:t>cho interno, consagradas en los artículos 1.1 y 2 del mismo tratado, en los términos de los párrafos 100 a 104 de la presente Sentencia.</w:t>
      </w:r>
    </w:p>
    <w:p w14:paraId="1A0FB130" w14:textId="77777777" w:rsidR="00492688" w:rsidRDefault="00492688">
      <w:pPr>
        <w:pStyle w:val="Textoindependiente"/>
        <w:spacing w:before="1"/>
      </w:pPr>
    </w:p>
    <w:p w14:paraId="670D47F1" w14:textId="77777777" w:rsidR="00492688" w:rsidRDefault="00C9584B">
      <w:pPr>
        <w:pStyle w:val="Textoindependiente"/>
        <w:spacing w:before="1" w:line="477" w:lineRule="auto"/>
        <w:ind w:left="121" w:right="554" w:hanging="1"/>
      </w:pPr>
      <w:r>
        <w:t>Disienten los jueces L. Patricio Pazmiño Freire y Eduardo Ferrer Mac-Gregor Poisot. Por cinco votos a favor y dos en c</w:t>
      </w:r>
      <w:r>
        <w:t>ontra, que:</w:t>
      </w:r>
    </w:p>
    <w:p w14:paraId="038DC9A9" w14:textId="77777777" w:rsidR="00492688" w:rsidRDefault="00C9584B">
      <w:pPr>
        <w:pStyle w:val="Prrafodelista"/>
        <w:numPr>
          <w:ilvl w:val="0"/>
          <w:numId w:val="5"/>
        </w:numPr>
        <w:tabs>
          <w:tab w:val="left" w:pos="687"/>
          <w:tab w:val="left" w:pos="688"/>
        </w:tabs>
        <w:spacing w:before="4"/>
        <w:ind w:right="120" w:firstLine="0"/>
        <w:rPr>
          <w:sz w:val="20"/>
        </w:rPr>
      </w:pPr>
      <w:r>
        <w:rPr>
          <w:sz w:val="20"/>
        </w:rPr>
        <w:t>Al no haberse establecido la responsabilidad internacional del Estado, no procede pronunciarse sobre reparaciones, costas y</w:t>
      </w:r>
      <w:r>
        <w:rPr>
          <w:spacing w:val="-5"/>
          <w:sz w:val="20"/>
        </w:rPr>
        <w:t xml:space="preserve"> </w:t>
      </w:r>
      <w:r>
        <w:rPr>
          <w:sz w:val="20"/>
        </w:rPr>
        <w:t>gastos.</w:t>
      </w:r>
    </w:p>
    <w:p w14:paraId="717E1B74" w14:textId="77777777" w:rsidR="00492688" w:rsidRDefault="00492688">
      <w:pPr>
        <w:pStyle w:val="Textoindependiente"/>
        <w:spacing w:before="1"/>
      </w:pPr>
    </w:p>
    <w:p w14:paraId="0DF020CA" w14:textId="77777777" w:rsidR="00492688" w:rsidRDefault="00C9584B">
      <w:pPr>
        <w:pStyle w:val="Textoindependiente"/>
        <w:ind w:left="121"/>
      </w:pPr>
      <w:r>
        <w:t>Disienten los jueces L. Patricio Pazmiño Freire y Eduardo Ferrer Mac-Gregor Poisot.</w:t>
      </w:r>
    </w:p>
    <w:p w14:paraId="50268B5F" w14:textId="77777777" w:rsidR="00492688" w:rsidRDefault="00492688">
      <w:pPr>
        <w:pStyle w:val="Textoindependiente"/>
        <w:spacing w:before="10"/>
        <w:rPr>
          <w:sz w:val="19"/>
        </w:rPr>
      </w:pPr>
    </w:p>
    <w:p w14:paraId="71BD98DF" w14:textId="77777777" w:rsidR="00492688" w:rsidRDefault="00C9584B">
      <w:pPr>
        <w:spacing w:before="1"/>
        <w:ind w:left="121"/>
        <w:rPr>
          <w:b/>
          <w:sz w:val="20"/>
        </w:rPr>
      </w:pPr>
      <w:r>
        <w:rPr>
          <w:b/>
          <w:sz w:val="20"/>
        </w:rPr>
        <w:t>Y DISPONE:</w:t>
      </w:r>
    </w:p>
    <w:p w14:paraId="119E894B" w14:textId="77777777" w:rsidR="00492688" w:rsidRDefault="00492688">
      <w:pPr>
        <w:pStyle w:val="Textoindependiente"/>
        <w:spacing w:before="1"/>
        <w:rPr>
          <w:b/>
        </w:rPr>
      </w:pPr>
    </w:p>
    <w:p w14:paraId="0A05B37A" w14:textId="77777777" w:rsidR="00492688" w:rsidRDefault="00C9584B">
      <w:pPr>
        <w:pStyle w:val="Textoindependiente"/>
        <w:ind w:left="121"/>
      </w:pPr>
      <w:r>
        <w:t>Por unanimidad</w:t>
      </w:r>
      <w:r>
        <w:t>, que:</w:t>
      </w:r>
    </w:p>
    <w:p w14:paraId="17C30FC3" w14:textId="77777777" w:rsidR="00492688" w:rsidRDefault="00492688">
      <w:pPr>
        <w:pStyle w:val="Textoindependiente"/>
        <w:spacing w:before="10"/>
        <w:rPr>
          <w:sz w:val="19"/>
        </w:rPr>
      </w:pPr>
    </w:p>
    <w:p w14:paraId="31406769" w14:textId="77777777" w:rsidR="00492688" w:rsidRDefault="00C9584B">
      <w:pPr>
        <w:pStyle w:val="Prrafodelista"/>
        <w:numPr>
          <w:ilvl w:val="0"/>
          <w:numId w:val="5"/>
        </w:numPr>
        <w:tabs>
          <w:tab w:val="left" w:pos="688"/>
        </w:tabs>
        <w:spacing w:before="1"/>
        <w:ind w:right="118" w:firstLine="0"/>
        <w:jc w:val="both"/>
        <w:rPr>
          <w:sz w:val="20"/>
        </w:rPr>
      </w:pPr>
      <w:r>
        <w:rPr>
          <w:sz w:val="20"/>
        </w:rPr>
        <w:t>La Secretaría de la Corte notifique la presente Sentencia a la República de Perú, a las representantes del señor Cordero Bernal y a la Comisión Interamericana de Derechos Humanos.</w:t>
      </w:r>
    </w:p>
    <w:p w14:paraId="0ECBEA22" w14:textId="77777777" w:rsidR="00492688" w:rsidRDefault="00492688">
      <w:pPr>
        <w:jc w:val="both"/>
        <w:rPr>
          <w:sz w:val="20"/>
        </w:rPr>
        <w:sectPr w:rsidR="00492688">
          <w:pgSz w:w="12240" w:h="15840"/>
          <w:pgMar w:top="1340" w:right="1580" w:bottom="280" w:left="1580" w:header="720" w:footer="720" w:gutter="0"/>
          <w:cols w:space="720"/>
        </w:sectPr>
      </w:pPr>
    </w:p>
    <w:p w14:paraId="3FE1DCAA" w14:textId="77777777" w:rsidR="00492688" w:rsidRDefault="00C9584B">
      <w:pPr>
        <w:pStyle w:val="Textoindependiente"/>
        <w:spacing w:before="79"/>
        <w:ind w:left="121"/>
      </w:pPr>
      <w:r>
        <w:lastRenderedPageBreak/>
        <w:t>Por cinco votos a favor y dos en contra:</w:t>
      </w:r>
    </w:p>
    <w:p w14:paraId="56DB3614" w14:textId="77777777" w:rsidR="00492688" w:rsidRDefault="00492688">
      <w:pPr>
        <w:pStyle w:val="Textoindependiente"/>
        <w:spacing w:before="10"/>
        <w:rPr>
          <w:sz w:val="19"/>
        </w:rPr>
      </w:pPr>
    </w:p>
    <w:p w14:paraId="32B692AE" w14:textId="77777777" w:rsidR="00492688" w:rsidRDefault="00C9584B">
      <w:pPr>
        <w:pStyle w:val="Prrafodelista"/>
        <w:numPr>
          <w:ilvl w:val="0"/>
          <w:numId w:val="5"/>
        </w:numPr>
        <w:tabs>
          <w:tab w:val="left" w:pos="687"/>
          <w:tab w:val="left" w:pos="688"/>
        </w:tabs>
        <w:ind w:left="687"/>
        <w:rPr>
          <w:sz w:val="20"/>
        </w:rPr>
      </w:pPr>
      <w:r>
        <w:rPr>
          <w:sz w:val="20"/>
        </w:rPr>
        <w:t>Archivar el</w:t>
      </w:r>
      <w:r>
        <w:rPr>
          <w:spacing w:val="-1"/>
          <w:sz w:val="20"/>
        </w:rPr>
        <w:t xml:space="preserve"> </w:t>
      </w:r>
      <w:r>
        <w:rPr>
          <w:sz w:val="20"/>
        </w:rPr>
        <w:t>expediente.</w:t>
      </w:r>
    </w:p>
    <w:p w14:paraId="2125E8E4" w14:textId="77777777" w:rsidR="00492688" w:rsidRDefault="00492688">
      <w:pPr>
        <w:pStyle w:val="Textoindependiente"/>
        <w:spacing w:before="1"/>
      </w:pPr>
    </w:p>
    <w:p w14:paraId="466437D6" w14:textId="77777777" w:rsidR="00492688" w:rsidRDefault="00C9584B">
      <w:pPr>
        <w:pStyle w:val="Textoindependiente"/>
        <w:spacing w:before="1"/>
        <w:ind w:left="121"/>
      </w:pPr>
      <w:r>
        <w:t>Disienten los jueces L. Patricio Pazmiño Freire y Eduardo Ferrer Mac-Gregor Poisot.</w:t>
      </w:r>
    </w:p>
    <w:p w14:paraId="0DBEF1C0" w14:textId="77777777" w:rsidR="00492688" w:rsidRDefault="00492688">
      <w:pPr>
        <w:pStyle w:val="Textoindependiente"/>
        <w:rPr>
          <w:sz w:val="24"/>
        </w:rPr>
      </w:pPr>
    </w:p>
    <w:p w14:paraId="714D0087" w14:textId="77777777" w:rsidR="00492688" w:rsidRDefault="00C9584B">
      <w:pPr>
        <w:pStyle w:val="Textoindependiente"/>
        <w:spacing w:before="195"/>
        <w:ind w:left="121"/>
      </w:pPr>
      <w:r>
        <w:t>Los jueces L. Patricio Pazmiño Freire y Eduardo Ferrer Mac-Gregor Poisot hicieron conocer a la Corte sus votos disidentes, los cuales acompañan la presente Sentencia.</w:t>
      </w:r>
    </w:p>
    <w:p w14:paraId="321A3A92" w14:textId="77777777" w:rsidR="00492688" w:rsidRDefault="00492688">
      <w:pPr>
        <w:pStyle w:val="Textoindependiente"/>
      </w:pPr>
    </w:p>
    <w:p w14:paraId="3345D2E0" w14:textId="77777777" w:rsidR="00492688" w:rsidRDefault="00C9584B">
      <w:pPr>
        <w:pStyle w:val="Textoindependiente"/>
        <w:ind w:left="121"/>
      </w:pPr>
      <w:r>
        <w:t>Re</w:t>
      </w:r>
      <w:r>
        <w:t>dactada en español en San José, Costa Rica, el 16 de febrero de 2021.</w:t>
      </w:r>
    </w:p>
    <w:p w14:paraId="18B79B11" w14:textId="77777777" w:rsidR="00492688" w:rsidRDefault="00492688">
      <w:pPr>
        <w:pStyle w:val="Textoindependiente"/>
        <w:spacing w:before="11"/>
        <w:rPr>
          <w:sz w:val="19"/>
        </w:rPr>
      </w:pPr>
    </w:p>
    <w:p w14:paraId="56C49DC9" w14:textId="77777777" w:rsidR="00492688" w:rsidRDefault="00C9584B">
      <w:pPr>
        <w:pStyle w:val="Textoindependiente"/>
        <w:ind w:left="121" w:right="114"/>
      </w:pPr>
      <w:r>
        <w:t>Corte IDH. Caso Cordero Bernal Vs. Perú. Excepción Preliminar y Fondo. Sentencia de 16 de febrero de 2021.</w:t>
      </w:r>
    </w:p>
    <w:p w14:paraId="4FE61437" w14:textId="77777777" w:rsidR="00492688" w:rsidRDefault="00492688">
      <w:pPr>
        <w:pStyle w:val="Textoindependiente"/>
        <w:rPr>
          <w:sz w:val="24"/>
        </w:rPr>
      </w:pPr>
    </w:p>
    <w:p w14:paraId="48A266E9" w14:textId="77777777" w:rsidR="00492688" w:rsidRDefault="00492688">
      <w:pPr>
        <w:pStyle w:val="Textoindependiente"/>
        <w:rPr>
          <w:sz w:val="24"/>
        </w:rPr>
      </w:pPr>
    </w:p>
    <w:p w14:paraId="1952C5D3" w14:textId="77777777" w:rsidR="00492688" w:rsidRDefault="00C9584B">
      <w:pPr>
        <w:pStyle w:val="Textoindependiente"/>
        <w:spacing w:before="147"/>
        <w:ind w:left="3209" w:right="3211"/>
        <w:jc w:val="center"/>
      </w:pPr>
      <w:r>
        <w:t>Elizabeth Odio Benito Presidenta</w:t>
      </w:r>
    </w:p>
    <w:p w14:paraId="177BE694" w14:textId="77777777" w:rsidR="00492688" w:rsidRDefault="00492688">
      <w:pPr>
        <w:pStyle w:val="Textoindependiente"/>
        <w:rPr>
          <w:sz w:val="24"/>
        </w:rPr>
      </w:pPr>
    </w:p>
    <w:p w14:paraId="074974B7" w14:textId="77777777" w:rsidR="00492688" w:rsidRDefault="00492688">
      <w:pPr>
        <w:pStyle w:val="Textoindependiente"/>
        <w:rPr>
          <w:sz w:val="24"/>
        </w:rPr>
      </w:pPr>
    </w:p>
    <w:p w14:paraId="280F45C2" w14:textId="77777777" w:rsidR="00492688" w:rsidRDefault="00492688">
      <w:pPr>
        <w:pStyle w:val="Textoindependiente"/>
        <w:spacing w:before="11"/>
        <w:rPr>
          <w:sz w:val="31"/>
        </w:rPr>
      </w:pPr>
    </w:p>
    <w:p w14:paraId="6CF3DC92" w14:textId="77777777" w:rsidR="00492688" w:rsidRDefault="00C9584B">
      <w:pPr>
        <w:pStyle w:val="Textoindependiente"/>
        <w:tabs>
          <w:tab w:val="left" w:pos="6702"/>
        </w:tabs>
        <w:ind w:left="121"/>
      </w:pPr>
      <w:r>
        <w:t>L. Patricio</w:t>
      </w:r>
      <w:r>
        <w:rPr>
          <w:spacing w:val="-6"/>
        </w:rPr>
        <w:t xml:space="preserve"> </w:t>
      </w:r>
      <w:r>
        <w:t>Pazmiño</w:t>
      </w:r>
      <w:r>
        <w:rPr>
          <w:spacing w:val="-3"/>
        </w:rPr>
        <w:t xml:space="preserve"> </w:t>
      </w:r>
      <w:r>
        <w:t>Freire</w:t>
      </w:r>
      <w:r>
        <w:tab/>
      </w:r>
      <w:r>
        <w:t>Eduardo Vio</w:t>
      </w:r>
      <w:r>
        <w:rPr>
          <w:spacing w:val="-2"/>
        </w:rPr>
        <w:t xml:space="preserve"> </w:t>
      </w:r>
      <w:r>
        <w:t>Grossi</w:t>
      </w:r>
    </w:p>
    <w:p w14:paraId="6261B69C" w14:textId="77777777" w:rsidR="00492688" w:rsidRDefault="00492688">
      <w:pPr>
        <w:pStyle w:val="Textoindependiente"/>
        <w:rPr>
          <w:sz w:val="24"/>
        </w:rPr>
      </w:pPr>
    </w:p>
    <w:p w14:paraId="59A77C53" w14:textId="77777777" w:rsidR="00492688" w:rsidRDefault="00492688">
      <w:pPr>
        <w:pStyle w:val="Textoindependiente"/>
        <w:rPr>
          <w:sz w:val="24"/>
        </w:rPr>
      </w:pPr>
    </w:p>
    <w:p w14:paraId="09596D73" w14:textId="77777777" w:rsidR="00492688" w:rsidRDefault="00492688">
      <w:pPr>
        <w:pStyle w:val="Textoindependiente"/>
        <w:spacing w:before="1"/>
        <w:rPr>
          <w:sz w:val="32"/>
        </w:rPr>
      </w:pPr>
    </w:p>
    <w:p w14:paraId="46C87A77" w14:textId="77777777" w:rsidR="00492688" w:rsidRDefault="00C9584B">
      <w:pPr>
        <w:pStyle w:val="Textoindependiente"/>
        <w:tabs>
          <w:tab w:val="left" w:pos="5077"/>
        </w:tabs>
        <w:spacing w:before="1"/>
        <w:ind w:left="121"/>
      </w:pPr>
      <w:r>
        <w:t>Humberto Antonio</w:t>
      </w:r>
      <w:r>
        <w:rPr>
          <w:spacing w:val="-8"/>
        </w:rPr>
        <w:t xml:space="preserve"> </w:t>
      </w:r>
      <w:r>
        <w:t>Sierra</w:t>
      </w:r>
      <w:r>
        <w:rPr>
          <w:spacing w:val="-2"/>
        </w:rPr>
        <w:t xml:space="preserve"> </w:t>
      </w:r>
      <w:r>
        <w:t>Porto</w:t>
      </w:r>
      <w:r>
        <w:tab/>
        <w:t>Eduardo Ferrer Mac-Gregor</w:t>
      </w:r>
      <w:r>
        <w:rPr>
          <w:spacing w:val="-15"/>
        </w:rPr>
        <w:t xml:space="preserve"> </w:t>
      </w:r>
      <w:r>
        <w:t>Poisot</w:t>
      </w:r>
    </w:p>
    <w:p w14:paraId="140F0F16" w14:textId="77777777" w:rsidR="00492688" w:rsidRDefault="00492688">
      <w:pPr>
        <w:pStyle w:val="Textoindependiente"/>
        <w:rPr>
          <w:sz w:val="24"/>
        </w:rPr>
      </w:pPr>
    </w:p>
    <w:p w14:paraId="20C26907" w14:textId="77777777" w:rsidR="00492688" w:rsidRDefault="00492688">
      <w:pPr>
        <w:pStyle w:val="Textoindependiente"/>
        <w:rPr>
          <w:sz w:val="24"/>
        </w:rPr>
      </w:pPr>
    </w:p>
    <w:p w14:paraId="5D44078F" w14:textId="77777777" w:rsidR="00492688" w:rsidRDefault="00492688">
      <w:pPr>
        <w:pStyle w:val="Textoindependiente"/>
        <w:spacing w:before="11"/>
        <w:rPr>
          <w:sz w:val="31"/>
        </w:rPr>
      </w:pPr>
    </w:p>
    <w:p w14:paraId="15E2E6DF" w14:textId="77777777" w:rsidR="00492688" w:rsidRDefault="00C9584B">
      <w:pPr>
        <w:pStyle w:val="Textoindependiente"/>
        <w:tabs>
          <w:tab w:val="left" w:pos="5854"/>
        </w:tabs>
        <w:ind w:left="121"/>
      </w:pPr>
      <w:r>
        <w:t>Eugenio</w:t>
      </w:r>
      <w:r>
        <w:rPr>
          <w:spacing w:val="-5"/>
        </w:rPr>
        <w:t xml:space="preserve"> </w:t>
      </w:r>
      <w:r>
        <w:t>Raúl</w:t>
      </w:r>
      <w:r>
        <w:rPr>
          <w:spacing w:val="-3"/>
        </w:rPr>
        <w:t xml:space="preserve"> </w:t>
      </w:r>
      <w:r>
        <w:t>Zaffaroni</w:t>
      </w:r>
      <w:r>
        <w:tab/>
        <w:t>Ricardo C. Pérez</w:t>
      </w:r>
      <w:r>
        <w:rPr>
          <w:spacing w:val="-8"/>
        </w:rPr>
        <w:t xml:space="preserve"> </w:t>
      </w:r>
      <w:r>
        <w:t>Manrique</w:t>
      </w:r>
    </w:p>
    <w:p w14:paraId="3CBFBE65" w14:textId="77777777" w:rsidR="00492688" w:rsidRDefault="00492688">
      <w:pPr>
        <w:pStyle w:val="Textoindependiente"/>
        <w:rPr>
          <w:sz w:val="24"/>
        </w:rPr>
      </w:pPr>
    </w:p>
    <w:p w14:paraId="22F80A2D" w14:textId="77777777" w:rsidR="00492688" w:rsidRDefault="00492688">
      <w:pPr>
        <w:pStyle w:val="Textoindependiente"/>
        <w:rPr>
          <w:sz w:val="24"/>
        </w:rPr>
      </w:pPr>
    </w:p>
    <w:p w14:paraId="20AB1FE4" w14:textId="77777777" w:rsidR="00492688" w:rsidRDefault="00492688">
      <w:pPr>
        <w:pStyle w:val="Textoindependiente"/>
        <w:spacing w:before="11"/>
        <w:rPr>
          <w:sz w:val="31"/>
        </w:rPr>
      </w:pPr>
    </w:p>
    <w:p w14:paraId="5FF32280" w14:textId="77777777" w:rsidR="00492688" w:rsidRDefault="00C9584B">
      <w:pPr>
        <w:pStyle w:val="Textoindependiente"/>
        <w:ind w:left="3209" w:right="3211"/>
        <w:jc w:val="center"/>
      </w:pPr>
      <w:r>
        <w:t>Pablo Saavedra Alessandri Secretario</w:t>
      </w:r>
    </w:p>
    <w:p w14:paraId="0D7F7CF1" w14:textId="77777777" w:rsidR="00492688" w:rsidRDefault="00492688">
      <w:pPr>
        <w:pStyle w:val="Textoindependiente"/>
        <w:rPr>
          <w:sz w:val="24"/>
        </w:rPr>
      </w:pPr>
    </w:p>
    <w:p w14:paraId="6EE8E75D" w14:textId="77777777" w:rsidR="00492688" w:rsidRDefault="00C9584B">
      <w:pPr>
        <w:pStyle w:val="Textoindependiente"/>
        <w:spacing w:before="195"/>
        <w:ind w:left="121"/>
      </w:pPr>
      <w:r>
        <w:t>Comuníquese y ejecútese,</w:t>
      </w:r>
    </w:p>
    <w:p w14:paraId="7800D55D" w14:textId="77777777" w:rsidR="00492688" w:rsidRDefault="00492688">
      <w:pPr>
        <w:pStyle w:val="Textoindependiente"/>
        <w:rPr>
          <w:sz w:val="24"/>
        </w:rPr>
      </w:pPr>
    </w:p>
    <w:p w14:paraId="53065748" w14:textId="77777777" w:rsidR="00492688" w:rsidRDefault="00492688">
      <w:pPr>
        <w:pStyle w:val="Textoindependiente"/>
        <w:rPr>
          <w:sz w:val="24"/>
        </w:rPr>
      </w:pPr>
    </w:p>
    <w:p w14:paraId="354F40CB" w14:textId="77777777" w:rsidR="00492688" w:rsidRDefault="00C9584B">
      <w:pPr>
        <w:pStyle w:val="Textoindependiente"/>
        <w:spacing w:before="148"/>
        <w:ind w:left="7232" w:right="103" w:hanging="423"/>
      </w:pPr>
      <w:r>
        <w:t>Elizabeth Odio Benito Presidenta</w:t>
      </w:r>
    </w:p>
    <w:p w14:paraId="3C758B35" w14:textId="77777777" w:rsidR="00492688" w:rsidRDefault="00492688">
      <w:pPr>
        <w:pStyle w:val="Textoindependiente"/>
        <w:rPr>
          <w:sz w:val="24"/>
        </w:rPr>
      </w:pPr>
    </w:p>
    <w:p w14:paraId="046A3378" w14:textId="77777777" w:rsidR="00492688" w:rsidRDefault="00492688">
      <w:pPr>
        <w:pStyle w:val="Textoindependiente"/>
        <w:spacing w:before="11"/>
        <w:rPr>
          <w:sz w:val="35"/>
        </w:rPr>
      </w:pPr>
    </w:p>
    <w:p w14:paraId="79453372" w14:textId="77777777" w:rsidR="00492688" w:rsidRDefault="00C9584B">
      <w:pPr>
        <w:pStyle w:val="Textoindependiente"/>
        <w:ind w:left="979" w:right="6283" w:hanging="860"/>
      </w:pPr>
      <w:r>
        <w:t>Pablo Saavedra Alessandri Secretario</w:t>
      </w:r>
    </w:p>
    <w:p w14:paraId="6ED386BC" w14:textId="77777777" w:rsidR="00492688" w:rsidRDefault="00492688">
      <w:pPr>
        <w:sectPr w:rsidR="00492688">
          <w:pgSz w:w="12240" w:h="15840"/>
          <w:pgMar w:top="1340" w:right="1580" w:bottom="280" w:left="1580" w:header="720" w:footer="720" w:gutter="0"/>
          <w:cols w:space="720"/>
        </w:sectPr>
      </w:pPr>
    </w:p>
    <w:p w14:paraId="43E4D0E9" w14:textId="77777777" w:rsidR="00492688" w:rsidRDefault="00492688">
      <w:pPr>
        <w:pStyle w:val="Textoindependiente"/>
        <w:spacing w:before="2"/>
        <w:rPr>
          <w:sz w:val="15"/>
        </w:rPr>
      </w:pPr>
    </w:p>
    <w:p w14:paraId="3C2F42CD" w14:textId="77777777" w:rsidR="00492688" w:rsidRDefault="00C9584B">
      <w:pPr>
        <w:spacing w:before="99"/>
        <w:ind w:left="124" w:right="124"/>
        <w:jc w:val="center"/>
        <w:rPr>
          <w:b/>
          <w:sz w:val="20"/>
        </w:rPr>
      </w:pPr>
      <w:bookmarkStart w:id="168" w:name="vsc_pazmino_421_esp"/>
      <w:bookmarkEnd w:id="168"/>
      <w:r>
        <w:rPr>
          <w:b/>
          <w:sz w:val="20"/>
        </w:rPr>
        <w:t>VOTO DISIDENTE</w:t>
      </w:r>
    </w:p>
    <w:p w14:paraId="7C22893C" w14:textId="77777777" w:rsidR="00492688" w:rsidRDefault="00C9584B">
      <w:pPr>
        <w:spacing w:before="122" w:line="360" w:lineRule="auto"/>
        <w:ind w:left="2283" w:right="2286" w:hanging="1"/>
        <w:jc w:val="center"/>
        <w:rPr>
          <w:b/>
          <w:sz w:val="20"/>
        </w:rPr>
      </w:pPr>
      <w:r>
        <w:rPr>
          <w:b/>
          <w:sz w:val="20"/>
        </w:rPr>
        <w:t xml:space="preserve">JUEZ L. PATRICIO PAZMIÑO FREIRE </w:t>
      </w:r>
      <w:r>
        <w:rPr>
          <w:b/>
          <w:i/>
          <w:sz w:val="20"/>
          <w:u w:val="thick"/>
        </w:rPr>
        <w:t>CASO CORDERO BERNAL VS. PERÚ</w:t>
      </w:r>
      <w:r>
        <w:rPr>
          <w:b/>
          <w:i/>
          <w:sz w:val="20"/>
        </w:rPr>
        <w:t xml:space="preserve"> </w:t>
      </w:r>
      <w:r>
        <w:rPr>
          <w:b/>
          <w:sz w:val="20"/>
        </w:rPr>
        <w:t>SENTENCIA DE 16 DE FEBRERO DE 2021</w:t>
      </w:r>
    </w:p>
    <w:p w14:paraId="53F7D009" w14:textId="77777777" w:rsidR="00492688" w:rsidRDefault="00492688">
      <w:pPr>
        <w:pStyle w:val="Textoindependiente"/>
        <w:spacing w:before="7"/>
        <w:rPr>
          <w:b/>
          <w:sz w:val="21"/>
        </w:rPr>
      </w:pPr>
    </w:p>
    <w:p w14:paraId="64F4D23E" w14:textId="77777777" w:rsidR="00492688" w:rsidRDefault="00C9584B">
      <w:pPr>
        <w:pStyle w:val="Prrafodelista"/>
        <w:numPr>
          <w:ilvl w:val="0"/>
          <w:numId w:val="4"/>
        </w:numPr>
        <w:tabs>
          <w:tab w:val="left" w:pos="688"/>
        </w:tabs>
        <w:ind w:right="118" w:firstLine="0"/>
        <w:jc w:val="both"/>
        <w:rPr>
          <w:sz w:val="20"/>
        </w:rPr>
      </w:pPr>
      <w:r>
        <w:rPr>
          <w:sz w:val="20"/>
        </w:rPr>
        <w:t>Con el respeto acostumbrado por las decisiones de la Corte, m</w:t>
      </w:r>
      <w:r>
        <w:rPr>
          <w:sz w:val="20"/>
        </w:rPr>
        <w:t>e permito exponer las</w:t>
      </w:r>
      <w:r>
        <w:rPr>
          <w:spacing w:val="-9"/>
          <w:sz w:val="20"/>
        </w:rPr>
        <w:t xml:space="preserve"> </w:t>
      </w:r>
      <w:r>
        <w:rPr>
          <w:sz w:val="20"/>
        </w:rPr>
        <w:t>razones</w:t>
      </w:r>
      <w:r>
        <w:rPr>
          <w:spacing w:val="-8"/>
          <w:sz w:val="20"/>
        </w:rPr>
        <w:t xml:space="preserve"> </w:t>
      </w:r>
      <w:r>
        <w:rPr>
          <w:sz w:val="20"/>
        </w:rPr>
        <w:t>por</w:t>
      </w:r>
      <w:r>
        <w:rPr>
          <w:spacing w:val="-9"/>
          <w:sz w:val="20"/>
        </w:rPr>
        <w:t xml:space="preserve"> </w:t>
      </w:r>
      <w:r>
        <w:rPr>
          <w:sz w:val="20"/>
        </w:rPr>
        <w:t>las</w:t>
      </w:r>
      <w:r>
        <w:rPr>
          <w:spacing w:val="-8"/>
          <w:sz w:val="20"/>
        </w:rPr>
        <w:t xml:space="preserve"> </w:t>
      </w:r>
      <w:r>
        <w:rPr>
          <w:sz w:val="20"/>
        </w:rPr>
        <w:t>cuales</w:t>
      </w:r>
      <w:r>
        <w:rPr>
          <w:spacing w:val="-10"/>
          <w:sz w:val="20"/>
        </w:rPr>
        <w:t xml:space="preserve"> </w:t>
      </w:r>
      <w:r>
        <w:rPr>
          <w:sz w:val="20"/>
        </w:rPr>
        <w:t>me</w:t>
      </w:r>
      <w:r>
        <w:rPr>
          <w:spacing w:val="-9"/>
          <w:sz w:val="20"/>
        </w:rPr>
        <w:t xml:space="preserve"> </w:t>
      </w:r>
      <w:r>
        <w:rPr>
          <w:sz w:val="20"/>
        </w:rPr>
        <w:t>aparté</w:t>
      </w:r>
      <w:r>
        <w:rPr>
          <w:spacing w:val="-8"/>
          <w:sz w:val="20"/>
        </w:rPr>
        <w:t xml:space="preserve"> </w:t>
      </w:r>
      <w:r>
        <w:rPr>
          <w:sz w:val="20"/>
        </w:rPr>
        <w:t>de</w:t>
      </w:r>
      <w:r>
        <w:rPr>
          <w:spacing w:val="-9"/>
          <w:sz w:val="20"/>
        </w:rPr>
        <w:t xml:space="preserve"> </w:t>
      </w:r>
      <w:r>
        <w:rPr>
          <w:sz w:val="20"/>
        </w:rPr>
        <w:t>la</w:t>
      </w:r>
      <w:r>
        <w:rPr>
          <w:spacing w:val="-7"/>
          <w:sz w:val="20"/>
        </w:rPr>
        <w:t xml:space="preserve"> </w:t>
      </w:r>
      <w:r>
        <w:rPr>
          <w:sz w:val="20"/>
        </w:rPr>
        <w:t>decisión</w:t>
      </w:r>
      <w:r>
        <w:rPr>
          <w:spacing w:val="-8"/>
          <w:sz w:val="20"/>
        </w:rPr>
        <w:t xml:space="preserve"> </w:t>
      </w:r>
      <w:r>
        <w:rPr>
          <w:sz w:val="20"/>
        </w:rPr>
        <w:t>mayoritaria</w:t>
      </w:r>
      <w:r>
        <w:rPr>
          <w:spacing w:val="-8"/>
          <w:sz w:val="20"/>
        </w:rPr>
        <w:t xml:space="preserve"> </w:t>
      </w:r>
      <w:r>
        <w:rPr>
          <w:sz w:val="20"/>
        </w:rPr>
        <w:t>en</w:t>
      </w:r>
      <w:r>
        <w:rPr>
          <w:spacing w:val="-6"/>
          <w:sz w:val="20"/>
        </w:rPr>
        <w:t xml:space="preserve"> </w:t>
      </w:r>
      <w:r>
        <w:rPr>
          <w:sz w:val="20"/>
        </w:rPr>
        <w:t>la</w:t>
      </w:r>
      <w:r>
        <w:rPr>
          <w:spacing w:val="-8"/>
          <w:sz w:val="20"/>
        </w:rPr>
        <w:t xml:space="preserve"> </w:t>
      </w:r>
      <w:r>
        <w:rPr>
          <w:sz w:val="20"/>
        </w:rPr>
        <w:t>que</w:t>
      </w:r>
      <w:r>
        <w:rPr>
          <w:spacing w:val="-8"/>
          <w:sz w:val="20"/>
        </w:rPr>
        <w:t xml:space="preserve"> </w:t>
      </w:r>
      <w:r>
        <w:rPr>
          <w:sz w:val="20"/>
        </w:rPr>
        <w:t>se</w:t>
      </w:r>
      <w:r>
        <w:rPr>
          <w:spacing w:val="-8"/>
          <w:sz w:val="20"/>
        </w:rPr>
        <w:t xml:space="preserve"> </w:t>
      </w:r>
      <w:r>
        <w:rPr>
          <w:sz w:val="20"/>
        </w:rPr>
        <w:t>resolvió</w:t>
      </w:r>
      <w:r>
        <w:rPr>
          <w:spacing w:val="-11"/>
          <w:sz w:val="20"/>
        </w:rPr>
        <w:t xml:space="preserve"> </w:t>
      </w:r>
      <w:r>
        <w:rPr>
          <w:sz w:val="20"/>
        </w:rPr>
        <w:t>que el</w:t>
      </w:r>
      <w:r>
        <w:rPr>
          <w:spacing w:val="28"/>
          <w:sz w:val="20"/>
        </w:rPr>
        <w:t xml:space="preserve"> </w:t>
      </w:r>
      <w:r>
        <w:rPr>
          <w:sz w:val="20"/>
        </w:rPr>
        <w:t>Estado</w:t>
      </w:r>
      <w:r>
        <w:rPr>
          <w:spacing w:val="27"/>
          <w:sz w:val="20"/>
        </w:rPr>
        <w:t xml:space="preserve"> </w:t>
      </w:r>
      <w:r>
        <w:rPr>
          <w:sz w:val="20"/>
        </w:rPr>
        <w:t>peruano</w:t>
      </w:r>
      <w:r>
        <w:rPr>
          <w:spacing w:val="27"/>
          <w:sz w:val="20"/>
        </w:rPr>
        <w:t xml:space="preserve"> </w:t>
      </w:r>
      <w:r>
        <w:rPr>
          <w:sz w:val="20"/>
        </w:rPr>
        <w:t>no</w:t>
      </w:r>
      <w:r>
        <w:rPr>
          <w:spacing w:val="27"/>
          <w:sz w:val="20"/>
        </w:rPr>
        <w:t xml:space="preserve"> </w:t>
      </w:r>
      <w:r>
        <w:rPr>
          <w:sz w:val="20"/>
        </w:rPr>
        <w:t>había</w:t>
      </w:r>
      <w:r>
        <w:rPr>
          <w:spacing w:val="28"/>
          <w:sz w:val="20"/>
        </w:rPr>
        <w:t xml:space="preserve"> </w:t>
      </w:r>
      <w:r>
        <w:rPr>
          <w:sz w:val="20"/>
        </w:rPr>
        <w:t>violado</w:t>
      </w:r>
      <w:r>
        <w:rPr>
          <w:spacing w:val="27"/>
          <w:sz w:val="20"/>
        </w:rPr>
        <w:t xml:space="preserve"> </w:t>
      </w:r>
      <w:r>
        <w:rPr>
          <w:sz w:val="20"/>
        </w:rPr>
        <w:t>los</w:t>
      </w:r>
      <w:r>
        <w:rPr>
          <w:spacing w:val="27"/>
          <w:sz w:val="20"/>
        </w:rPr>
        <w:t xml:space="preserve"> </w:t>
      </w:r>
      <w:r>
        <w:rPr>
          <w:sz w:val="20"/>
        </w:rPr>
        <w:t>derechos</w:t>
      </w:r>
      <w:r>
        <w:rPr>
          <w:spacing w:val="28"/>
          <w:sz w:val="20"/>
        </w:rPr>
        <w:t xml:space="preserve"> </w:t>
      </w:r>
      <w:r>
        <w:rPr>
          <w:sz w:val="20"/>
        </w:rPr>
        <w:t>reconocidos</w:t>
      </w:r>
      <w:r>
        <w:rPr>
          <w:spacing w:val="27"/>
          <w:sz w:val="20"/>
        </w:rPr>
        <w:t xml:space="preserve"> </w:t>
      </w:r>
      <w:r>
        <w:rPr>
          <w:sz w:val="20"/>
        </w:rPr>
        <w:t>en</w:t>
      </w:r>
      <w:r>
        <w:rPr>
          <w:spacing w:val="29"/>
          <w:sz w:val="20"/>
        </w:rPr>
        <w:t xml:space="preserve"> </w:t>
      </w:r>
      <w:r>
        <w:rPr>
          <w:sz w:val="20"/>
        </w:rPr>
        <w:t>los</w:t>
      </w:r>
      <w:r>
        <w:rPr>
          <w:spacing w:val="27"/>
          <w:sz w:val="20"/>
        </w:rPr>
        <w:t xml:space="preserve"> </w:t>
      </w:r>
      <w:r>
        <w:rPr>
          <w:sz w:val="20"/>
        </w:rPr>
        <w:t>artículos</w:t>
      </w:r>
      <w:r>
        <w:rPr>
          <w:spacing w:val="27"/>
          <w:sz w:val="20"/>
        </w:rPr>
        <w:t xml:space="preserve"> </w:t>
      </w:r>
      <w:r>
        <w:rPr>
          <w:sz w:val="20"/>
        </w:rPr>
        <w:t>8.1,</w:t>
      </w:r>
      <w:r>
        <w:rPr>
          <w:spacing w:val="28"/>
          <w:sz w:val="20"/>
        </w:rPr>
        <w:t xml:space="preserve"> </w:t>
      </w:r>
      <w:r>
        <w:rPr>
          <w:sz w:val="20"/>
        </w:rPr>
        <w:t>9,</w:t>
      </w:r>
    </w:p>
    <w:p w14:paraId="1F3280B9" w14:textId="77777777" w:rsidR="00492688" w:rsidRDefault="00C9584B">
      <w:pPr>
        <w:pStyle w:val="Textoindependiente"/>
        <w:ind w:left="121" w:right="120"/>
        <w:jc w:val="both"/>
      </w:pPr>
      <w:r>
        <w:t>23.1.c y 25.1 de la Convención Americana sobre Derechos Humanos (en adelante “la Convención”) en perjuicio del señor Héctor Fidel Cordero Bernal.</w:t>
      </w:r>
    </w:p>
    <w:p w14:paraId="6F80F7C5" w14:textId="77777777" w:rsidR="00492688" w:rsidRDefault="00492688">
      <w:pPr>
        <w:pStyle w:val="Textoindependiente"/>
        <w:spacing w:before="10"/>
        <w:rPr>
          <w:sz w:val="19"/>
        </w:rPr>
      </w:pPr>
    </w:p>
    <w:p w14:paraId="41AE341B" w14:textId="77777777" w:rsidR="00492688" w:rsidRDefault="00C9584B">
      <w:pPr>
        <w:pStyle w:val="Prrafodelista"/>
        <w:numPr>
          <w:ilvl w:val="0"/>
          <w:numId w:val="4"/>
        </w:numPr>
        <w:tabs>
          <w:tab w:val="left" w:pos="688"/>
        </w:tabs>
        <w:ind w:right="114" w:firstLine="0"/>
        <w:jc w:val="both"/>
        <w:rPr>
          <w:sz w:val="20"/>
        </w:rPr>
      </w:pPr>
      <w:r>
        <w:rPr>
          <w:sz w:val="20"/>
        </w:rPr>
        <w:t>Si bien coincido con los planteamientos expresados en el párrafo 72 la sentencia, en relación con las garantías con las que cuentan los jueces en virtud del principio de independencia judicial, dentro de las que se cuenta la garantía de estabilidad e inamo</w:t>
      </w:r>
      <w:r>
        <w:rPr>
          <w:sz w:val="20"/>
        </w:rPr>
        <w:t>vilidad en el cargo, considero que, en virtud de esa misma garantía, se debieron declarar las violaciones alegadas por la Comisión y las representantes de la presunta víctima.</w:t>
      </w:r>
    </w:p>
    <w:p w14:paraId="5311CD3E" w14:textId="77777777" w:rsidR="00492688" w:rsidRDefault="00492688">
      <w:pPr>
        <w:pStyle w:val="Textoindependiente"/>
        <w:spacing w:before="1"/>
      </w:pPr>
    </w:p>
    <w:p w14:paraId="6CFBB0C4" w14:textId="77777777" w:rsidR="00492688" w:rsidRDefault="00C9584B">
      <w:pPr>
        <w:pStyle w:val="Prrafodelista"/>
        <w:numPr>
          <w:ilvl w:val="0"/>
          <w:numId w:val="4"/>
        </w:numPr>
        <w:tabs>
          <w:tab w:val="left" w:pos="689"/>
        </w:tabs>
        <w:ind w:right="120" w:firstLine="0"/>
        <w:jc w:val="both"/>
        <w:rPr>
          <w:sz w:val="20"/>
        </w:rPr>
      </w:pPr>
      <w:r>
        <w:rPr>
          <w:sz w:val="20"/>
        </w:rPr>
        <w:t>Mi postura se fundamenta en que el señor Cordero Bernal fue destituido con base</w:t>
      </w:r>
      <w:r>
        <w:rPr>
          <w:sz w:val="20"/>
        </w:rPr>
        <w:t xml:space="preserve"> en</w:t>
      </w:r>
      <w:r>
        <w:rPr>
          <w:spacing w:val="-4"/>
          <w:sz w:val="20"/>
        </w:rPr>
        <w:t xml:space="preserve"> </w:t>
      </w:r>
      <w:r>
        <w:rPr>
          <w:sz w:val="20"/>
        </w:rPr>
        <w:t>la</w:t>
      </w:r>
      <w:r>
        <w:rPr>
          <w:spacing w:val="-3"/>
          <w:sz w:val="20"/>
        </w:rPr>
        <w:t xml:space="preserve"> </w:t>
      </w:r>
      <w:r>
        <w:rPr>
          <w:sz w:val="20"/>
        </w:rPr>
        <w:t>causal</w:t>
      </w:r>
      <w:r>
        <w:rPr>
          <w:spacing w:val="-5"/>
          <w:sz w:val="20"/>
        </w:rPr>
        <w:t xml:space="preserve"> </w:t>
      </w:r>
      <w:r>
        <w:rPr>
          <w:sz w:val="20"/>
        </w:rPr>
        <w:t>disciplinaria</w:t>
      </w:r>
      <w:r>
        <w:rPr>
          <w:spacing w:val="-3"/>
          <w:sz w:val="20"/>
        </w:rPr>
        <w:t xml:space="preserve"> </w:t>
      </w:r>
      <w:r>
        <w:rPr>
          <w:sz w:val="20"/>
        </w:rPr>
        <w:t>establecida</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numeral</w:t>
      </w:r>
      <w:r>
        <w:rPr>
          <w:spacing w:val="-5"/>
          <w:sz w:val="20"/>
        </w:rPr>
        <w:t xml:space="preserve"> </w:t>
      </w:r>
      <w:r>
        <w:rPr>
          <w:sz w:val="20"/>
        </w:rPr>
        <w:t>2º</w:t>
      </w:r>
      <w:r>
        <w:rPr>
          <w:spacing w:val="-5"/>
          <w:sz w:val="20"/>
        </w:rPr>
        <w:t xml:space="preserve"> </w:t>
      </w:r>
      <w:r>
        <w:rPr>
          <w:sz w:val="20"/>
        </w:rPr>
        <w:t>del</w:t>
      </w:r>
      <w:r>
        <w:rPr>
          <w:spacing w:val="-3"/>
          <w:sz w:val="20"/>
        </w:rPr>
        <w:t xml:space="preserve"> </w:t>
      </w:r>
      <w:r>
        <w:rPr>
          <w:sz w:val="20"/>
        </w:rPr>
        <w:t>artículo</w:t>
      </w:r>
      <w:r>
        <w:rPr>
          <w:spacing w:val="-7"/>
          <w:sz w:val="20"/>
        </w:rPr>
        <w:t xml:space="preserve"> </w:t>
      </w:r>
      <w:r>
        <w:rPr>
          <w:sz w:val="20"/>
        </w:rPr>
        <w:t>31</w:t>
      </w:r>
      <w:r>
        <w:rPr>
          <w:spacing w:val="-3"/>
          <w:sz w:val="20"/>
        </w:rPr>
        <w:t xml:space="preserve"> </w:t>
      </w:r>
      <w:r>
        <w:rPr>
          <w:sz w:val="20"/>
        </w:rPr>
        <w:t>de</w:t>
      </w:r>
      <w:r>
        <w:rPr>
          <w:spacing w:val="-4"/>
          <w:sz w:val="20"/>
        </w:rPr>
        <w:t xml:space="preserve"> </w:t>
      </w:r>
      <w:r>
        <w:rPr>
          <w:sz w:val="20"/>
        </w:rPr>
        <w:t>la</w:t>
      </w:r>
      <w:r>
        <w:rPr>
          <w:spacing w:val="-5"/>
          <w:sz w:val="20"/>
        </w:rPr>
        <w:t xml:space="preserve"> </w:t>
      </w:r>
      <w:r>
        <w:rPr>
          <w:sz w:val="20"/>
        </w:rPr>
        <w:t>Ley</w:t>
      </w:r>
      <w:r>
        <w:rPr>
          <w:spacing w:val="-4"/>
          <w:sz w:val="20"/>
        </w:rPr>
        <w:t xml:space="preserve"> </w:t>
      </w:r>
      <w:r>
        <w:rPr>
          <w:sz w:val="20"/>
        </w:rPr>
        <w:t>Orgánica del Consejo Nacional de la Magistratura, que</w:t>
      </w:r>
      <w:r>
        <w:rPr>
          <w:spacing w:val="-10"/>
          <w:sz w:val="20"/>
        </w:rPr>
        <w:t xml:space="preserve"> </w:t>
      </w:r>
      <w:r>
        <w:rPr>
          <w:sz w:val="20"/>
        </w:rPr>
        <w:t>establecía:</w:t>
      </w:r>
    </w:p>
    <w:p w14:paraId="0EB948F7" w14:textId="77777777" w:rsidR="00492688" w:rsidRDefault="00492688">
      <w:pPr>
        <w:pStyle w:val="Textoindependiente"/>
        <w:spacing w:before="6"/>
        <w:rPr>
          <w:sz w:val="21"/>
        </w:rPr>
      </w:pPr>
    </w:p>
    <w:p w14:paraId="7530E5A6" w14:textId="77777777" w:rsidR="00492688" w:rsidRDefault="00C9584B">
      <w:pPr>
        <w:ind w:left="829" w:right="733"/>
        <w:rPr>
          <w:sz w:val="16"/>
        </w:rPr>
      </w:pPr>
      <w:r>
        <w:rPr>
          <w:sz w:val="16"/>
        </w:rPr>
        <w:t>Artículo</w:t>
      </w:r>
      <w:r>
        <w:rPr>
          <w:spacing w:val="-8"/>
          <w:sz w:val="16"/>
        </w:rPr>
        <w:t xml:space="preserve"> </w:t>
      </w:r>
      <w:r>
        <w:rPr>
          <w:sz w:val="16"/>
        </w:rPr>
        <w:t>31º.-</w:t>
      </w:r>
      <w:r>
        <w:rPr>
          <w:spacing w:val="-6"/>
          <w:sz w:val="16"/>
        </w:rPr>
        <w:t xml:space="preserve"> </w:t>
      </w:r>
      <w:r>
        <w:rPr>
          <w:sz w:val="16"/>
        </w:rPr>
        <w:t>Procede</w:t>
      </w:r>
      <w:r>
        <w:rPr>
          <w:spacing w:val="-7"/>
          <w:sz w:val="16"/>
        </w:rPr>
        <w:t xml:space="preserve"> </w:t>
      </w:r>
      <w:r>
        <w:rPr>
          <w:sz w:val="16"/>
        </w:rPr>
        <w:t>aplicar</w:t>
      </w:r>
      <w:r>
        <w:rPr>
          <w:spacing w:val="-6"/>
          <w:sz w:val="16"/>
        </w:rPr>
        <w:t xml:space="preserve"> </w:t>
      </w:r>
      <w:r>
        <w:rPr>
          <w:sz w:val="16"/>
        </w:rPr>
        <w:t>la</w:t>
      </w:r>
      <w:r>
        <w:rPr>
          <w:spacing w:val="-6"/>
          <w:sz w:val="16"/>
        </w:rPr>
        <w:t xml:space="preserve"> </w:t>
      </w:r>
      <w:r>
        <w:rPr>
          <w:sz w:val="16"/>
        </w:rPr>
        <w:t>sanción</w:t>
      </w:r>
      <w:r>
        <w:rPr>
          <w:spacing w:val="-11"/>
          <w:sz w:val="16"/>
        </w:rPr>
        <w:t xml:space="preserve"> </w:t>
      </w:r>
      <w:r>
        <w:rPr>
          <w:sz w:val="16"/>
        </w:rPr>
        <w:t>de</w:t>
      </w:r>
      <w:r>
        <w:rPr>
          <w:spacing w:val="-7"/>
          <w:sz w:val="16"/>
        </w:rPr>
        <w:t xml:space="preserve"> </w:t>
      </w:r>
      <w:r>
        <w:rPr>
          <w:sz w:val="16"/>
        </w:rPr>
        <w:t>destitución</w:t>
      </w:r>
      <w:r>
        <w:rPr>
          <w:spacing w:val="-6"/>
          <w:sz w:val="16"/>
        </w:rPr>
        <w:t xml:space="preserve"> </w:t>
      </w:r>
      <w:r>
        <w:rPr>
          <w:sz w:val="16"/>
        </w:rPr>
        <w:t>a</w:t>
      </w:r>
      <w:r>
        <w:rPr>
          <w:spacing w:val="-10"/>
          <w:sz w:val="16"/>
        </w:rPr>
        <w:t xml:space="preserve"> </w:t>
      </w:r>
      <w:r>
        <w:rPr>
          <w:sz w:val="16"/>
        </w:rPr>
        <w:t>que</w:t>
      </w:r>
      <w:r>
        <w:rPr>
          <w:spacing w:val="-8"/>
          <w:sz w:val="16"/>
        </w:rPr>
        <w:t xml:space="preserve"> </w:t>
      </w:r>
      <w:r>
        <w:rPr>
          <w:sz w:val="16"/>
        </w:rPr>
        <w:t>se</w:t>
      </w:r>
      <w:r>
        <w:rPr>
          <w:spacing w:val="-7"/>
          <w:sz w:val="16"/>
        </w:rPr>
        <w:t xml:space="preserve"> </w:t>
      </w:r>
      <w:r>
        <w:rPr>
          <w:sz w:val="16"/>
        </w:rPr>
        <w:t>refiere</w:t>
      </w:r>
      <w:r>
        <w:rPr>
          <w:spacing w:val="-7"/>
          <w:sz w:val="16"/>
        </w:rPr>
        <w:t xml:space="preserve"> </w:t>
      </w:r>
      <w:r>
        <w:rPr>
          <w:sz w:val="16"/>
        </w:rPr>
        <w:t>el</w:t>
      </w:r>
      <w:r>
        <w:rPr>
          <w:spacing w:val="-8"/>
          <w:sz w:val="16"/>
        </w:rPr>
        <w:t xml:space="preserve"> </w:t>
      </w:r>
      <w:r>
        <w:rPr>
          <w:sz w:val="16"/>
        </w:rPr>
        <w:t>inciso</w:t>
      </w:r>
      <w:r>
        <w:rPr>
          <w:spacing w:val="-7"/>
          <w:sz w:val="16"/>
        </w:rPr>
        <w:t xml:space="preserve"> </w:t>
      </w:r>
      <w:r>
        <w:rPr>
          <w:sz w:val="16"/>
        </w:rPr>
        <w:t>c)</w:t>
      </w:r>
      <w:r>
        <w:rPr>
          <w:spacing w:val="-8"/>
          <w:sz w:val="16"/>
        </w:rPr>
        <w:t xml:space="preserve"> </w:t>
      </w:r>
      <w:r>
        <w:rPr>
          <w:sz w:val="16"/>
        </w:rPr>
        <w:t>del</w:t>
      </w:r>
      <w:r>
        <w:rPr>
          <w:spacing w:val="-8"/>
          <w:sz w:val="16"/>
        </w:rPr>
        <w:t xml:space="preserve"> </w:t>
      </w:r>
      <w:r>
        <w:rPr>
          <w:sz w:val="16"/>
        </w:rPr>
        <w:t>Artículo 21 de la presente ley por las siguientes</w:t>
      </w:r>
      <w:r>
        <w:rPr>
          <w:spacing w:val="-4"/>
          <w:sz w:val="16"/>
        </w:rPr>
        <w:t xml:space="preserve"> </w:t>
      </w:r>
      <w:r>
        <w:rPr>
          <w:sz w:val="16"/>
        </w:rPr>
        <w:t>causas:</w:t>
      </w:r>
    </w:p>
    <w:p w14:paraId="6FE6FACD" w14:textId="77777777" w:rsidR="00492688" w:rsidRDefault="00492688">
      <w:pPr>
        <w:pStyle w:val="Textoindependiente"/>
        <w:spacing w:before="2"/>
        <w:rPr>
          <w:sz w:val="16"/>
        </w:rPr>
      </w:pPr>
    </w:p>
    <w:p w14:paraId="0B308116" w14:textId="77777777" w:rsidR="00492688" w:rsidRDefault="00C9584B">
      <w:pPr>
        <w:ind w:left="829" w:right="733"/>
        <w:rPr>
          <w:sz w:val="16"/>
        </w:rPr>
      </w:pPr>
      <w:r>
        <w:rPr>
          <w:sz w:val="16"/>
        </w:rPr>
        <w:t>[…] 2. La comisión de un hecho grave que sin ser delito compromete la dignidad del cargo y la desmerezca en el concepto público […].</w:t>
      </w:r>
    </w:p>
    <w:p w14:paraId="5ED4F126" w14:textId="77777777" w:rsidR="00492688" w:rsidRDefault="00492688">
      <w:pPr>
        <w:pStyle w:val="Textoindependiente"/>
      </w:pPr>
    </w:p>
    <w:p w14:paraId="2A341593" w14:textId="77777777" w:rsidR="00492688" w:rsidRDefault="00C9584B">
      <w:pPr>
        <w:pStyle w:val="Prrafodelista"/>
        <w:numPr>
          <w:ilvl w:val="0"/>
          <w:numId w:val="4"/>
        </w:numPr>
        <w:tabs>
          <w:tab w:val="left" w:pos="688"/>
        </w:tabs>
        <w:ind w:right="118" w:firstLine="0"/>
        <w:jc w:val="both"/>
        <w:rPr>
          <w:sz w:val="20"/>
        </w:rPr>
      </w:pPr>
      <w:r>
        <w:rPr>
          <w:sz w:val="20"/>
        </w:rPr>
        <w:t>A</w:t>
      </w:r>
      <w:r>
        <w:rPr>
          <w:spacing w:val="-12"/>
          <w:sz w:val="20"/>
        </w:rPr>
        <w:t xml:space="preserve"> </w:t>
      </w:r>
      <w:r>
        <w:rPr>
          <w:sz w:val="20"/>
        </w:rPr>
        <w:t>mi</w:t>
      </w:r>
      <w:r>
        <w:rPr>
          <w:spacing w:val="-12"/>
          <w:sz w:val="20"/>
        </w:rPr>
        <w:t xml:space="preserve"> </w:t>
      </w:r>
      <w:r>
        <w:rPr>
          <w:sz w:val="20"/>
        </w:rPr>
        <w:t>juicio,</w:t>
      </w:r>
      <w:r>
        <w:rPr>
          <w:spacing w:val="-13"/>
          <w:sz w:val="20"/>
        </w:rPr>
        <w:t xml:space="preserve"> </w:t>
      </w:r>
      <w:r>
        <w:rPr>
          <w:sz w:val="20"/>
        </w:rPr>
        <w:t>del</w:t>
      </w:r>
      <w:r>
        <w:rPr>
          <w:spacing w:val="-11"/>
          <w:sz w:val="20"/>
        </w:rPr>
        <w:t xml:space="preserve"> </w:t>
      </w:r>
      <w:r>
        <w:rPr>
          <w:sz w:val="20"/>
        </w:rPr>
        <w:t>texto</w:t>
      </w:r>
      <w:r>
        <w:rPr>
          <w:spacing w:val="-11"/>
          <w:sz w:val="20"/>
        </w:rPr>
        <w:t xml:space="preserve"> </w:t>
      </w:r>
      <w:r>
        <w:rPr>
          <w:sz w:val="20"/>
        </w:rPr>
        <w:t>de</w:t>
      </w:r>
      <w:r>
        <w:rPr>
          <w:spacing w:val="-12"/>
          <w:sz w:val="20"/>
        </w:rPr>
        <w:t xml:space="preserve"> </w:t>
      </w:r>
      <w:r>
        <w:rPr>
          <w:sz w:val="20"/>
        </w:rPr>
        <w:t>la</w:t>
      </w:r>
      <w:r>
        <w:rPr>
          <w:spacing w:val="-12"/>
          <w:sz w:val="20"/>
        </w:rPr>
        <w:t xml:space="preserve"> </w:t>
      </w:r>
      <w:r>
        <w:rPr>
          <w:sz w:val="20"/>
        </w:rPr>
        <w:t>norma</w:t>
      </w:r>
      <w:r>
        <w:rPr>
          <w:spacing w:val="-10"/>
          <w:sz w:val="20"/>
        </w:rPr>
        <w:t xml:space="preserve"> </w:t>
      </w:r>
      <w:r>
        <w:rPr>
          <w:sz w:val="20"/>
        </w:rPr>
        <w:t>no</w:t>
      </w:r>
      <w:r>
        <w:rPr>
          <w:spacing w:val="-11"/>
          <w:sz w:val="20"/>
        </w:rPr>
        <w:t xml:space="preserve"> </w:t>
      </w:r>
      <w:r>
        <w:rPr>
          <w:sz w:val="20"/>
        </w:rPr>
        <w:t>se</w:t>
      </w:r>
      <w:r>
        <w:rPr>
          <w:spacing w:val="-11"/>
          <w:sz w:val="20"/>
        </w:rPr>
        <w:t xml:space="preserve"> </w:t>
      </w:r>
      <w:r>
        <w:rPr>
          <w:sz w:val="20"/>
        </w:rPr>
        <w:t>desprende</w:t>
      </w:r>
      <w:r>
        <w:rPr>
          <w:spacing w:val="-13"/>
          <w:sz w:val="20"/>
        </w:rPr>
        <w:t xml:space="preserve"> </w:t>
      </w:r>
      <w:r>
        <w:rPr>
          <w:sz w:val="20"/>
        </w:rPr>
        <w:t>indicación</w:t>
      </w:r>
      <w:r>
        <w:rPr>
          <w:spacing w:val="-12"/>
          <w:sz w:val="20"/>
        </w:rPr>
        <w:t xml:space="preserve"> </w:t>
      </w:r>
      <w:r>
        <w:rPr>
          <w:sz w:val="20"/>
        </w:rPr>
        <w:t>alguna</w:t>
      </w:r>
      <w:r>
        <w:rPr>
          <w:spacing w:val="-12"/>
          <w:sz w:val="20"/>
        </w:rPr>
        <w:t xml:space="preserve"> </w:t>
      </w:r>
      <w:r>
        <w:rPr>
          <w:sz w:val="20"/>
        </w:rPr>
        <w:t>sobre</w:t>
      </w:r>
      <w:r>
        <w:rPr>
          <w:spacing w:val="-10"/>
          <w:sz w:val="20"/>
        </w:rPr>
        <w:t xml:space="preserve"> </w:t>
      </w:r>
      <w:r>
        <w:rPr>
          <w:sz w:val="20"/>
        </w:rPr>
        <w:t>qué</w:t>
      </w:r>
      <w:r>
        <w:rPr>
          <w:spacing w:val="-14"/>
          <w:sz w:val="20"/>
        </w:rPr>
        <w:t xml:space="preserve"> </w:t>
      </w:r>
      <w:r>
        <w:rPr>
          <w:sz w:val="20"/>
        </w:rPr>
        <w:t>tipo de</w:t>
      </w:r>
      <w:r>
        <w:rPr>
          <w:spacing w:val="-20"/>
          <w:sz w:val="20"/>
        </w:rPr>
        <w:t xml:space="preserve"> </w:t>
      </w:r>
      <w:r>
        <w:rPr>
          <w:sz w:val="20"/>
        </w:rPr>
        <w:t>actos</w:t>
      </w:r>
      <w:r>
        <w:rPr>
          <w:spacing w:val="-19"/>
          <w:sz w:val="20"/>
        </w:rPr>
        <w:t xml:space="preserve"> </w:t>
      </w:r>
      <w:r>
        <w:rPr>
          <w:sz w:val="20"/>
        </w:rPr>
        <w:t>pueden</w:t>
      </w:r>
      <w:r>
        <w:rPr>
          <w:spacing w:val="-17"/>
          <w:sz w:val="20"/>
        </w:rPr>
        <w:t xml:space="preserve"> </w:t>
      </w:r>
      <w:r>
        <w:rPr>
          <w:sz w:val="20"/>
        </w:rPr>
        <w:t>ser</w:t>
      </w:r>
      <w:r>
        <w:rPr>
          <w:spacing w:val="-20"/>
          <w:sz w:val="20"/>
        </w:rPr>
        <w:t xml:space="preserve"> </w:t>
      </w:r>
      <w:r>
        <w:rPr>
          <w:sz w:val="20"/>
        </w:rPr>
        <w:t>considerados</w:t>
      </w:r>
      <w:r>
        <w:rPr>
          <w:spacing w:val="-17"/>
          <w:sz w:val="20"/>
        </w:rPr>
        <w:t xml:space="preserve"> </w:t>
      </w:r>
      <w:r>
        <w:rPr>
          <w:sz w:val="20"/>
        </w:rPr>
        <w:t>hechos</w:t>
      </w:r>
      <w:r>
        <w:rPr>
          <w:spacing w:val="-19"/>
          <w:sz w:val="20"/>
        </w:rPr>
        <w:t xml:space="preserve"> </w:t>
      </w:r>
      <w:r>
        <w:rPr>
          <w:sz w:val="20"/>
        </w:rPr>
        <w:t>graves.</w:t>
      </w:r>
      <w:r>
        <w:rPr>
          <w:spacing w:val="-19"/>
          <w:sz w:val="20"/>
        </w:rPr>
        <w:t xml:space="preserve"> </w:t>
      </w:r>
      <w:r>
        <w:rPr>
          <w:sz w:val="20"/>
        </w:rPr>
        <w:t>Además,</w:t>
      </w:r>
      <w:r>
        <w:rPr>
          <w:spacing w:val="-19"/>
          <w:sz w:val="20"/>
        </w:rPr>
        <w:t xml:space="preserve"> </w:t>
      </w:r>
      <w:r>
        <w:rPr>
          <w:sz w:val="20"/>
        </w:rPr>
        <w:t>las</w:t>
      </w:r>
      <w:r>
        <w:rPr>
          <w:spacing w:val="-17"/>
          <w:sz w:val="20"/>
        </w:rPr>
        <w:t xml:space="preserve"> </w:t>
      </w:r>
      <w:r>
        <w:rPr>
          <w:sz w:val="20"/>
        </w:rPr>
        <w:t>expresiones</w:t>
      </w:r>
      <w:r>
        <w:rPr>
          <w:spacing w:val="-18"/>
          <w:sz w:val="20"/>
        </w:rPr>
        <w:t xml:space="preserve"> </w:t>
      </w:r>
      <w:r>
        <w:rPr>
          <w:sz w:val="20"/>
        </w:rPr>
        <w:t>“comprometa la dignidad del cargo” y “desmerezca en el concepto público” tienen un alto grado de indeterminación y permiten gran discrecionalidad al en</w:t>
      </w:r>
      <w:r>
        <w:rPr>
          <w:sz w:val="20"/>
        </w:rPr>
        <w:t>cargado de ejercer la potestad disciplinaria, por lo que no ofrecen ninguna garantía frente a la posibilidad de ser utilizadas</w:t>
      </w:r>
      <w:r>
        <w:rPr>
          <w:spacing w:val="-2"/>
          <w:sz w:val="20"/>
        </w:rPr>
        <w:t xml:space="preserve"> </w:t>
      </w:r>
      <w:r>
        <w:rPr>
          <w:sz w:val="20"/>
        </w:rPr>
        <w:t>arbitrariamente</w:t>
      </w:r>
      <w:hyperlink w:anchor="_bookmark138" w:history="1">
        <w:r>
          <w:rPr>
            <w:position w:val="7"/>
            <w:sz w:val="13"/>
          </w:rPr>
          <w:t>1</w:t>
        </w:r>
      </w:hyperlink>
      <w:r>
        <w:rPr>
          <w:sz w:val="20"/>
        </w:rPr>
        <w:t>.</w:t>
      </w:r>
    </w:p>
    <w:p w14:paraId="2B2C68EB" w14:textId="77777777" w:rsidR="00492688" w:rsidRDefault="00492688">
      <w:pPr>
        <w:pStyle w:val="Textoindependiente"/>
      </w:pPr>
    </w:p>
    <w:p w14:paraId="61C1C1E8" w14:textId="77777777" w:rsidR="00492688" w:rsidRDefault="00C9584B">
      <w:pPr>
        <w:pStyle w:val="Prrafodelista"/>
        <w:numPr>
          <w:ilvl w:val="0"/>
          <w:numId w:val="4"/>
        </w:numPr>
        <w:tabs>
          <w:tab w:val="left" w:pos="688"/>
        </w:tabs>
        <w:ind w:right="119" w:firstLine="0"/>
        <w:jc w:val="both"/>
        <w:rPr>
          <w:sz w:val="20"/>
        </w:rPr>
      </w:pPr>
      <w:r>
        <w:rPr>
          <w:sz w:val="20"/>
        </w:rPr>
        <w:t>Si bien es cierto que la Corte ha establecido que la precisión exigida a una n</w:t>
      </w:r>
      <w:r>
        <w:rPr>
          <w:sz w:val="20"/>
        </w:rPr>
        <w:t>orma sancionatoria</w:t>
      </w:r>
      <w:r>
        <w:rPr>
          <w:spacing w:val="-14"/>
          <w:sz w:val="20"/>
        </w:rPr>
        <w:t xml:space="preserve"> </w:t>
      </w:r>
      <w:r>
        <w:rPr>
          <w:sz w:val="20"/>
        </w:rPr>
        <w:t>disciplinaria</w:t>
      </w:r>
      <w:r>
        <w:rPr>
          <w:spacing w:val="-13"/>
          <w:sz w:val="20"/>
        </w:rPr>
        <w:t xml:space="preserve"> </w:t>
      </w:r>
      <w:r>
        <w:rPr>
          <w:sz w:val="20"/>
        </w:rPr>
        <w:t>es</w:t>
      </w:r>
      <w:r>
        <w:rPr>
          <w:spacing w:val="-13"/>
          <w:sz w:val="20"/>
        </w:rPr>
        <w:t xml:space="preserve"> </w:t>
      </w:r>
      <w:r>
        <w:rPr>
          <w:sz w:val="20"/>
        </w:rPr>
        <w:t>diferente</w:t>
      </w:r>
      <w:r>
        <w:rPr>
          <w:spacing w:val="-15"/>
          <w:sz w:val="20"/>
        </w:rPr>
        <w:t xml:space="preserve"> </w:t>
      </w:r>
      <w:r>
        <w:rPr>
          <w:sz w:val="20"/>
        </w:rPr>
        <w:t>a</w:t>
      </w:r>
      <w:r>
        <w:rPr>
          <w:spacing w:val="-10"/>
          <w:sz w:val="20"/>
        </w:rPr>
        <w:t xml:space="preserve"> </w:t>
      </w:r>
      <w:r>
        <w:rPr>
          <w:sz w:val="20"/>
        </w:rPr>
        <w:t>la</w:t>
      </w:r>
      <w:r>
        <w:rPr>
          <w:spacing w:val="-11"/>
          <w:sz w:val="20"/>
        </w:rPr>
        <w:t xml:space="preserve"> </w:t>
      </w:r>
      <w:r>
        <w:rPr>
          <w:sz w:val="20"/>
        </w:rPr>
        <w:t>requerida</w:t>
      </w:r>
      <w:r>
        <w:rPr>
          <w:spacing w:val="-11"/>
          <w:sz w:val="20"/>
        </w:rPr>
        <w:t xml:space="preserve"> </w:t>
      </w:r>
      <w:r>
        <w:rPr>
          <w:sz w:val="20"/>
        </w:rPr>
        <w:t>en</w:t>
      </w:r>
      <w:r>
        <w:rPr>
          <w:spacing w:val="-10"/>
          <w:sz w:val="20"/>
        </w:rPr>
        <w:t xml:space="preserve"> </w:t>
      </w:r>
      <w:r>
        <w:rPr>
          <w:sz w:val="20"/>
        </w:rPr>
        <w:t>materia</w:t>
      </w:r>
      <w:r>
        <w:rPr>
          <w:spacing w:val="-10"/>
          <w:sz w:val="20"/>
        </w:rPr>
        <w:t xml:space="preserve"> </w:t>
      </w:r>
      <w:r>
        <w:rPr>
          <w:sz w:val="20"/>
        </w:rPr>
        <w:t>penal,</w:t>
      </w:r>
      <w:r>
        <w:rPr>
          <w:spacing w:val="-9"/>
          <w:sz w:val="20"/>
        </w:rPr>
        <w:t xml:space="preserve"> </w:t>
      </w:r>
      <w:r>
        <w:rPr>
          <w:sz w:val="20"/>
        </w:rPr>
        <w:t>por</w:t>
      </w:r>
      <w:r>
        <w:rPr>
          <w:spacing w:val="-12"/>
          <w:sz w:val="20"/>
        </w:rPr>
        <w:t xml:space="preserve"> </w:t>
      </w:r>
      <w:r>
        <w:rPr>
          <w:sz w:val="20"/>
        </w:rPr>
        <w:t>la</w:t>
      </w:r>
      <w:r>
        <w:rPr>
          <w:spacing w:val="-12"/>
          <w:sz w:val="20"/>
        </w:rPr>
        <w:t xml:space="preserve"> </w:t>
      </w:r>
      <w:r>
        <w:rPr>
          <w:sz w:val="20"/>
        </w:rPr>
        <w:t>naturaleza de los conflictos que cada una está llamada a resolver</w:t>
      </w:r>
      <w:hyperlink w:anchor="_bookmark139" w:history="1">
        <w:r>
          <w:rPr>
            <w:position w:val="7"/>
            <w:sz w:val="13"/>
          </w:rPr>
          <w:t>2</w:t>
        </w:r>
      </w:hyperlink>
      <w:r>
        <w:rPr>
          <w:sz w:val="20"/>
        </w:rPr>
        <w:t>, también lo es que la Corte ha señalado, de forma reiterada, que la garantía de estabilidad en el cargo de jueces y juezas requiere que estos sean destituidos o removidos de sus cargos por conductas claramente reprochables, es decir, por razones graves re</w:t>
      </w:r>
      <w:r>
        <w:rPr>
          <w:sz w:val="20"/>
        </w:rPr>
        <w:t>lacionadas con mala conducta o incompetencia. Asimismo, la posibilidad de destitución debe obedecer al principio de máxima</w:t>
      </w:r>
      <w:r>
        <w:rPr>
          <w:spacing w:val="27"/>
          <w:sz w:val="20"/>
        </w:rPr>
        <w:t xml:space="preserve"> </w:t>
      </w:r>
      <w:r>
        <w:rPr>
          <w:sz w:val="20"/>
        </w:rPr>
        <w:t>gravedad.</w:t>
      </w:r>
      <w:r>
        <w:rPr>
          <w:spacing w:val="29"/>
          <w:sz w:val="20"/>
        </w:rPr>
        <w:t xml:space="preserve"> </w:t>
      </w:r>
      <w:r>
        <w:rPr>
          <w:sz w:val="20"/>
        </w:rPr>
        <w:t>En</w:t>
      </w:r>
      <w:r>
        <w:rPr>
          <w:spacing w:val="29"/>
          <w:sz w:val="20"/>
        </w:rPr>
        <w:t xml:space="preserve"> </w:t>
      </w:r>
      <w:r>
        <w:rPr>
          <w:sz w:val="20"/>
        </w:rPr>
        <w:t>efecto,</w:t>
      </w:r>
      <w:r>
        <w:rPr>
          <w:spacing w:val="27"/>
          <w:sz w:val="20"/>
        </w:rPr>
        <w:t xml:space="preserve"> </w:t>
      </w:r>
      <w:r>
        <w:rPr>
          <w:sz w:val="20"/>
        </w:rPr>
        <w:t>la</w:t>
      </w:r>
      <w:r>
        <w:rPr>
          <w:spacing w:val="27"/>
          <w:sz w:val="20"/>
        </w:rPr>
        <w:t xml:space="preserve"> </w:t>
      </w:r>
      <w:r>
        <w:rPr>
          <w:sz w:val="20"/>
        </w:rPr>
        <w:t>protección</w:t>
      </w:r>
      <w:r>
        <w:rPr>
          <w:spacing w:val="29"/>
          <w:sz w:val="20"/>
        </w:rPr>
        <w:t xml:space="preserve"> </w:t>
      </w:r>
      <w:r>
        <w:rPr>
          <w:sz w:val="20"/>
        </w:rPr>
        <w:t>de</w:t>
      </w:r>
      <w:r>
        <w:rPr>
          <w:spacing w:val="28"/>
          <w:sz w:val="20"/>
        </w:rPr>
        <w:t xml:space="preserve"> </w:t>
      </w:r>
      <w:r>
        <w:rPr>
          <w:sz w:val="20"/>
        </w:rPr>
        <w:t>la</w:t>
      </w:r>
      <w:r>
        <w:rPr>
          <w:spacing w:val="27"/>
          <w:sz w:val="20"/>
        </w:rPr>
        <w:t xml:space="preserve"> </w:t>
      </w:r>
      <w:r>
        <w:rPr>
          <w:sz w:val="20"/>
        </w:rPr>
        <w:t>independencia</w:t>
      </w:r>
      <w:r>
        <w:rPr>
          <w:spacing w:val="28"/>
          <w:sz w:val="20"/>
        </w:rPr>
        <w:t xml:space="preserve"> </w:t>
      </w:r>
      <w:r>
        <w:rPr>
          <w:sz w:val="20"/>
        </w:rPr>
        <w:t>judicial</w:t>
      </w:r>
      <w:r>
        <w:rPr>
          <w:spacing w:val="27"/>
          <w:sz w:val="20"/>
        </w:rPr>
        <w:t xml:space="preserve"> </w:t>
      </w:r>
      <w:r>
        <w:rPr>
          <w:sz w:val="20"/>
        </w:rPr>
        <w:t>exige</w:t>
      </w:r>
      <w:r>
        <w:rPr>
          <w:spacing w:val="29"/>
          <w:sz w:val="20"/>
        </w:rPr>
        <w:t xml:space="preserve"> </w:t>
      </w:r>
      <w:r>
        <w:rPr>
          <w:sz w:val="20"/>
        </w:rPr>
        <w:t>que</w:t>
      </w:r>
      <w:r>
        <w:rPr>
          <w:spacing w:val="26"/>
          <w:sz w:val="20"/>
        </w:rPr>
        <w:t xml:space="preserve"> </w:t>
      </w:r>
      <w:r>
        <w:rPr>
          <w:sz w:val="20"/>
        </w:rPr>
        <w:t>la</w:t>
      </w:r>
    </w:p>
    <w:p w14:paraId="6138C682" w14:textId="219CF990" w:rsidR="00492688" w:rsidRDefault="00C9584B">
      <w:pPr>
        <w:pStyle w:val="Textoindependiente"/>
        <w:spacing w:before="8"/>
        <w:rPr>
          <w:sz w:val="22"/>
        </w:rPr>
      </w:pPr>
      <w:r>
        <w:rPr>
          <w:noProof/>
        </w:rPr>
        <mc:AlternateContent>
          <mc:Choice Requires="wps">
            <w:drawing>
              <wp:anchor distT="0" distB="0" distL="0" distR="0" simplePos="0" relativeHeight="251683840" behindDoc="1" locked="0" layoutInCell="1" allowOverlap="1" wp14:anchorId="5C370744" wp14:editId="4DD5E41D">
                <wp:simplePos x="0" y="0"/>
                <wp:positionH relativeFrom="page">
                  <wp:posOffset>1080770</wp:posOffset>
                </wp:positionH>
                <wp:positionV relativeFrom="paragraph">
                  <wp:posOffset>205105</wp:posOffset>
                </wp:positionV>
                <wp:extent cx="1828800" cy="1270"/>
                <wp:effectExtent l="0" t="0" r="0" b="0"/>
                <wp:wrapTopAndBottom/>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49963" id="Freeform 17" o:spid="_x0000_s1026" style="position:absolute;margin-left:85.1pt;margin-top:16.15pt;width:2in;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" path="m,l2880,e" filled="f" strokeweight=".72pt">
                <v:path arrowok="t" o:connecttype="custom" o:connectlocs="0,0;1828800,0" o:connectangles="0,0"/>
                <w10:wrap type="topAndBottom" anchorx="page"/>
              </v:shape>
            </w:pict>
          </mc:Fallback>
        </mc:AlternateContent>
      </w:r>
    </w:p>
    <w:p w14:paraId="5A245246" w14:textId="77777777" w:rsidR="00492688" w:rsidRDefault="00492688">
      <w:pPr>
        <w:pStyle w:val="Textoindependiente"/>
        <w:spacing w:before="10"/>
        <w:rPr>
          <w:sz w:val="5"/>
        </w:rPr>
      </w:pPr>
    </w:p>
    <w:p w14:paraId="3E753A98" w14:textId="77777777" w:rsidR="00492688" w:rsidRDefault="00C9584B">
      <w:pPr>
        <w:tabs>
          <w:tab w:val="left" w:pos="829"/>
        </w:tabs>
        <w:spacing w:before="101"/>
        <w:ind w:left="121"/>
        <w:jc w:val="both"/>
        <w:rPr>
          <w:i/>
          <w:sz w:val="16"/>
        </w:rPr>
      </w:pPr>
      <w:bookmarkStart w:id="169" w:name="_bookmark138"/>
      <w:bookmarkEnd w:id="169"/>
      <w:r>
        <w:rPr>
          <w:rFonts w:ascii="Calibri"/>
          <w:position w:val="5"/>
          <w:sz w:val="10"/>
        </w:rPr>
        <w:t>1</w:t>
      </w:r>
      <w:r>
        <w:rPr>
          <w:rFonts w:ascii="Calibri"/>
          <w:position w:val="5"/>
          <w:sz w:val="10"/>
        </w:rPr>
        <w:tab/>
      </w:r>
      <w:r>
        <w:rPr>
          <w:i/>
          <w:sz w:val="16"/>
        </w:rPr>
        <w:t>Cfr.  Caso  Urrutia  Laubreaux Vs. Chile.  Excepcio</w:t>
      </w:r>
      <w:r>
        <w:rPr>
          <w:i/>
          <w:sz w:val="16"/>
        </w:rPr>
        <w:t xml:space="preserve">nes Preliminares, Fondo, Reparaciones </w:t>
      </w:r>
      <w:r>
        <w:rPr>
          <w:i/>
          <w:spacing w:val="20"/>
          <w:sz w:val="16"/>
        </w:rPr>
        <w:t xml:space="preserve"> </w:t>
      </w:r>
      <w:r>
        <w:rPr>
          <w:i/>
          <w:sz w:val="16"/>
        </w:rPr>
        <w:t>y  Costas.</w:t>
      </w:r>
    </w:p>
    <w:p w14:paraId="3255BA07" w14:textId="77777777" w:rsidR="00492688" w:rsidRDefault="00C9584B">
      <w:pPr>
        <w:spacing w:before="9"/>
        <w:ind w:left="121"/>
        <w:jc w:val="both"/>
        <w:rPr>
          <w:sz w:val="16"/>
        </w:rPr>
      </w:pPr>
      <w:r>
        <w:rPr>
          <w:sz w:val="16"/>
        </w:rPr>
        <w:t>Sentencia de 27 de agosto de 2020. Serie C No. 409, párr. 134.</w:t>
      </w:r>
    </w:p>
    <w:p w14:paraId="1DCE6C19" w14:textId="77777777" w:rsidR="00492688" w:rsidRDefault="00C9584B">
      <w:pPr>
        <w:tabs>
          <w:tab w:val="left" w:pos="829"/>
        </w:tabs>
        <w:spacing w:before="99" w:line="244" w:lineRule="auto"/>
        <w:ind w:left="121" w:right="115"/>
        <w:jc w:val="both"/>
        <w:rPr>
          <w:sz w:val="16"/>
        </w:rPr>
      </w:pPr>
      <w:bookmarkStart w:id="170" w:name="_bookmark139"/>
      <w:bookmarkEnd w:id="170"/>
      <w:r>
        <w:rPr>
          <w:rFonts w:ascii="Calibri" w:hAnsi="Calibri"/>
          <w:position w:val="5"/>
          <w:sz w:val="10"/>
        </w:rPr>
        <w:t>2</w:t>
      </w:r>
      <w:r>
        <w:rPr>
          <w:rFonts w:ascii="Calibri" w:hAnsi="Calibri"/>
          <w:position w:val="5"/>
          <w:sz w:val="10"/>
        </w:rPr>
        <w:tab/>
      </w:r>
      <w:r>
        <w:rPr>
          <w:i/>
          <w:sz w:val="16"/>
        </w:rPr>
        <w:t xml:space="preserve">Cfr. Caso Maldonado Ordóñez Vs. Guatemala. Excepción Preliminar, Fondo, Reparaciones y Costas. </w:t>
      </w:r>
      <w:r>
        <w:rPr>
          <w:sz w:val="16"/>
        </w:rPr>
        <w:t xml:space="preserve">Sentencia de 3 de mayo de 2016. Serie C No. 311, párr. 86, y </w:t>
      </w:r>
      <w:r>
        <w:rPr>
          <w:i/>
          <w:sz w:val="16"/>
        </w:rPr>
        <w:t xml:space="preserve">Caso Urrutia Laubreaux Vs. Chile. Excepciones Preliminares, Fondo, Reparaciones y Costas. </w:t>
      </w:r>
      <w:r>
        <w:rPr>
          <w:sz w:val="16"/>
        </w:rPr>
        <w:t xml:space="preserve">Sentencia </w:t>
      </w:r>
      <w:r>
        <w:rPr>
          <w:sz w:val="16"/>
        </w:rPr>
        <w:t>de 27 de agosto de 2020. Serie C No. 409, párr.</w:t>
      </w:r>
      <w:r>
        <w:rPr>
          <w:spacing w:val="-30"/>
          <w:sz w:val="16"/>
        </w:rPr>
        <w:t xml:space="preserve"> </w:t>
      </w:r>
      <w:r>
        <w:rPr>
          <w:sz w:val="16"/>
        </w:rPr>
        <w:t>129.</w:t>
      </w:r>
    </w:p>
    <w:p w14:paraId="1315AE7C" w14:textId="77777777" w:rsidR="00492688" w:rsidRDefault="00492688">
      <w:pPr>
        <w:spacing w:line="244" w:lineRule="auto"/>
        <w:jc w:val="both"/>
        <w:rPr>
          <w:sz w:val="16"/>
        </w:rPr>
        <w:sectPr w:rsidR="00492688">
          <w:pgSz w:w="12240" w:h="15840"/>
          <w:pgMar w:top="1500" w:right="1580" w:bottom="280" w:left="1580" w:header="720" w:footer="720" w:gutter="0"/>
          <w:cols w:space="720"/>
        </w:sectPr>
      </w:pPr>
    </w:p>
    <w:p w14:paraId="41D395C0" w14:textId="77777777" w:rsidR="00492688" w:rsidRDefault="00C9584B">
      <w:pPr>
        <w:pStyle w:val="Textoindependiente"/>
        <w:spacing w:before="79"/>
        <w:ind w:left="121"/>
      </w:pPr>
      <w:r>
        <w:lastRenderedPageBreak/>
        <w:t xml:space="preserve">destitución de jueces y juezas sea considerada como la </w:t>
      </w:r>
      <w:r>
        <w:rPr>
          <w:i/>
        </w:rPr>
        <w:t xml:space="preserve">última ratio </w:t>
      </w:r>
      <w:r>
        <w:t>en materia disciplinaria judicial</w:t>
      </w:r>
      <w:hyperlink w:anchor="_bookmark140" w:history="1">
        <w:r>
          <w:rPr>
            <w:position w:val="7"/>
            <w:sz w:val="13"/>
          </w:rPr>
          <w:t>3</w:t>
        </w:r>
      </w:hyperlink>
      <w:r>
        <w:t>.</w:t>
      </w:r>
    </w:p>
    <w:p w14:paraId="6D24C442" w14:textId="77777777" w:rsidR="00492688" w:rsidRDefault="00492688">
      <w:pPr>
        <w:pStyle w:val="Textoindependiente"/>
      </w:pPr>
    </w:p>
    <w:p w14:paraId="368A0C31" w14:textId="77777777" w:rsidR="00492688" w:rsidRDefault="00C9584B">
      <w:pPr>
        <w:pStyle w:val="Prrafodelista"/>
        <w:numPr>
          <w:ilvl w:val="0"/>
          <w:numId w:val="4"/>
        </w:numPr>
        <w:tabs>
          <w:tab w:val="left" w:pos="688"/>
        </w:tabs>
        <w:ind w:right="117" w:firstLine="0"/>
        <w:jc w:val="both"/>
        <w:rPr>
          <w:sz w:val="20"/>
        </w:rPr>
      </w:pPr>
      <w:r>
        <w:rPr>
          <w:sz w:val="20"/>
        </w:rPr>
        <w:t>En consecuencia, considero que el Consejo Nacional de la</w:t>
      </w:r>
      <w:r>
        <w:rPr>
          <w:sz w:val="20"/>
        </w:rPr>
        <w:t xml:space="preserve"> Magistratura, al sancionar al señor Cordero Bernal con fundamento en el numeral 2º del artículo 31 de la</w:t>
      </w:r>
      <w:r>
        <w:rPr>
          <w:spacing w:val="-5"/>
          <w:sz w:val="20"/>
        </w:rPr>
        <w:t xml:space="preserve"> </w:t>
      </w:r>
      <w:r>
        <w:rPr>
          <w:sz w:val="20"/>
        </w:rPr>
        <w:t>Ley</w:t>
      </w:r>
      <w:r>
        <w:rPr>
          <w:spacing w:val="-3"/>
          <w:sz w:val="20"/>
        </w:rPr>
        <w:t xml:space="preserve"> </w:t>
      </w:r>
      <w:r>
        <w:rPr>
          <w:sz w:val="20"/>
        </w:rPr>
        <w:t>Orgánica</w:t>
      </w:r>
      <w:r>
        <w:rPr>
          <w:spacing w:val="-4"/>
          <w:sz w:val="20"/>
        </w:rPr>
        <w:t xml:space="preserve"> </w:t>
      </w:r>
      <w:r>
        <w:rPr>
          <w:sz w:val="20"/>
        </w:rPr>
        <w:t>del</w:t>
      </w:r>
      <w:r>
        <w:rPr>
          <w:spacing w:val="-4"/>
          <w:sz w:val="20"/>
        </w:rPr>
        <w:t xml:space="preserve"> </w:t>
      </w:r>
      <w:r>
        <w:rPr>
          <w:sz w:val="20"/>
        </w:rPr>
        <w:t>Consejo</w:t>
      </w:r>
      <w:r>
        <w:rPr>
          <w:spacing w:val="-3"/>
          <w:sz w:val="20"/>
        </w:rPr>
        <w:t xml:space="preserve"> </w:t>
      </w:r>
      <w:r>
        <w:rPr>
          <w:sz w:val="20"/>
        </w:rPr>
        <w:t>Nacional</w:t>
      </w:r>
      <w:r>
        <w:rPr>
          <w:spacing w:val="-4"/>
          <w:sz w:val="20"/>
        </w:rPr>
        <w:t xml:space="preserve"> </w:t>
      </w:r>
      <w:r>
        <w:rPr>
          <w:sz w:val="20"/>
        </w:rPr>
        <w:t>de</w:t>
      </w:r>
      <w:r>
        <w:rPr>
          <w:spacing w:val="-6"/>
          <w:sz w:val="20"/>
        </w:rPr>
        <w:t xml:space="preserve"> </w:t>
      </w:r>
      <w:r>
        <w:rPr>
          <w:sz w:val="20"/>
        </w:rPr>
        <w:t>la</w:t>
      </w:r>
      <w:r>
        <w:rPr>
          <w:spacing w:val="-2"/>
          <w:sz w:val="20"/>
        </w:rPr>
        <w:t xml:space="preserve"> </w:t>
      </w:r>
      <w:r>
        <w:rPr>
          <w:sz w:val="20"/>
        </w:rPr>
        <w:t>Magistratura,</w:t>
      </w:r>
      <w:r>
        <w:rPr>
          <w:spacing w:val="-3"/>
          <w:sz w:val="20"/>
        </w:rPr>
        <w:t xml:space="preserve"> </w:t>
      </w:r>
      <w:r>
        <w:rPr>
          <w:sz w:val="20"/>
        </w:rPr>
        <w:t>utilizó</w:t>
      </w:r>
      <w:r>
        <w:rPr>
          <w:spacing w:val="-5"/>
          <w:sz w:val="20"/>
        </w:rPr>
        <w:t xml:space="preserve"> </w:t>
      </w:r>
      <w:r>
        <w:rPr>
          <w:sz w:val="20"/>
        </w:rPr>
        <w:t>una</w:t>
      </w:r>
      <w:r>
        <w:rPr>
          <w:spacing w:val="-5"/>
          <w:sz w:val="20"/>
        </w:rPr>
        <w:t xml:space="preserve"> </w:t>
      </w:r>
      <w:r>
        <w:rPr>
          <w:sz w:val="20"/>
        </w:rPr>
        <w:t>norma</w:t>
      </w:r>
      <w:r>
        <w:rPr>
          <w:spacing w:val="-4"/>
          <w:sz w:val="20"/>
        </w:rPr>
        <w:t xml:space="preserve"> </w:t>
      </w:r>
      <w:r>
        <w:rPr>
          <w:sz w:val="20"/>
        </w:rPr>
        <w:t>que</w:t>
      </w:r>
      <w:r>
        <w:rPr>
          <w:spacing w:val="-6"/>
          <w:sz w:val="20"/>
        </w:rPr>
        <w:t xml:space="preserve"> </w:t>
      </w:r>
      <w:r>
        <w:rPr>
          <w:sz w:val="20"/>
        </w:rPr>
        <w:t xml:space="preserve">permitía una discrecionalidad incompatible con el grado de previsibilidad </w:t>
      </w:r>
      <w:r>
        <w:rPr>
          <w:sz w:val="20"/>
        </w:rPr>
        <w:t>que debe ostentar una norma orientada a sancionar disciplinariamente la conducta de un juez o jueza, en violación del principio de legalidad e independencia</w:t>
      </w:r>
      <w:r>
        <w:rPr>
          <w:spacing w:val="-9"/>
          <w:sz w:val="20"/>
        </w:rPr>
        <w:t xml:space="preserve"> </w:t>
      </w:r>
      <w:r>
        <w:rPr>
          <w:sz w:val="20"/>
        </w:rPr>
        <w:t>judicial.</w:t>
      </w:r>
    </w:p>
    <w:p w14:paraId="69028326" w14:textId="77777777" w:rsidR="00492688" w:rsidRDefault="00492688">
      <w:pPr>
        <w:pStyle w:val="Textoindependiente"/>
      </w:pPr>
    </w:p>
    <w:p w14:paraId="206E305C" w14:textId="77777777" w:rsidR="00492688" w:rsidRDefault="00C9584B">
      <w:pPr>
        <w:pStyle w:val="Prrafodelista"/>
        <w:numPr>
          <w:ilvl w:val="0"/>
          <w:numId w:val="4"/>
        </w:numPr>
        <w:tabs>
          <w:tab w:val="left" w:pos="688"/>
        </w:tabs>
        <w:ind w:left="120" w:right="118" w:firstLine="0"/>
        <w:jc w:val="both"/>
        <w:rPr>
          <w:sz w:val="20"/>
        </w:rPr>
      </w:pPr>
      <w:r>
        <w:rPr>
          <w:sz w:val="20"/>
        </w:rPr>
        <w:t>Por otra parte, debido a que la Corte ha indicado que cuando se afecta en forma arbitrar</w:t>
      </w:r>
      <w:r>
        <w:rPr>
          <w:sz w:val="20"/>
        </w:rPr>
        <w:t>ia la permanencia de jueces y juezas en sus cargos, se viola también el derecho de acceso y permanencia en condiciones generales de igualdad en un cargo público</w:t>
      </w:r>
      <w:hyperlink w:anchor="_bookmark141" w:history="1">
        <w:r>
          <w:rPr>
            <w:position w:val="7"/>
            <w:sz w:val="13"/>
          </w:rPr>
          <w:t>4</w:t>
        </w:r>
      </w:hyperlink>
      <w:r>
        <w:rPr>
          <w:sz w:val="20"/>
        </w:rPr>
        <w:t xml:space="preserve">, considero que, además, se debió haber declarado la violación </w:t>
      </w:r>
      <w:r>
        <w:rPr>
          <w:sz w:val="20"/>
        </w:rPr>
        <w:t>del artículo 23.1.c) de la Convención.</w:t>
      </w:r>
      <w:r>
        <w:rPr>
          <w:spacing w:val="-9"/>
          <w:sz w:val="20"/>
        </w:rPr>
        <w:t xml:space="preserve"> </w:t>
      </w:r>
      <w:r>
        <w:rPr>
          <w:sz w:val="20"/>
        </w:rPr>
        <w:t>Lo</w:t>
      </w:r>
      <w:r>
        <w:rPr>
          <w:spacing w:val="-9"/>
          <w:sz w:val="20"/>
        </w:rPr>
        <w:t xml:space="preserve"> </w:t>
      </w:r>
      <w:r>
        <w:rPr>
          <w:sz w:val="20"/>
        </w:rPr>
        <w:t>anterior,</w:t>
      </w:r>
      <w:r>
        <w:rPr>
          <w:spacing w:val="-9"/>
          <w:sz w:val="20"/>
        </w:rPr>
        <w:t xml:space="preserve"> </w:t>
      </w:r>
      <w:r>
        <w:rPr>
          <w:sz w:val="20"/>
        </w:rPr>
        <w:t>porque</w:t>
      </w:r>
      <w:r>
        <w:rPr>
          <w:spacing w:val="-9"/>
          <w:sz w:val="20"/>
        </w:rPr>
        <w:t xml:space="preserve"> </w:t>
      </w:r>
      <w:r>
        <w:rPr>
          <w:sz w:val="20"/>
        </w:rPr>
        <w:t>el</w:t>
      </w:r>
      <w:r>
        <w:rPr>
          <w:spacing w:val="-11"/>
          <w:sz w:val="20"/>
        </w:rPr>
        <w:t xml:space="preserve"> </w:t>
      </w:r>
      <w:r>
        <w:rPr>
          <w:sz w:val="20"/>
        </w:rPr>
        <w:t>acceso</w:t>
      </w:r>
      <w:r>
        <w:rPr>
          <w:spacing w:val="-9"/>
          <w:sz w:val="20"/>
        </w:rPr>
        <w:t xml:space="preserve"> </w:t>
      </w:r>
      <w:r>
        <w:rPr>
          <w:sz w:val="20"/>
        </w:rPr>
        <w:t>en</w:t>
      </w:r>
      <w:r>
        <w:rPr>
          <w:spacing w:val="-10"/>
          <w:sz w:val="20"/>
        </w:rPr>
        <w:t xml:space="preserve"> </w:t>
      </w:r>
      <w:r>
        <w:rPr>
          <w:sz w:val="20"/>
        </w:rPr>
        <w:t>condiciones</w:t>
      </w:r>
      <w:r>
        <w:rPr>
          <w:spacing w:val="-11"/>
          <w:sz w:val="20"/>
        </w:rPr>
        <w:t xml:space="preserve"> </w:t>
      </w:r>
      <w:r>
        <w:rPr>
          <w:sz w:val="20"/>
        </w:rPr>
        <w:t>de</w:t>
      </w:r>
      <w:r>
        <w:rPr>
          <w:spacing w:val="-11"/>
          <w:sz w:val="20"/>
        </w:rPr>
        <w:t xml:space="preserve"> </w:t>
      </w:r>
      <w:r>
        <w:rPr>
          <w:sz w:val="20"/>
        </w:rPr>
        <w:t>igualdad</w:t>
      </w:r>
      <w:r>
        <w:rPr>
          <w:spacing w:val="-11"/>
          <w:sz w:val="20"/>
        </w:rPr>
        <w:t xml:space="preserve"> </w:t>
      </w:r>
      <w:r>
        <w:rPr>
          <w:sz w:val="20"/>
        </w:rPr>
        <w:t>a</w:t>
      </w:r>
      <w:r>
        <w:rPr>
          <w:spacing w:val="-8"/>
          <w:sz w:val="20"/>
        </w:rPr>
        <w:t xml:space="preserve"> </w:t>
      </w:r>
      <w:r>
        <w:rPr>
          <w:sz w:val="20"/>
        </w:rPr>
        <w:t>un</w:t>
      </w:r>
      <w:r>
        <w:rPr>
          <w:spacing w:val="-10"/>
          <w:sz w:val="20"/>
        </w:rPr>
        <w:t xml:space="preserve"> </w:t>
      </w:r>
      <w:r>
        <w:rPr>
          <w:sz w:val="20"/>
        </w:rPr>
        <w:t>cargo</w:t>
      </w:r>
      <w:r>
        <w:rPr>
          <w:spacing w:val="-9"/>
          <w:sz w:val="20"/>
        </w:rPr>
        <w:t xml:space="preserve"> </w:t>
      </w:r>
      <w:r>
        <w:rPr>
          <w:sz w:val="20"/>
        </w:rPr>
        <w:t>público es una garantía insuficiente si no está acompañada por la protección efectiva de la permanencia en aquello a lo que se accede</w:t>
      </w:r>
      <w:hyperlink w:anchor="_bookmark142" w:history="1">
        <w:r>
          <w:rPr>
            <w:position w:val="7"/>
            <w:sz w:val="13"/>
          </w:rPr>
          <w:t>5</w:t>
        </w:r>
      </w:hyperlink>
      <w:r>
        <w:rPr>
          <w:sz w:val="20"/>
        </w:rPr>
        <w:t>. Sobre este asunto, el Comité de Derechos Humanos</w:t>
      </w:r>
      <w:r>
        <w:rPr>
          <w:spacing w:val="-22"/>
          <w:sz w:val="20"/>
        </w:rPr>
        <w:t xml:space="preserve"> </w:t>
      </w:r>
      <w:r>
        <w:rPr>
          <w:sz w:val="20"/>
        </w:rPr>
        <w:t>también</w:t>
      </w:r>
      <w:r>
        <w:rPr>
          <w:spacing w:val="-19"/>
          <w:sz w:val="20"/>
        </w:rPr>
        <w:t xml:space="preserve"> </w:t>
      </w:r>
      <w:r>
        <w:rPr>
          <w:sz w:val="20"/>
        </w:rPr>
        <w:t>ha</w:t>
      </w:r>
      <w:r>
        <w:rPr>
          <w:spacing w:val="-20"/>
          <w:sz w:val="20"/>
        </w:rPr>
        <w:t xml:space="preserve"> </w:t>
      </w:r>
      <w:r>
        <w:rPr>
          <w:sz w:val="20"/>
        </w:rPr>
        <w:t>interpretado</w:t>
      </w:r>
      <w:r>
        <w:rPr>
          <w:spacing w:val="-22"/>
          <w:sz w:val="20"/>
        </w:rPr>
        <w:t xml:space="preserve"> </w:t>
      </w:r>
      <w:r>
        <w:rPr>
          <w:sz w:val="20"/>
        </w:rPr>
        <w:t>que</w:t>
      </w:r>
      <w:r>
        <w:rPr>
          <w:spacing w:val="-19"/>
          <w:sz w:val="20"/>
        </w:rPr>
        <w:t xml:space="preserve"> </w:t>
      </w:r>
      <w:r>
        <w:rPr>
          <w:sz w:val="20"/>
        </w:rPr>
        <w:t>esta</w:t>
      </w:r>
      <w:r>
        <w:rPr>
          <w:spacing w:val="-20"/>
          <w:sz w:val="20"/>
        </w:rPr>
        <w:t xml:space="preserve"> </w:t>
      </w:r>
      <w:r>
        <w:rPr>
          <w:sz w:val="20"/>
        </w:rPr>
        <w:t>garant</w:t>
      </w:r>
      <w:r>
        <w:rPr>
          <w:sz w:val="20"/>
        </w:rPr>
        <w:t>ía</w:t>
      </w:r>
      <w:r>
        <w:rPr>
          <w:spacing w:val="-21"/>
          <w:sz w:val="20"/>
        </w:rPr>
        <w:t xml:space="preserve"> </w:t>
      </w:r>
      <w:r>
        <w:rPr>
          <w:sz w:val="20"/>
        </w:rPr>
        <w:t>de</w:t>
      </w:r>
      <w:r>
        <w:rPr>
          <w:spacing w:val="-21"/>
          <w:sz w:val="20"/>
        </w:rPr>
        <w:t xml:space="preserve"> </w:t>
      </w:r>
      <w:r>
        <w:rPr>
          <w:sz w:val="20"/>
        </w:rPr>
        <w:t>protección</w:t>
      </w:r>
      <w:r>
        <w:rPr>
          <w:spacing w:val="-19"/>
          <w:sz w:val="20"/>
        </w:rPr>
        <w:t xml:space="preserve"> </w:t>
      </w:r>
      <w:r>
        <w:rPr>
          <w:sz w:val="20"/>
        </w:rPr>
        <w:t>abarca</w:t>
      </w:r>
      <w:r>
        <w:rPr>
          <w:spacing w:val="-21"/>
          <w:sz w:val="20"/>
        </w:rPr>
        <w:t xml:space="preserve"> </w:t>
      </w:r>
      <w:r>
        <w:rPr>
          <w:sz w:val="20"/>
        </w:rPr>
        <w:t>tanto</w:t>
      </w:r>
      <w:r>
        <w:rPr>
          <w:spacing w:val="-21"/>
          <w:sz w:val="20"/>
        </w:rPr>
        <w:t xml:space="preserve"> </w:t>
      </w:r>
      <w:r>
        <w:rPr>
          <w:sz w:val="20"/>
        </w:rPr>
        <w:t>el</w:t>
      </w:r>
      <w:r>
        <w:rPr>
          <w:spacing w:val="-19"/>
          <w:sz w:val="20"/>
        </w:rPr>
        <w:t xml:space="preserve"> </w:t>
      </w:r>
      <w:r>
        <w:rPr>
          <w:sz w:val="20"/>
        </w:rPr>
        <w:t>acceso como la permanencia en condiciones de igualdad y no discriminación respecto de los procedimientos de suspensión y destitución</w:t>
      </w:r>
      <w:hyperlink w:anchor="_bookmark143" w:history="1">
        <w:r>
          <w:rPr>
            <w:position w:val="7"/>
            <w:sz w:val="13"/>
          </w:rPr>
          <w:t>6</w:t>
        </w:r>
      </w:hyperlink>
      <w:r>
        <w:rPr>
          <w:sz w:val="20"/>
        </w:rPr>
        <w:t>. También considero que de haberse establecido que en este</w:t>
      </w:r>
      <w:r>
        <w:rPr>
          <w:sz w:val="20"/>
        </w:rPr>
        <w:t xml:space="preserve"> caso se violó el principio de legalidad y el derecho a la independencia judicial, no habría sido necesario analizar la alegada violación del deber de motivación, contenido en el artículo 8 de la Convención</w:t>
      </w:r>
      <w:r>
        <w:rPr>
          <w:spacing w:val="-12"/>
          <w:sz w:val="20"/>
        </w:rPr>
        <w:t xml:space="preserve"> </w:t>
      </w:r>
      <w:r>
        <w:rPr>
          <w:sz w:val="20"/>
        </w:rPr>
        <w:t>Americana.</w:t>
      </w:r>
    </w:p>
    <w:p w14:paraId="3E41EDF2" w14:textId="77777777" w:rsidR="00492688" w:rsidRDefault="00492688">
      <w:pPr>
        <w:pStyle w:val="Textoindependiente"/>
        <w:spacing w:before="10"/>
        <w:rPr>
          <w:sz w:val="19"/>
        </w:rPr>
      </w:pPr>
    </w:p>
    <w:p w14:paraId="0252436C" w14:textId="77777777" w:rsidR="00492688" w:rsidRDefault="00C9584B">
      <w:pPr>
        <w:pStyle w:val="Prrafodelista"/>
        <w:numPr>
          <w:ilvl w:val="0"/>
          <w:numId w:val="4"/>
        </w:numPr>
        <w:tabs>
          <w:tab w:val="left" w:pos="688"/>
        </w:tabs>
        <w:spacing w:line="242" w:lineRule="auto"/>
        <w:ind w:left="120" w:right="118" w:firstLine="0"/>
        <w:jc w:val="both"/>
        <w:rPr>
          <w:sz w:val="20"/>
        </w:rPr>
      </w:pPr>
      <w:r>
        <w:rPr>
          <w:sz w:val="20"/>
        </w:rPr>
        <w:t>Finalmente,</w:t>
      </w:r>
      <w:r>
        <w:rPr>
          <w:spacing w:val="-15"/>
          <w:sz w:val="20"/>
        </w:rPr>
        <w:t xml:space="preserve"> </w:t>
      </w:r>
      <w:r>
        <w:rPr>
          <w:sz w:val="20"/>
        </w:rPr>
        <w:t>en</w:t>
      </w:r>
      <w:r>
        <w:rPr>
          <w:spacing w:val="-10"/>
          <w:sz w:val="20"/>
        </w:rPr>
        <w:t xml:space="preserve"> </w:t>
      </w:r>
      <w:r>
        <w:rPr>
          <w:sz w:val="20"/>
        </w:rPr>
        <w:t>relación</w:t>
      </w:r>
      <w:r>
        <w:rPr>
          <w:spacing w:val="-11"/>
          <w:sz w:val="20"/>
        </w:rPr>
        <w:t xml:space="preserve"> </w:t>
      </w:r>
      <w:r>
        <w:rPr>
          <w:sz w:val="20"/>
        </w:rPr>
        <w:t>con</w:t>
      </w:r>
      <w:r>
        <w:rPr>
          <w:spacing w:val="-13"/>
          <w:sz w:val="20"/>
        </w:rPr>
        <w:t xml:space="preserve"> </w:t>
      </w:r>
      <w:r>
        <w:rPr>
          <w:sz w:val="20"/>
        </w:rPr>
        <w:t>la</w:t>
      </w:r>
      <w:r>
        <w:rPr>
          <w:spacing w:val="-14"/>
          <w:sz w:val="20"/>
        </w:rPr>
        <w:t xml:space="preserve"> </w:t>
      </w:r>
      <w:r>
        <w:rPr>
          <w:sz w:val="20"/>
        </w:rPr>
        <w:t>alegad</w:t>
      </w:r>
      <w:r>
        <w:rPr>
          <w:sz w:val="20"/>
        </w:rPr>
        <w:t>a</w:t>
      </w:r>
      <w:r>
        <w:rPr>
          <w:spacing w:val="-14"/>
          <w:sz w:val="20"/>
        </w:rPr>
        <w:t xml:space="preserve"> </w:t>
      </w:r>
      <w:r>
        <w:rPr>
          <w:sz w:val="20"/>
        </w:rPr>
        <w:t>violación</w:t>
      </w:r>
      <w:r>
        <w:rPr>
          <w:spacing w:val="-13"/>
          <w:sz w:val="20"/>
        </w:rPr>
        <w:t xml:space="preserve"> </w:t>
      </w:r>
      <w:r>
        <w:rPr>
          <w:sz w:val="20"/>
        </w:rPr>
        <w:t>del</w:t>
      </w:r>
      <w:r>
        <w:rPr>
          <w:spacing w:val="-14"/>
          <w:sz w:val="20"/>
        </w:rPr>
        <w:t xml:space="preserve"> </w:t>
      </w:r>
      <w:r>
        <w:rPr>
          <w:sz w:val="20"/>
        </w:rPr>
        <w:t>artículo</w:t>
      </w:r>
      <w:r>
        <w:rPr>
          <w:spacing w:val="-15"/>
          <w:sz w:val="20"/>
        </w:rPr>
        <w:t xml:space="preserve"> </w:t>
      </w:r>
      <w:r>
        <w:rPr>
          <w:sz w:val="20"/>
        </w:rPr>
        <w:t>25.1</w:t>
      </w:r>
      <w:r>
        <w:rPr>
          <w:spacing w:val="-13"/>
          <w:sz w:val="20"/>
        </w:rPr>
        <w:t xml:space="preserve"> </w:t>
      </w:r>
      <w:r>
        <w:rPr>
          <w:sz w:val="20"/>
        </w:rPr>
        <w:t>de</w:t>
      </w:r>
      <w:r>
        <w:rPr>
          <w:spacing w:val="-15"/>
          <w:sz w:val="20"/>
        </w:rPr>
        <w:t xml:space="preserve"> </w:t>
      </w:r>
      <w:r>
        <w:rPr>
          <w:sz w:val="20"/>
        </w:rPr>
        <w:t>la</w:t>
      </w:r>
      <w:r>
        <w:rPr>
          <w:spacing w:val="-14"/>
          <w:sz w:val="20"/>
        </w:rPr>
        <w:t xml:space="preserve"> </w:t>
      </w:r>
      <w:r>
        <w:rPr>
          <w:sz w:val="20"/>
        </w:rPr>
        <w:t>Convención, coincido</w:t>
      </w:r>
      <w:r>
        <w:rPr>
          <w:spacing w:val="-5"/>
          <w:sz w:val="20"/>
        </w:rPr>
        <w:t xml:space="preserve"> </w:t>
      </w:r>
      <w:r>
        <w:rPr>
          <w:sz w:val="20"/>
        </w:rPr>
        <w:t>con</w:t>
      </w:r>
      <w:r>
        <w:rPr>
          <w:spacing w:val="-4"/>
          <w:sz w:val="20"/>
        </w:rPr>
        <w:t xml:space="preserve"> </w:t>
      </w:r>
      <w:r>
        <w:rPr>
          <w:sz w:val="20"/>
        </w:rPr>
        <w:t>la</w:t>
      </w:r>
      <w:r>
        <w:rPr>
          <w:spacing w:val="-6"/>
          <w:sz w:val="20"/>
        </w:rPr>
        <w:t xml:space="preserve"> </w:t>
      </w:r>
      <w:r>
        <w:rPr>
          <w:sz w:val="20"/>
        </w:rPr>
        <w:t>mayoría</w:t>
      </w:r>
      <w:r>
        <w:rPr>
          <w:spacing w:val="-3"/>
          <w:sz w:val="20"/>
        </w:rPr>
        <w:t xml:space="preserve"> </w:t>
      </w:r>
      <w:r>
        <w:rPr>
          <w:sz w:val="20"/>
        </w:rPr>
        <w:t>en</w:t>
      </w:r>
      <w:r>
        <w:rPr>
          <w:spacing w:val="-5"/>
          <w:sz w:val="20"/>
        </w:rPr>
        <w:t xml:space="preserve"> </w:t>
      </w:r>
      <w:r>
        <w:rPr>
          <w:sz w:val="20"/>
        </w:rPr>
        <w:t>que,</w:t>
      </w:r>
      <w:r>
        <w:rPr>
          <w:spacing w:val="-6"/>
          <w:sz w:val="20"/>
        </w:rPr>
        <w:t xml:space="preserve"> </w:t>
      </w:r>
      <w:r>
        <w:rPr>
          <w:sz w:val="20"/>
        </w:rPr>
        <w:t>del</w:t>
      </w:r>
      <w:r>
        <w:rPr>
          <w:spacing w:val="-6"/>
          <w:sz w:val="20"/>
        </w:rPr>
        <w:t xml:space="preserve"> </w:t>
      </w:r>
      <w:r>
        <w:rPr>
          <w:sz w:val="20"/>
        </w:rPr>
        <w:t>análisis</w:t>
      </w:r>
      <w:r>
        <w:rPr>
          <w:spacing w:val="-6"/>
          <w:sz w:val="20"/>
        </w:rPr>
        <w:t xml:space="preserve"> </w:t>
      </w:r>
      <w:r>
        <w:rPr>
          <w:sz w:val="20"/>
        </w:rPr>
        <w:t>de</w:t>
      </w:r>
      <w:r>
        <w:rPr>
          <w:spacing w:val="-8"/>
          <w:sz w:val="20"/>
        </w:rPr>
        <w:t xml:space="preserve"> </w:t>
      </w:r>
      <w:r>
        <w:rPr>
          <w:sz w:val="20"/>
        </w:rPr>
        <w:t>los</w:t>
      </w:r>
      <w:r>
        <w:rPr>
          <w:spacing w:val="-6"/>
          <w:sz w:val="20"/>
        </w:rPr>
        <w:t xml:space="preserve"> </w:t>
      </w:r>
      <w:r>
        <w:rPr>
          <w:sz w:val="20"/>
        </w:rPr>
        <w:t>alegatos</w:t>
      </w:r>
      <w:r>
        <w:rPr>
          <w:spacing w:val="-6"/>
          <w:sz w:val="20"/>
        </w:rPr>
        <w:t xml:space="preserve"> </w:t>
      </w:r>
      <w:r>
        <w:rPr>
          <w:sz w:val="20"/>
        </w:rPr>
        <w:t>presentados</w:t>
      </w:r>
      <w:r>
        <w:rPr>
          <w:spacing w:val="-5"/>
          <w:sz w:val="20"/>
        </w:rPr>
        <w:t xml:space="preserve"> </w:t>
      </w:r>
      <w:r>
        <w:rPr>
          <w:sz w:val="20"/>
        </w:rPr>
        <w:t>por</w:t>
      </w:r>
      <w:r>
        <w:rPr>
          <w:spacing w:val="-7"/>
          <w:sz w:val="20"/>
        </w:rPr>
        <w:t xml:space="preserve"> </w:t>
      </w:r>
      <w:r>
        <w:rPr>
          <w:sz w:val="20"/>
        </w:rPr>
        <w:t>la</w:t>
      </w:r>
      <w:r>
        <w:rPr>
          <w:spacing w:val="-6"/>
          <w:sz w:val="20"/>
        </w:rPr>
        <w:t xml:space="preserve"> </w:t>
      </w:r>
      <w:r>
        <w:rPr>
          <w:sz w:val="20"/>
        </w:rPr>
        <w:t>Comisión y las representantes, se desprende que la controversia de este caso estaba relacionada con la efectividad del recurso de amparo contra las decisiones del Consejo Nacional de la Magistratura</w:t>
      </w:r>
      <w:hyperlink w:anchor="_bookmark144" w:history="1">
        <w:r>
          <w:rPr>
            <w:rFonts w:ascii="Calibri" w:hAnsi="Calibri"/>
            <w:position w:val="7"/>
            <w:sz w:val="13"/>
          </w:rPr>
          <w:t>7</w:t>
        </w:r>
      </w:hyperlink>
      <w:r>
        <w:rPr>
          <w:sz w:val="20"/>
        </w:rPr>
        <w:t>. Sin embargo, debido a q</w:t>
      </w:r>
      <w:r>
        <w:rPr>
          <w:sz w:val="20"/>
        </w:rPr>
        <w:t>ue la Constitución peruana disponía que las decisiones</w:t>
      </w:r>
      <w:r>
        <w:rPr>
          <w:spacing w:val="-18"/>
          <w:sz w:val="20"/>
        </w:rPr>
        <w:t xml:space="preserve"> </w:t>
      </w:r>
      <w:r>
        <w:rPr>
          <w:sz w:val="20"/>
        </w:rPr>
        <w:t>del</w:t>
      </w:r>
      <w:r>
        <w:rPr>
          <w:spacing w:val="-15"/>
          <w:sz w:val="20"/>
        </w:rPr>
        <w:t xml:space="preserve"> </w:t>
      </w:r>
      <w:r>
        <w:rPr>
          <w:sz w:val="20"/>
        </w:rPr>
        <w:t>Consejo</w:t>
      </w:r>
      <w:r>
        <w:rPr>
          <w:spacing w:val="-18"/>
          <w:sz w:val="20"/>
        </w:rPr>
        <w:t xml:space="preserve"> </w:t>
      </w:r>
      <w:r>
        <w:rPr>
          <w:sz w:val="20"/>
        </w:rPr>
        <w:t>Nacional</w:t>
      </w:r>
      <w:r>
        <w:rPr>
          <w:spacing w:val="-16"/>
          <w:sz w:val="20"/>
        </w:rPr>
        <w:t xml:space="preserve"> </w:t>
      </w:r>
      <w:r>
        <w:rPr>
          <w:sz w:val="20"/>
        </w:rPr>
        <w:t>de</w:t>
      </w:r>
      <w:r>
        <w:rPr>
          <w:spacing w:val="-19"/>
          <w:sz w:val="20"/>
        </w:rPr>
        <w:t xml:space="preserve"> </w:t>
      </w:r>
      <w:r>
        <w:rPr>
          <w:sz w:val="20"/>
        </w:rPr>
        <w:t>la</w:t>
      </w:r>
      <w:r>
        <w:rPr>
          <w:spacing w:val="-16"/>
          <w:sz w:val="20"/>
        </w:rPr>
        <w:t xml:space="preserve"> </w:t>
      </w:r>
      <w:r>
        <w:rPr>
          <w:sz w:val="20"/>
        </w:rPr>
        <w:t>Magistratura</w:t>
      </w:r>
      <w:r>
        <w:rPr>
          <w:spacing w:val="-17"/>
          <w:sz w:val="20"/>
        </w:rPr>
        <w:t xml:space="preserve"> </w:t>
      </w:r>
      <w:r>
        <w:rPr>
          <w:sz w:val="20"/>
        </w:rPr>
        <w:t>eran</w:t>
      </w:r>
      <w:r>
        <w:rPr>
          <w:spacing w:val="-15"/>
          <w:sz w:val="20"/>
        </w:rPr>
        <w:t xml:space="preserve"> </w:t>
      </w:r>
      <w:r>
        <w:rPr>
          <w:sz w:val="20"/>
        </w:rPr>
        <w:t>inimpugnables</w:t>
      </w:r>
      <w:r>
        <w:rPr>
          <w:spacing w:val="-17"/>
          <w:sz w:val="20"/>
        </w:rPr>
        <w:t xml:space="preserve"> </w:t>
      </w:r>
      <w:r>
        <w:rPr>
          <w:sz w:val="20"/>
        </w:rPr>
        <w:t>y</w:t>
      </w:r>
      <w:r>
        <w:rPr>
          <w:spacing w:val="-13"/>
          <w:sz w:val="20"/>
        </w:rPr>
        <w:t xml:space="preserve"> </w:t>
      </w:r>
      <w:r>
        <w:rPr>
          <w:sz w:val="20"/>
        </w:rPr>
        <w:t>a</w:t>
      </w:r>
      <w:r>
        <w:rPr>
          <w:spacing w:val="-16"/>
          <w:sz w:val="20"/>
        </w:rPr>
        <w:t xml:space="preserve"> </w:t>
      </w:r>
      <w:r>
        <w:rPr>
          <w:sz w:val="20"/>
        </w:rPr>
        <w:t>que</w:t>
      </w:r>
      <w:r>
        <w:rPr>
          <w:spacing w:val="-19"/>
          <w:sz w:val="20"/>
        </w:rPr>
        <w:t xml:space="preserve"> </w:t>
      </w:r>
      <w:r>
        <w:rPr>
          <w:sz w:val="20"/>
        </w:rPr>
        <w:t>los</w:t>
      </w:r>
      <w:r>
        <w:rPr>
          <w:spacing w:val="-17"/>
          <w:sz w:val="20"/>
        </w:rPr>
        <w:t xml:space="preserve"> </w:t>
      </w:r>
      <w:r>
        <w:rPr>
          <w:sz w:val="20"/>
        </w:rPr>
        <w:t>jueces interpretaban que contra ellas solo procedía el recurso de amparo por violaciones al debido</w:t>
      </w:r>
      <w:r>
        <w:rPr>
          <w:spacing w:val="-6"/>
          <w:sz w:val="20"/>
        </w:rPr>
        <w:t xml:space="preserve"> </w:t>
      </w:r>
      <w:r>
        <w:rPr>
          <w:sz w:val="20"/>
        </w:rPr>
        <w:t>proceso</w:t>
      </w:r>
      <w:hyperlink w:anchor="_bookmark145" w:history="1">
        <w:r>
          <w:rPr>
            <w:rFonts w:ascii="Calibri" w:hAnsi="Calibri"/>
            <w:position w:val="7"/>
            <w:sz w:val="13"/>
          </w:rPr>
          <w:t>8</w:t>
        </w:r>
      </w:hyperlink>
      <w:r>
        <w:rPr>
          <w:sz w:val="20"/>
        </w:rPr>
        <w:t>,</w:t>
      </w:r>
      <w:r>
        <w:rPr>
          <w:spacing w:val="-5"/>
          <w:sz w:val="20"/>
        </w:rPr>
        <w:t xml:space="preserve"> </w:t>
      </w:r>
      <w:r>
        <w:rPr>
          <w:sz w:val="20"/>
        </w:rPr>
        <w:t>considero</w:t>
      </w:r>
      <w:r>
        <w:rPr>
          <w:spacing w:val="-5"/>
          <w:sz w:val="20"/>
        </w:rPr>
        <w:t xml:space="preserve"> </w:t>
      </w:r>
      <w:r>
        <w:rPr>
          <w:sz w:val="20"/>
        </w:rPr>
        <w:t>que,</w:t>
      </w:r>
      <w:r>
        <w:rPr>
          <w:spacing w:val="-6"/>
          <w:sz w:val="20"/>
        </w:rPr>
        <w:t xml:space="preserve"> </w:t>
      </w:r>
      <w:r>
        <w:rPr>
          <w:sz w:val="20"/>
        </w:rPr>
        <w:t>aunque</w:t>
      </w:r>
      <w:r>
        <w:rPr>
          <w:spacing w:val="-4"/>
          <w:sz w:val="20"/>
        </w:rPr>
        <w:t xml:space="preserve"> </w:t>
      </w:r>
      <w:r>
        <w:rPr>
          <w:sz w:val="20"/>
        </w:rPr>
        <w:t>existía</w:t>
      </w:r>
      <w:r>
        <w:rPr>
          <w:spacing w:val="-4"/>
          <w:sz w:val="20"/>
        </w:rPr>
        <w:t xml:space="preserve"> </w:t>
      </w:r>
      <w:r>
        <w:rPr>
          <w:sz w:val="20"/>
        </w:rPr>
        <w:t>un</w:t>
      </w:r>
      <w:r>
        <w:rPr>
          <w:spacing w:val="-3"/>
          <w:sz w:val="20"/>
        </w:rPr>
        <w:t xml:space="preserve"> </w:t>
      </w:r>
      <w:r>
        <w:rPr>
          <w:sz w:val="20"/>
        </w:rPr>
        <w:t>recurso,</w:t>
      </w:r>
      <w:r>
        <w:rPr>
          <w:spacing w:val="-4"/>
          <w:sz w:val="20"/>
        </w:rPr>
        <w:t xml:space="preserve"> </w:t>
      </w:r>
      <w:r>
        <w:rPr>
          <w:sz w:val="20"/>
        </w:rPr>
        <w:t>este</w:t>
      </w:r>
      <w:r>
        <w:rPr>
          <w:spacing w:val="-6"/>
          <w:sz w:val="20"/>
        </w:rPr>
        <w:t xml:space="preserve"> </w:t>
      </w:r>
      <w:r>
        <w:rPr>
          <w:sz w:val="20"/>
        </w:rPr>
        <w:t>no</w:t>
      </w:r>
      <w:r>
        <w:rPr>
          <w:spacing w:val="-3"/>
          <w:sz w:val="20"/>
        </w:rPr>
        <w:t xml:space="preserve"> </w:t>
      </w:r>
      <w:r>
        <w:rPr>
          <w:sz w:val="20"/>
        </w:rPr>
        <w:t>era</w:t>
      </w:r>
      <w:r>
        <w:rPr>
          <w:spacing w:val="-2"/>
          <w:sz w:val="20"/>
        </w:rPr>
        <w:t xml:space="preserve"> </w:t>
      </w:r>
      <w:r>
        <w:rPr>
          <w:sz w:val="20"/>
        </w:rPr>
        <w:t>adecuado</w:t>
      </w:r>
      <w:r>
        <w:rPr>
          <w:spacing w:val="-4"/>
          <w:sz w:val="20"/>
        </w:rPr>
        <w:t xml:space="preserve"> </w:t>
      </w:r>
      <w:r>
        <w:rPr>
          <w:sz w:val="20"/>
        </w:rPr>
        <w:t>frente a violaciones a derechos fundamentales difere</w:t>
      </w:r>
      <w:r>
        <w:rPr>
          <w:sz w:val="20"/>
        </w:rPr>
        <w:t>ntes, en esa medida, el recurso no era efectivo. Por esa razón, a mi juicio, debió declararse la violación del artículo 25.1 de la Convención</w:t>
      </w:r>
      <w:r>
        <w:rPr>
          <w:spacing w:val="-1"/>
          <w:sz w:val="20"/>
        </w:rPr>
        <w:t xml:space="preserve"> </w:t>
      </w:r>
      <w:r>
        <w:rPr>
          <w:sz w:val="20"/>
        </w:rPr>
        <w:t>Americana.</w:t>
      </w:r>
    </w:p>
    <w:p w14:paraId="28F125EE" w14:textId="4F593A82" w:rsidR="00492688" w:rsidRDefault="00C9584B">
      <w:pPr>
        <w:pStyle w:val="Textoindependiente"/>
        <w:spacing w:before="9"/>
        <w:rPr>
          <w:sz w:val="21"/>
        </w:rPr>
      </w:pPr>
      <w:r>
        <w:rPr>
          <w:noProof/>
        </w:rPr>
        <mc:AlternateContent>
          <mc:Choice Requires="wps">
            <w:drawing>
              <wp:anchor distT="0" distB="0" distL="0" distR="0" simplePos="0" relativeHeight="251684864" behindDoc="1" locked="0" layoutInCell="1" allowOverlap="1" wp14:anchorId="461E964B" wp14:editId="4A58E515">
                <wp:simplePos x="0" y="0"/>
                <wp:positionH relativeFrom="page">
                  <wp:posOffset>1080770</wp:posOffset>
                </wp:positionH>
                <wp:positionV relativeFrom="paragraph">
                  <wp:posOffset>197485</wp:posOffset>
                </wp:positionV>
                <wp:extent cx="1828800" cy="1270"/>
                <wp:effectExtent l="0" t="0" r="0" b="0"/>
                <wp:wrapTopAndBottom/>
                <wp:docPr id="1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C277A" id="Freeform 16" o:spid="_x0000_s1026" style="position:absolute;margin-left:85.1pt;margin-top:15.55pt;width:2in;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" path="m,l2880,e" filled="f" strokeweight=".72pt">
                <v:path arrowok="t" o:connecttype="custom" o:connectlocs="0,0;1828800,0" o:connectangles="0,0"/>
                <w10:wrap type="topAndBottom" anchorx="page"/>
              </v:shape>
            </w:pict>
          </mc:Fallback>
        </mc:AlternateContent>
      </w:r>
    </w:p>
    <w:p w14:paraId="4648EEEF" w14:textId="77777777" w:rsidR="00492688" w:rsidRDefault="00492688">
      <w:pPr>
        <w:pStyle w:val="Textoindependiente"/>
        <w:spacing w:before="10"/>
        <w:rPr>
          <w:sz w:val="5"/>
        </w:rPr>
      </w:pPr>
    </w:p>
    <w:p w14:paraId="77031EA3" w14:textId="77777777" w:rsidR="00492688" w:rsidRDefault="00C9584B">
      <w:pPr>
        <w:tabs>
          <w:tab w:val="left" w:pos="829"/>
        </w:tabs>
        <w:spacing w:before="101"/>
        <w:ind w:left="121"/>
        <w:jc w:val="both"/>
        <w:rPr>
          <w:i/>
          <w:sz w:val="16"/>
        </w:rPr>
      </w:pPr>
      <w:bookmarkStart w:id="171" w:name="_bookmark140"/>
      <w:bookmarkEnd w:id="171"/>
      <w:r>
        <w:rPr>
          <w:rFonts w:ascii="Calibri" w:hAnsi="Calibri"/>
          <w:position w:val="5"/>
          <w:sz w:val="10"/>
        </w:rPr>
        <w:t>3</w:t>
      </w:r>
      <w:r>
        <w:rPr>
          <w:rFonts w:ascii="Calibri" w:hAnsi="Calibri"/>
          <w:position w:val="5"/>
          <w:sz w:val="10"/>
        </w:rPr>
        <w:tab/>
      </w:r>
      <w:r>
        <w:rPr>
          <w:i/>
          <w:sz w:val="16"/>
        </w:rPr>
        <w:t>Cfr.</w:t>
      </w:r>
      <w:r>
        <w:rPr>
          <w:i/>
          <w:spacing w:val="22"/>
          <w:sz w:val="16"/>
        </w:rPr>
        <w:t xml:space="preserve"> </w:t>
      </w:r>
      <w:r>
        <w:rPr>
          <w:i/>
          <w:sz w:val="16"/>
        </w:rPr>
        <w:t>Caso</w:t>
      </w:r>
      <w:r>
        <w:rPr>
          <w:i/>
          <w:spacing w:val="21"/>
          <w:sz w:val="16"/>
        </w:rPr>
        <w:t xml:space="preserve"> </w:t>
      </w:r>
      <w:r>
        <w:rPr>
          <w:i/>
          <w:sz w:val="16"/>
        </w:rPr>
        <w:t>López</w:t>
      </w:r>
      <w:r>
        <w:rPr>
          <w:i/>
          <w:spacing w:val="22"/>
          <w:sz w:val="16"/>
        </w:rPr>
        <w:t xml:space="preserve"> </w:t>
      </w:r>
      <w:r>
        <w:rPr>
          <w:i/>
          <w:sz w:val="16"/>
        </w:rPr>
        <w:t>Lone</w:t>
      </w:r>
      <w:r>
        <w:rPr>
          <w:i/>
          <w:spacing w:val="22"/>
          <w:sz w:val="16"/>
        </w:rPr>
        <w:t xml:space="preserve"> </w:t>
      </w:r>
      <w:r>
        <w:rPr>
          <w:i/>
          <w:sz w:val="16"/>
        </w:rPr>
        <w:t>y</w:t>
      </w:r>
      <w:r>
        <w:rPr>
          <w:i/>
          <w:spacing w:val="22"/>
          <w:sz w:val="16"/>
        </w:rPr>
        <w:t xml:space="preserve"> </w:t>
      </w:r>
      <w:r>
        <w:rPr>
          <w:i/>
          <w:sz w:val="16"/>
        </w:rPr>
        <w:t>otros</w:t>
      </w:r>
      <w:r>
        <w:rPr>
          <w:i/>
          <w:spacing w:val="21"/>
          <w:sz w:val="16"/>
        </w:rPr>
        <w:t xml:space="preserve"> </w:t>
      </w:r>
      <w:r>
        <w:rPr>
          <w:i/>
          <w:sz w:val="16"/>
        </w:rPr>
        <w:t>Vs.</w:t>
      </w:r>
      <w:r>
        <w:rPr>
          <w:i/>
          <w:spacing w:val="21"/>
          <w:sz w:val="16"/>
        </w:rPr>
        <w:t xml:space="preserve"> </w:t>
      </w:r>
      <w:r>
        <w:rPr>
          <w:i/>
          <w:sz w:val="16"/>
        </w:rPr>
        <w:t>Honduras.</w:t>
      </w:r>
      <w:r>
        <w:rPr>
          <w:i/>
          <w:spacing w:val="22"/>
          <w:sz w:val="16"/>
        </w:rPr>
        <w:t xml:space="preserve"> </w:t>
      </w:r>
      <w:r>
        <w:rPr>
          <w:i/>
          <w:sz w:val="16"/>
        </w:rPr>
        <w:t>Excepción</w:t>
      </w:r>
      <w:r>
        <w:rPr>
          <w:i/>
          <w:spacing w:val="22"/>
          <w:sz w:val="16"/>
        </w:rPr>
        <w:t xml:space="preserve"> </w:t>
      </w:r>
      <w:r>
        <w:rPr>
          <w:i/>
          <w:sz w:val="16"/>
        </w:rPr>
        <w:t>Preliminar,</w:t>
      </w:r>
      <w:r>
        <w:rPr>
          <w:i/>
          <w:spacing w:val="22"/>
          <w:sz w:val="16"/>
        </w:rPr>
        <w:t xml:space="preserve"> </w:t>
      </w:r>
      <w:r>
        <w:rPr>
          <w:i/>
          <w:sz w:val="16"/>
        </w:rPr>
        <w:t>Fondo,</w:t>
      </w:r>
      <w:r>
        <w:rPr>
          <w:i/>
          <w:spacing w:val="21"/>
          <w:sz w:val="16"/>
        </w:rPr>
        <w:t xml:space="preserve"> </w:t>
      </w:r>
      <w:r>
        <w:rPr>
          <w:i/>
          <w:sz w:val="16"/>
        </w:rPr>
        <w:t>Reparaciones</w:t>
      </w:r>
      <w:r>
        <w:rPr>
          <w:i/>
          <w:spacing w:val="23"/>
          <w:sz w:val="16"/>
        </w:rPr>
        <w:t xml:space="preserve"> </w:t>
      </w:r>
      <w:r>
        <w:rPr>
          <w:i/>
          <w:sz w:val="16"/>
        </w:rPr>
        <w:t>y</w:t>
      </w:r>
      <w:r>
        <w:rPr>
          <w:i/>
          <w:spacing w:val="21"/>
          <w:sz w:val="16"/>
        </w:rPr>
        <w:t xml:space="preserve"> </w:t>
      </w:r>
      <w:r>
        <w:rPr>
          <w:i/>
          <w:sz w:val="16"/>
        </w:rPr>
        <w:t>Costas.</w:t>
      </w:r>
    </w:p>
    <w:p w14:paraId="4DBB4EEC" w14:textId="77777777" w:rsidR="00492688" w:rsidRDefault="00C9584B">
      <w:pPr>
        <w:spacing w:before="9"/>
        <w:ind w:left="121"/>
        <w:jc w:val="both"/>
        <w:rPr>
          <w:sz w:val="16"/>
        </w:rPr>
      </w:pPr>
      <w:r>
        <w:rPr>
          <w:sz w:val="16"/>
        </w:rPr>
        <w:t>Sentencia de 5 de octubre de 2015. Serie C No. 302, párr. 259.</w:t>
      </w:r>
    </w:p>
    <w:p w14:paraId="25CF8961" w14:textId="77777777" w:rsidR="00492688" w:rsidRDefault="00C9584B">
      <w:pPr>
        <w:tabs>
          <w:tab w:val="left" w:pos="829"/>
        </w:tabs>
        <w:spacing w:before="101" w:line="244" w:lineRule="auto"/>
        <w:ind w:left="120" w:right="113" w:firstLine="1"/>
        <w:jc w:val="both"/>
        <w:rPr>
          <w:sz w:val="16"/>
        </w:rPr>
      </w:pPr>
      <w:bookmarkStart w:id="172" w:name="_bookmark141"/>
      <w:bookmarkEnd w:id="172"/>
      <w:r>
        <w:rPr>
          <w:rFonts w:ascii="Calibri" w:hAnsi="Calibri"/>
          <w:position w:val="5"/>
          <w:sz w:val="10"/>
        </w:rPr>
        <w:t>4</w:t>
      </w:r>
      <w:r>
        <w:rPr>
          <w:rFonts w:ascii="Calibri" w:hAnsi="Calibri"/>
          <w:position w:val="5"/>
          <w:sz w:val="10"/>
        </w:rPr>
        <w:tab/>
      </w:r>
      <w:r>
        <w:rPr>
          <w:i/>
          <w:spacing w:val="-4"/>
          <w:sz w:val="16"/>
        </w:rPr>
        <w:t xml:space="preserve">Cfr. Caso </w:t>
      </w:r>
      <w:r>
        <w:rPr>
          <w:i/>
          <w:spacing w:val="-3"/>
          <w:sz w:val="16"/>
        </w:rPr>
        <w:t xml:space="preserve">de la </w:t>
      </w:r>
      <w:r>
        <w:rPr>
          <w:i/>
          <w:spacing w:val="-4"/>
          <w:sz w:val="16"/>
        </w:rPr>
        <w:t xml:space="preserve">Corte </w:t>
      </w:r>
      <w:r>
        <w:rPr>
          <w:i/>
          <w:spacing w:val="-5"/>
          <w:sz w:val="16"/>
        </w:rPr>
        <w:t xml:space="preserve">Suprema </w:t>
      </w:r>
      <w:r>
        <w:rPr>
          <w:i/>
          <w:spacing w:val="-3"/>
          <w:sz w:val="16"/>
        </w:rPr>
        <w:t xml:space="preserve">de </w:t>
      </w:r>
      <w:r>
        <w:rPr>
          <w:i/>
          <w:spacing w:val="-5"/>
          <w:sz w:val="16"/>
        </w:rPr>
        <w:t xml:space="preserve">Justicia (Quintana Coello </w:t>
      </w:r>
      <w:r>
        <w:rPr>
          <w:i/>
          <w:sz w:val="16"/>
        </w:rPr>
        <w:t xml:space="preserve">y </w:t>
      </w:r>
      <w:r>
        <w:rPr>
          <w:i/>
          <w:spacing w:val="-4"/>
          <w:sz w:val="16"/>
        </w:rPr>
        <w:t xml:space="preserve">otros) Vs. </w:t>
      </w:r>
      <w:r>
        <w:rPr>
          <w:i/>
          <w:spacing w:val="-5"/>
          <w:sz w:val="16"/>
        </w:rPr>
        <w:t xml:space="preserve">Ecuador. Excepción Preliminar, </w:t>
      </w:r>
      <w:r>
        <w:rPr>
          <w:i/>
          <w:spacing w:val="-4"/>
          <w:sz w:val="16"/>
        </w:rPr>
        <w:t>Fondo,</w:t>
      </w:r>
      <w:r>
        <w:rPr>
          <w:i/>
          <w:spacing w:val="-10"/>
          <w:sz w:val="16"/>
        </w:rPr>
        <w:t xml:space="preserve"> </w:t>
      </w:r>
      <w:r>
        <w:rPr>
          <w:i/>
          <w:spacing w:val="-5"/>
          <w:sz w:val="16"/>
        </w:rPr>
        <w:t>Reparaciones</w:t>
      </w:r>
      <w:r>
        <w:rPr>
          <w:i/>
          <w:spacing w:val="-8"/>
          <w:sz w:val="16"/>
        </w:rPr>
        <w:t xml:space="preserve"> </w:t>
      </w:r>
      <w:r>
        <w:rPr>
          <w:i/>
          <w:sz w:val="16"/>
        </w:rPr>
        <w:t>y</w:t>
      </w:r>
      <w:r>
        <w:rPr>
          <w:i/>
          <w:spacing w:val="-7"/>
          <w:sz w:val="16"/>
        </w:rPr>
        <w:t xml:space="preserve"> </w:t>
      </w:r>
      <w:r>
        <w:rPr>
          <w:i/>
          <w:spacing w:val="-5"/>
          <w:sz w:val="16"/>
        </w:rPr>
        <w:t>Costas.</w:t>
      </w:r>
      <w:r>
        <w:rPr>
          <w:i/>
          <w:spacing w:val="-6"/>
          <w:sz w:val="16"/>
        </w:rPr>
        <w:t xml:space="preserve"> </w:t>
      </w:r>
      <w:r>
        <w:rPr>
          <w:spacing w:val="-5"/>
          <w:sz w:val="16"/>
        </w:rPr>
        <w:t>Sentencia</w:t>
      </w:r>
      <w:r>
        <w:rPr>
          <w:spacing w:val="-9"/>
          <w:sz w:val="16"/>
        </w:rPr>
        <w:t xml:space="preserve"> </w:t>
      </w:r>
      <w:r>
        <w:rPr>
          <w:spacing w:val="-3"/>
          <w:sz w:val="16"/>
        </w:rPr>
        <w:t>de</w:t>
      </w:r>
      <w:r>
        <w:rPr>
          <w:spacing w:val="-9"/>
          <w:sz w:val="16"/>
        </w:rPr>
        <w:t xml:space="preserve"> </w:t>
      </w:r>
      <w:r>
        <w:rPr>
          <w:sz w:val="16"/>
        </w:rPr>
        <w:t>23</w:t>
      </w:r>
      <w:r>
        <w:rPr>
          <w:spacing w:val="-7"/>
          <w:sz w:val="16"/>
        </w:rPr>
        <w:t xml:space="preserve"> </w:t>
      </w:r>
      <w:r>
        <w:rPr>
          <w:spacing w:val="-3"/>
          <w:sz w:val="16"/>
        </w:rPr>
        <w:t>de</w:t>
      </w:r>
      <w:r>
        <w:rPr>
          <w:spacing w:val="-8"/>
          <w:sz w:val="16"/>
        </w:rPr>
        <w:t xml:space="preserve"> </w:t>
      </w:r>
      <w:r>
        <w:rPr>
          <w:spacing w:val="-5"/>
          <w:sz w:val="16"/>
        </w:rPr>
        <w:t>agosto</w:t>
      </w:r>
      <w:r>
        <w:rPr>
          <w:spacing w:val="-7"/>
          <w:sz w:val="16"/>
        </w:rPr>
        <w:t xml:space="preserve"> </w:t>
      </w:r>
      <w:r>
        <w:rPr>
          <w:spacing w:val="-3"/>
          <w:sz w:val="16"/>
        </w:rPr>
        <w:t>de</w:t>
      </w:r>
      <w:r>
        <w:rPr>
          <w:spacing w:val="-8"/>
          <w:sz w:val="16"/>
        </w:rPr>
        <w:t xml:space="preserve"> </w:t>
      </w:r>
      <w:r>
        <w:rPr>
          <w:spacing w:val="-4"/>
          <w:sz w:val="16"/>
        </w:rPr>
        <w:t>2013.</w:t>
      </w:r>
      <w:r>
        <w:rPr>
          <w:spacing w:val="-10"/>
          <w:sz w:val="16"/>
        </w:rPr>
        <w:t xml:space="preserve"> </w:t>
      </w:r>
      <w:r>
        <w:rPr>
          <w:spacing w:val="-4"/>
          <w:sz w:val="16"/>
        </w:rPr>
        <w:t>Serie</w:t>
      </w:r>
      <w:r>
        <w:rPr>
          <w:spacing w:val="-8"/>
          <w:sz w:val="16"/>
        </w:rPr>
        <w:t xml:space="preserve"> </w:t>
      </w:r>
      <w:r>
        <w:rPr>
          <w:sz w:val="16"/>
        </w:rPr>
        <w:t>C</w:t>
      </w:r>
      <w:r>
        <w:rPr>
          <w:spacing w:val="-8"/>
          <w:sz w:val="16"/>
        </w:rPr>
        <w:t xml:space="preserve"> </w:t>
      </w:r>
      <w:r>
        <w:rPr>
          <w:spacing w:val="-4"/>
          <w:sz w:val="16"/>
        </w:rPr>
        <w:t>No.</w:t>
      </w:r>
      <w:r>
        <w:rPr>
          <w:spacing w:val="-9"/>
          <w:sz w:val="16"/>
        </w:rPr>
        <w:t xml:space="preserve"> </w:t>
      </w:r>
      <w:r>
        <w:rPr>
          <w:spacing w:val="-3"/>
          <w:sz w:val="16"/>
        </w:rPr>
        <w:t>266</w:t>
      </w:r>
      <w:r>
        <w:rPr>
          <w:spacing w:val="-3"/>
          <w:sz w:val="16"/>
        </w:rPr>
        <w:t>,</w:t>
      </w:r>
      <w:r>
        <w:rPr>
          <w:spacing w:val="-10"/>
          <w:sz w:val="16"/>
        </w:rPr>
        <w:t xml:space="preserve"> </w:t>
      </w:r>
      <w:r>
        <w:rPr>
          <w:spacing w:val="-4"/>
          <w:sz w:val="16"/>
        </w:rPr>
        <w:t>párr.</w:t>
      </w:r>
      <w:r>
        <w:rPr>
          <w:spacing w:val="-9"/>
          <w:sz w:val="16"/>
        </w:rPr>
        <w:t xml:space="preserve"> </w:t>
      </w:r>
      <w:r>
        <w:rPr>
          <w:spacing w:val="-3"/>
          <w:sz w:val="16"/>
        </w:rPr>
        <w:t>155,</w:t>
      </w:r>
      <w:r>
        <w:rPr>
          <w:spacing w:val="-9"/>
          <w:sz w:val="16"/>
        </w:rPr>
        <w:t xml:space="preserve"> </w:t>
      </w:r>
      <w:r>
        <w:rPr>
          <w:sz w:val="16"/>
        </w:rPr>
        <w:t>y</w:t>
      </w:r>
      <w:r>
        <w:rPr>
          <w:spacing w:val="-7"/>
          <w:sz w:val="16"/>
        </w:rPr>
        <w:t xml:space="preserve"> </w:t>
      </w:r>
      <w:r>
        <w:rPr>
          <w:i/>
          <w:sz w:val="16"/>
        </w:rPr>
        <w:t>Caso</w:t>
      </w:r>
      <w:r>
        <w:rPr>
          <w:i/>
          <w:spacing w:val="2"/>
          <w:sz w:val="16"/>
        </w:rPr>
        <w:t xml:space="preserve"> </w:t>
      </w:r>
      <w:r>
        <w:rPr>
          <w:i/>
          <w:sz w:val="16"/>
        </w:rPr>
        <w:t>López</w:t>
      </w:r>
      <w:r>
        <w:rPr>
          <w:i/>
          <w:spacing w:val="-1"/>
          <w:sz w:val="16"/>
        </w:rPr>
        <w:t xml:space="preserve"> </w:t>
      </w:r>
      <w:r>
        <w:rPr>
          <w:i/>
          <w:sz w:val="16"/>
        </w:rPr>
        <w:t>Lone y otros Vs. Honduras, supra</w:t>
      </w:r>
      <w:r>
        <w:rPr>
          <w:sz w:val="16"/>
        </w:rPr>
        <w:t>, párr.</w:t>
      </w:r>
      <w:r>
        <w:rPr>
          <w:spacing w:val="-6"/>
          <w:sz w:val="16"/>
        </w:rPr>
        <w:t xml:space="preserve"> </w:t>
      </w:r>
      <w:r>
        <w:rPr>
          <w:sz w:val="16"/>
        </w:rPr>
        <w:t>192.</w:t>
      </w:r>
    </w:p>
    <w:p w14:paraId="25D61951" w14:textId="77777777" w:rsidR="00492688" w:rsidRDefault="00C9584B">
      <w:pPr>
        <w:tabs>
          <w:tab w:val="left" w:pos="661"/>
        </w:tabs>
        <w:spacing w:before="96" w:line="244" w:lineRule="auto"/>
        <w:ind w:left="120" w:right="114" w:firstLine="1"/>
        <w:jc w:val="both"/>
        <w:rPr>
          <w:sz w:val="16"/>
        </w:rPr>
      </w:pPr>
      <w:bookmarkStart w:id="173" w:name="_bookmark142"/>
      <w:bookmarkEnd w:id="173"/>
      <w:r>
        <w:rPr>
          <w:rFonts w:ascii="Calibri" w:hAnsi="Calibri"/>
          <w:position w:val="5"/>
          <w:sz w:val="10"/>
        </w:rPr>
        <w:t>5</w:t>
      </w:r>
      <w:r>
        <w:rPr>
          <w:rFonts w:ascii="Calibri" w:hAnsi="Calibri"/>
          <w:position w:val="5"/>
          <w:sz w:val="10"/>
        </w:rPr>
        <w:tab/>
      </w:r>
      <w:r>
        <w:rPr>
          <w:i/>
          <w:sz w:val="16"/>
        </w:rPr>
        <w:t xml:space="preserve">Cfr. Caso Reverón Trujillo Vs. Venezuela. Excepción Preliminar, Fondo, Reparaciones y Costas. </w:t>
      </w:r>
      <w:r>
        <w:rPr>
          <w:sz w:val="16"/>
        </w:rPr>
        <w:t>Sentencia</w:t>
      </w:r>
      <w:r>
        <w:rPr>
          <w:spacing w:val="-3"/>
          <w:sz w:val="16"/>
        </w:rPr>
        <w:t xml:space="preserve"> </w:t>
      </w:r>
      <w:r>
        <w:rPr>
          <w:sz w:val="16"/>
        </w:rPr>
        <w:t>de</w:t>
      </w:r>
      <w:r>
        <w:rPr>
          <w:spacing w:val="-4"/>
          <w:sz w:val="16"/>
        </w:rPr>
        <w:t xml:space="preserve"> </w:t>
      </w:r>
      <w:r>
        <w:rPr>
          <w:sz w:val="16"/>
        </w:rPr>
        <w:t>30</w:t>
      </w:r>
      <w:r>
        <w:rPr>
          <w:spacing w:val="-2"/>
          <w:sz w:val="16"/>
        </w:rPr>
        <w:t xml:space="preserve"> </w:t>
      </w:r>
      <w:r>
        <w:rPr>
          <w:sz w:val="16"/>
        </w:rPr>
        <w:t>de</w:t>
      </w:r>
      <w:r>
        <w:rPr>
          <w:spacing w:val="-4"/>
          <w:sz w:val="16"/>
        </w:rPr>
        <w:t xml:space="preserve"> </w:t>
      </w:r>
      <w:r>
        <w:rPr>
          <w:sz w:val="16"/>
        </w:rPr>
        <w:t>junio</w:t>
      </w:r>
      <w:r>
        <w:rPr>
          <w:spacing w:val="-2"/>
          <w:sz w:val="16"/>
        </w:rPr>
        <w:t xml:space="preserve"> </w:t>
      </w:r>
      <w:r>
        <w:rPr>
          <w:sz w:val="16"/>
        </w:rPr>
        <w:t>de</w:t>
      </w:r>
      <w:r>
        <w:rPr>
          <w:spacing w:val="-4"/>
          <w:sz w:val="16"/>
        </w:rPr>
        <w:t xml:space="preserve"> </w:t>
      </w:r>
      <w:r>
        <w:rPr>
          <w:sz w:val="16"/>
        </w:rPr>
        <w:t>2009.</w:t>
      </w:r>
      <w:r>
        <w:rPr>
          <w:spacing w:val="-3"/>
          <w:sz w:val="16"/>
        </w:rPr>
        <w:t xml:space="preserve"> </w:t>
      </w:r>
      <w:r>
        <w:rPr>
          <w:sz w:val="16"/>
        </w:rPr>
        <w:t>Serie</w:t>
      </w:r>
      <w:r>
        <w:rPr>
          <w:spacing w:val="-4"/>
          <w:sz w:val="16"/>
        </w:rPr>
        <w:t xml:space="preserve"> </w:t>
      </w:r>
      <w:r>
        <w:rPr>
          <w:sz w:val="16"/>
        </w:rPr>
        <w:t>C</w:t>
      </w:r>
      <w:r>
        <w:rPr>
          <w:spacing w:val="-2"/>
          <w:sz w:val="16"/>
        </w:rPr>
        <w:t xml:space="preserve"> </w:t>
      </w:r>
      <w:r>
        <w:rPr>
          <w:sz w:val="16"/>
        </w:rPr>
        <w:t>No.</w:t>
      </w:r>
      <w:r>
        <w:rPr>
          <w:spacing w:val="-5"/>
          <w:sz w:val="16"/>
        </w:rPr>
        <w:t xml:space="preserve"> </w:t>
      </w:r>
      <w:r>
        <w:rPr>
          <w:sz w:val="16"/>
        </w:rPr>
        <w:t>197,</w:t>
      </w:r>
      <w:r>
        <w:rPr>
          <w:spacing w:val="-3"/>
          <w:sz w:val="16"/>
        </w:rPr>
        <w:t xml:space="preserve"> </w:t>
      </w:r>
      <w:r>
        <w:rPr>
          <w:sz w:val="16"/>
        </w:rPr>
        <w:t>párr.</w:t>
      </w:r>
      <w:r>
        <w:rPr>
          <w:spacing w:val="-6"/>
          <w:sz w:val="16"/>
        </w:rPr>
        <w:t xml:space="preserve"> </w:t>
      </w:r>
      <w:r>
        <w:rPr>
          <w:sz w:val="16"/>
        </w:rPr>
        <w:t>138,</w:t>
      </w:r>
      <w:r>
        <w:rPr>
          <w:spacing w:val="-2"/>
          <w:sz w:val="16"/>
        </w:rPr>
        <w:t xml:space="preserve"> </w:t>
      </w:r>
      <w:r>
        <w:rPr>
          <w:sz w:val="16"/>
        </w:rPr>
        <w:t>y</w:t>
      </w:r>
      <w:r>
        <w:rPr>
          <w:spacing w:val="-4"/>
          <w:sz w:val="16"/>
        </w:rPr>
        <w:t xml:space="preserve"> </w:t>
      </w:r>
      <w:r>
        <w:rPr>
          <w:i/>
          <w:sz w:val="16"/>
        </w:rPr>
        <w:t>Caso</w:t>
      </w:r>
      <w:r>
        <w:rPr>
          <w:i/>
          <w:spacing w:val="-3"/>
          <w:sz w:val="16"/>
        </w:rPr>
        <w:t xml:space="preserve"> </w:t>
      </w:r>
      <w:r>
        <w:rPr>
          <w:i/>
          <w:sz w:val="16"/>
        </w:rPr>
        <w:t>Colindres</w:t>
      </w:r>
      <w:r>
        <w:rPr>
          <w:i/>
          <w:spacing w:val="-5"/>
          <w:sz w:val="16"/>
        </w:rPr>
        <w:t xml:space="preserve"> </w:t>
      </w:r>
      <w:r>
        <w:rPr>
          <w:i/>
          <w:sz w:val="16"/>
        </w:rPr>
        <w:t>Schonenberg</w:t>
      </w:r>
      <w:r>
        <w:rPr>
          <w:i/>
          <w:spacing w:val="-3"/>
          <w:sz w:val="16"/>
        </w:rPr>
        <w:t xml:space="preserve"> </w:t>
      </w:r>
      <w:r>
        <w:rPr>
          <w:i/>
          <w:sz w:val="16"/>
        </w:rPr>
        <w:t>Vs.</w:t>
      </w:r>
      <w:r>
        <w:rPr>
          <w:i/>
          <w:spacing w:val="-3"/>
          <w:sz w:val="16"/>
        </w:rPr>
        <w:t xml:space="preserve"> </w:t>
      </w:r>
      <w:r>
        <w:rPr>
          <w:i/>
          <w:sz w:val="16"/>
        </w:rPr>
        <w:t>El</w:t>
      </w:r>
      <w:r>
        <w:rPr>
          <w:i/>
          <w:spacing w:val="-2"/>
          <w:sz w:val="16"/>
        </w:rPr>
        <w:t xml:space="preserve"> </w:t>
      </w:r>
      <w:r>
        <w:rPr>
          <w:i/>
          <w:sz w:val="16"/>
        </w:rPr>
        <w:t xml:space="preserve">Salvador. Fondo, Reparaciones y Costas. </w:t>
      </w:r>
      <w:r>
        <w:rPr>
          <w:sz w:val="16"/>
        </w:rPr>
        <w:t>Sentencia de 4 de febrer</w:t>
      </w:r>
      <w:r>
        <w:rPr>
          <w:sz w:val="16"/>
        </w:rPr>
        <w:t>o de 2019. Serie C No. 373, párr.</w:t>
      </w:r>
      <w:r>
        <w:rPr>
          <w:spacing w:val="-22"/>
          <w:sz w:val="16"/>
        </w:rPr>
        <w:t xml:space="preserve"> </w:t>
      </w:r>
      <w:r>
        <w:rPr>
          <w:sz w:val="16"/>
        </w:rPr>
        <w:t>93.</w:t>
      </w:r>
    </w:p>
    <w:p w14:paraId="2196126B" w14:textId="77777777" w:rsidR="00492688" w:rsidRDefault="00C9584B">
      <w:pPr>
        <w:tabs>
          <w:tab w:val="left" w:pos="829"/>
        </w:tabs>
        <w:spacing w:before="99" w:line="244" w:lineRule="auto"/>
        <w:ind w:left="121" w:right="114" w:hanging="1"/>
        <w:jc w:val="both"/>
        <w:rPr>
          <w:sz w:val="16"/>
        </w:rPr>
      </w:pPr>
      <w:bookmarkStart w:id="174" w:name="_bookmark143"/>
      <w:bookmarkEnd w:id="174"/>
      <w:r>
        <w:rPr>
          <w:rFonts w:ascii="Calibri" w:hAnsi="Calibri"/>
          <w:position w:val="5"/>
          <w:sz w:val="10"/>
        </w:rPr>
        <w:t>6</w:t>
      </w:r>
      <w:r>
        <w:rPr>
          <w:rFonts w:ascii="Calibri" w:hAnsi="Calibri"/>
          <w:position w:val="5"/>
          <w:sz w:val="10"/>
        </w:rPr>
        <w:tab/>
      </w:r>
      <w:r>
        <w:rPr>
          <w:i/>
          <w:sz w:val="16"/>
        </w:rPr>
        <w:t xml:space="preserve">Cfr. </w:t>
      </w:r>
      <w:r>
        <w:rPr>
          <w:sz w:val="16"/>
        </w:rPr>
        <w:t xml:space="preserve">Comité de Derechos Humanos, </w:t>
      </w:r>
      <w:r>
        <w:rPr>
          <w:i/>
          <w:sz w:val="16"/>
        </w:rPr>
        <w:t xml:space="preserve">Caso Pastukhov v. Belarus </w:t>
      </w:r>
      <w:r>
        <w:rPr>
          <w:sz w:val="16"/>
        </w:rPr>
        <w:t>(Comunicación 814/1998), UN Doc. CCPR/C/78/D/814/1998,</w:t>
      </w:r>
      <w:r>
        <w:rPr>
          <w:spacing w:val="-13"/>
          <w:sz w:val="16"/>
        </w:rPr>
        <w:t xml:space="preserve"> </w:t>
      </w:r>
      <w:r>
        <w:rPr>
          <w:sz w:val="16"/>
        </w:rPr>
        <w:t>5</w:t>
      </w:r>
      <w:r>
        <w:rPr>
          <w:spacing w:val="-11"/>
          <w:sz w:val="16"/>
        </w:rPr>
        <w:t xml:space="preserve"> </w:t>
      </w:r>
      <w:r>
        <w:rPr>
          <w:sz w:val="16"/>
        </w:rPr>
        <w:t>de</w:t>
      </w:r>
      <w:r>
        <w:rPr>
          <w:spacing w:val="-14"/>
          <w:sz w:val="16"/>
        </w:rPr>
        <w:t xml:space="preserve"> </w:t>
      </w:r>
      <w:r>
        <w:rPr>
          <w:sz w:val="16"/>
        </w:rPr>
        <w:t>agosto</w:t>
      </w:r>
      <w:r>
        <w:rPr>
          <w:spacing w:val="-14"/>
          <w:sz w:val="16"/>
        </w:rPr>
        <w:t xml:space="preserve"> </w:t>
      </w:r>
      <w:r>
        <w:rPr>
          <w:sz w:val="16"/>
        </w:rPr>
        <w:t>de</w:t>
      </w:r>
      <w:r>
        <w:rPr>
          <w:spacing w:val="-13"/>
          <w:sz w:val="16"/>
        </w:rPr>
        <w:t xml:space="preserve"> </w:t>
      </w:r>
      <w:r>
        <w:rPr>
          <w:sz w:val="16"/>
        </w:rPr>
        <w:t>2003,</w:t>
      </w:r>
      <w:r>
        <w:rPr>
          <w:spacing w:val="-13"/>
          <w:sz w:val="16"/>
        </w:rPr>
        <w:t xml:space="preserve"> </w:t>
      </w:r>
      <w:r>
        <w:rPr>
          <w:sz w:val="16"/>
        </w:rPr>
        <w:t>párrs.</w:t>
      </w:r>
      <w:r>
        <w:rPr>
          <w:spacing w:val="-16"/>
          <w:sz w:val="16"/>
        </w:rPr>
        <w:t xml:space="preserve"> </w:t>
      </w:r>
      <w:r>
        <w:rPr>
          <w:sz w:val="16"/>
        </w:rPr>
        <w:t>7.3</w:t>
      </w:r>
      <w:r>
        <w:rPr>
          <w:spacing w:val="-13"/>
          <w:sz w:val="16"/>
        </w:rPr>
        <w:t xml:space="preserve"> </w:t>
      </w:r>
      <w:r>
        <w:rPr>
          <w:sz w:val="16"/>
        </w:rPr>
        <w:t>y</w:t>
      </w:r>
      <w:r>
        <w:rPr>
          <w:spacing w:val="-11"/>
          <w:sz w:val="16"/>
        </w:rPr>
        <w:t xml:space="preserve"> </w:t>
      </w:r>
      <w:r>
        <w:rPr>
          <w:sz w:val="16"/>
        </w:rPr>
        <w:t>9,</w:t>
      </w:r>
      <w:r>
        <w:rPr>
          <w:spacing w:val="-10"/>
          <w:sz w:val="16"/>
        </w:rPr>
        <w:t xml:space="preserve"> </w:t>
      </w:r>
      <w:r>
        <w:rPr>
          <w:sz w:val="16"/>
        </w:rPr>
        <w:t>y</w:t>
      </w:r>
      <w:r>
        <w:rPr>
          <w:spacing w:val="-14"/>
          <w:sz w:val="16"/>
        </w:rPr>
        <w:t xml:space="preserve"> </w:t>
      </w:r>
      <w:r>
        <w:rPr>
          <w:i/>
          <w:sz w:val="16"/>
        </w:rPr>
        <w:t>Caso</w:t>
      </w:r>
      <w:r>
        <w:rPr>
          <w:i/>
          <w:spacing w:val="-11"/>
          <w:sz w:val="16"/>
        </w:rPr>
        <w:t xml:space="preserve"> </w:t>
      </w:r>
      <w:r>
        <w:rPr>
          <w:i/>
          <w:sz w:val="16"/>
        </w:rPr>
        <w:t>Adrien</w:t>
      </w:r>
      <w:r>
        <w:rPr>
          <w:i/>
          <w:spacing w:val="-16"/>
          <w:sz w:val="16"/>
        </w:rPr>
        <w:t xml:space="preserve"> </w:t>
      </w:r>
      <w:r>
        <w:rPr>
          <w:i/>
          <w:sz w:val="16"/>
        </w:rPr>
        <w:t>Mundyo</w:t>
      </w:r>
      <w:r>
        <w:rPr>
          <w:i/>
          <w:spacing w:val="-10"/>
          <w:sz w:val="16"/>
        </w:rPr>
        <w:t xml:space="preserve"> </w:t>
      </w:r>
      <w:r>
        <w:rPr>
          <w:i/>
          <w:sz w:val="16"/>
        </w:rPr>
        <w:t>Busyo</w:t>
      </w:r>
      <w:r>
        <w:rPr>
          <w:i/>
          <w:spacing w:val="-14"/>
          <w:sz w:val="16"/>
        </w:rPr>
        <w:t xml:space="preserve"> </w:t>
      </w:r>
      <w:r>
        <w:rPr>
          <w:i/>
          <w:sz w:val="16"/>
        </w:rPr>
        <w:t>et</w:t>
      </w:r>
      <w:r>
        <w:rPr>
          <w:i/>
          <w:spacing w:val="-11"/>
          <w:sz w:val="16"/>
        </w:rPr>
        <w:t xml:space="preserve"> </w:t>
      </w:r>
      <w:r>
        <w:rPr>
          <w:i/>
          <w:sz w:val="16"/>
        </w:rPr>
        <w:t>al.</w:t>
      </w:r>
      <w:r>
        <w:rPr>
          <w:i/>
          <w:spacing w:val="-13"/>
          <w:sz w:val="16"/>
        </w:rPr>
        <w:t xml:space="preserve"> </w:t>
      </w:r>
      <w:r>
        <w:rPr>
          <w:i/>
          <w:sz w:val="16"/>
        </w:rPr>
        <w:t>v.</w:t>
      </w:r>
      <w:r>
        <w:rPr>
          <w:i/>
          <w:spacing w:val="-13"/>
          <w:sz w:val="16"/>
        </w:rPr>
        <w:t xml:space="preserve"> </w:t>
      </w:r>
      <w:r>
        <w:rPr>
          <w:i/>
          <w:sz w:val="16"/>
        </w:rPr>
        <w:t>Democratic Republic</w:t>
      </w:r>
      <w:r>
        <w:rPr>
          <w:i/>
          <w:spacing w:val="14"/>
          <w:sz w:val="16"/>
        </w:rPr>
        <w:t xml:space="preserve"> </w:t>
      </w:r>
      <w:r>
        <w:rPr>
          <w:i/>
          <w:sz w:val="16"/>
        </w:rPr>
        <w:t>of</w:t>
      </w:r>
      <w:r>
        <w:rPr>
          <w:i/>
          <w:spacing w:val="15"/>
          <w:sz w:val="16"/>
        </w:rPr>
        <w:t xml:space="preserve"> </w:t>
      </w:r>
      <w:r>
        <w:rPr>
          <w:i/>
          <w:sz w:val="16"/>
        </w:rPr>
        <w:t>the</w:t>
      </w:r>
      <w:r>
        <w:rPr>
          <w:i/>
          <w:spacing w:val="15"/>
          <w:sz w:val="16"/>
        </w:rPr>
        <w:t xml:space="preserve"> </w:t>
      </w:r>
      <w:r>
        <w:rPr>
          <w:i/>
          <w:sz w:val="16"/>
        </w:rPr>
        <w:t>Congo</w:t>
      </w:r>
      <w:r>
        <w:rPr>
          <w:i/>
          <w:spacing w:val="15"/>
          <w:sz w:val="16"/>
        </w:rPr>
        <w:t xml:space="preserve"> </w:t>
      </w:r>
      <w:r>
        <w:rPr>
          <w:sz w:val="16"/>
        </w:rPr>
        <w:t>(Comunicación</w:t>
      </w:r>
      <w:r>
        <w:rPr>
          <w:spacing w:val="13"/>
          <w:sz w:val="16"/>
        </w:rPr>
        <w:t xml:space="preserve"> </w:t>
      </w:r>
      <w:r>
        <w:rPr>
          <w:sz w:val="16"/>
        </w:rPr>
        <w:t>933/2000),</w:t>
      </w:r>
      <w:r>
        <w:rPr>
          <w:spacing w:val="13"/>
          <w:sz w:val="16"/>
        </w:rPr>
        <w:t xml:space="preserve"> </w:t>
      </w:r>
      <w:r>
        <w:rPr>
          <w:sz w:val="16"/>
        </w:rPr>
        <w:t>UN</w:t>
      </w:r>
      <w:r>
        <w:rPr>
          <w:spacing w:val="14"/>
          <w:sz w:val="16"/>
        </w:rPr>
        <w:t xml:space="preserve"> </w:t>
      </w:r>
      <w:r>
        <w:rPr>
          <w:sz w:val="16"/>
        </w:rPr>
        <w:t>Doc.</w:t>
      </w:r>
      <w:r>
        <w:rPr>
          <w:spacing w:val="11"/>
          <w:sz w:val="16"/>
        </w:rPr>
        <w:t xml:space="preserve"> </w:t>
      </w:r>
      <w:r>
        <w:rPr>
          <w:sz w:val="16"/>
        </w:rPr>
        <w:t>CCPR/C/78/D/933/2000,</w:t>
      </w:r>
      <w:r>
        <w:rPr>
          <w:spacing w:val="12"/>
          <w:sz w:val="16"/>
        </w:rPr>
        <w:t xml:space="preserve"> </w:t>
      </w:r>
      <w:r>
        <w:rPr>
          <w:sz w:val="16"/>
        </w:rPr>
        <w:t>31</w:t>
      </w:r>
      <w:r>
        <w:rPr>
          <w:spacing w:val="13"/>
          <w:sz w:val="16"/>
        </w:rPr>
        <w:t xml:space="preserve"> </w:t>
      </w:r>
      <w:r>
        <w:rPr>
          <w:sz w:val="16"/>
        </w:rPr>
        <w:t>de</w:t>
      </w:r>
      <w:r>
        <w:rPr>
          <w:spacing w:val="17"/>
          <w:sz w:val="16"/>
        </w:rPr>
        <w:t xml:space="preserve"> </w:t>
      </w:r>
      <w:r>
        <w:rPr>
          <w:sz w:val="16"/>
        </w:rPr>
        <w:t>julio</w:t>
      </w:r>
      <w:r>
        <w:rPr>
          <w:spacing w:val="13"/>
          <w:sz w:val="16"/>
        </w:rPr>
        <w:t xml:space="preserve"> </w:t>
      </w:r>
      <w:r>
        <w:rPr>
          <w:sz w:val="16"/>
        </w:rPr>
        <w:t>2003,</w:t>
      </w:r>
      <w:r>
        <w:rPr>
          <w:spacing w:val="13"/>
          <w:sz w:val="16"/>
        </w:rPr>
        <w:t xml:space="preserve"> </w:t>
      </w:r>
      <w:r>
        <w:rPr>
          <w:sz w:val="16"/>
        </w:rPr>
        <w:t>párr.</w:t>
      </w:r>
    </w:p>
    <w:p w14:paraId="154D4C1F" w14:textId="77777777" w:rsidR="00492688" w:rsidRDefault="00C9584B">
      <w:pPr>
        <w:spacing w:line="192" w:lineRule="exact"/>
        <w:ind w:left="123"/>
        <w:jc w:val="both"/>
        <w:rPr>
          <w:i/>
          <w:sz w:val="16"/>
        </w:rPr>
      </w:pPr>
      <w:r>
        <w:rPr>
          <w:sz w:val="16"/>
        </w:rPr>
        <w:t>5.2.</w:t>
      </w:r>
      <w:r>
        <w:rPr>
          <w:spacing w:val="-6"/>
          <w:sz w:val="16"/>
        </w:rPr>
        <w:t xml:space="preserve"> </w:t>
      </w:r>
      <w:r>
        <w:rPr>
          <w:sz w:val="16"/>
        </w:rPr>
        <w:t>Ver</w:t>
      </w:r>
      <w:r>
        <w:rPr>
          <w:spacing w:val="-5"/>
          <w:sz w:val="16"/>
        </w:rPr>
        <w:t xml:space="preserve"> </w:t>
      </w:r>
      <w:r>
        <w:rPr>
          <w:sz w:val="16"/>
        </w:rPr>
        <w:t>también:</w:t>
      </w:r>
      <w:r>
        <w:rPr>
          <w:spacing w:val="-6"/>
          <w:sz w:val="16"/>
        </w:rPr>
        <w:t xml:space="preserve"> </w:t>
      </w:r>
      <w:r>
        <w:rPr>
          <w:i/>
          <w:sz w:val="16"/>
        </w:rPr>
        <w:t>Caso</w:t>
      </w:r>
      <w:r>
        <w:rPr>
          <w:i/>
          <w:spacing w:val="-4"/>
          <w:sz w:val="16"/>
        </w:rPr>
        <w:t xml:space="preserve"> </w:t>
      </w:r>
      <w:r>
        <w:rPr>
          <w:i/>
          <w:sz w:val="16"/>
        </w:rPr>
        <w:t>Chocrón</w:t>
      </w:r>
      <w:r>
        <w:rPr>
          <w:i/>
          <w:spacing w:val="-4"/>
          <w:sz w:val="16"/>
        </w:rPr>
        <w:t xml:space="preserve"> </w:t>
      </w:r>
      <w:r>
        <w:rPr>
          <w:i/>
          <w:sz w:val="16"/>
        </w:rPr>
        <w:t>Chocrón</w:t>
      </w:r>
      <w:r>
        <w:rPr>
          <w:i/>
          <w:spacing w:val="-6"/>
          <w:sz w:val="16"/>
        </w:rPr>
        <w:t xml:space="preserve"> </w:t>
      </w:r>
      <w:r>
        <w:rPr>
          <w:i/>
          <w:sz w:val="16"/>
        </w:rPr>
        <w:t>Vs.</w:t>
      </w:r>
      <w:r>
        <w:rPr>
          <w:i/>
          <w:spacing w:val="-6"/>
          <w:sz w:val="16"/>
        </w:rPr>
        <w:t xml:space="preserve"> </w:t>
      </w:r>
      <w:r>
        <w:rPr>
          <w:i/>
          <w:sz w:val="16"/>
        </w:rPr>
        <w:t>Venezuela.</w:t>
      </w:r>
      <w:r>
        <w:rPr>
          <w:i/>
          <w:spacing w:val="-3"/>
          <w:sz w:val="16"/>
        </w:rPr>
        <w:t xml:space="preserve"> </w:t>
      </w:r>
      <w:r>
        <w:rPr>
          <w:i/>
          <w:sz w:val="16"/>
        </w:rPr>
        <w:t>Excepción</w:t>
      </w:r>
      <w:r>
        <w:rPr>
          <w:i/>
          <w:spacing w:val="-3"/>
          <w:sz w:val="16"/>
        </w:rPr>
        <w:t xml:space="preserve"> </w:t>
      </w:r>
      <w:r>
        <w:rPr>
          <w:i/>
          <w:sz w:val="16"/>
        </w:rPr>
        <w:t>Preliminar,</w:t>
      </w:r>
      <w:r>
        <w:rPr>
          <w:i/>
          <w:spacing w:val="-6"/>
          <w:sz w:val="16"/>
        </w:rPr>
        <w:t xml:space="preserve"> </w:t>
      </w:r>
      <w:r>
        <w:rPr>
          <w:i/>
          <w:sz w:val="16"/>
        </w:rPr>
        <w:t>Fondo,</w:t>
      </w:r>
      <w:r>
        <w:rPr>
          <w:i/>
          <w:spacing w:val="-6"/>
          <w:sz w:val="16"/>
        </w:rPr>
        <w:t xml:space="preserve"> </w:t>
      </w:r>
      <w:r>
        <w:rPr>
          <w:i/>
          <w:sz w:val="16"/>
        </w:rPr>
        <w:t>Reparaciones</w:t>
      </w:r>
      <w:r>
        <w:rPr>
          <w:i/>
          <w:spacing w:val="-5"/>
          <w:sz w:val="16"/>
        </w:rPr>
        <w:t xml:space="preserve"> </w:t>
      </w:r>
      <w:r>
        <w:rPr>
          <w:i/>
          <w:sz w:val="16"/>
        </w:rPr>
        <w:t>y</w:t>
      </w:r>
      <w:r>
        <w:rPr>
          <w:i/>
          <w:spacing w:val="-4"/>
          <w:sz w:val="16"/>
        </w:rPr>
        <w:t xml:space="preserve"> </w:t>
      </w:r>
      <w:r>
        <w:rPr>
          <w:i/>
          <w:sz w:val="16"/>
        </w:rPr>
        <w:t>Costas.</w:t>
      </w:r>
    </w:p>
    <w:p w14:paraId="516DEC0C" w14:textId="77777777" w:rsidR="00492688" w:rsidRDefault="00C9584B">
      <w:pPr>
        <w:ind w:left="122"/>
        <w:jc w:val="both"/>
        <w:rPr>
          <w:sz w:val="16"/>
        </w:rPr>
      </w:pPr>
      <w:r>
        <w:rPr>
          <w:sz w:val="16"/>
        </w:rPr>
        <w:t>Sentencia de 1 de julio de 2011. Serie C No. 227, párr. 135.</w:t>
      </w:r>
    </w:p>
    <w:p w14:paraId="01055757" w14:textId="77777777" w:rsidR="00492688" w:rsidRDefault="00C9584B">
      <w:pPr>
        <w:tabs>
          <w:tab w:val="left" w:pos="829"/>
        </w:tabs>
        <w:spacing w:before="100" w:line="252" w:lineRule="auto"/>
        <w:ind w:left="122" w:right="115" w:hanging="1"/>
        <w:jc w:val="both"/>
        <w:rPr>
          <w:sz w:val="16"/>
        </w:rPr>
      </w:pPr>
      <w:bookmarkStart w:id="175" w:name="_bookmark144"/>
      <w:bookmarkEnd w:id="175"/>
      <w:r>
        <w:rPr>
          <w:rFonts w:ascii="Calibri" w:hAnsi="Calibri"/>
          <w:position w:val="5"/>
          <w:sz w:val="10"/>
        </w:rPr>
        <w:t>7</w:t>
      </w:r>
      <w:r>
        <w:rPr>
          <w:rFonts w:ascii="Calibri" w:hAnsi="Calibri"/>
          <w:position w:val="5"/>
          <w:sz w:val="10"/>
        </w:rPr>
        <w:tab/>
      </w:r>
      <w:r>
        <w:rPr>
          <w:i/>
          <w:sz w:val="16"/>
        </w:rPr>
        <w:t>Cfr.</w:t>
      </w:r>
      <w:r>
        <w:rPr>
          <w:i/>
          <w:spacing w:val="-12"/>
          <w:sz w:val="16"/>
        </w:rPr>
        <w:t xml:space="preserve"> </w:t>
      </w:r>
      <w:r>
        <w:rPr>
          <w:i/>
          <w:sz w:val="16"/>
        </w:rPr>
        <w:t>Caso</w:t>
      </w:r>
      <w:r>
        <w:rPr>
          <w:i/>
          <w:spacing w:val="-11"/>
          <w:sz w:val="16"/>
        </w:rPr>
        <w:t xml:space="preserve"> </w:t>
      </w:r>
      <w:r>
        <w:rPr>
          <w:i/>
          <w:sz w:val="16"/>
        </w:rPr>
        <w:t>Cordero</w:t>
      </w:r>
      <w:r>
        <w:rPr>
          <w:i/>
          <w:spacing w:val="-12"/>
          <w:sz w:val="16"/>
        </w:rPr>
        <w:t xml:space="preserve"> </w:t>
      </w:r>
      <w:r>
        <w:rPr>
          <w:i/>
          <w:sz w:val="16"/>
        </w:rPr>
        <w:t>Bernal</w:t>
      </w:r>
      <w:r>
        <w:rPr>
          <w:i/>
          <w:spacing w:val="-13"/>
          <w:sz w:val="16"/>
        </w:rPr>
        <w:t xml:space="preserve"> </w:t>
      </w:r>
      <w:r>
        <w:rPr>
          <w:i/>
          <w:sz w:val="16"/>
        </w:rPr>
        <w:t>Vs.</w:t>
      </w:r>
      <w:r>
        <w:rPr>
          <w:i/>
          <w:spacing w:val="-11"/>
          <w:sz w:val="16"/>
        </w:rPr>
        <w:t xml:space="preserve"> </w:t>
      </w:r>
      <w:r>
        <w:rPr>
          <w:i/>
          <w:sz w:val="16"/>
        </w:rPr>
        <w:t>Perú.</w:t>
      </w:r>
      <w:r>
        <w:rPr>
          <w:i/>
          <w:spacing w:val="-12"/>
          <w:sz w:val="16"/>
        </w:rPr>
        <w:t xml:space="preserve"> </w:t>
      </w:r>
      <w:r>
        <w:rPr>
          <w:i/>
          <w:sz w:val="16"/>
        </w:rPr>
        <w:t>Excepción</w:t>
      </w:r>
      <w:r>
        <w:rPr>
          <w:i/>
          <w:spacing w:val="-11"/>
          <w:sz w:val="16"/>
        </w:rPr>
        <w:t xml:space="preserve"> </w:t>
      </w:r>
      <w:r>
        <w:rPr>
          <w:i/>
          <w:sz w:val="16"/>
        </w:rPr>
        <w:t>Preliminar</w:t>
      </w:r>
      <w:r>
        <w:rPr>
          <w:i/>
          <w:spacing w:val="-9"/>
          <w:sz w:val="16"/>
        </w:rPr>
        <w:t xml:space="preserve"> </w:t>
      </w:r>
      <w:r>
        <w:rPr>
          <w:i/>
          <w:sz w:val="16"/>
        </w:rPr>
        <w:t>y</w:t>
      </w:r>
      <w:r>
        <w:rPr>
          <w:i/>
          <w:spacing w:val="-12"/>
          <w:sz w:val="16"/>
        </w:rPr>
        <w:t xml:space="preserve"> </w:t>
      </w:r>
      <w:r>
        <w:rPr>
          <w:i/>
          <w:sz w:val="16"/>
        </w:rPr>
        <w:t>Fondo.</w:t>
      </w:r>
      <w:r>
        <w:rPr>
          <w:i/>
          <w:spacing w:val="-11"/>
          <w:sz w:val="16"/>
        </w:rPr>
        <w:t xml:space="preserve"> </w:t>
      </w:r>
      <w:r>
        <w:rPr>
          <w:sz w:val="16"/>
        </w:rPr>
        <w:t>Sentencia</w:t>
      </w:r>
      <w:r>
        <w:rPr>
          <w:spacing w:val="-11"/>
          <w:sz w:val="16"/>
        </w:rPr>
        <w:t xml:space="preserve"> </w:t>
      </w:r>
      <w:r>
        <w:rPr>
          <w:sz w:val="16"/>
        </w:rPr>
        <w:t>de</w:t>
      </w:r>
      <w:r>
        <w:rPr>
          <w:spacing w:val="-12"/>
          <w:sz w:val="16"/>
        </w:rPr>
        <w:t xml:space="preserve"> </w:t>
      </w:r>
      <w:r>
        <w:rPr>
          <w:sz w:val="16"/>
        </w:rPr>
        <w:t>16</w:t>
      </w:r>
      <w:r>
        <w:rPr>
          <w:spacing w:val="-11"/>
          <w:sz w:val="16"/>
        </w:rPr>
        <w:t xml:space="preserve"> </w:t>
      </w:r>
      <w:r>
        <w:rPr>
          <w:sz w:val="16"/>
        </w:rPr>
        <w:t>de</w:t>
      </w:r>
      <w:r>
        <w:rPr>
          <w:spacing w:val="-13"/>
          <w:sz w:val="16"/>
        </w:rPr>
        <w:t xml:space="preserve"> </w:t>
      </w:r>
      <w:r>
        <w:rPr>
          <w:sz w:val="16"/>
        </w:rPr>
        <w:t>febrero</w:t>
      </w:r>
      <w:r>
        <w:rPr>
          <w:spacing w:val="-9"/>
          <w:sz w:val="16"/>
        </w:rPr>
        <w:t xml:space="preserve"> </w:t>
      </w:r>
      <w:r>
        <w:rPr>
          <w:sz w:val="16"/>
        </w:rPr>
        <w:t>de</w:t>
      </w:r>
      <w:r>
        <w:rPr>
          <w:spacing w:val="-12"/>
          <w:sz w:val="16"/>
        </w:rPr>
        <w:t xml:space="preserve"> </w:t>
      </w:r>
      <w:r>
        <w:rPr>
          <w:sz w:val="16"/>
        </w:rPr>
        <w:t>2021. Serie C No. 421, párr.</w:t>
      </w:r>
      <w:r>
        <w:rPr>
          <w:spacing w:val="-8"/>
          <w:sz w:val="16"/>
        </w:rPr>
        <w:t xml:space="preserve"> </w:t>
      </w:r>
      <w:r>
        <w:rPr>
          <w:sz w:val="16"/>
        </w:rPr>
        <w:t>102.</w:t>
      </w:r>
    </w:p>
    <w:p w14:paraId="44F442F4" w14:textId="77777777" w:rsidR="00492688" w:rsidRDefault="00C9584B">
      <w:pPr>
        <w:tabs>
          <w:tab w:val="left" w:pos="829"/>
        </w:tabs>
        <w:spacing w:before="89"/>
        <w:ind w:left="121"/>
        <w:jc w:val="both"/>
        <w:rPr>
          <w:sz w:val="16"/>
        </w:rPr>
      </w:pPr>
      <w:bookmarkStart w:id="176" w:name="_bookmark145"/>
      <w:bookmarkEnd w:id="176"/>
      <w:r>
        <w:rPr>
          <w:rFonts w:ascii="Calibri" w:hAnsi="Calibri"/>
          <w:position w:val="5"/>
          <w:sz w:val="10"/>
        </w:rPr>
        <w:t>8</w:t>
      </w:r>
      <w:r>
        <w:rPr>
          <w:rFonts w:ascii="Calibri" w:hAnsi="Calibri"/>
          <w:position w:val="5"/>
          <w:sz w:val="10"/>
        </w:rPr>
        <w:tab/>
      </w:r>
      <w:r>
        <w:rPr>
          <w:i/>
          <w:sz w:val="16"/>
        </w:rPr>
        <w:t>Cfr. Caso Cordero Bernal Vs. Perú. Excepción Preliminar y Fondo,</w:t>
      </w:r>
      <w:r>
        <w:rPr>
          <w:i/>
          <w:spacing w:val="-14"/>
          <w:sz w:val="16"/>
        </w:rPr>
        <w:t xml:space="preserve"> </w:t>
      </w:r>
      <w:r>
        <w:rPr>
          <w:i/>
          <w:sz w:val="16"/>
        </w:rPr>
        <w:t>supra</w:t>
      </w:r>
      <w:r>
        <w:rPr>
          <w:sz w:val="16"/>
        </w:rPr>
        <w:t>.</w:t>
      </w:r>
    </w:p>
    <w:p w14:paraId="69B953C5" w14:textId="77777777" w:rsidR="00492688" w:rsidRDefault="00492688">
      <w:pPr>
        <w:jc w:val="both"/>
        <w:rPr>
          <w:sz w:val="16"/>
        </w:rPr>
        <w:sectPr w:rsidR="00492688">
          <w:pgSz w:w="12240" w:h="15840"/>
          <w:pgMar w:top="1340" w:right="1580" w:bottom="280" w:left="1580" w:header="720" w:footer="720" w:gutter="0"/>
          <w:cols w:space="720"/>
        </w:sectPr>
      </w:pPr>
    </w:p>
    <w:p w14:paraId="05CF9CAA" w14:textId="77777777" w:rsidR="00492688" w:rsidRDefault="00C9584B">
      <w:pPr>
        <w:pStyle w:val="Prrafodelista"/>
        <w:numPr>
          <w:ilvl w:val="0"/>
          <w:numId w:val="4"/>
        </w:numPr>
        <w:tabs>
          <w:tab w:val="left" w:pos="688"/>
        </w:tabs>
        <w:spacing w:before="161"/>
        <w:ind w:right="118" w:firstLine="0"/>
        <w:jc w:val="both"/>
        <w:rPr>
          <w:sz w:val="20"/>
        </w:rPr>
      </w:pPr>
      <w:r>
        <w:rPr>
          <w:sz w:val="20"/>
        </w:rPr>
        <w:lastRenderedPageBreak/>
        <w:t>Por lo expuesto en los párrafos precedentes, el criterio adoptado en la Sentencia al</w:t>
      </w:r>
      <w:r>
        <w:rPr>
          <w:spacing w:val="-12"/>
          <w:sz w:val="20"/>
        </w:rPr>
        <w:t xml:space="preserve"> </w:t>
      </w:r>
      <w:r>
        <w:rPr>
          <w:sz w:val="20"/>
        </w:rPr>
        <w:t>resolver</w:t>
      </w:r>
      <w:r>
        <w:rPr>
          <w:spacing w:val="-13"/>
          <w:sz w:val="20"/>
        </w:rPr>
        <w:t xml:space="preserve"> </w:t>
      </w:r>
      <w:r>
        <w:rPr>
          <w:sz w:val="20"/>
        </w:rPr>
        <w:t>que</w:t>
      </w:r>
      <w:r>
        <w:rPr>
          <w:spacing w:val="-11"/>
          <w:sz w:val="20"/>
        </w:rPr>
        <w:t xml:space="preserve"> </w:t>
      </w:r>
      <w:r>
        <w:rPr>
          <w:sz w:val="20"/>
        </w:rPr>
        <w:t>el</w:t>
      </w:r>
      <w:r>
        <w:rPr>
          <w:spacing w:val="-12"/>
          <w:sz w:val="20"/>
        </w:rPr>
        <w:t xml:space="preserve"> </w:t>
      </w:r>
      <w:r>
        <w:rPr>
          <w:sz w:val="20"/>
        </w:rPr>
        <w:t>Estado</w:t>
      </w:r>
      <w:r>
        <w:rPr>
          <w:spacing w:val="-10"/>
          <w:sz w:val="20"/>
        </w:rPr>
        <w:t xml:space="preserve"> </w:t>
      </w:r>
      <w:r>
        <w:rPr>
          <w:sz w:val="20"/>
        </w:rPr>
        <w:t>no</w:t>
      </w:r>
      <w:r>
        <w:rPr>
          <w:spacing w:val="-14"/>
          <w:sz w:val="20"/>
        </w:rPr>
        <w:t xml:space="preserve"> </w:t>
      </w:r>
      <w:r>
        <w:rPr>
          <w:sz w:val="20"/>
        </w:rPr>
        <w:t>es</w:t>
      </w:r>
      <w:r>
        <w:rPr>
          <w:spacing w:val="-12"/>
          <w:sz w:val="20"/>
        </w:rPr>
        <w:t xml:space="preserve"> </w:t>
      </w:r>
      <w:r>
        <w:rPr>
          <w:sz w:val="20"/>
        </w:rPr>
        <w:t>responsable</w:t>
      </w:r>
      <w:r>
        <w:rPr>
          <w:spacing w:val="-14"/>
          <w:sz w:val="20"/>
        </w:rPr>
        <w:t xml:space="preserve"> </w:t>
      </w:r>
      <w:r>
        <w:rPr>
          <w:sz w:val="20"/>
        </w:rPr>
        <w:t>de</w:t>
      </w:r>
      <w:r>
        <w:rPr>
          <w:spacing w:val="-13"/>
          <w:sz w:val="20"/>
        </w:rPr>
        <w:t xml:space="preserve"> </w:t>
      </w:r>
      <w:r>
        <w:rPr>
          <w:sz w:val="20"/>
        </w:rPr>
        <w:t>las</w:t>
      </w:r>
      <w:r>
        <w:rPr>
          <w:spacing w:val="-13"/>
          <w:sz w:val="20"/>
        </w:rPr>
        <w:t xml:space="preserve"> </w:t>
      </w:r>
      <w:r>
        <w:rPr>
          <w:sz w:val="20"/>
        </w:rPr>
        <w:t>violaciones</w:t>
      </w:r>
      <w:r>
        <w:rPr>
          <w:spacing w:val="-12"/>
          <w:sz w:val="20"/>
        </w:rPr>
        <w:t xml:space="preserve"> </w:t>
      </w:r>
      <w:r>
        <w:rPr>
          <w:sz w:val="20"/>
        </w:rPr>
        <w:t>a</w:t>
      </w:r>
      <w:r>
        <w:rPr>
          <w:spacing w:val="-12"/>
          <w:sz w:val="20"/>
        </w:rPr>
        <w:t xml:space="preserve"> </w:t>
      </w:r>
      <w:r>
        <w:rPr>
          <w:sz w:val="20"/>
        </w:rPr>
        <w:t>los</w:t>
      </w:r>
      <w:r>
        <w:rPr>
          <w:spacing w:val="-12"/>
          <w:sz w:val="20"/>
        </w:rPr>
        <w:t xml:space="preserve"> </w:t>
      </w:r>
      <w:r>
        <w:rPr>
          <w:sz w:val="20"/>
        </w:rPr>
        <w:t>derechos</w:t>
      </w:r>
      <w:r>
        <w:rPr>
          <w:spacing w:val="-13"/>
          <w:sz w:val="20"/>
        </w:rPr>
        <w:t xml:space="preserve"> </w:t>
      </w:r>
      <w:r>
        <w:rPr>
          <w:sz w:val="20"/>
        </w:rPr>
        <w:t>reconocidos en la Convención Americana y alegados por la Comisión y las representantes, no puede ser acogido por el</w:t>
      </w:r>
      <w:r>
        <w:rPr>
          <w:spacing w:val="-4"/>
          <w:sz w:val="20"/>
        </w:rPr>
        <w:t xml:space="preserve"> </w:t>
      </w:r>
      <w:r>
        <w:rPr>
          <w:sz w:val="20"/>
        </w:rPr>
        <w:t>suscrito.</w:t>
      </w:r>
    </w:p>
    <w:p w14:paraId="08B9CF0C" w14:textId="77777777" w:rsidR="00492688" w:rsidRDefault="00492688">
      <w:pPr>
        <w:pStyle w:val="Textoindependiente"/>
        <w:rPr>
          <w:sz w:val="24"/>
        </w:rPr>
      </w:pPr>
    </w:p>
    <w:p w14:paraId="5B48B60E" w14:textId="77777777" w:rsidR="00492688" w:rsidRDefault="00492688">
      <w:pPr>
        <w:pStyle w:val="Textoindependiente"/>
        <w:rPr>
          <w:sz w:val="24"/>
        </w:rPr>
      </w:pPr>
    </w:p>
    <w:p w14:paraId="0F7D27DB" w14:textId="77777777" w:rsidR="00492688" w:rsidRDefault="00492688">
      <w:pPr>
        <w:pStyle w:val="Textoindependiente"/>
        <w:rPr>
          <w:sz w:val="24"/>
        </w:rPr>
      </w:pPr>
    </w:p>
    <w:p w14:paraId="4F6EBE32" w14:textId="77777777" w:rsidR="00492688" w:rsidRDefault="00C9584B">
      <w:pPr>
        <w:pStyle w:val="Textoindependiente"/>
        <w:spacing w:before="174"/>
        <w:ind w:left="6841" w:right="717" w:hanging="1056"/>
      </w:pPr>
      <w:r>
        <w:t>L. Patricio Pazmiño Freire Juez</w:t>
      </w:r>
    </w:p>
    <w:p w14:paraId="6683627F" w14:textId="77777777" w:rsidR="00492688" w:rsidRDefault="00492688">
      <w:pPr>
        <w:pStyle w:val="Textoindependiente"/>
        <w:rPr>
          <w:sz w:val="24"/>
        </w:rPr>
      </w:pPr>
    </w:p>
    <w:p w14:paraId="59669646" w14:textId="77777777" w:rsidR="00492688" w:rsidRDefault="00492688">
      <w:pPr>
        <w:pStyle w:val="Textoindependiente"/>
        <w:rPr>
          <w:sz w:val="24"/>
        </w:rPr>
      </w:pPr>
    </w:p>
    <w:p w14:paraId="4F9FEA19" w14:textId="77777777" w:rsidR="00492688" w:rsidRDefault="00492688">
      <w:pPr>
        <w:pStyle w:val="Textoindependiente"/>
        <w:rPr>
          <w:sz w:val="32"/>
        </w:rPr>
      </w:pPr>
    </w:p>
    <w:p w14:paraId="44E4A5C9" w14:textId="77777777" w:rsidR="00492688" w:rsidRDefault="00C9584B">
      <w:pPr>
        <w:pStyle w:val="Textoindependiente"/>
        <w:ind w:left="757" w:right="6281" w:hanging="636"/>
      </w:pPr>
      <w:r>
        <w:t>Pablo Saavedra Alessandri Secretario</w:t>
      </w:r>
    </w:p>
    <w:p w14:paraId="12B8EEA8" w14:textId="77777777" w:rsidR="00492688" w:rsidRDefault="00492688">
      <w:pPr>
        <w:sectPr w:rsidR="00492688">
          <w:pgSz w:w="12240" w:h="15840"/>
          <w:pgMar w:top="1500" w:right="1580" w:bottom="280" w:left="1580" w:header="720" w:footer="720" w:gutter="0"/>
          <w:cols w:space="720"/>
        </w:sectPr>
      </w:pPr>
    </w:p>
    <w:p w14:paraId="5BA86651" w14:textId="77777777" w:rsidR="00492688" w:rsidRDefault="00492688">
      <w:pPr>
        <w:pStyle w:val="Textoindependiente"/>
      </w:pPr>
    </w:p>
    <w:p w14:paraId="666A0F9C" w14:textId="77777777" w:rsidR="00492688" w:rsidRDefault="00492688">
      <w:pPr>
        <w:pStyle w:val="Textoindependiente"/>
        <w:spacing w:before="6"/>
        <w:rPr>
          <w:sz w:val="22"/>
        </w:rPr>
      </w:pPr>
    </w:p>
    <w:p w14:paraId="0DE5B9E1" w14:textId="77777777" w:rsidR="00492688" w:rsidRDefault="00C9584B">
      <w:pPr>
        <w:ind w:left="13" w:right="126"/>
        <w:jc w:val="center"/>
        <w:rPr>
          <w:b/>
          <w:sz w:val="20"/>
        </w:rPr>
      </w:pPr>
      <w:bookmarkStart w:id="177" w:name="vsc_ferrer_421_esp"/>
      <w:bookmarkEnd w:id="177"/>
      <w:r>
        <w:rPr>
          <w:b/>
          <w:sz w:val="20"/>
        </w:rPr>
        <w:t>VOTO DISIDENTE DEL</w:t>
      </w:r>
    </w:p>
    <w:p w14:paraId="411896EC" w14:textId="77777777" w:rsidR="00492688" w:rsidRDefault="00C9584B">
      <w:pPr>
        <w:spacing w:before="2"/>
        <w:ind w:left="13" w:right="126"/>
        <w:jc w:val="center"/>
        <w:rPr>
          <w:b/>
          <w:sz w:val="20"/>
        </w:rPr>
      </w:pPr>
      <w:r>
        <w:rPr>
          <w:b/>
          <w:sz w:val="20"/>
        </w:rPr>
        <w:t>JUEZ EDUARDO FERRER MAC-GREGOR POISOT</w:t>
      </w:r>
    </w:p>
    <w:p w14:paraId="6762BFB0" w14:textId="77777777" w:rsidR="00492688" w:rsidRDefault="00492688">
      <w:pPr>
        <w:pStyle w:val="Textoindependiente"/>
        <w:spacing w:before="10"/>
        <w:rPr>
          <w:b/>
          <w:sz w:val="19"/>
        </w:rPr>
      </w:pPr>
    </w:p>
    <w:p w14:paraId="5260A89D" w14:textId="77777777" w:rsidR="00492688" w:rsidRDefault="00C9584B">
      <w:pPr>
        <w:ind w:left="14" w:right="126"/>
        <w:jc w:val="center"/>
        <w:rPr>
          <w:b/>
          <w:i/>
          <w:sz w:val="20"/>
        </w:rPr>
      </w:pPr>
      <w:r>
        <w:rPr>
          <w:b/>
          <w:i/>
          <w:sz w:val="20"/>
          <w:u w:val="thick"/>
        </w:rPr>
        <w:t>CASO CORDERO BERNAL VS. PERÚ</w:t>
      </w:r>
    </w:p>
    <w:p w14:paraId="61317B88" w14:textId="77777777" w:rsidR="00492688" w:rsidRDefault="00492688">
      <w:pPr>
        <w:pStyle w:val="Textoindependiente"/>
        <w:spacing w:before="9"/>
        <w:rPr>
          <w:b/>
          <w:i/>
          <w:sz w:val="11"/>
        </w:rPr>
      </w:pPr>
    </w:p>
    <w:p w14:paraId="425CEAD8" w14:textId="77777777" w:rsidR="00492688" w:rsidRDefault="00C9584B">
      <w:pPr>
        <w:spacing w:before="100" w:line="219" w:lineRule="exact"/>
        <w:ind w:left="14" w:right="126"/>
        <w:jc w:val="center"/>
        <w:rPr>
          <w:b/>
          <w:sz w:val="18"/>
        </w:rPr>
      </w:pPr>
      <w:r>
        <w:rPr>
          <w:b/>
          <w:sz w:val="18"/>
        </w:rPr>
        <w:t>SENTENCIA DE 16 DE FEBRERO DE 2021</w:t>
      </w:r>
    </w:p>
    <w:p w14:paraId="01AA4387" w14:textId="77777777" w:rsidR="00492688" w:rsidRDefault="00C9584B">
      <w:pPr>
        <w:spacing w:line="219" w:lineRule="exact"/>
        <w:ind w:left="18" w:right="126"/>
        <w:jc w:val="center"/>
        <w:rPr>
          <w:b/>
          <w:i/>
          <w:sz w:val="18"/>
        </w:rPr>
      </w:pPr>
      <w:r>
        <w:rPr>
          <w:b/>
          <w:i/>
          <w:sz w:val="18"/>
        </w:rPr>
        <w:t>(EXCEPCIÓN PRELIMIMAR Y FONDO)</w:t>
      </w:r>
    </w:p>
    <w:p w14:paraId="7BED4A76" w14:textId="77777777" w:rsidR="00492688" w:rsidRDefault="00492688">
      <w:pPr>
        <w:pStyle w:val="Textoindependiente"/>
        <w:rPr>
          <w:b/>
          <w:i/>
          <w:sz w:val="22"/>
        </w:rPr>
      </w:pPr>
    </w:p>
    <w:p w14:paraId="594E8874" w14:textId="77777777" w:rsidR="00492688" w:rsidRDefault="00C9584B">
      <w:pPr>
        <w:pStyle w:val="Textoindependiente"/>
        <w:spacing w:before="197"/>
        <w:ind w:left="13" w:right="126"/>
        <w:jc w:val="center"/>
      </w:pPr>
      <w:r>
        <w:t>INTRODUCCIÓN</w:t>
      </w:r>
    </w:p>
    <w:p w14:paraId="34D5ABA0" w14:textId="77777777" w:rsidR="00492688" w:rsidRDefault="00492688">
      <w:pPr>
        <w:pStyle w:val="Textoindependiente"/>
        <w:spacing w:before="11"/>
        <w:rPr>
          <w:sz w:val="19"/>
        </w:rPr>
      </w:pPr>
    </w:p>
    <w:p w14:paraId="0425D8AB" w14:textId="77777777" w:rsidR="00492688" w:rsidRDefault="00C9584B">
      <w:pPr>
        <w:pStyle w:val="Prrafodelista"/>
        <w:numPr>
          <w:ilvl w:val="0"/>
          <w:numId w:val="3"/>
        </w:numPr>
        <w:tabs>
          <w:tab w:val="left" w:pos="830"/>
        </w:tabs>
        <w:ind w:right="230" w:firstLine="0"/>
        <w:jc w:val="both"/>
        <w:rPr>
          <w:sz w:val="20"/>
        </w:rPr>
      </w:pPr>
      <w:r>
        <w:rPr>
          <w:sz w:val="20"/>
        </w:rPr>
        <w:t>Con el mayor respeto disiento con lo decidido en esta Sentencia. Estimo que se perdió una oportunidad para reafirmar la jurisprudencia interamericana en materia de independencia judicial y explorar de manera detallada el grado de motivación que se requiere</w:t>
      </w:r>
      <w:r>
        <w:rPr>
          <w:sz w:val="20"/>
        </w:rPr>
        <w:t xml:space="preserve"> en un proceso administrativo sancionador aplicado a juezas y jueces, en el que se encuentran inmersos tipos disciplinarios abiertos o</w:t>
      </w:r>
      <w:r>
        <w:rPr>
          <w:spacing w:val="-14"/>
          <w:sz w:val="20"/>
        </w:rPr>
        <w:t xml:space="preserve"> </w:t>
      </w:r>
      <w:r>
        <w:rPr>
          <w:sz w:val="20"/>
        </w:rPr>
        <w:t>indeterminados.</w:t>
      </w:r>
    </w:p>
    <w:p w14:paraId="3AF5CCCC" w14:textId="77777777" w:rsidR="00492688" w:rsidRDefault="00492688">
      <w:pPr>
        <w:pStyle w:val="Textoindependiente"/>
        <w:spacing w:before="1"/>
      </w:pPr>
    </w:p>
    <w:p w14:paraId="02BE7C30" w14:textId="77777777" w:rsidR="00492688" w:rsidRDefault="00C9584B">
      <w:pPr>
        <w:pStyle w:val="Prrafodelista"/>
        <w:numPr>
          <w:ilvl w:val="0"/>
          <w:numId w:val="3"/>
        </w:numPr>
        <w:tabs>
          <w:tab w:val="left" w:pos="899"/>
        </w:tabs>
        <w:ind w:right="231" w:firstLine="0"/>
        <w:jc w:val="both"/>
        <w:rPr>
          <w:sz w:val="20"/>
        </w:rPr>
      </w:pPr>
      <w:r>
        <w:rPr>
          <w:sz w:val="20"/>
        </w:rPr>
        <w:t>Mi</w:t>
      </w:r>
      <w:r>
        <w:rPr>
          <w:spacing w:val="-16"/>
          <w:sz w:val="20"/>
        </w:rPr>
        <w:t xml:space="preserve"> </w:t>
      </w:r>
      <w:r>
        <w:rPr>
          <w:sz w:val="20"/>
        </w:rPr>
        <w:t>disenso</w:t>
      </w:r>
      <w:r>
        <w:rPr>
          <w:spacing w:val="-15"/>
          <w:sz w:val="20"/>
        </w:rPr>
        <w:t xml:space="preserve"> </w:t>
      </w:r>
      <w:r>
        <w:rPr>
          <w:sz w:val="20"/>
        </w:rPr>
        <w:t>se</w:t>
      </w:r>
      <w:r>
        <w:rPr>
          <w:spacing w:val="-15"/>
          <w:sz w:val="20"/>
        </w:rPr>
        <w:t xml:space="preserve"> </w:t>
      </w:r>
      <w:r>
        <w:rPr>
          <w:sz w:val="20"/>
        </w:rPr>
        <w:t>centra</w:t>
      </w:r>
      <w:r>
        <w:rPr>
          <w:spacing w:val="-13"/>
          <w:sz w:val="20"/>
        </w:rPr>
        <w:t xml:space="preserve"> </w:t>
      </w:r>
      <w:r>
        <w:rPr>
          <w:sz w:val="20"/>
        </w:rPr>
        <w:t>respecto</w:t>
      </w:r>
      <w:r>
        <w:rPr>
          <w:spacing w:val="-15"/>
          <w:sz w:val="20"/>
        </w:rPr>
        <w:t xml:space="preserve"> </w:t>
      </w:r>
      <w:r>
        <w:rPr>
          <w:sz w:val="20"/>
        </w:rPr>
        <w:t>de</w:t>
      </w:r>
      <w:r>
        <w:rPr>
          <w:spacing w:val="-17"/>
          <w:sz w:val="20"/>
        </w:rPr>
        <w:t xml:space="preserve"> </w:t>
      </w:r>
      <w:r>
        <w:rPr>
          <w:sz w:val="20"/>
        </w:rPr>
        <w:t>la</w:t>
      </w:r>
      <w:r>
        <w:rPr>
          <w:spacing w:val="-12"/>
          <w:sz w:val="20"/>
        </w:rPr>
        <w:t xml:space="preserve"> </w:t>
      </w:r>
      <w:r>
        <w:rPr>
          <w:sz w:val="20"/>
        </w:rPr>
        <w:t>conclusión</w:t>
      </w:r>
      <w:r>
        <w:rPr>
          <w:spacing w:val="-15"/>
          <w:sz w:val="20"/>
        </w:rPr>
        <w:t xml:space="preserve"> </w:t>
      </w:r>
      <w:r>
        <w:rPr>
          <w:sz w:val="20"/>
        </w:rPr>
        <w:t>que</w:t>
      </w:r>
      <w:r>
        <w:rPr>
          <w:spacing w:val="-17"/>
          <w:sz w:val="20"/>
        </w:rPr>
        <w:t xml:space="preserve"> </w:t>
      </w:r>
      <w:r>
        <w:rPr>
          <w:sz w:val="20"/>
        </w:rPr>
        <w:t>adopta</w:t>
      </w:r>
      <w:r>
        <w:rPr>
          <w:spacing w:val="-14"/>
          <w:sz w:val="20"/>
        </w:rPr>
        <w:t xml:space="preserve"> </w:t>
      </w:r>
      <w:r>
        <w:rPr>
          <w:sz w:val="20"/>
        </w:rPr>
        <w:t>el</w:t>
      </w:r>
      <w:r>
        <w:rPr>
          <w:spacing w:val="-16"/>
          <w:sz w:val="20"/>
        </w:rPr>
        <w:t xml:space="preserve"> </w:t>
      </w:r>
      <w:r>
        <w:rPr>
          <w:sz w:val="20"/>
        </w:rPr>
        <w:t>criterio</w:t>
      </w:r>
      <w:r>
        <w:rPr>
          <w:spacing w:val="-15"/>
          <w:sz w:val="20"/>
        </w:rPr>
        <w:t xml:space="preserve"> </w:t>
      </w:r>
      <w:r>
        <w:rPr>
          <w:sz w:val="20"/>
        </w:rPr>
        <w:t>mayoritario sobre la no responsabi</w:t>
      </w:r>
      <w:r>
        <w:rPr>
          <w:sz w:val="20"/>
        </w:rPr>
        <w:t>lidad estatal por las violaciones alegadas por la Comisión Interamericana de Derechos Humanos y el señor Cordero Bernal, archivando el caso. Estimo que el criterio mayoritario debió considerar un análisis diferente respecto a la forma en la que fue abordad</w:t>
      </w:r>
      <w:r>
        <w:rPr>
          <w:sz w:val="20"/>
        </w:rPr>
        <w:t xml:space="preserve">o el caso, por lo que hace al análisis de la </w:t>
      </w:r>
      <w:r>
        <w:rPr>
          <w:i/>
          <w:sz w:val="20"/>
        </w:rPr>
        <w:t>independencia judicial y el principio de legalidad</w:t>
      </w:r>
      <w:r>
        <w:rPr>
          <w:sz w:val="20"/>
        </w:rPr>
        <w:t xml:space="preserve">, así como por </w:t>
      </w:r>
      <w:r>
        <w:rPr>
          <w:i/>
          <w:sz w:val="20"/>
        </w:rPr>
        <w:t>el debido proceso y la efectividad del recurso de</w:t>
      </w:r>
      <w:r>
        <w:rPr>
          <w:i/>
          <w:spacing w:val="-5"/>
          <w:sz w:val="20"/>
        </w:rPr>
        <w:t xml:space="preserve"> </w:t>
      </w:r>
      <w:r>
        <w:rPr>
          <w:i/>
          <w:sz w:val="20"/>
        </w:rPr>
        <w:t>amparo</w:t>
      </w:r>
      <w:r>
        <w:rPr>
          <w:sz w:val="20"/>
        </w:rPr>
        <w:t>.</w:t>
      </w:r>
    </w:p>
    <w:p w14:paraId="60AEFB40" w14:textId="77777777" w:rsidR="00492688" w:rsidRDefault="00492688">
      <w:pPr>
        <w:pStyle w:val="Textoindependiente"/>
      </w:pPr>
    </w:p>
    <w:p w14:paraId="33E9C0D6" w14:textId="77777777" w:rsidR="00492688" w:rsidRDefault="00C9584B">
      <w:pPr>
        <w:pStyle w:val="Prrafodelista"/>
        <w:numPr>
          <w:ilvl w:val="0"/>
          <w:numId w:val="3"/>
        </w:numPr>
        <w:tabs>
          <w:tab w:val="left" w:pos="830"/>
        </w:tabs>
        <w:ind w:right="231" w:firstLine="0"/>
        <w:jc w:val="both"/>
        <w:rPr>
          <w:sz w:val="20"/>
        </w:rPr>
      </w:pPr>
      <w:r>
        <w:rPr>
          <w:sz w:val="20"/>
        </w:rPr>
        <w:t>El</w:t>
      </w:r>
      <w:r>
        <w:rPr>
          <w:spacing w:val="-8"/>
          <w:sz w:val="20"/>
        </w:rPr>
        <w:t xml:space="preserve"> </w:t>
      </w:r>
      <w:r>
        <w:rPr>
          <w:sz w:val="20"/>
        </w:rPr>
        <w:t>objeto</w:t>
      </w:r>
      <w:r>
        <w:rPr>
          <w:spacing w:val="-8"/>
          <w:sz w:val="20"/>
        </w:rPr>
        <w:t xml:space="preserve"> </w:t>
      </w:r>
      <w:r>
        <w:rPr>
          <w:sz w:val="20"/>
        </w:rPr>
        <w:t>del</w:t>
      </w:r>
      <w:r>
        <w:rPr>
          <w:spacing w:val="-5"/>
          <w:sz w:val="20"/>
        </w:rPr>
        <w:t xml:space="preserve"> </w:t>
      </w:r>
      <w:r>
        <w:rPr>
          <w:sz w:val="20"/>
        </w:rPr>
        <w:t>presente</w:t>
      </w:r>
      <w:r>
        <w:rPr>
          <w:spacing w:val="-8"/>
          <w:sz w:val="20"/>
        </w:rPr>
        <w:t xml:space="preserve"> </w:t>
      </w:r>
      <w:r>
        <w:rPr>
          <w:sz w:val="20"/>
        </w:rPr>
        <w:t>caso</w:t>
      </w:r>
      <w:r>
        <w:rPr>
          <w:spacing w:val="-7"/>
          <w:sz w:val="20"/>
        </w:rPr>
        <w:t xml:space="preserve"> </w:t>
      </w:r>
      <w:r>
        <w:rPr>
          <w:sz w:val="20"/>
        </w:rPr>
        <w:t>se</w:t>
      </w:r>
      <w:r>
        <w:rPr>
          <w:spacing w:val="-8"/>
          <w:sz w:val="20"/>
        </w:rPr>
        <w:t xml:space="preserve"> </w:t>
      </w:r>
      <w:r>
        <w:rPr>
          <w:sz w:val="20"/>
        </w:rPr>
        <w:t>refiere</w:t>
      </w:r>
      <w:r>
        <w:rPr>
          <w:spacing w:val="-7"/>
          <w:sz w:val="20"/>
        </w:rPr>
        <w:t xml:space="preserve"> </w:t>
      </w:r>
      <w:r>
        <w:rPr>
          <w:sz w:val="20"/>
        </w:rPr>
        <w:t>al</w:t>
      </w:r>
      <w:r>
        <w:rPr>
          <w:spacing w:val="-9"/>
          <w:sz w:val="20"/>
        </w:rPr>
        <w:t xml:space="preserve"> </w:t>
      </w:r>
      <w:r>
        <w:rPr>
          <w:sz w:val="20"/>
        </w:rPr>
        <w:t>proceso</w:t>
      </w:r>
      <w:r>
        <w:rPr>
          <w:spacing w:val="-7"/>
          <w:sz w:val="20"/>
        </w:rPr>
        <w:t xml:space="preserve"> </w:t>
      </w:r>
      <w:r>
        <w:rPr>
          <w:sz w:val="20"/>
        </w:rPr>
        <w:t>administrativo</w:t>
      </w:r>
      <w:r>
        <w:rPr>
          <w:spacing w:val="-10"/>
          <w:sz w:val="20"/>
        </w:rPr>
        <w:t xml:space="preserve"> </w:t>
      </w:r>
      <w:r>
        <w:rPr>
          <w:sz w:val="20"/>
        </w:rPr>
        <w:t>sancionador</w:t>
      </w:r>
      <w:r>
        <w:rPr>
          <w:spacing w:val="-7"/>
          <w:sz w:val="20"/>
        </w:rPr>
        <w:t xml:space="preserve"> </w:t>
      </w:r>
      <w:r>
        <w:rPr>
          <w:sz w:val="20"/>
        </w:rPr>
        <w:t>que fue iniciado y concluido con la destitución de un juez por la emisión de una decisión estrictamente jurisdiccional, por la cual concedió la libertad incondicional a dos procesados. Esta decisión a nivel interno fue la que motivó a que se le impusiera l</w:t>
      </w:r>
      <w:r>
        <w:rPr>
          <w:sz w:val="20"/>
        </w:rPr>
        <w:t>a sanción de destitución por considerar el Consejo Nacional de la Magistratura (en adelante</w:t>
      </w:r>
      <w:r>
        <w:rPr>
          <w:spacing w:val="-6"/>
          <w:sz w:val="20"/>
        </w:rPr>
        <w:t xml:space="preserve"> </w:t>
      </w:r>
      <w:r>
        <w:rPr>
          <w:sz w:val="20"/>
        </w:rPr>
        <w:t>“CNM”)</w:t>
      </w:r>
      <w:r>
        <w:rPr>
          <w:spacing w:val="-6"/>
          <w:sz w:val="20"/>
        </w:rPr>
        <w:t xml:space="preserve"> </w:t>
      </w:r>
      <w:r>
        <w:rPr>
          <w:sz w:val="20"/>
        </w:rPr>
        <w:t>que</w:t>
      </w:r>
      <w:r>
        <w:rPr>
          <w:spacing w:val="-5"/>
          <w:sz w:val="20"/>
        </w:rPr>
        <w:t xml:space="preserve"> </w:t>
      </w:r>
      <w:r>
        <w:rPr>
          <w:sz w:val="20"/>
        </w:rPr>
        <w:t>la</w:t>
      </w:r>
      <w:r>
        <w:rPr>
          <w:spacing w:val="-4"/>
          <w:sz w:val="20"/>
        </w:rPr>
        <w:t xml:space="preserve"> </w:t>
      </w:r>
      <w:r>
        <w:rPr>
          <w:sz w:val="20"/>
        </w:rPr>
        <w:t>conducta</w:t>
      </w:r>
      <w:r>
        <w:rPr>
          <w:spacing w:val="-4"/>
          <w:sz w:val="20"/>
        </w:rPr>
        <w:t xml:space="preserve"> </w:t>
      </w:r>
      <w:r>
        <w:rPr>
          <w:sz w:val="20"/>
        </w:rPr>
        <w:t>fue</w:t>
      </w:r>
      <w:r>
        <w:rPr>
          <w:spacing w:val="-5"/>
          <w:sz w:val="20"/>
        </w:rPr>
        <w:t xml:space="preserve"> </w:t>
      </w:r>
      <w:r>
        <w:rPr>
          <w:sz w:val="20"/>
        </w:rPr>
        <w:t>“grave”,</w:t>
      </w:r>
      <w:r>
        <w:rPr>
          <w:spacing w:val="-5"/>
          <w:sz w:val="20"/>
        </w:rPr>
        <w:t xml:space="preserve"> </w:t>
      </w:r>
      <w:r>
        <w:rPr>
          <w:sz w:val="20"/>
        </w:rPr>
        <w:t>resolución</w:t>
      </w:r>
      <w:r>
        <w:rPr>
          <w:spacing w:val="-4"/>
          <w:sz w:val="20"/>
        </w:rPr>
        <w:t xml:space="preserve"> </w:t>
      </w:r>
      <w:r>
        <w:rPr>
          <w:sz w:val="20"/>
        </w:rPr>
        <w:t>que</w:t>
      </w:r>
      <w:r>
        <w:rPr>
          <w:spacing w:val="-5"/>
          <w:sz w:val="20"/>
        </w:rPr>
        <w:t xml:space="preserve"> </w:t>
      </w:r>
      <w:r>
        <w:rPr>
          <w:sz w:val="20"/>
        </w:rPr>
        <w:t>resultaba</w:t>
      </w:r>
      <w:r>
        <w:rPr>
          <w:spacing w:val="-6"/>
          <w:sz w:val="20"/>
        </w:rPr>
        <w:t xml:space="preserve"> </w:t>
      </w:r>
      <w:r>
        <w:rPr>
          <w:sz w:val="20"/>
        </w:rPr>
        <w:t>no</w:t>
      </w:r>
      <w:r>
        <w:rPr>
          <w:spacing w:val="-5"/>
          <w:sz w:val="20"/>
        </w:rPr>
        <w:t xml:space="preserve"> </w:t>
      </w:r>
      <w:r>
        <w:rPr>
          <w:sz w:val="20"/>
        </w:rPr>
        <w:t>revisable</w:t>
      </w:r>
      <w:r>
        <w:rPr>
          <w:spacing w:val="-3"/>
          <w:sz w:val="20"/>
        </w:rPr>
        <w:t xml:space="preserve"> </w:t>
      </w:r>
      <w:r>
        <w:rPr>
          <w:sz w:val="20"/>
        </w:rPr>
        <w:t>en sede</w:t>
      </w:r>
      <w:r>
        <w:rPr>
          <w:spacing w:val="-17"/>
          <w:sz w:val="20"/>
        </w:rPr>
        <w:t xml:space="preserve"> </w:t>
      </w:r>
      <w:r>
        <w:rPr>
          <w:sz w:val="20"/>
        </w:rPr>
        <w:t>judicial</w:t>
      </w:r>
      <w:r>
        <w:rPr>
          <w:spacing w:val="-12"/>
          <w:sz w:val="20"/>
        </w:rPr>
        <w:t xml:space="preserve"> </w:t>
      </w:r>
      <w:r>
        <w:rPr>
          <w:sz w:val="20"/>
        </w:rPr>
        <w:t>conforme</w:t>
      </w:r>
      <w:r>
        <w:rPr>
          <w:spacing w:val="-14"/>
          <w:sz w:val="20"/>
        </w:rPr>
        <w:t xml:space="preserve"> </w:t>
      </w:r>
      <w:r>
        <w:rPr>
          <w:sz w:val="20"/>
        </w:rPr>
        <w:t>a</w:t>
      </w:r>
      <w:r>
        <w:rPr>
          <w:spacing w:val="-12"/>
          <w:sz w:val="20"/>
        </w:rPr>
        <w:t xml:space="preserve"> </w:t>
      </w:r>
      <w:r>
        <w:rPr>
          <w:sz w:val="20"/>
        </w:rPr>
        <w:t>la</w:t>
      </w:r>
      <w:r>
        <w:rPr>
          <w:spacing w:val="-15"/>
          <w:sz w:val="20"/>
        </w:rPr>
        <w:t xml:space="preserve"> </w:t>
      </w:r>
      <w:r>
        <w:rPr>
          <w:sz w:val="20"/>
        </w:rPr>
        <w:t>legislación</w:t>
      </w:r>
      <w:r>
        <w:rPr>
          <w:spacing w:val="-14"/>
          <w:sz w:val="20"/>
        </w:rPr>
        <w:t xml:space="preserve"> </w:t>
      </w:r>
      <w:r>
        <w:rPr>
          <w:sz w:val="20"/>
        </w:rPr>
        <w:t>interna</w:t>
      </w:r>
      <w:r>
        <w:rPr>
          <w:spacing w:val="-14"/>
          <w:sz w:val="20"/>
        </w:rPr>
        <w:t xml:space="preserve"> </w:t>
      </w:r>
      <w:r>
        <w:rPr>
          <w:sz w:val="20"/>
        </w:rPr>
        <w:t>y</w:t>
      </w:r>
      <w:r>
        <w:rPr>
          <w:spacing w:val="-12"/>
          <w:sz w:val="20"/>
        </w:rPr>
        <w:t xml:space="preserve"> </w:t>
      </w:r>
      <w:r>
        <w:rPr>
          <w:sz w:val="20"/>
        </w:rPr>
        <w:t>sólo</w:t>
      </w:r>
      <w:r>
        <w:rPr>
          <w:spacing w:val="-14"/>
          <w:sz w:val="20"/>
        </w:rPr>
        <w:t xml:space="preserve"> </w:t>
      </w:r>
      <w:r>
        <w:rPr>
          <w:sz w:val="20"/>
        </w:rPr>
        <w:t>procedía</w:t>
      </w:r>
      <w:r>
        <w:rPr>
          <w:spacing w:val="-15"/>
          <w:sz w:val="20"/>
        </w:rPr>
        <w:t xml:space="preserve"> </w:t>
      </w:r>
      <w:r>
        <w:rPr>
          <w:sz w:val="20"/>
        </w:rPr>
        <w:t>la</w:t>
      </w:r>
      <w:r>
        <w:rPr>
          <w:spacing w:val="-13"/>
          <w:sz w:val="20"/>
        </w:rPr>
        <w:t xml:space="preserve"> </w:t>
      </w:r>
      <w:r>
        <w:rPr>
          <w:sz w:val="20"/>
        </w:rPr>
        <w:t>acción</w:t>
      </w:r>
      <w:r>
        <w:rPr>
          <w:spacing w:val="-12"/>
          <w:sz w:val="20"/>
        </w:rPr>
        <w:t xml:space="preserve"> </w:t>
      </w:r>
      <w:r>
        <w:rPr>
          <w:sz w:val="20"/>
        </w:rPr>
        <w:t>de</w:t>
      </w:r>
      <w:r>
        <w:rPr>
          <w:spacing w:val="-14"/>
          <w:sz w:val="20"/>
        </w:rPr>
        <w:t xml:space="preserve"> </w:t>
      </w:r>
      <w:r>
        <w:rPr>
          <w:sz w:val="20"/>
        </w:rPr>
        <w:t>amparo</w:t>
      </w:r>
      <w:r>
        <w:rPr>
          <w:spacing w:val="-15"/>
          <w:sz w:val="20"/>
        </w:rPr>
        <w:t xml:space="preserve"> </w:t>
      </w:r>
      <w:r>
        <w:rPr>
          <w:sz w:val="20"/>
        </w:rPr>
        <w:t>como veremos más adelante. Cabe señalar que después de ocho años, el señor Cordero Bernal fue absuelto de los delitos de “encubrimiento” y “prevaricato” seguidos en su contra,</w:t>
      </w:r>
      <w:r>
        <w:rPr>
          <w:spacing w:val="-9"/>
          <w:sz w:val="20"/>
        </w:rPr>
        <w:t xml:space="preserve"> </w:t>
      </w:r>
      <w:r>
        <w:rPr>
          <w:sz w:val="20"/>
        </w:rPr>
        <w:t>con</w:t>
      </w:r>
      <w:r>
        <w:rPr>
          <w:spacing w:val="-8"/>
          <w:sz w:val="20"/>
        </w:rPr>
        <w:t xml:space="preserve"> </w:t>
      </w:r>
      <w:r>
        <w:rPr>
          <w:sz w:val="20"/>
        </w:rPr>
        <w:t>base</w:t>
      </w:r>
      <w:r>
        <w:rPr>
          <w:spacing w:val="-10"/>
          <w:sz w:val="20"/>
        </w:rPr>
        <w:t xml:space="preserve"> </w:t>
      </w:r>
      <w:r>
        <w:rPr>
          <w:sz w:val="20"/>
        </w:rPr>
        <w:t>en</w:t>
      </w:r>
      <w:r>
        <w:rPr>
          <w:spacing w:val="-8"/>
          <w:sz w:val="20"/>
        </w:rPr>
        <w:t xml:space="preserve"> </w:t>
      </w:r>
      <w:r>
        <w:rPr>
          <w:sz w:val="20"/>
        </w:rPr>
        <w:t>los</w:t>
      </w:r>
      <w:r>
        <w:rPr>
          <w:spacing w:val="-7"/>
          <w:sz w:val="20"/>
        </w:rPr>
        <w:t xml:space="preserve"> </w:t>
      </w:r>
      <w:r>
        <w:rPr>
          <w:sz w:val="20"/>
        </w:rPr>
        <w:t>mismos</w:t>
      </w:r>
      <w:r>
        <w:rPr>
          <w:spacing w:val="-10"/>
          <w:sz w:val="20"/>
        </w:rPr>
        <w:t xml:space="preserve"> </w:t>
      </w:r>
      <w:r>
        <w:rPr>
          <w:sz w:val="20"/>
        </w:rPr>
        <w:t>hechos</w:t>
      </w:r>
      <w:r>
        <w:rPr>
          <w:spacing w:val="-9"/>
          <w:sz w:val="20"/>
        </w:rPr>
        <w:t xml:space="preserve"> </w:t>
      </w:r>
      <w:r>
        <w:rPr>
          <w:sz w:val="20"/>
        </w:rPr>
        <w:t>que</w:t>
      </w:r>
      <w:r>
        <w:rPr>
          <w:spacing w:val="-10"/>
          <w:sz w:val="20"/>
        </w:rPr>
        <w:t xml:space="preserve"> </w:t>
      </w:r>
      <w:r>
        <w:rPr>
          <w:sz w:val="20"/>
        </w:rPr>
        <w:t>fundamentaron</w:t>
      </w:r>
      <w:r>
        <w:rPr>
          <w:spacing w:val="-5"/>
          <w:sz w:val="20"/>
        </w:rPr>
        <w:t xml:space="preserve"> </w:t>
      </w:r>
      <w:r>
        <w:rPr>
          <w:sz w:val="20"/>
        </w:rPr>
        <w:t>el</w:t>
      </w:r>
      <w:r>
        <w:rPr>
          <w:spacing w:val="-8"/>
          <w:sz w:val="20"/>
        </w:rPr>
        <w:t xml:space="preserve"> </w:t>
      </w:r>
      <w:r>
        <w:rPr>
          <w:sz w:val="20"/>
        </w:rPr>
        <w:t>proceso</w:t>
      </w:r>
      <w:r>
        <w:rPr>
          <w:spacing w:val="-10"/>
          <w:sz w:val="20"/>
        </w:rPr>
        <w:t xml:space="preserve"> </w:t>
      </w:r>
      <w:r>
        <w:rPr>
          <w:sz w:val="20"/>
        </w:rPr>
        <w:t>disciplinario</w:t>
      </w:r>
      <w:r>
        <w:rPr>
          <w:spacing w:val="-10"/>
          <w:sz w:val="20"/>
        </w:rPr>
        <w:t xml:space="preserve"> </w:t>
      </w:r>
      <w:r>
        <w:rPr>
          <w:sz w:val="20"/>
        </w:rPr>
        <w:t>que originó su</w:t>
      </w:r>
      <w:r>
        <w:rPr>
          <w:spacing w:val="-1"/>
          <w:sz w:val="20"/>
        </w:rPr>
        <w:t xml:space="preserve"> </w:t>
      </w:r>
      <w:r>
        <w:rPr>
          <w:sz w:val="20"/>
        </w:rPr>
        <w:t>destitución.</w:t>
      </w:r>
    </w:p>
    <w:p w14:paraId="2997A284" w14:textId="77777777" w:rsidR="00492688" w:rsidRDefault="00492688">
      <w:pPr>
        <w:pStyle w:val="Textoindependiente"/>
        <w:spacing w:before="11"/>
        <w:rPr>
          <w:sz w:val="19"/>
        </w:rPr>
      </w:pPr>
    </w:p>
    <w:p w14:paraId="39427473" w14:textId="77777777" w:rsidR="00492688" w:rsidRDefault="00C9584B">
      <w:pPr>
        <w:pStyle w:val="Prrafodelista"/>
        <w:numPr>
          <w:ilvl w:val="0"/>
          <w:numId w:val="3"/>
        </w:numPr>
        <w:tabs>
          <w:tab w:val="left" w:pos="830"/>
        </w:tabs>
        <w:ind w:right="231" w:firstLine="0"/>
        <w:jc w:val="both"/>
        <w:rPr>
          <w:sz w:val="20"/>
        </w:rPr>
      </w:pPr>
      <w:r>
        <w:rPr>
          <w:sz w:val="20"/>
        </w:rPr>
        <w:t>El criterio mayoritario consideró que la decisión emitida por el CNM estaba debidamente motivada y, por ende, ello permitía contextualizar la calificación de la gravedad en la que incurrió el entonces juez Cordero Bernal. Lo anterior, tuvo como consecuenci</w:t>
      </w:r>
      <w:r>
        <w:rPr>
          <w:sz w:val="20"/>
        </w:rPr>
        <w:t>a que en la sentencia no se declarara la responsabilidad internacional por la violación de los artículos 8, 9 y 23 de la Convención Americana sobre Derechos Humanos (en adelante “la Convención Americana” o “el Pacto de San</w:t>
      </w:r>
      <w:r>
        <w:rPr>
          <w:spacing w:val="-11"/>
          <w:sz w:val="20"/>
        </w:rPr>
        <w:t xml:space="preserve"> </w:t>
      </w:r>
      <w:r>
        <w:rPr>
          <w:sz w:val="20"/>
        </w:rPr>
        <w:t>José)</w:t>
      </w:r>
      <w:hyperlink w:anchor="_bookmark146" w:history="1">
        <w:r>
          <w:rPr>
            <w:position w:val="7"/>
            <w:sz w:val="13"/>
          </w:rPr>
          <w:t>1</w:t>
        </w:r>
      </w:hyperlink>
      <w:r>
        <w:rPr>
          <w:sz w:val="20"/>
        </w:rPr>
        <w:t>.</w:t>
      </w:r>
    </w:p>
    <w:p w14:paraId="457A3918" w14:textId="77777777" w:rsidR="00492688" w:rsidRDefault="00492688">
      <w:pPr>
        <w:pStyle w:val="Textoindependiente"/>
      </w:pPr>
    </w:p>
    <w:p w14:paraId="7CED14F9" w14:textId="77777777" w:rsidR="00492688" w:rsidRDefault="00C9584B">
      <w:pPr>
        <w:pStyle w:val="Prrafodelista"/>
        <w:numPr>
          <w:ilvl w:val="0"/>
          <w:numId w:val="3"/>
        </w:numPr>
        <w:tabs>
          <w:tab w:val="left" w:pos="830"/>
        </w:tabs>
        <w:ind w:right="231" w:firstLine="0"/>
        <w:jc w:val="both"/>
        <w:rPr>
          <w:sz w:val="20"/>
        </w:rPr>
      </w:pPr>
      <w:r>
        <w:rPr>
          <w:sz w:val="20"/>
        </w:rPr>
        <w:t>Contrariamente, como lo expondré a continuación, considero que debió analizarse conjuntamente la independencia judicial —en su vertiente de garantía reforzada</w:t>
      </w:r>
      <w:r>
        <w:rPr>
          <w:spacing w:val="12"/>
          <w:sz w:val="20"/>
        </w:rPr>
        <w:t xml:space="preserve"> </w:t>
      </w:r>
      <w:r>
        <w:rPr>
          <w:sz w:val="20"/>
        </w:rPr>
        <w:t>respecto</w:t>
      </w:r>
      <w:r>
        <w:rPr>
          <w:spacing w:val="10"/>
          <w:sz w:val="20"/>
        </w:rPr>
        <w:t xml:space="preserve"> </w:t>
      </w:r>
      <w:r>
        <w:rPr>
          <w:sz w:val="20"/>
        </w:rPr>
        <w:t>a</w:t>
      </w:r>
      <w:r>
        <w:rPr>
          <w:spacing w:val="12"/>
          <w:sz w:val="20"/>
        </w:rPr>
        <w:t xml:space="preserve"> </w:t>
      </w:r>
      <w:r>
        <w:rPr>
          <w:sz w:val="20"/>
        </w:rPr>
        <w:t>la</w:t>
      </w:r>
      <w:r>
        <w:rPr>
          <w:spacing w:val="14"/>
          <w:sz w:val="20"/>
        </w:rPr>
        <w:t xml:space="preserve"> </w:t>
      </w:r>
      <w:r>
        <w:rPr>
          <w:sz w:val="20"/>
        </w:rPr>
        <w:t>inamovilidad</w:t>
      </w:r>
      <w:r>
        <w:rPr>
          <w:spacing w:val="12"/>
          <w:sz w:val="20"/>
        </w:rPr>
        <w:t xml:space="preserve"> </w:t>
      </w:r>
      <w:r>
        <w:rPr>
          <w:sz w:val="20"/>
        </w:rPr>
        <w:t>en</w:t>
      </w:r>
      <w:r>
        <w:rPr>
          <w:spacing w:val="12"/>
          <w:sz w:val="20"/>
        </w:rPr>
        <w:t xml:space="preserve"> </w:t>
      </w:r>
      <w:r>
        <w:rPr>
          <w:sz w:val="20"/>
        </w:rPr>
        <w:t>el</w:t>
      </w:r>
      <w:r>
        <w:rPr>
          <w:spacing w:val="14"/>
          <w:sz w:val="20"/>
        </w:rPr>
        <w:t xml:space="preserve"> </w:t>
      </w:r>
      <w:r>
        <w:rPr>
          <w:sz w:val="20"/>
        </w:rPr>
        <w:t>cargo</w:t>
      </w:r>
      <w:r>
        <w:rPr>
          <w:spacing w:val="10"/>
          <w:sz w:val="20"/>
        </w:rPr>
        <w:t xml:space="preserve"> </w:t>
      </w:r>
      <w:r>
        <w:rPr>
          <w:sz w:val="20"/>
        </w:rPr>
        <w:t>para</w:t>
      </w:r>
      <w:r>
        <w:rPr>
          <w:spacing w:val="12"/>
          <w:sz w:val="20"/>
        </w:rPr>
        <w:t xml:space="preserve"> </w:t>
      </w:r>
      <w:r>
        <w:rPr>
          <w:sz w:val="20"/>
        </w:rPr>
        <w:t>juezas</w:t>
      </w:r>
      <w:r>
        <w:rPr>
          <w:spacing w:val="11"/>
          <w:sz w:val="20"/>
        </w:rPr>
        <w:t xml:space="preserve"> </w:t>
      </w:r>
      <w:r>
        <w:rPr>
          <w:sz w:val="20"/>
        </w:rPr>
        <w:t>y</w:t>
      </w:r>
      <w:r>
        <w:rPr>
          <w:spacing w:val="11"/>
          <w:sz w:val="20"/>
        </w:rPr>
        <w:t xml:space="preserve"> </w:t>
      </w:r>
      <w:r>
        <w:rPr>
          <w:sz w:val="20"/>
        </w:rPr>
        <w:t>jueces—</w:t>
      </w:r>
      <w:r>
        <w:rPr>
          <w:spacing w:val="11"/>
          <w:sz w:val="20"/>
        </w:rPr>
        <w:t xml:space="preserve"> </w:t>
      </w:r>
      <w:r>
        <w:rPr>
          <w:sz w:val="20"/>
        </w:rPr>
        <w:t>y</w:t>
      </w:r>
      <w:r>
        <w:rPr>
          <w:spacing w:val="11"/>
          <w:sz w:val="20"/>
        </w:rPr>
        <w:t xml:space="preserve"> </w:t>
      </w:r>
      <w:r>
        <w:rPr>
          <w:sz w:val="20"/>
        </w:rPr>
        <w:t>el</w:t>
      </w:r>
      <w:r>
        <w:rPr>
          <w:spacing w:val="12"/>
          <w:sz w:val="20"/>
        </w:rPr>
        <w:t xml:space="preserve"> </w:t>
      </w:r>
      <w:r>
        <w:rPr>
          <w:sz w:val="20"/>
        </w:rPr>
        <w:t>principio</w:t>
      </w:r>
    </w:p>
    <w:p w14:paraId="2E4A8AB2" w14:textId="3F59CE62" w:rsidR="00492688" w:rsidRDefault="00C9584B">
      <w:pPr>
        <w:pStyle w:val="Textoindependiente"/>
        <w:spacing w:before="5"/>
        <w:rPr>
          <w:sz w:val="24"/>
        </w:rPr>
      </w:pPr>
      <w:r>
        <w:rPr>
          <w:noProof/>
        </w:rPr>
        <mc:AlternateContent>
          <mc:Choice Requires="wps">
            <w:drawing>
              <wp:anchor distT="0" distB="0" distL="0" distR="0" simplePos="0" relativeHeight="251685888" behindDoc="1" locked="0" layoutInCell="1" allowOverlap="1" wp14:anchorId="1E7885E1" wp14:editId="1C8F4514">
                <wp:simplePos x="0" y="0"/>
                <wp:positionH relativeFrom="page">
                  <wp:posOffset>1080770</wp:posOffset>
                </wp:positionH>
                <wp:positionV relativeFrom="paragraph">
                  <wp:posOffset>217170</wp:posOffset>
                </wp:positionV>
                <wp:extent cx="1828800" cy="1270"/>
                <wp:effectExtent l="0" t="0" r="0" b="0"/>
                <wp:wrapTopAndBottom/>
                <wp:docPr id="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2745D" id="Freeform 15" o:spid="_x0000_s1026" style="position:absolute;margin-left:85.1pt;margin-top:17.1pt;width:2in;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" path="m,l2880,e" filled="f" strokeweight=".6pt">
                <v:path arrowok="t" o:connecttype="custom" o:connectlocs="0,0;1828800,0" o:connectangles="0,0"/>
                <w10:wrap type="topAndBottom" anchorx="page"/>
              </v:shape>
            </w:pict>
          </mc:Fallback>
        </mc:AlternateContent>
      </w:r>
    </w:p>
    <w:p w14:paraId="7CB79A6A" w14:textId="77777777" w:rsidR="00492688" w:rsidRDefault="00492688">
      <w:pPr>
        <w:pStyle w:val="Textoindependiente"/>
        <w:spacing w:before="1"/>
        <w:rPr>
          <w:sz w:val="6"/>
        </w:rPr>
      </w:pPr>
    </w:p>
    <w:p w14:paraId="2AABC6DA" w14:textId="77777777" w:rsidR="00492688" w:rsidRDefault="00C9584B">
      <w:pPr>
        <w:tabs>
          <w:tab w:val="left" w:pos="829"/>
        </w:tabs>
        <w:spacing w:before="101"/>
        <w:ind w:left="121" w:right="229" w:hanging="1"/>
        <w:rPr>
          <w:sz w:val="16"/>
        </w:rPr>
      </w:pPr>
      <w:bookmarkStart w:id="178" w:name="_bookmark146"/>
      <w:bookmarkEnd w:id="178"/>
      <w:r>
        <w:rPr>
          <w:position w:val="6"/>
          <w:sz w:val="10"/>
        </w:rPr>
        <w:t>1</w:t>
      </w:r>
      <w:r>
        <w:rPr>
          <w:position w:val="6"/>
          <w:sz w:val="10"/>
        </w:rPr>
        <w:tab/>
      </w:r>
      <w:r>
        <w:rPr>
          <w:i/>
          <w:sz w:val="16"/>
        </w:rPr>
        <w:t xml:space="preserve">Cfr. Caso Cordero Bernal Vs. Perú. Excepción Preliminar y Fondo. </w:t>
      </w:r>
      <w:r>
        <w:rPr>
          <w:sz w:val="16"/>
        </w:rPr>
        <w:t>Sentencia de 16 de febrero de 2021. Serie C No. 421, párrs. 86 a 91 y</w:t>
      </w:r>
      <w:r>
        <w:rPr>
          <w:spacing w:val="-16"/>
          <w:sz w:val="16"/>
        </w:rPr>
        <w:t xml:space="preserve"> </w:t>
      </w:r>
      <w:r>
        <w:rPr>
          <w:sz w:val="16"/>
        </w:rPr>
        <w:t>96.</w:t>
      </w:r>
    </w:p>
    <w:p w14:paraId="1AF853DE" w14:textId="77777777" w:rsidR="00492688" w:rsidRDefault="00492688">
      <w:pPr>
        <w:rPr>
          <w:sz w:val="16"/>
        </w:rPr>
        <w:sectPr w:rsidR="00492688">
          <w:pgSz w:w="12240" w:h="15840"/>
          <w:pgMar w:top="1500" w:right="1580" w:bottom="280" w:left="1580" w:header="720" w:footer="720" w:gutter="0"/>
          <w:cols w:space="720"/>
        </w:sectPr>
      </w:pPr>
    </w:p>
    <w:p w14:paraId="43B627BE" w14:textId="77777777" w:rsidR="00492688" w:rsidRDefault="00C9584B">
      <w:pPr>
        <w:pStyle w:val="Textoindependiente"/>
        <w:spacing w:before="71"/>
        <w:ind w:left="121" w:right="230"/>
        <w:jc w:val="both"/>
      </w:pPr>
      <w:r>
        <w:lastRenderedPageBreak/>
        <w:t>de legalidad. En efecto, el problema de indeterminación de la causal disciplinaria aplicada al señor Corder</w:t>
      </w:r>
      <w:r>
        <w:t>o Bernal, está relacionado no solo con la alegada violación del principio de independencia judicial en relación con la garantía de inamovilidad en el cargo, sino también con la alegada violación del principio de legalidad. Lo anterior, porque tratándose de</w:t>
      </w:r>
      <w:r>
        <w:t xml:space="preserve"> sanciones disciplinarias impuestas a juezas y jueces, el cumplimiento del principio de legalidad es de vital importancia, en la medida en que constituye una garantía para su independencia</w:t>
      </w:r>
      <w:hyperlink w:anchor="_bookmark147" w:history="1">
        <w:r>
          <w:rPr>
            <w:position w:val="7"/>
            <w:sz w:val="13"/>
          </w:rPr>
          <w:t>2</w:t>
        </w:r>
      </w:hyperlink>
      <w:r>
        <w:rPr>
          <w:position w:val="7"/>
          <w:sz w:val="13"/>
        </w:rPr>
        <w:t xml:space="preserve"> </w:t>
      </w:r>
      <w:r>
        <w:t>y, por esa razón, el análisis de l</w:t>
      </w:r>
      <w:r>
        <w:t>a alegada violación a estos derechos estimo debió realizarse de manera conjunta.</w:t>
      </w:r>
    </w:p>
    <w:p w14:paraId="3E1F716D" w14:textId="77777777" w:rsidR="00492688" w:rsidRDefault="00492688">
      <w:pPr>
        <w:pStyle w:val="Textoindependiente"/>
        <w:spacing w:before="11"/>
        <w:rPr>
          <w:sz w:val="19"/>
        </w:rPr>
      </w:pPr>
    </w:p>
    <w:p w14:paraId="574F2E6D" w14:textId="77777777" w:rsidR="00492688" w:rsidRDefault="00C9584B">
      <w:pPr>
        <w:pStyle w:val="Prrafodelista"/>
        <w:numPr>
          <w:ilvl w:val="0"/>
          <w:numId w:val="3"/>
        </w:numPr>
        <w:tabs>
          <w:tab w:val="left" w:pos="830"/>
        </w:tabs>
        <w:ind w:right="231" w:firstLine="0"/>
        <w:jc w:val="both"/>
        <w:rPr>
          <w:sz w:val="20"/>
        </w:rPr>
      </w:pPr>
      <w:r>
        <w:rPr>
          <w:sz w:val="20"/>
        </w:rPr>
        <w:t xml:space="preserve">Sobre el principio de legalidad, ante tipos disciplinarios abiertos o indeterminados como los que se aplicaron en el caso para imponer la sanción de destitución, requiere de </w:t>
      </w:r>
      <w:r>
        <w:rPr>
          <w:sz w:val="20"/>
        </w:rPr>
        <w:t>criterios normativos o jurisprudenciales previos, que sean previsibles, de tal manera que el órgano sancionador pueda precisar y dar contenido</w:t>
      </w:r>
      <w:r>
        <w:rPr>
          <w:spacing w:val="-39"/>
          <w:sz w:val="20"/>
        </w:rPr>
        <w:t xml:space="preserve"> </w:t>
      </w:r>
      <w:r>
        <w:rPr>
          <w:sz w:val="20"/>
        </w:rPr>
        <w:t>a dichos conceptos abiertos, situación que estimo no se efectuó. En la decisión del CNM se realiza solo un recuen</w:t>
      </w:r>
      <w:r>
        <w:rPr>
          <w:sz w:val="20"/>
        </w:rPr>
        <w:t>to de hechos que dieron origen a la decisión del juez Cordero Bernal, sin que se advierta una explicación de la relación entre los hechos y la norma (que contiene los conceptos indeterminados) sobre la que se basa la sanción, sin advertir tampoco que se re</w:t>
      </w:r>
      <w:r>
        <w:rPr>
          <w:sz w:val="20"/>
        </w:rPr>
        <w:t>alice un balance de proporcionalidad en cuanto a que la sanción de destitución sea la medida</w:t>
      </w:r>
      <w:r>
        <w:rPr>
          <w:spacing w:val="-5"/>
          <w:sz w:val="20"/>
        </w:rPr>
        <w:t xml:space="preserve"> </w:t>
      </w:r>
      <w:r>
        <w:rPr>
          <w:sz w:val="20"/>
        </w:rPr>
        <w:t>adecuada.</w:t>
      </w:r>
    </w:p>
    <w:p w14:paraId="13B4DE8C" w14:textId="77777777" w:rsidR="00492688" w:rsidRDefault="00492688">
      <w:pPr>
        <w:pStyle w:val="Textoindependiente"/>
      </w:pPr>
    </w:p>
    <w:p w14:paraId="1CCA5743" w14:textId="77777777" w:rsidR="00492688" w:rsidRDefault="00C9584B">
      <w:pPr>
        <w:pStyle w:val="Prrafodelista"/>
        <w:numPr>
          <w:ilvl w:val="0"/>
          <w:numId w:val="3"/>
        </w:numPr>
        <w:tabs>
          <w:tab w:val="left" w:pos="830"/>
        </w:tabs>
        <w:spacing w:before="1"/>
        <w:ind w:right="231" w:firstLine="0"/>
        <w:jc w:val="both"/>
        <w:rPr>
          <w:sz w:val="20"/>
        </w:rPr>
      </w:pPr>
      <w:r>
        <w:rPr>
          <w:sz w:val="20"/>
        </w:rPr>
        <w:t>Igualmente, el criterio mayoritario declaró la no violación al debido proceso y a la protección judicial contenidos en los artículos 8 y 25 del Pacto de</w:t>
      </w:r>
      <w:r>
        <w:rPr>
          <w:sz w:val="20"/>
        </w:rPr>
        <w:t xml:space="preserve"> San José. Debe precisarse que la decisión del CNM no es sujeta a revisión en sede judicial conforme a la</w:t>
      </w:r>
      <w:r>
        <w:rPr>
          <w:spacing w:val="-6"/>
          <w:sz w:val="20"/>
        </w:rPr>
        <w:t xml:space="preserve"> </w:t>
      </w:r>
      <w:r>
        <w:rPr>
          <w:sz w:val="20"/>
        </w:rPr>
        <w:t>legislación</w:t>
      </w:r>
      <w:r>
        <w:rPr>
          <w:spacing w:val="-4"/>
          <w:sz w:val="20"/>
        </w:rPr>
        <w:t xml:space="preserve"> </w:t>
      </w:r>
      <w:r>
        <w:rPr>
          <w:sz w:val="20"/>
        </w:rPr>
        <w:t>nacional</w:t>
      </w:r>
      <w:r>
        <w:rPr>
          <w:spacing w:val="-4"/>
          <w:sz w:val="20"/>
        </w:rPr>
        <w:t xml:space="preserve"> </w:t>
      </w:r>
      <w:r>
        <w:rPr>
          <w:sz w:val="20"/>
        </w:rPr>
        <w:t>y</w:t>
      </w:r>
      <w:r>
        <w:rPr>
          <w:spacing w:val="-4"/>
          <w:sz w:val="20"/>
        </w:rPr>
        <w:t xml:space="preserve"> </w:t>
      </w:r>
      <w:r>
        <w:rPr>
          <w:sz w:val="20"/>
        </w:rPr>
        <w:t>contra</w:t>
      </w:r>
      <w:r>
        <w:rPr>
          <w:spacing w:val="-5"/>
          <w:sz w:val="20"/>
        </w:rPr>
        <w:t xml:space="preserve"> </w:t>
      </w:r>
      <w:r>
        <w:rPr>
          <w:sz w:val="20"/>
        </w:rPr>
        <w:t>la</w:t>
      </w:r>
      <w:r>
        <w:rPr>
          <w:spacing w:val="-3"/>
          <w:sz w:val="20"/>
        </w:rPr>
        <w:t xml:space="preserve"> </w:t>
      </w:r>
      <w:r>
        <w:rPr>
          <w:sz w:val="20"/>
        </w:rPr>
        <w:t>cual</w:t>
      </w:r>
      <w:r>
        <w:rPr>
          <w:spacing w:val="-5"/>
          <w:sz w:val="20"/>
        </w:rPr>
        <w:t xml:space="preserve"> </w:t>
      </w:r>
      <w:r>
        <w:rPr>
          <w:sz w:val="20"/>
        </w:rPr>
        <w:t>sólo</w:t>
      </w:r>
      <w:r>
        <w:rPr>
          <w:spacing w:val="-7"/>
          <w:sz w:val="20"/>
        </w:rPr>
        <w:t xml:space="preserve"> </w:t>
      </w:r>
      <w:r>
        <w:rPr>
          <w:sz w:val="20"/>
        </w:rPr>
        <w:t>procedía</w:t>
      </w:r>
      <w:r>
        <w:rPr>
          <w:spacing w:val="-5"/>
          <w:sz w:val="20"/>
        </w:rPr>
        <w:t xml:space="preserve"> </w:t>
      </w:r>
      <w:r>
        <w:rPr>
          <w:sz w:val="20"/>
        </w:rPr>
        <w:t>acción</w:t>
      </w:r>
      <w:r>
        <w:rPr>
          <w:spacing w:val="-4"/>
          <w:sz w:val="20"/>
        </w:rPr>
        <w:t xml:space="preserve"> </w:t>
      </w:r>
      <w:r>
        <w:rPr>
          <w:sz w:val="20"/>
        </w:rPr>
        <w:t>de</w:t>
      </w:r>
      <w:r>
        <w:rPr>
          <w:spacing w:val="-7"/>
          <w:sz w:val="20"/>
        </w:rPr>
        <w:t xml:space="preserve"> </w:t>
      </w:r>
      <w:r>
        <w:rPr>
          <w:sz w:val="20"/>
        </w:rPr>
        <w:t>amparo,</w:t>
      </w:r>
      <w:r>
        <w:rPr>
          <w:spacing w:val="-7"/>
          <w:sz w:val="20"/>
        </w:rPr>
        <w:t xml:space="preserve"> </w:t>
      </w:r>
      <w:r>
        <w:rPr>
          <w:sz w:val="20"/>
        </w:rPr>
        <w:t>únicamente</w:t>
      </w:r>
      <w:r>
        <w:rPr>
          <w:spacing w:val="-7"/>
          <w:sz w:val="20"/>
        </w:rPr>
        <w:t xml:space="preserve"> </w:t>
      </w:r>
      <w:r>
        <w:rPr>
          <w:sz w:val="20"/>
        </w:rPr>
        <w:t>por violaciones al debido proceso y no respecto a otros derechos fundamentales, como los alegados por el señor Cordero Bernal relacionados con las garantías de estabilidad e inamovilidad de los</w:t>
      </w:r>
      <w:r>
        <w:rPr>
          <w:spacing w:val="-5"/>
          <w:sz w:val="20"/>
        </w:rPr>
        <w:t xml:space="preserve"> </w:t>
      </w:r>
      <w:r>
        <w:rPr>
          <w:sz w:val="20"/>
        </w:rPr>
        <w:t>juzgadores.</w:t>
      </w:r>
    </w:p>
    <w:p w14:paraId="198253DF" w14:textId="77777777" w:rsidR="00492688" w:rsidRDefault="00492688">
      <w:pPr>
        <w:pStyle w:val="Textoindependiente"/>
        <w:spacing w:before="1"/>
      </w:pPr>
    </w:p>
    <w:p w14:paraId="37D86422" w14:textId="77777777" w:rsidR="00492688" w:rsidRDefault="00C9584B">
      <w:pPr>
        <w:pStyle w:val="Prrafodelista"/>
        <w:numPr>
          <w:ilvl w:val="0"/>
          <w:numId w:val="3"/>
        </w:numPr>
        <w:tabs>
          <w:tab w:val="left" w:pos="830"/>
        </w:tabs>
        <w:spacing w:before="1"/>
        <w:ind w:right="229" w:firstLine="0"/>
        <w:jc w:val="both"/>
        <w:rPr>
          <w:sz w:val="20"/>
        </w:rPr>
      </w:pPr>
      <w:r>
        <w:rPr>
          <w:sz w:val="20"/>
        </w:rPr>
        <w:t xml:space="preserve">Por las conclusiones anteriores estimo oportuno, </w:t>
      </w:r>
      <w:r>
        <w:rPr>
          <w:sz w:val="20"/>
        </w:rPr>
        <w:t>en términos del artículo 66.2 de la Convención Americana</w:t>
      </w:r>
      <w:hyperlink w:anchor="_bookmark148" w:history="1">
        <w:r>
          <w:rPr>
            <w:position w:val="7"/>
            <w:sz w:val="13"/>
          </w:rPr>
          <w:t>3</w:t>
        </w:r>
      </w:hyperlink>
      <w:r>
        <w:rPr>
          <w:sz w:val="20"/>
        </w:rPr>
        <w:t>, acompañar a la Sentencia el presente voto individual disidente, con la finalidad de precisar un razonamiento distinto al criterio mayoritario. Para ello expondré alg</w:t>
      </w:r>
      <w:r>
        <w:rPr>
          <w:sz w:val="20"/>
        </w:rPr>
        <w:t>unas consideraciones en torno a los siguientes aspectos: (i) el estándar interamericano respecto del uso de tipos disciplinarios abiertos o indeterminados en procesos disciplinarios judiciales (</w:t>
      </w:r>
      <w:r>
        <w:rPr>
          <w:i/>
          <w:sz w:val="20"/>
        </w:rPr>
        <w:t>párrs. 9 a 21</w:t>
      </w:r>
      <w:r>
        <w:rPr>
          <w:sz w:val="20"/>
        </w:rPr>
        <w:t>); (ii) la independencia</w:t>
      </w:r>
      <w:r>
        <w:rPr>
          <w:spacing w:val="-9"/>
          <w:sz w:val="20"/>
        </w:rPr>
        <w:t xml:space="preserve"> </w:t>
      </w:r>
      <w:r>
        <w:rPr>
          <w:sz w:val="20"/>
        </w:rPr>
        <w:t>judicial</w:t>
      </w:r>
      <w:r>
        <w:rPr>
          <w:spacing w:val="-5"/>
          <w:sz w:val="20"/>
        </w:rPr>
        <w:t xml:space="preserve"> </w:t>
      </w:r>
      <w:r>
        <w:rPr>
          <w:sz w:val="20"/>
        </w:rPr>
        <w:t>y</w:t>
      </w:r>
      <w:r>
        <w:rPr>
          <w:spacing w:val="-5"/>
          <w:sz w:val="20"/>
        </w:rPr>
        <w:t xml:space="preserve"> </w:t>
      </w:r>
      <w:r>
        <w:rPr>
          <w:sz w:val="20"/>
        </w:rPr>
        <w:t>el</w:t>
      </w:r>
      <w:r>
        <w:rPr>
          <w:spacing w:val="-8"/>
          <w:sz w:val="20"/>
        </w:rPr>
        <w:t xml:space="preserve"> </w:t>
      </w:r>
      <w:r>
        <w:rPr>
          <w:sz w:val="20"/>
        </w:rPr>
        <w:t>principio</w:t>
      </w:r>
      <w:r>
        <w:rPr>
          <w:spacing w:val="-10"/>
          <w:sz w:val="20"/>
        </w:rPr>
        <w:t xml:space="preserve"> </w:t>
      </w:r>
      <w:r>
        <w:rPr>
          <w:sz w:val="20"/>
        </w:rPr>
        <w:t>de</w:t>
      </w:r>
      <w:r>
        <w:rPr>
          <w:spacing w:val="-9"/>
          <w:sz w:val="20"/>
        </w:rPr>
        <w:t xml:space="preserve"> </w:t>
      </w:r>
      <w:r>
        <w:rPr>
          <w:sz w:val="20"/>
        </w:rPr>
        <w:t>legalidad</w:t>
      </w:r>
      <w:r>
        <w:rPr>
          <w:spacing w:val="-7"/>
          <w:sz w:val="20"/>
        </w:rPr>
        <w:t xml:space="preserve"> </w:t>
      </w:r>
      <w:r>
        <w:rPr>
          <w:sz w:val="20"/>
        </w:rPr>
        <w:t>en</w:t>
      </w:r>
      <w:r>
        <w:rPr>
          <w:spacing w:val="-4"/>
          <w:sz w:val="20"/>
        </w:rPr>
        <w:t xml:space="preserve"> </w:t>
      </w:r>
      <w:r>
        <w:rPr>
          <w:sz w:val="20"/>
        </w:rPr>
        <w:t>el</w:t>
      </w:r>
      <w:r>
        <w:rPr>
          <w:spacing w:val="-8"/>
          <w:sz w:val="20"/>
        </w:rPr>
        <w:t xml:space="preserve"> </w:t>
      </w:r>
      <w:r>
        <w:rPr>
          <w:sz w:val="20"/>
        </w:rPr>
        <w:t>caso</w:t>
      </w:r>
      <w:r>
        <w:rPr>
          <w:spacing w:val="-6"/>
          <w:sz w:val="20"/>
        </w:rPr>
        <w:t xml:space="preserve"> </w:t>
      </w:r>
      <w:r>
        <w:rPr>
          <w:sz w:val="20"/>
        </w:rPr>
        <w:t>Cordero</w:t>
      </w:r>
      <w:r>
        <w:rPr>
          <w:spacing w:val="-9"/>
          <w:sz w:val="20"/>
        </w:rPr>
        <w:t xml:space="preserve"> </w:t>
      </w:r>
      <w:r>
        <w:rPr>
          <w:sz w:val="20"/>
        </w:rPr>
        <w:t>Bernal</w:t>
      </w:r>
      <w:r>
        <w:rPr>
          <w:spacing w:val="-7"/>
          <w:sz w:val="20"/>
        </w:rPr>
        <w:t xml:space="preserve"> </w:t>
      </w:r>
      <w:r>
        <w:rPr>
          <w:sz w:val="20"/>
        </w:rPr>
        <w:t>(</w:t>
      </w:r>
      <w:r>
        <w:rPr>
          <w:i/>
          <w:sz w:val="20"/>
        </w:rPr>
        <w:t>párrs.</w:t>
      </w:r>
      <w:r>
        <w:rPr>
          <w:i/>
          <w:spacing w:val="-9"/>
          <w:sz w:val="20"/>
        </w:rPr>
        <w:t xml:space="preserve"> </w:t>
      </w:r>
      <w:r>
        <w:rPr>
          <w:i/>
          <w:sz w:val="20"/>
        </w:rPr>
        <w:t>22</w:t>
      </w:r>
      <w:r>
        <w:rPr>
          <w:i/>
          <w:spacing w:val="-8"/>
          <w:sz w:val="20"/>
        </w:rPr>
        <w:t xml:space="preserve"> </w:t>
      </w:r>
      <w:r>
        <w:rPr>
          <w:i/>
          <w:sz w:val="20"/>
        </w:rPr>
        <w:t>a 44</w:t>
      </w:r>
      <w:r>
        <w:rPr>
          <w:sz w:val="20"/>
        </w:rPr>
        <w:t>);</w:t>
      </w:r>
      <w:r>
        <w:rPr>
          <w:spacing w:val="-8"/>
          <w:sz w:val="20"/>
        </w:rPr>
        <w:t xml:space="preserve"> </w:t>
      </w:r>
      <w:r>
        <w:rPr>
          <w:sz w:val="20"/>
        </w:rPr>
        <w:t>(iii)</w:t>
      </w:r>
      <w:r>
        <w:rPr>
          <w:spacing w:val="-7"/>
          <w:sz w:val="20"/>
        </w:rPr>
        <w:t xml:space="preserve"> </w:t>
      </w:r>
      <w:r>
        <w:rPr>
          <w:sz w:val="20"/>
        </w:rPr>
        <w:t>el</w:t>
      </w:r>
      <w:r>
        <w:rPr>
          <w:spacing w:val="-7"/>
          <w:sz w:val="20"/>
        </w:rPr>
        <w:t xml:space="preserve"> </w:t>
      </w:r>
      <w:r>
        <w:rPr>
          <w:sz w:val="20"/>
        </w:rPr>
        <w:t>debido</w:t>
      </w:r>
      <w:r>
        <w:rPr>
          <w:spacing w:val="-10"/>
          <w:sz w:val="20"/>
        </w:rPr>
        <w:t xml:space="preserve"> </w:t>
      </w:r>
      <w:r>
        <w:rPr>
          <w:sz w:val="20"/>
        </w:rPr>
        <w:t>proceso</w:t>
      </w:r>
      <w:r>
        <w:rPr>
          <w:spacing w:val="-9"/>
          <w:sz w:val="20"/>
        </w:rPr>
        <w:t xml:space="preserve"> </w:t>
      </w:r>
      <w:r>
        <w:rPr>
          <w:sz w:val="20"/>
        </w:rPr>
        <w:t>y</w:t>
      </w:r>
      <w:r>
        <w:rPr>
          <w:spacing w:val="-8"/>
          <w:sz w:val="20"/>
        </w:rPr>
        <w:t xml:space="preserve"> </w:t>
      </w:r>
      <w:r>
        <w:rPr>
          <w:sz w:val="20"/>
        </w:rPr>
        <w:t>la</w:t>
      </w:r>
      <w:r>
        <w:rPr>
          <w:spacing w:val="-8"/>
          <w:sz w:val="20"/>
        </w:rPr>
        <w:t xml:space="preserve"> </w:t>
      </w:r>
      <w:r>
        <w:rPr>
          <w:sz w:val="20"/>
        </w:rPr>
        <w:t>protección</w:t>
      </w:r>
      <w:r>
        <w:rPr>
          <w:spacing w:val="-8"/>
          <w:sz w:val="20"/>
        </w:rPr>
        <w:t xml:space="preserve"> </w:t>
      </w:r>
      <w:r>
        <w:rPr>
          <w:sz w:val="20"/>
        </w:rPr>
        <w:t>judicial</w:t>
      </w:r>
      <w:r>
        <w:rPr>
          <w:spacing w:val="-8"/>
          <w:sz w:val="20"/>
        </w:rPr>
        <w:t xml:space="preserve"> </w:t>
      </w:r>
      <w:r>
        <w:rPr>
          <w:sz w:val="20"/>
        </w:rPr>
        <w:t>en</w:t>
      </w:r>
      <w:r>
        <w:rPr>
          <w:spacing w:val="-7"/>
          <w:sz w:val="20"/>
        </w:rPr>
        <w:t xml:space="preserve"> </w:t>
      </w:r>
      <w:r>
        <w:rPr>
          <w:sz w:val="20"/>
        </w:rPr>
        <w:t>el</w:t>
      </w:r>
      <w:r>
        <w:rPr>
          <w:spacing w:val="-7"/>
          <w:sz w:val="20"/>
        </w:rPr>
        <w:t xml:space="preserve"> </w:t>
      </w:r>
      <w:r>
        <w:rPr>
          <w:sz w:val="20"/>
        </w:rPr>
        <w:t>presente</w:t>
      </w:r>
      <w:r>
        <w:rPr>
          <w:spacing w:val="-8"/>
          <w:sz w:val="20"/>
        </w:rPr>
        <w:t xml:space="preserve"> </w:t>
      </w:r>
      <w:r>
        <w:rPr>
          <w:sz w:val="20"/>
        </w:rPr>
        <w:t>caso</w:t>
      </w:r>
      <w:r>
        <w:rPr>
          <w:spacing w:val="-9"/>
          <w:sz w:val="20"/>
        </w:rPr>
        <w:t xml:space="preserve"> </w:t>
      </w:r>
      <w:r>
        <w:rPr>
          <w:sz w:val="20"/>
        </w:rPr>
        <w:t>(</w:t>
      </w:r>
      <w:r>
        <w:rPr>
          <w:i/>
          <w:sz w:val="20"/>
        </w:rPr>
        <w:t>párrs.</w:t>
      </w:r>
      <w:r>
        <w:rPr>
          <w:i/>
          <w:spacing w:val="-8"/>
          <w:sz w:val="20"/>
        </w:rPr>
        <w:t xml:space="preserve"> </w:t>
      </w:r>
      <w:r>
        <w:rPr>
          <w:i/>
          <w:sz w:val="20"/>
        </w:rPr>
        <w:t>45</w:t>
      </w:r>
      <w:r>
        <w:rPr>
          <w:i/>
          <w:spacing w:val="-8"/>
          <w:sz w:val="20"/>
        </w:rPr>
        <w:t xml:space="preserve"> </w:t>
      </w:r>
      <w:r>
        <w:rPr>
          <w:i/>
          <w:sz w:val="20"/>
        </w:rPr>
        <w:t>a</w:t>
      </w:r>
      <w:r>
        <w:rPr>
          <w:i/>
          <w:spacing w:val="-9"/>
          <w:sz w:val="20"/>
        </w:rPr>
        <w:t xml:space="preserve"> </w:t>
      </w:r>
      <w:r>
        <w:rPr>
          <w:i/>
          <w:sz w:val="20"/>
        </w:rPr>
        <w:t>53</w:t>
      </w:r>
      <w:r>
        <w:rPr>
          <w:sz w:val="20"/>
        </w:rPr>
        <w:t>); y (iv) conclusiones (</w:t>
      </w:r>
      <w:r>
        <w:rPr>
          <w:i/>
          <w:sz w:val="20"/>
        </w:rPr>
        <w:t>párrs. 54 a</w:t>
      </w:r>
      <w:r>
        <w:rPr>
          <w:i/>
          <w:spacing w:val="-3"/>
          <w:sz w:val="20"/>
        </w:rPr>
        <w:t xml:space="preserve"> </w:t>
      </w:r>
      <w:r>
        <w:rPr>
          <w:i/>
          <w:sz w:val="20"/>
        </w:rPr>
        <w:t>57</w:t>
      </w:r>
      <w:r>
        <w:rPr>
          <w:sz w:val="20"/>
        </w:rPr>
        <w:t>).</w:t>
      </w:r>
    </w:p>
    <w:p w14:paraId="03864931" w14:textId="77777777" w:rsidR="00492688" w:rsidRDefault="00492688">
      <w:pPr>
        <w:pStyle w:val="Textoindependiente"/>
        <w:spacing w:before="9"/>
        <w:rPr>
          <w:sz w:val="19"/>
        </w:rPr>
      </w:pPr>
    </w:p>
    <w:p w14:paraId="51B2924D" w14:textId="77777777" w:rsidR="00492688" w:rsidRDefault="00C9584B">
      <w:pPr>
        <w:pStyle w:val="Prrafodelista"/>
        <w:numPr>
          <w:ilvl w:val="1"/>
          <w:numId w:val="3"/>
        </w:numPr>
        <w:tabs>
          <w:tab w:val="left" w:pos="453"/>
        </w:tabs>
        <w:spacing w:before="1"/>
        <w:ind w:right="340" w:hanging="341"/>
        <w:rPr>
          <w:sz w:val="20"/>
        </w:rPr>
      </w:pPr>
      <w:r>
        <w:rPr>
          <w:sz w:val="20"/>
        </w:rPr>
        <w:t>EL ESTÁNDAR INTERAMERICANO RESPECTO DEL USO DE TIPOS</w:t>
      </w:r>
      <w:r>
        <w:rPr>
          <w:spacing w:val="-29"/>
          <w:sz w:val="20"/>
        </w:rPr>
        <w:t xml:space="preserve"> </w:t>
      </w:r>
      <w:r>
        <w:rPr>
          <w:sz w:val="20"/>
        </w:rPr>
        <w:t>DISCIPLINARIOS ABIERTOS O INDETERMINADOS EN PROCESOS DISCIPLINARIOS</w:t>
      </w:r>
      <w:r>
        <w:rPr>
          <w:spacing w:val="-14"/>
          <w:sz w:val="20"/>
        </w:rPr>
        <w:t xml:space="preserve"> </w:t>
      </w:r>
      <w:r>
        <w:rPr>
          <w:sz w:val="20"/>
        </w:rPr>
        <w:t>JUDICIALES</w:t>
      </w:r>
    </w:p>
    <w:p w14:paraId="4AA361F9" w14:textId="77777777" w:rsidR="00492688" w:rsidRDefault="00492688">
      <w:pPr>
        <w:pStyle w:val="Textoindependiente"/>
      </w:pPr>
    </w:p>
    <w:p w14:paraId="78F26AAA" w14:textId="77777777" w:rsidR="00492688" w:rsidRDefault="00C9584B">
      <w:pPr>
        <w:pStyle w:val="Prrafodelista"/>
        <w:numPr>
          <w:ilvl w:val="0"/>
          <w:numId w:val="3"/>
        </w:numPr>
        <w:tabs>
          <w:tab w:val="left" w:pos="830"/>
        </w:tabs>
        <w:ind w:right="231" w:firstLine="0"/>
        <w:jc w:val="both"/>
        <w:rPr>
          <w:sz w:val="20"/>
        </w:rPr>
      </w:pPr>
      <w:r>
        <w:rPr>
          <w:sz w:val="20"/>
        </w:rPr>
        <w:t xml:space="preserve">Se estima de especial relevancia el caso </w:t>
      </w:r>
      <w:r>
        <w:rPr>
          <w:i/>
          <w:sz w:val="20"/>
        </w:rPr>
        <w:t xml:space="preserve">López Lone y otros Vs. Honduras </w:t>
      </w:r>
      <w:r>
        <w:rPr>
          <w:sz w:val="20"/>
        </w:rPr>
        <w:t>resuelto en 2015 por la Corte Interamericana de De</w:t>
      </w:r>
      <w:r>
        <w:rPr>
          <w:sz w:val="20"/>
        </w:rPr>
        <w:t>rechos Humanos (en adelante “la Corte IDH” o “el Tribunal Interamericano”). En este caso se sentaron importantes estándares</w:t>
      </w:r>
      <w:r>
        <w:rPr>
          <w:spacing w:val="17"/>
          <w:sz w:val="20"/>
        </w:rPr>
        <w:t xml:space="preserve"> </w:t>
      </w:r>
      <w:r>
        <w:rPr>
          <w:sz w:val="20"/>
        </w:rPr>
        <w:t>respecto</w:t>
      </w:r>
      <w:r>
        <w:rPr>
          <w:spacing w:val="17"/>
          <w:sz w:val="20"/>
        </w:rPr>
        <w:t xml:space="preserve"> </w:t>
      </w:r>
      <w:r>
        <w:rPr>
          <w:sz w:val="20"/>
        </w:rPr>
        <w:t>a</w:t>
      </w:r>
      <w:r>
        <w:rPr>
          <w:spacing w:val="15"/>
          <w:sz w:val="20"/>
        </w:rPr>
        <w:t xml:space="preserve"> </w:t>
      </w:r>
      <w:r>
        <w:rPr>
          <w:sz w:val="20"/>
        </w:rPr>
        <w:t>cómo</w:t>
      </w:r>
      <w:r>
        <w:rPr>
          <w:spacing w:val="15"/>
          <w:sz w:val="20"/>
        </w:rPr>
        <w:t xml:space="preserve"> </w:t>
      </w:r>
      <w:r>
        <w:rPr>
          <w:sz w:val="20"/>
        </w:rPr>
        <w:t>debe</w:t>
      </w:r>
      <w:r>
        <w:rPr>
          <w:spacing w:val="16"/>
          <w:sz w:val="20"/>
        </w:rPr>
        <w:t xml:space="preserve"> </w:t>
      </w:r>
      <w:r>
        <w:rPr>
          <w:sz w:val="20"/>
        </w:rPr>
        <w:t>ser</w:t>
      </w:r>
      <w:r>
        <w:rPr>
          <w:spacing w:val="14"/>
          <w:sz w:val="20"/>
        </w:rPr>
        <w:t xml:space="preserve"> </w:t>
      </w:r>
      <w:r>
        <w:rPr>
          <w:sz w:val="20"/>
        </w:rPr>
        <w:t>abordado</w:t>
      </w:r>
      <w:r>
        <w:rPr>
          <w:spacing w:val="18"/>
          <w:sz w:val="20"/>
        </w:rPr>
        <w:t xml:space="preserve"> </w:t>
      </w:r>
      <w:r>
        <w:rPr>
          <w:sz w:val="20"/>
        </w:rPr>
        <w:t>el</w:t>
      </w:r>
      <w:r>
        <w:rPr>
          <w:spacing w:val="16"/>
          <w:sz w:val="20"/>
        </w:rPr>
        <w:t xml:space="preserve"> </w:t>
      </w:r>
      <w:r>
        <w:rPr>
          <w:sz w:val="20"/>
        </w:rPr>
        <w:t>principio</w:t>
      </w:r>
      <w:r>
        <w:rPr>
          <w:spacing w:val="14"/>
          <w:sz w:val="20"/>
        </w:rPr>
        <w:t xml:space="preserve"> </w:t>
      </w:r>
      <w:r>
        <w:rPr>
          <w:sz w:val="20"/>
        </w:rPr>
        <w:t>de</w:t>
      </w:r>
      <w:r>
        <w:rPr>
          <w:spacing w:val="15"/>
          <w:sz w:val="20"/>
        </w:rPr>
        <w:t xml:space="preserve"> </w:t>
      </w:r>
      <w:r>
        <w:rPr>
          <w:sz w:val="20"/>
        </w:rPr>
        <w:t>legalidad</w:t>
      </w:r>
      <w:r>
        <w:rPr>
          <w:spacing w:val="16"/>
          <w:sz w:val="20"/>
        </w:rPr>
        <w:t xml:space="preserve"> </w:t>
      </w:r>
      <w:r>
        <w:rPr>
          <w:sz w:val="20"/>
        </w:rPr>
        <w:t>en</w:t>
      </w:r>
      <w:r>
        <w:rPr>
          <w:spacing w:val="16"/>
          <w:sz w:val="20"/>
        </w:rPr>
        <w:t xml:space="preserve"> </w:t>
      </w:r>
      <w:r>
        <w:rPr>
          <w:sz w:val="20"/>
        </w:rPr>
        <w:t>procesos</w:t>
      </w:r>
    </w:p>
    <w:p w14:paraId="06F2FA77" w14:textId="4A8326BB" w:rsidR="00492688" w:rsidRDefault="00C9584B">
      <w:pPr>
        <w:pStyle w:val="Textoindependiente"/>
        <w:spacing w:before="4"/>
        <w:rPr>
          <w:sz w:val="10"/>
        </w:rPr>
      </w:pPr>
      <w:r>
        <w:rPr>
          <w:noProof/>
        </w:rPr>
        <mc:AlternateContent>
          <mc:Choice Requires="wps">
            <w:drawing>
              <wp:anchor distT="0" distB="0" distL="0" distR="0" simplePos="0" relativeHeight="251686912" behindDoc="1" locked="0" layoutInCell="1" allowOverlap="1" wp14:anchorId="10B4B8EC" wp14:editId="7D9EA73F">
                <wp:simplePos x="0" y="0"/>
                <wp:positionH relativeFrom="page">
                  <wp:posOffset>1080770</wp:posOffset>
                </wp:positionH>
                <wp:positionV relativeFrom="paragraph">
                  <wp:posOffset>108585</wp:posOffset>
                </wp:positionV>
                <wp:extent cx="1828800" cy="1270"/>
                <wp:effectExtent l="0" t="0" r="0" b="0"/>
                <wp:wrapTopAndBottom/>
                <wp:docPr id="1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5DCF8" id="Freeform 14" o:spid="_x0000_s1026" style="position:absolute;margin-left:85.1pt;margin-top:8.55pt;width:2in;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327F60B4" w14:textId="77777777" w:rsidR="00492688" w:rsidRDefault="00492688">
      <w:pPr>
        <w:pStyle w:val="Textoindependiente"/>
        <w:spacing w:before="10"/>
        <w:rPr>
          <w:sz w:val="5"/>
        </w:rPr>
      </w:pPr>
    </w:p>
    <w:p w14:paraId="5BAD9914" w14:textId="77777777" w:rsidR="00492688" w:rsidRDefault="00C9584B">
      <w:pPr>
        <w:tabs>
          <w:tab w:val="left" w:pos="829"/>
        </w:tabs>
        <w:spacing w:before="101"/>
        <w:ind w:left="121" w:right="228"/>
        <w:jc w:val="both"/>
        <w:rPr>
          <w:sz w:val="16"/>
        </w:rPr>
      </w:pPr>
      <w:bookmarkStart w:id="179" w:name="_bookmark147"/>
      <w:bookmarkEnd w:id="179"/>
      <w:r>
        <w:rPr>
          <w:position w:val="6"/>
          <w:sz w:val="10"/>
        </w:rPr>
        <w:t>2</w:t>
      </w:r>
      <w:r>
        <w:rPr>
          <w:position w:val="6"/>
          <w:sz w:val="10"/>
        </w:rPr>
        <w:tab/>
      </w:r>
      <w:r>
        <w:rPr>
          <w:i/>
          <w:sz w:val="16"/>
        </w:rPr>
        <w:t>Cfr. Mutatis mutandis, Caso Urrutia Laubreaux Vs. Chile. Excepciones Preliminares, Fondo, Reparaciones</w:t>
      </w:r>
      <w:r>
        <w:rPr>
          <w:i/>
          <w:spacing w:val="-10"/>
          <w:sz w:val="16"/>
        </w:rPr>
        <w:t xml:space="preserve"> </w:t>
      </w:r>
      <w:r>
        <w:rPr>
          <w:i/>
          <w:sz w:val="16"/>
        </w:rPr>
        <w:t>y</w:t>
      </w:r>
      <w:r>
        <w:rPr>
          <w:i/>
          <w:spacing w:val="-11"/>
          <w:sz w:val="16"/>
        </w:rPr>
        <w:t xml:space="preserve"> </w:t>
      </w:r>
      <w:r>
        <w:rPr>
          <w:i/>
          <w:sz w:val="16"/>
        </w:rPr>
        <w:t>Costas</w:t>
      </w:r>
      <w:r>
        <w:rPr>
          <w:sz w:val="16"/>
        </w:rPr>
        <w:t>.</w:t>
      </w:r>
      <w:r>
        <w:rPr>
          <w:spacing w:val="-13"/>
          <w:sz w:val="16"/>
        </w:rPr>
        <w:t xml:space="preserve"> </w:t>
      </w:r>
      <w:r>
        <w:rPr>
          <w:sz w:val="16"/>
        </w:rPr>
        <w:t>Sentencia</w:t>
      </w:r>
      <w:r>
        <w:rPr>
          <w:spacing w:val="-8"/>
          <w:sz w:val="16"/>
        </w:rPr>
        <w:t xml:space="preserve"> </w:t>
      </w:r>
      <w:r>
        <w:rPr>
          <w:sz w:val="16"/>
        </w:rPr>
        <w:t>de</w:t>
      </w:r>
      <w:r>
        <w:rPr>
          <w:spacing w:val="-11"/>
          <w:sz w:val="16"/>
        </w:rPr>
        <w:t xml:space="preserve"> </w:t>
      </w:r>
      <w:r>
        <w:rPr>
          <w:sz w:val="16"/>
        </w:rPr>
        <w:t>27</w:t>
      </w:r>
      <w:r>
        <w:rPr>
          <w:spacing w:val="-9"/>
          <w:sz w:val="16"/>
        </w:rPr>
        <w:t xml:space="preserve"> </w:t>
      </w:r>
      <w:r>
        <w:rPr>
          <w:sz w:val="16"/>
        </w:rPr>
        <w:t>de</w:t>
      </w:r>
      <w:r>
        <w:rPr>
          <w:spacing w:val="-10"/>
          <w:sz w:val="16"/>
        </w:rPr>
        <w:t xml:space="preserve"> </w:t>
      </w:r>
      <w:r>
        <w:rPr>
          <w:sz w:val="16"/>
        </w:rPr>
        <w:t>agosto</w:t>
      </w:r>
      <w:r>
        <w:rPr>
          <w:spacing w:val="-9"/>
          <w:sz w:val="16"/>
        </w:rPr>
        <w:t xml:space="preserve"> </w:t>
      </w:r>
      <w:r>
        <w:rPr>
          <w:sz w:val="16"/>
        </w:rPr>
        <w:t>de</w:t>
      </w:r>
      <w:r>
        <w:rPr>
          <w:spacing w:val="-11"/>
          <w:sz w:val="16"/>
        </w:rPr>
        <w:t xml:space="preserve"> </w:t>
      </w:r>
      <w:r>
        <w:rPr>
          <w:sz w:val="16"/>
        </w:rPr>
        <w:t>2020.</w:t>
      </w:r>
      <w:r>
        <w:rPr>
          <w:spacing w:val="-11"/>
          <w:sz w:val="16"/>
        </w:rPr>
        <w:t xml:space="preserve"> </w:t>
      </w:r>
      <w:r>
        <w:rPr>
          <w:sz w:val="16"/>
        </w:rPr>
        <w:t>Serie</w:t>
      </w:r>
      <w:r>
        <w:rPr>
          <w:spacing w:val="-12"/>
          <w:sz w:val="16"/>
        </w:rPr>
        <w:t xml:space="preserve"> </w:t>
      </w:r>
      <w:r>
        <w:rPr>
          <w:sz w:val="16"/>
        </w:rPr>
        <w:t>C</w:t>
      </w:r>
      <w:r>
        <w:rPr>
          <w:spacing w:val="-9"/>
          <w:sz w:val="16"/>
        </w:rPr>
        <w:t xml:space="preserve"> </w:t>
      </w:r>
      <w:r>
        <w:rPr>
          <w:sz w:val="16"/>
        </w:rPr>
        <w:t>No.</w:t>
      </w:r>
      <w:r>
        <w:rPr>
          <w:spacing w:val="-13"/>
          <w:sz w:val="16"/>
        </w:rPr>
        <w:t xml:space="preserve"> </w:t>
      </w:r>
      <w:r>
        <w:rPr>
          <w:sz w:val="16"/>
        </w:rPr>
        <w:t>409,</w:t>
      </w:r>
      <w:r>
        <w:rPr>
          <w:spacing w:val="-10"/>
          <w:sz w:val="16"/>
        </w:rPr>
        <w:t xml:space="preserve"> </w:t>
      </w:r>
      <w:r>
        <w:rPr>
          <w:sz w:val="16"/>
        </w:rPr>
        <w:t>párr.</w:t>
      </w:r>
      <w:r>
        <w:rPr>
          <w:spacing w:val="-11"/>
          <w:sz w:val="16"/>
        </w:rPr>
        <w:t xml:space="preserve"> </w:t>
      </w:r>
      <w:r>
        <w:rPr>
          <w:sz w:val="16"/>
        </w:rPr>
        <w:t>131</w:t>
      </w:r>
      <w:r>
        <w:rPr>
          <w:spacing w:val="-11"/>
          <w:sz w:val="16"/>
        </w:rPr>
        <w:t xml:space="preserve"> </w:t>
      </w:r>
      <w:r>
        <w:rPr>
          <w:sz w:val="16"/>
        </w:rPr>
        <w:t>y</w:t>
      </w:r>
      <w:r>
        <w:rPr>
          <w:spacing w:val="-9"/>
          <w:sz w:val="16"/>
        </w:rPr>
        <w:t xml:space="preserve"> </w:t>
      </w:r>
      <w:r>
        <w:rPr>
          <w:sz w:val="16"/>
        </w:rPr>
        <w:t>Principios</w:t>
      </w:r>
      <w:r>
        <w:rPr>
          <w:spacing w:val="-9"/>
          <w:sz w:val="16"/>
        </w:rPr>
        <w:t xml:space="preserve"> </w:t>
      </w:r>
      <w:r>
        <w:rPr>
          <w:sz w:val="16"/>
        </w:rPr>
        <w:t>Bangalore sobre la conducta judicial. Principios 1.1 al</w:t>
      </w:r>
      <w:r>
        <w:rPr>
          <w:spacing w:val="-6"/>
          <w:sz w:val="16"/>
        </w:rPr>
        <w:t xml:space="preserve"> </w:t>
      </w:r>
      <w:r>
        <w:rPr>
          <w:sz w:val="16"/>
        </w:rPr>
        <w:t>1.6.</w:t>
      </w:r>
    </w:p>
    <w:p w14:paraId="2DD67D3E" w14:textId="77777777" w:rsidR="00492688" w:rsidRDefault="00C9584B">
      <w:pPr>
        <w:tabs>
          <w:tab w:val="left" w:pos="829"/>
        </w:tabs>
        <w:spacing w:before="101"/>
        <w:ind w:left="121" w:right="276"/>
        <w:jc w:val="both"/>
        <w:rPr>
          <w:sz w:val="16"/>
        </w:rPr>
      </w:pPr>
      <w:bookmarkStart w:id="180" w:name="_bookmark148"/>
      <w:bookmarkEnd w:id="180"/>
      <w:r>
        <w:rPr>
          <w:position w:val="6"/>
          <w:sz w:val="10"/>
        </w:rPr>
        <w:t>3</w:t>
      </w:r>
      <w:r>
        <w:rPr>
          <w:position w:val="6"/>
          <w:sz w:val="10"/>
        </w:rPr>
        <w:tab/>
      </w:r>
      <w:r>
        <w:rPr>
          <w:sz w:val="16"/>
        </w:rPr>
        <w:t>El ar</w:t>
      </w:r>
      <w:r>
        <w:rPr>
          <w:sz w:val="16"/>
        </w:rPr>
        <w:t>tículo 66.2 de la Convención Americana establece: “Si el fallo no expresare en todo o en parte la opinión unánime de los jueces, cualquiera de éstos tendrá derecho a que se agregue al fallo su opinión disidente o individual”. Asimismo, véanse los artículos</w:t>
      </w:r>
      <w:r>
        <w:rPr>
          <w:sz w:val="16"/>
        </w:rPr>
        <w:t xml:space="preserve"> 24.3 del Estatuto y 32.1 a), 65.2 y 67.4 del Reglamento, ambos de la Corte</w:t>
      </w:r>
      <w:r>
        <w:rPr>
          <w:spacing w:val="-2"/>
          <w:sz w:val="16"/>
        </w:rPr>
        <w:t xml:space="preserve"> </w:t>
      </w:r>
      <w:r>
        <w:rPr>
          <w:sz w:val="16"/>
        </w:rPr>
        <w:t>IDH.</w:t>
      </w:r>
    </w:p>
    <w:p w14:paraId="188F795C" w14:textId="77777777" w:rsidR="00492688" w:rsidRDefault="00492688">
      <w:pPr>
        <w:pStyle w:val="Textoindependiente"/>
      </w:pPr>
    </w:p>
    <w:p w14:paraId="532F7CFC" w14:textId="77777777" w:rsidR="00492688" w:rsidRDefault="00492688">
      <w:pPr>
        <w:pStyle w:val="Textoindependiente"/>
        <w:spacing w:before="4"/>
        <w:rPr>
          <w:sz w:val="19"/>
        </w:rPr>
      </w:pPr>
    </w:p>
    <w:p w14:paraId="5FDAC316" w14:textId="77777777" w:rsidR="00492688" w:rsidRDefault="00C9584B">
      <w:pPr>
        <w:spacing w:before="52"/>
        <w:ind w:right="111"/>
        <w:jc w:val="center"/>
        <w:rPr>
          <w:rFonts w:ascii="Calibri"/>
          <w:sz w:val="24"/>
        </w:rPr>
      </w:pPr>
      <w:r>
        <w:rPr>
          <w:rFonts w:ascii="Calibri"/>
          <w:sz w:val="24"/>
        </w:rPr>
        <w:t>2</w:t>
      </w:r>
    </w:p>
    <w:p w14:paraId="667B0047"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17C6831B" w14:textId="77777777" w:rsidR="00492688" w:rsidRDefault="00C9584B">
      <w:pPr>
        <w:pStyle w:val="Textoindependiente"/>
        <w:spacing w:before="71"/>
        <w:ind w:left="121" w:right="229"/>
      </w:pPr>
      <w:r>
        <w:lastRenderedPageBreak/>
        <w:t>disciplinarios</w:t>
      </w:r>
      <w:r>
        <w:rPr>
          <w:spacing w:val="-13"/>
        </w:rPr>
        <w:t xml:space="preserve"> </w:t>
      </w:r>
      <w:r>
        <w:t>a</w:t>
      </w:r>
      <w:r>
        <w:rPr>
          <w:spacing w:val="-13"/>
        </w:rPr>
        <w:t xml:space="preserve"> </w:t>
      </w:r>
      <w:r>
        <w:t>juzgadores,</w:t>
      </w:r>
      <w:r>
        <w:rPr>
          <w:spacing w:val="-13"/>
        </w:rPr>
        <w:t xml:space="preserve"> </w:t>
      </w:r>
      <w:r>
        <w:t>en</w:t>
      </w:r>
      <w:r>
        <w:rPr>
          <w:spacing w:val="-10"/>
        </w:rPr>
        <w:t xml:space="preserve"> </w:t>
      </w:r>
      <w:r>
        <w:t>especial</w:t>
      </w:r>
      <w:r>
        <w:rPr>
          <w:spacing w:val="-13"/>
        </w:rPr>
        <w:t xml:space="preserve"> </w:t>
      </w:r>
      <w:r>
        <w:t>ante</w:t>
      </w:r>
      <w:r>
        <w:rPr>
          <w:spacing w:val="-13"/>
        </w:rPr>
        <w:t xml:space="preserve"> </w:t>
      </w:r>
      <w:r>
        <w:t>la</w:t>
      </w:r>
      <w:r>
        <w:rPr>
          <w:spacing w:val="-14"/>
        </w:rPr>
        <w:t xml:space="preserve"> </w:t>
      </w:r>
      <w:r>
        <w:t>aplicación</w:t>
      </w:r>
      <w:r>
        <w:rPr>
          <w:spacing w:val="-14"/>
        </w:rPr>
        <w:t xml:space="preserve"> </w:t>
      </w:r>
      <w:r>
        <w:t>de</w:t>
      </w:r>
      <w:r>
        <w:rPr>
          <w:spacing w:val="-13"/>
        </w:rPr>
        <w:t xml:space="preserve"> </w:t>
      </w:r>
      <w:r>
        <w:t>tipos</w:t>
      </w:r>
      <w:r>
        <w:rPr>
          <w:spacing w:val="-14"/>
        </w:rPr>
        <w:t xml:space="preserve"> </w:t>
      </w:r>
      <w:r>
        <w:t>disciplinarios</w:t>
      </w:r>
      <w:r>
        <w:rPr>
          <w:spacing w:val="-15"/>
        </w:rPr>
        <w:t xml:space="preserve"> </w:t>
      </w:r>
      <w:r>
        <w:t>abiertos o</w:t>
      </w:r>
      <w:r>
        <w:rPr>
          <w:spacing w:val="-3"/>
        </w:rPr>
        <w:t xml:space="preserve"> </w:t>
      </w:r>
      <w:r>
        <w:t>indeterminados.</w:t>
      </w:r>
    </w:p>
    <w:p w14:paraId="35A05815" w14:textId="77777777" w:rsidR="00492688" w:rsidRDefault="00492688">
      <w:pPr>
        <w:pStyle w:val="Textoindependiente"/>
        <w:spacing w:before="1"/>
      </w:pPr>
    </w:p>
    <w:p w14:paraId="635FFD16" w14:textId="77777777" w:rsidR="00492688" w:rsidRDefault="00C9584B">
      <w:pPr>
        <w:pStyle w:val="Prrafodelista"/>
        <w:numPr>
          <w:ilvl w:val="0"/>
          <w:numId w:val="3"/>
        </w:numPr>
        <w:tabs>
          <w:tab w:val="left" w:pos="830"/>
        </w:tabs>
        <w:ind w:right="230" w:hanging="1"/>
        <w:jc w:val="both"/>
        <w:rPr>
          <w:sz w:val="20"/>
        </w:rPr>
      </w:pPr>
      <w:r>
        <w:rPr>
          <w:sz w:val="20"/>
        </w:rPr>
        <w:t xml:space="preserve">En el caso </w:t>
      </w:r>
      <w:r>
        <w:rPr>
          <w:i/>
          <w:sz w:val="20"/>
        </w:rPr>
        <w:t>López Lone y otros</w:t>
      </w:r>
      <w:r>
        <w:rPr>
          <w:sz w:val="20"/>
        </w:rPr>
        <w:t>, el Tribunal Interamericano abordó la responsabilidad internacional del Estado con respecto al principio de legalidad, en dos vertientes: a) las sanciones impuestas a las víctimas y b) las conductas sancionables en la normativa</w:t>
      </w:r>
      <w:r>
        <w:rPr>
          <w:spacing w:val="-3"/>
          <w:sz w:val="20"/>
        </w:rPr>
        <w:t xml:space="preserve"> </w:t>
      </w:r>
      <w:r>
        <w:rPr>
          <w:sz w:val="20"/>
        </w:rPr>
        <w:t>disciplinaria</w:t>
      </w:r>
      <w:hyperlink w:anchor="_bookmark149" w:history="1">
        <w:r>
          <w:rPr>
            <w:position w:val="7"/>
            <w:sz w:val="13"/>
          </w:rPr>
          <w:t>4</w:t>
        </w:r>
      </w:hyperlink>
      <w:r>
        <w:rPr>
          <w:sz w:val="20"/>
        </w:rPr>
        <w:t>.</w:t>
      </w:r>
    </w:p>
    <w:p w14:paraId="747D1E90" w14:textId="77777777" w:rsidR="00492688" w:rsidRDefault="00492688">
      <w:pPr>
        <w:pStyle w:val="Textoindependiente"/>
        <w:spacing w:before="11"/>
        <w:rPr>
          <w:sz w:val="19"/>
        </w:rPr>
      </w:pPr>
    </w:p>
    <w:p w14:paraId="7F0A77E4" w14:textId="77777777" w:rsidR="00492688" w:rsidRDefault="00C9584B">
      <w:pPr>
        <w:pStyle w:val="Prrafodelista"/>
        <w:numPr>
          <w:ilvl w:val="0"/>
          <w:numId w:val="3"/>
        </w:numPr>
        <w:tabs>
          <w:tab w:val="left" w:pos="830"/>
        </w:tabs>
        <w:ind w:left="120" w:right="230" w:firstLine="0"/>
        <w:jc w:val="both"/>
        <w:rPr>
          <w:sz w:val="20"/>
        </w:rPr>
      </w:pPr>
      <w:r>
        <w:rPr>
          <w:sz w:val="20"/>
        </w:rPr>
        <w:t>Respecto del primer punto consideró que “las razones por las cuales los jueces y [las] juezas pueden ser removidos de sus cargos deben estar clara y legalmente establecidas”</w:t>
      </w:r>
      <w:r>
        <w:rPr>
          <w:spacing w:val="-6"/>
          <w:sz w:val="20"/>
        </w:rPr>
        <w:t xml:space="preserve"> </w:t>
      </w:r>
      <w:r>
        <w:rPr>
          <w:sz w:val="20"/>
        </w:rPr>
        <w:t>y</w:t>
      </w:r>
      <w:r>
        <w:rPr>
          <w:spacing w:val="-8"/>
          <w:sz w:val="20"/>
        </w:rPr>
        <w:t xml:space="preserve"> </w:t>
      </w:r>
      <w:r>
        <w:rPr>
          <w:sz w:val="20"/>
        </w:rPr>
        <w:t>que</w:t>
      </w:r>
      <w:r>
        <w:rPr>
          <w:spacing w:val="-9"/>
          <w:sz w:val="20"/>
        </w:rPr>
        <w:t xml:space="preserve"> </w:t>
      </w:r>
      <w:r>
        <w:rPr>
          <w:sz w:val="20"/>
        </w:rPr>
        <w:t>teniendo</w:t>
      </w:r>
      <w:r>
        <w:rPr>
          <w:spacing w:val="-7"/>
          <w:sz w:val="20"/>
        </w:rPr>
        <w:t xml:space="preserve"> </w:t>
      </w:r>
      <w:r>
        <w:rPr>
          <w:sz w:val="20"/>
        </w:rPr>
        <w:t>en</w:t>
      </w:r>
      <w:r>
        <w:rPr>
          <w:spacing w:val="-7"/>
          <w:sz w:val="20"/>
        </w:rPr>
        <w:t xml:space="preserve"> </w:t>
      </w:r>
      <w:r>
        <w:rPr>
          <w:sz w:val="20"/>
        </w:rPr>
        <w:t>cuenta</w:t>
      </w:r>
      <w:r>
        <w:rPr>
          <w:spacing w:val="-8"/>
          <w:sz w:val="20"/>
        </w:rPr>
        <w:t xml:space="preserve"> </w:t>
      </w:r>
      <w:r>
        <w:rPr>
          <w:sz w:val="20"/>
        </w:rPr>
        <w:t>que</w:t>
      </w:r>
      <w:r>
        <w:rPr>
          <w:spacing w:val="-8"/>
          <w:sz w:val="20"/>
        </w:rPr>
        <w:t xml:space="preserve"> </w:t>
      </w:r>
      <w:r>
        <w:rPr>
          <w:sz w:val="20"/>
        </w:rPr>
        <w:t>la</w:t>
      </w:r>
      <w:r>
        <w:rPr>
          <w:spacing w:val="-5"/>
          <w:sz w:val="20"/>
        </w:rPr>
        <w:t xml:space="preserve"> </w:t>
      </w:r>
      <w:r>
        <w:rPr>
          <w:sz w:val="20"/>
        </w:rPr>
        <w:t>destitución</w:t>
      </w:r>
      <w:r>
        <w:rPr>
          <w:spacing w:val="-4"/>
          <w:sz w:val="20"/>
        </w:rPr>
        <w:t xml:space="preserve"> </w:t>
      </w:r>
      <w:r>
        <w:rPr>
          <w:sz w:val="20"/>
        </w:rPr>
        <w:t>o</w:t>
      </w:r>
      <w:r>
        <w:rPr>
          <w:spacing w:val="-7"/>
          <w:sz w:val="20"/>
        </w:rPr>
        <w:t xml:space="preserve"> </w:t>
      </w:r>
      <w:r>
        <w:rPr>
          <w:sz w:val="20"/>
        </w:rPr>
        <w:t>remoción</w:t>
      </w:r>
      <w:r>
        <w:rPr>
          <w:spacing w:val="-7"/>
          <w:sz w:val="20"/>
        </w:rPr>
        <w:t xml:space="preserve"> </w:t>
      </w:r>
      <w:r>
        <w:rPr>
          <w:sz w:val="20"/>
        </w:rPr>
        <w:t>de</w:t>
      </w:r>
      <w:r>
        <w:rPr>
          <w:spacing w:val="-9"/>
          <w:sz w:val="20"/>
        </w:rPr>
        <w:t xml:space="preserve"> </w:t>
      </w:r>
      <w:r>
        <w:rPr>
          <w:sz w:val="20"/>
        </w:rPr>
        <w:t>un</w:t>
      </w:r>
      <w:r>
        <w:rPr>
          <w:spacing w:val="-7"/>
          <w:sz w:val="20"/>
        </w:rPr>
        <w:t xml:space="preserve"> </w:t>
      </w:r>
      <w:r>
        <w:rPr>
          <w:sz w:val="20"/>
        </w:rPr>
        <w:t>cargo</w:t>
      </w:r>
      <w:r>
        <w:rPr>
          <w:spacing w:val="-5"/>
          <w:sz w:val="20"/>
        </w:rPr>
        <w:t xml:space="preserve"> </w:t>
      </w:r>
      <w:r>
        <w:rPr>
          <w:sz w:val="20"/>
        </w:rPr>
        <w:t>es</w:t>
      </w:r>
      <w:r>
        <w:rPr>
          <w:spacing w:val="-9"/>
          <w:sz w:val="20"/>
        </w:rPr>
        <w:t xml:space="preserve"> </w:t>
      </w:r>
      <w:r>
        <w:rPr>
          <w:sz w:val="20"/>
        </w:rPr>
        <w:t>la medida más restrictiva y severa que se puede adoptar en materia disciplinaria “la posibilidad de su aplicación debe ser previsible: [i)] porque está expresa y claramente establecida</w:t>
      </w:r>
      <w:r>
        <w:rPr>
          <w:spacing w:val="-4"/>
          <w:sz w:val="20"/>
        </w:rPr>
        <w:t xml:space="preserve"> </w:t>
      </w:r>
      <w:r>
        <w:rPr>
          <w:sz w:val="20"/>
        </w:rPr>
        <w:t>en</w:t>
      </w:r>
      <w:r>
        <w:rPr>
          <w:spacing w:val="-4"/>
          <w:sz w:val="20"/>
        </w:rPr>
        <w:t xml:space="preserve"> </w:t>
      </w:r>
      <w:r>
        <w:rPr>
          <w:sz w:val="20"/>
        </w:rPr>
        <w:t>la</w:t>
      </w:r>
      <w:r>
        <w:rPr>
          <w:spacing w:val="-5"/>
          <w:sz w:val="20"/>
        </w:rPr>
        <w:t xml:space="preserve"> </w:t>
      </w:r>
      <w:r>
        <w:rPr>
          <w:sz w:val="20"/>
        </w:rPr>
        <w:t>ley</w:t>
      </w:r>
      <w:r>
        <w:rPr>
          <w:spacing w:val="-6"/>
          <w:sz w:val="20"/>
        </w:rPr>
        <w:t xml:space="preserve"> </w:t>
      </w:r>
      <w:r>
        <w:rPr>
          <w:sz w:val="20"/>
        </w:rPr>
        <w:t>la conducta</w:t>
      </w:r>
      <w:r>
        <w:rPr>
          <w:spacing w:val="-3"/>
          <w:sz w:val="20"/>
        </w:rPr>
        <w:t xml:space="preserve"> </w:t>
      </w:r>
      <w:r>
        <w:rPr>
          <w:sz w:val="20"/>
        </w:rPr>
        <w:t>sancionable</w:t>
      </w:r>
      <w:r>
        <w:rPr>
          <w:spacing w:val="-4"/>
          <w:sz w:val="20"/>
        </w:rPr>
        <w:t xml:space="preserve"> </w:t>
      </w:r>
      <w:r>
        <w:rPr>
          <w:sz w:val="20"/>
        </w:rPr>
        <w:t>de</w:t>
      </w:r>
      <w:r>
        <w:rPr>
          <w:spacing w:val="-7"/>
          <w:sz w:val="20"/>
        </w:rPr>
        <w:t xml:space="preserve"> </w:t>
      </w:r>
      <w:r>
        <w:rPr>
          <w:sz w:val="20"/>
        </w:rPr>
        <w:t>forma</w:t>
      </w:r>
      <w:r>
        <w:rPr>
          <w:spacing w:val="-5"/>
          <w:sz w:val="20"/>
        </w:rPr>
        <w:t xml:space="preserve"> </w:t>
      </w:r>
      <w:r>
        <w:rPr>
          <w:sz w:val="20"/>
        </w:rPr>
        <w:t>precisa,</w:t>
      </w:r>
      <w:r>
        <w:rPr>
          <w:spacing w:val="-4"/>
          <w:sz w:val="20"/>
        </w:rPr>
        <w:t xml:space="preserve"> </w:t>
      </w:r>
      <w:r>
        <w:rPr>
          <w:sz w:val="20"/>
        </w:rPr>
        <w:t>taxativa</w:t>
      </w:r>
      <w:r>
        <w:rPr>
          <w:spacing w:val="-5"/>
          <w:sz w:val="20"/>
        </w:rPr>
        <w:t xml:space="preserve"> </w:t>
      </w:r>
      <w:r>
        <w:rPr>
          <w:sz w:val="20"/>
        </w:rPr>
        <w:t>y</w:t>
      </w:r>
      <w:r>
        <w:rPr>
          <w:spacing w:val="-6"/>
          <w:sz w:val="20"/>
        </w:rPr>
        <w:t xml:space="preserve"> </w:t>
      </w:r>
      <w:r>
        <w:rPr>
          <w:sz w:val="20"/>
        </w:rPr>
        <w:t>previa</w:t>
      </w:r>
      <w:r>
        <w:rPr>
          <w:spacing w:val="-3"/>
          <w:sz w:val="20"/>
        </w:rPr>
        <w:t xml:space="preserve"> </w:t>
      </w:r>
      <w:r>
        <w:rPr>
          <w:sz w:val="20"/>
        </w:rPr>
        <w:t>o</w:t>
      </w:r>
      <w:r>
        <w:rPr>
          <w:spacing w:val="-6"/>
          <w:sz w:val="20"/>
        </w:rPr>
        <w:t xml:space="preserve"> </w:t>
      </w:r>
      <w:r>
        <w:rPr>
          <w:sz w:val="20"/>
        </w:rPr>
        <w:t xml:space="preserve">[ii)] porque la ley delega su asignación al juzgador o a una norma </w:t>
      </w:r>
      <w:r>
        <w:rPr>
          <w:i/>
          <w:sz w:val="20"/>
        </w:rPr>
        <w:t xml:space="preserve">infra </w:t>
      </w:r>
      <w:r>
        <w:rPr>
          <w:sz w:val="20"/>
        </w:rPr>
        <w:t>legal, bajo</w:t>
      </w:r>
      <w:r>
        <w:rPr>
          <w:spacing w:val="-47"/>
          <w:sz w:val="20"/>
        </w:rPr>
        <w:t xml:space="preserve"> </w:t>
      </w:r>
      <w:r>
        <w:rPr>
          <w:sz w:val="20"/>
        </w:rPr>
        <w:t>criterios objetivos que limiten el alcance de la discrecionalidad”</w:t>
      </w:r>
      <w:hyperlink w:anchor="_bookmark150" w:history="1">
        <w:r>
          <w:rPr>
            <w:position w:val="7"/>
            <w:sz w:val="13"/>
          </w:rPr>
          <w:t>5</w:t>
        </w:r>
      </w:hyperlink>
      <w:r>
        <w:rPr>
          <w:sz w:val="20"/>
        </w:rPr>
        <w:t>. Además, la Corte IDH añadió “que</w:t>
      </w:r>
      <w:r>
        <w:rPr>
          <w:spacing w:val="-19"/>
          <w:sz w:val="20"/>
        </w:rPr>
        <w:t xml:space="preserve"> </w:t>
      </w:r>
      <w:r>
        <w:rPr>
          <w:sz w:val="20"/>
        </w:rPr>
        <w:t>cierto</w:t>
      </w:r>
      <w:r>
        <w:rPr>
          <w:spacing w:val="-19"/>
          <w:sz w:val="20"/>
        </w:rPr>
        <w:t xml:space="preserve"> </w:t>
      </w:r>
      <w:r>
        <w:rPr>
          <w:sz w:val="20"/>
        </w:rPr>
        <w:t>grado</w:t>
      </w:r>
      <w:r>
        <w:rPr>
          <w:spacing w:val="-18"/>
          <w:sz w:val="20"/>
        </w:rPr>
        <w:t xml:space="preserve"> </w:t>
      </w:r>
      <w:r>
        <w:rPr>
          <w:sz w:val="20"/>
        </w:rPr>
        <w:t>de</w:t>
      </w:r>
      <w:r>
        <w:rPr>
          <w:spacing w:val="-19"/>
          <w:sz w:val="20"/>
        </w:rPr>
        <w:t xml:space="preserve"> </w:t>
      </w:r>
      <w:r>
        <w:rPr>
          <w:sz w:val="20"/>
        </w:rPr>
        <w:t>indetermin</w:t>
      </w:r>
      <w:r>
        <w:rPr>
          <w:sz w:val="20"/>
        </w:rPr>
        <w:t>ación</w:t>
      </w:r>
      <w:r>
        <w:rPr>
          <w:spacing w:val="-16"/>
          <w:sz w:val="20"/>
        </w:rPr>
        <w:t xml:space="preserve"> </w:t>
      </w:r>
      <w:r>
        <w:rPr>
          <w:sz w:val="20"/>
        </w:rPr>
        <w:t>no</w:t>
      </w:r>
      <w:r>
        <w:rPr>
          <w:spacing w:val="-18"/>
          <w:sz w:val="20"/>
        </w:rPr>
        <w:t xml:space="preserve"> </w:t>
      </w:r>
      <w:r>
        <w:rPr>
          <w:sz w:val="20"/>
        </w:rPr>
        <w:t>genera,</w:t>
      </w:r>
      <w:r>
        <w:rPr>
          <w:spacing w:val="-16"/>
          <w:sz w:val="20"/>
        </w:rPr>
        <w:t xml:space="preserve"> </w:t>
      </w:r>
      <w:r>
        <w:rPr>
          <w:i/>
          <w:sz w:val="20"/>
        </w:rPr>
        <w:t>per</w:t>
      </w:r>
      <w:r>
        <w:rPr>
          <w:i/>
          <w:spacing w:val="-16"/>
          <w:sz w:val="20"/>
        </w:rPr>
        <w:t xml:space="preserve"> </w:t>
      </w:r>
      <w:r>
        <w:rPr>
          <w:i/>
          <w:sz w:val="20"/>
        </w:rPr>
        <w:t>se</w:t>
      </w:r>
      <w:r>
        <w:rPr>
          <w:sz w:val="20"/>
        </w:rPr>
        <w:t>,</w:t>
      </w:r>
      <w:r>
        <w:rPr>
          <w:spacing w:val="-17"/>
          <w:sz w:val="20"/>
        </w:rPr>
        <w:t xml:space="preserve"> </w:t>
      </w:r>
      <w:r>
        <w:rPr>
          <w:sz w:val="20"/>
        </w:rPr>
        <w:t>una</w:t>
      </w:r>
      <w:r>
        <w:rPr>
          <w:spacing w:val="-15"/>
          <w:sz w:val="20"/>
        </w:rPr>
        <w:t xml:space="preserve"> </w:t>
      </w:r>
      <w:r>
        <w:rPr>
          <w:sz w:val="20"/>
        </w:rPr>
        <w:t>violación</w:t>
      </w:r>
      <w:r>
        <w:rPr>
          <w:spacing w:val="-16"/>
          <w:sz w:val="20"/>
        </w:rPr>
        <w:t xml:space="preserve"> </w:t>
      </w:r>
      <w:r>
        <w:rPr>
          <w:sz w:val="20"/>
        </w:rPr>
        <w:t>de</w:t>
      </w:r>
      <w:r>
        <w:rPr>
          <w:spacing w:val="-14"/>
          <w:sz w:val="20"/>
        </w:rPr>
        <w:t xml:space="preserve"> </w:t>
      </w:r>
      <w:r>
        <w:rPr>
          <w:sz w:val="20"/>
        </w:rPr>
        <w:t>la</w:t>
      </w:r>
      <w:r>
        <w:rPr>
          <w:spacing w:val="-16"/>
          <w:sz w:val="20"/>
        </w:rPr>
        <w:t xml:space="preserve"> </w:t>
      </w:r>
      <w:r>
        <w:rPr>
          <w:sz w:val="20"/>
        </w:rPr>
        <w:t>Convención, es decir, el hecho de que una norma conceda algún tipo de discrecionalidad no es incompatible con el grado de previsibilidad exigible”. Sin embargo, el Tribunal Interamericano condicionó la referida “indeterminación de la norma” indicando que “</w:t>
      </w:r>
      <w:r>
        <w:rPr>
          <w:sz w:val="20"/>
        </w:rPr>
        <w:t>el alcance de la discrecionalidad y la manera en que se debe ejercer sea indicado con suficiente claridad con el fin de brindar una adecuada protección para que no se produzca una interferencia</w:t>
      </w:r>
      <w:r>
        <w:rPr>
          <w:spacing w:val="-4"/>
          <w:sz w:val="20"/>
        </w:rPr>
        <w:t xml:space="preserve"> </w:t>
      </w:r>
      <w:r>
        <w:rPr>
          <w:sz w:val="20"/>
        </w:rPr>
        <w:t>arbitraria”</w:t>
      </w:r>
      <w:hyperlink w:anchor="_bookmark151" w:history="1">
        <w:r>
          <w:rPr>
            <w:position w:val="7"/>
            <w:sz w:val="13"/>
          </w:rPr>
          <w:t>6</w:t>
        </w:r>
      </w:hyperlink>
      <w:r>
        <w:rPr>
          <w:sz w:val="20"/>
        </w:rPr>
        <w:t>.</w:t>
      </w:r>
    </w:p>
    <w:p w14:paraId="4FA65027" w14:textId="77777777" w:rsidR="00492688" w:rsidRDefault="00492688">
      <w:pPr>
        <w:pStyle w:val="Textoindependiente"/>
        <w:spacing w:before="1"/>
      </w:pPr>
    </w:p>
    <w:p w14:paraId="3A5DB86B" w14:textId="77777777" w:rsidR="00492688" w:rsidRDefault="00C9584B">
      <w:pPr>
        <w:pStyle w:val="Prrafodelista"/>
        <w:numPr>
          <w:ilvl w:val="0"/>
          <w:numId w:val="3"/>
        </w:numPr>
        <w:tabs>
          <w:tab w:val="left" w:pos="830"/>
        </w:tabs>
        <w:ind w:right="229" w:firstLine="0"/>
        <w:jc w:val="both"/>
        <w:rPr>
          <w:sz w:val="20"/>
        </w:rPr>
      </w:pPr>
      <w:r>
        <w:rPr>
          <w:sz w:val="20"/>
        </w:rPr>
        <w:t>En ese caso, el</w:t>
      </w:r>
      <w:r>
        <w:rPr>
          <w:sz w:val="20"/>
        </w:rPr>
        <w:t xml:space="preserve"> Tribunal Interamericano constató que, en principio, la ley y su reglamento aplicables al caso, establecían un sistema de sanciones (por gradación de sanciones</w:t>
      </w:r>
      <w:r>
        <w:rPr>
          <w:spacing w:val="-17"/>
          <w:sz w:val="20"/>
        </w:rPr>
        <w:t xml:space="preserve"> </w:t>
      </w:r>
      <w:r>
        <w:rPr>
          <w:sz w:val="20"/>
        </w:rPr>
        <w:t>respecto</w:t>
      </w:r>
      <w:r>
        <w:rPr>
          <w:spacing w:val="-16"/>
          <w:sz w:val="20"/>
        </w:rPr>
        <w:t xml:space="preserve"> </w:t>
      </w:r>
      <w:r>
        <w:rPr>
          <w:sz w:val="20"/>
        </w:rPr>
        <w:t>de</w:t>
      </w:r>
      <w:r>
        <w:rPr>
          <w:spacing w:val="-17"/>
          <w:sz w:val="20"/>
        </w:rPr>
        <w:t xml:space="preserve"> </w:t>
      </w:r>
      <w:r>
        <w:rPr>
          <w:sz w:val="20"/>
        </w:rPr>
        <w:t>la</w:t>
      </w:r>
      <w:r>
        <w:rPr>
          <w:spacing w:val="-12"/>
          <w:sz w:val="20"/>
        </w:rPr>
        <w:t xml:space="preserve"> </w:t>
      </w:r>
      <w:r>
        <w:rPr>
          <w:sz w:val="20"/>
        </w:rPr>
        <w:t>gravedad)</w:t>
      </w:r>
      <w:r>
        <w:rPr>
          <w:spacing w:val="-13"/>
          <w:sz w:val="20"/>
        </w:rPr>
        <w:t xml:space="preserve"> </w:t>
      </w:r>
      <w:r>
        <w:rPr>
          <w:sz w:val="20"/>
        </w:rPr>
        <w:t>en</w:t>
      </w:r>
      <w:r>
        <w:rPr>
          <w:spacing w:val="-14"/>
          <w:sz w:val="20"/>
        </w:rPr>
        <w:t xml:space="preserve"> </w:t>
      </w:r>
      <w:r>
        <w:rPr>
          <w:sz w:val="20"/>
        </w:rPr>
        <w:t>el</w:t>
      </w:r>
      <w:r>
        <w:rPr>
          <w:spacing w:val="-16"/>
          <w:sz w:val="20"/>
        </w:rPr>
        <w:t xml:space="preserve"> </w:t>
      </w:r>
      <w:r>
        <w:rPr>
          <w:sz w:val="20"/>
        </w:rPr>
        <w:t>que</w:t>
      </w:r>
      <w:r>
        <w:rPr>
          <w:spacing w:val="-16"/>
          <w:sz w:val="20"/>
        </w:rPr>
        <w:t xml:space="preserve"> </w:t>
      </w:r>
      <w:r>
        <w:rPr>
          <w:sz w:val="20"/>
        </w:rPr>
        <w:t>la</w:t>
      </w:r>
      <w:r>
        <w:rPr>
          <w:spacing w:val="-13"/>
          <w:sz w:val="20"/>
        </w:rPr>
        <w:t xml:space="preserve"> </w:t>
      </w:r>
      <w:r>
        <w:rPr>
          <w:sz w:val="20"/>
        </w:rPr>
        <w:t>destitución</w:t>
      </w:r>
      <w:r>
        <w:rPr>
          <w:spacing w:val="-14"/>
          <w:sz w:val="20"/>
        </w:rPr>
        <w:t xml:space="preserve"> </w:t>
      </w:r>
      <w:r>
        <w:rPr>
          <w:sz w:val="20"/>
        </w:rPr>
        <w:t>se</w:t>
      </w:r>
      <w:r>
        <w:rPr>
          <w:spacing w:val="-17"/>
          <w:sz w:val="20"/>
        </w:rPr>
        <w:t xml:space="preserve"> </w:t>
      </w:r>
      <w:r>
        <w:rPr>
          <w:sz w:val="20"/>
        </w:rPr>
        <w:t>aplicaba</w:t>
      </w:r>
      <w:r>
        <w:rPr>
          <w:spacing w:val="-15"/>
          <w:sz w:val="20"/>
        </w:rPr>
        <w:t xml:space="preserve"> </w:t>
      </w:r>
      <w:r>
        <w:rPr>
          <w:sz w:val="20"/>
        </w:rPr>
        <w:t>tanto</w:t>
      </w:r>
      <w:r>
        <w:rPr>
          <w:spacing w:val="-16"/>
          <w:sz w:val="20"/>
        </w:rPr>
        <w:t xml:space="preserve"> </w:t>
      </w:r>
      <w:r>
        <w:rPr>
          <w:sz w:val="20"/>
        </w:rPr>
        <w:t>a</w:t>
      </w:r>
      <w:r>
        <w:rPr>
          <w:spacing w:val="-16"/>
          <w:sz w:val="20"/>
        </w:rPr>
        <w:t xml:space="preserve"> </w:t>
      </w:r>
      <w:r>
        <w:rPr>
          <w:sz w:val="20"/>
        </w:rPr>
        <w:t>las</w:t>
      </w:r>
      <w:r>
        <w:rPr>
          <w:spacing w:val="-16"/>
          <w:sz w:val="20"/>
        </w:rPr>
        <w:t xml:space="preserve"> </w:t>
      </w:r>
      <w:r>
        <w:rPr>
          <w:sz w:val="20"/>
        </w:rPr>
        <w:t>faltas graves, pero ta</w:t>
      </w:r>
      <w:r>
        <w:rPr>
          <w:sz w:val="20"/>
        </w:rPr>
        <w:t>mbién se extendía a las faltas calificadas leves o menos graves en</w:t>
      </w:r>
      <w:r>
        <w:rPr>
          <w:spacing w:val="-46"/>
          <w:sz w:val="20"/>
        </w:rPr>
        <w:t xml:space="preserve"> </w:t>
      </w:r>
      <w:r>
        <w:rPr>
          <w:sz w:val="20"/>
        </w:rPr>
        <w:t>caso de</w:t>
      </w:r>
      <w:r>
        <w:rPr>
          <w:spacing w:val="-16"/>
          <w:sz w:val="20"/>
        </w:rPr>
        <w:t xml:space="preserve"> </w:t>
      </w:r>
      <w:r>
        <w:rPr>
          <w:sz w:val="20"/>
        </w:rPr>
        <w:t>incumplimiento</w:t>
      </w:r>
      <w:r>
        <w:rPr>
          <w:spacing w:val="-14"/>
          <w:sz w:val="20"/>
        </w:rPr>
        <w:t xml:space="preserve"> </w:t>
      </w:r>
      <w:r>
        <w:rPr>
          <w:sz w:val="20"/>
        </w:rPr>
        <w:t>o</w:t>
      </w:r>
      <w:r>
        <w:rPr>
          <w:spacing w:val="-14"/>
          <w:sz w:val="20"/>
        </w:rPr>
        <w:t xml:space="preserve"> </w:t>
      </w:r>
      <w:r>
        <w:rPr>
          <w:sz w:val="20"/>
        </w:rPr>
        <w:t>violación</w:t>
      </w:r>
      <w:r>
        <w:rPr>
          <w:spacing w:val="-14"/>
          <w:sz w:val="20"/>
        </w:rPr>
        <w:t xml:space="preserve"> </w:t>
      </w:r>
      <w:r>
        <w:rPr>
          <w:sz w:val="20"/>
        </w:rPr>
        <w:t>grave</w:t>
      </w:r>
      <w:r>
        <w:rPr>
          <w:spacing w:val="-13"/>
          <w:sz w:val="20"/>
        </w:rPr>
        <w:t xml:space="preserve"> </w:t>
      </w:r>
      <w:r>
        <w:rPr>
          <w:sz w:val="20"/>
        </w:rPr>
        <w:t>o</w:t>
      </w:r>
      <w:r>
        <w:rPr>
          <w:spacing w:val="-14"/>
          <w:sz w:val="20"/>
        </w:rPr>
        <w:t xml:space="preserve"> </w:t>
      </w:r>
      <w:r>
        <w:rPr>
          <w:sz w:val="20"/>
        </w:rPr>
        <w:t>reiterada</w:t>
      </w:r>
      <w:r>
        <w:rPr>
          <w:spacing w:val="-13"/>
          <w:sz w:val="20"/>
        </w:rPr>
        <w:t xml:space="preserve"> </w:t>
      </w:r>
      <w:r>
        <w:rPr>
          <w:sz w:val="20"/>
        </w:rPr>
        <w:t>de</w:t>
      </w:r>
      <w:r>
        <w:rPr>
          <w:spacing w:val="-14"/>
          <w:sz w:val="20"/>
        </w:rPr>
        <w:t xml:space="preserve"> </w:t>
      </w:r>
      <w:r>
        <w:rPr>
          <w:sz w:val="20"/>
        </w:rPr>
        <w:t>cualquiera</w:t>
      </w:r>
      <w:r>
        <w:rPr>
          <w:spacing w:val="-15"/>
          <w:sz w:val="20"/>
        </w:rPr>
        <w:t xml:space="preserve"> </w:t>
      </w:r>
      <w:r>
        <w:rPr>
          <w:sz w:val="20"/>
        </w:rPr>
        <w:t>de</w:t>
      </w:r>
      <w:r>
        <w:rPr>
          <w:spacing w:val="-14"/>
          <w:sz w:val="20"/>
        </w:rPr>
        <w:t xml:space="preserve"> </w:t>
      </w:r>
      <w:r>
        <w:rPr>
          <w:sz w:val="20"/>
        </w:rPr>
        <w:t>ellas.</w:t>
      </w:r>
      <w:r>
        <w:rPr>
          <w:spacing w:val="-15"/>
          <w:sz w:val="20"/>
        </w:rPr>
        <w:t xml:space="preserve"> </w:t>
      </w:r>
      <w:r>
        <w:rPr>
          <w:sz w:val="20"/>
        </w:rPr>
        <w:t>Así,</w:t>
      </w:r>
      <w:r>
        <w:rPr>
          <w:spacing w:val="-14"/>
          <w:sz w:val="20"/>
        </w:rPr>
        <w:t xml:space="preserve"> </w:t>
      </w:r>
      <w:r>
        <w:rPr>
          <w:sz w:val="20"/>
        </w:rPr>
        <w:t>la</w:t>
      </w:r>
      <w:r>
        <w:rPr>
          <w:spacing w:val="-12"/>
          <w:sz w:val="20"/>
        </w:rPr>
        <w:t xml:space="preserve"> </w:t>
      </w:r>
      <w:r>
        <w:rPr>
          <w:sz w:val="20"/>
        </w:rPr>
        <w:t>Corte</w:t>
      </w:r>
      <w:r>
        <w:rPr>
          <w:spacing w:val="-14"/>
          <w:sz w:val="20"/>
        </w:rPr>
        <w:t xml:space="preserve"> </w:t>
      </w:r>
      <w:r>
        <w:rPr>
          <w:sz w:val="20"/>
        </w:rPr>
        <w:t>IDH consideró que el diseño normativo afectaba la previsibilidad de la sanción, porque permitía la</w:t>
      </w:r>
      <w:r>
        <w:rPr>
          <w:sz w:val="20"/>
        </w:rPr>
        <w:t xml:space="preserve"> destitución de un juez o jueza por el incumplimiento de cualquiera de los deberes</w:t>
      </w:r>
      <w:r>
        <w:rPr>
          <w:spacing w:val="-12"/>
          <w:sz w:val="20"/>
        </w:rPr>
        <w:t xml:space="preserve"> </w:t>
      </w:r>
      <w:r>
        <w:rPr>
          <w:sz w:val="20"/>
        </w:rPr>
        <w:t>o</w:t>
      </w:r>
      <w:r>
        <w:rPr>
          <w:spacing w:val="-12"/>
          <w:sz w:val="20"/>
        </w:rPr>
        <w:t xml:space="preserve"> </w:t>
      </w:r>
      <w:r>
        <w:rPr>
          <w:sz w:val="20"/>
        </w:rPr>
        <w:t>incompatibilidades</w:t>
      </w:r>
      <w:r>
        <w:rPr>
          <w:spacing w:val="-12"/>
          <w:sz w:val="20"/>
        </w:rPr>
        <w:t xml:space="preserve"> </w:t>
      </w:r>
      <w:r>
        <w:rPr>
          <w:sz w:val="20"/>
        </w:rPr>
        <w:t>de</w:t>
      </w:r>
      <w:r>
        <w:rPr>
          <w:spacing w:val="-9"/>
          <w:sz w:val="20"/>
        </w:rPr>
        <w:t xml:space="preserve"> </w:t>
      </w:r>
      <w:r>
        <w:rPr>
          <w:sz w:val="20"/>
        </w:rPr>
        <w:t>su</w:t>
      </w:r>
      <w:r>
        <w:rPr>
          <w:spacing w:val="-10"/>
          <w:sz w:val="20"/>
        </w:rPr>
        <w:t xml:space="preserve"> </w:t>
      </w:r>
      <w:r>
        <w:rPr>
          <w:sz w:val="20"/>
        </w:rPr>
        <w:t>cargo</w:t>
      </w:r>
      <w:r>
        <w:rPr>
          <w:spacing w:val="-12"/>
          <w:sz w:val="20"/>
        </w:rPr>
        <w:t xml:space="preserve"> </w:t>
      </w:r>
      <w:r>
        <w:rPr>
          <w:sz w:val="20"/>
        </w:rPr>
        <w:t>cuando</w:t>
      </w:r>
      <w:r>
        <w:rPr>
          <w:spacing w:val="-12"/>
          <w:sz w:val="20"/>
        </w:rPr>
        <w:t xml:space="preserve"> </w:t>
      </w:r>
      <w:r>
        <w:rPr>
          <w:sz w:val="20"/>
        </w:rPr>
        <w:t>el</w:t>
      </w:r>
      <w:r>
        <w:rPr>
          <w:spacing w:val="-11"/>
          <w:sz w:val="20"/>
        </w:rPr>
        <w:t xml:space="preserve"> </w:t>
      </w:r>
      <w:r>
        <w:rPr>
          <w:sz w:val="20"/>
        </w:rPr>
        <w:t>juzgador</w:t>
      </w:r>
      <w:r>
        <w:rPr>
          <w:spacing w:val="-9"/>
          <w:sz w:val="20"/>
        </w:rPr>
        <w:t xml:space="preserve"> </w:t>
      </w:r>
      <w:r>
        <w:rPr>
          <w:sz w:val="20"/>
        </w:rPr>
        <w:t>entendiera</w:t>
      </w:r>
      <w:r>
        <w:rPr>
          <w:spacing w:val="-9"/>
          <w:sz w:val="20"/>
        </w:rPr>
        <w:t xml:space="preserve"> </w:t>
      </w:r>
      <w:r>
        <w:rPr>
          <w:sz w:val="20"/>
        </w:rPr>
        <w:t>que</w:t>
      </w:r>
      <w:r>
        <w:rPr>
          <w:spacing w:val="-12"/>
          <w:sz w:val="20"/>
        </w:rPr>
        <w:t xml:space="preserve"> </w:t>
      </w:r>
      <w:r>
        <w:rPr>
          <w:sz w:val="20"/>
        </w:rPr>
        <w:t>se</w:t>
      </w:r>
      <w:r>
        <w:rPr>
          <w:spacing w:val="-12"/>
          <w:sz w:val="20"/>
        </w:rPr>
        <w:t xml:space="preserve"> </w:t>
      </w:r>
      <w:r>
        <w:rPr>
          <w:sz w:val="20"/>
        </w:rPr>
        <w:t>trataba de un incumplimiento grave y, de esta forma, concedía una excesiva discrecionalidad al órgano encargado de aplicar la</w:t>
      </w:r>
      <w:r>
        <w:rPr>
          <w:spacing w:val="-4"/>
          <w:sz w:val="20"/>
        </w:rPr>
        <w:t xml:space="preserve"> </w:t>
      </w:r>
      <w:r>
        <w:rPr>
          <w:sz w:val="20"/>
        </w:rPr>
        <w:t>sanción</w:t>
      </w:r>
      <w:hyperlink w:anchor="_bookmark152" w:history="1">
        <w:r>
          <w:rPr>
            <w:position w:val="7"/>
            <w:sz w:val="13"/>
          </w:rPr>
          <w:t>7</w:t>
        </w:r>
      </w:hyperlink>
      <w:r>
        <w:rPr>
          <w:sz w:val="20"/>
        </w:rPr>
        <w:t>.</w:t>
      </w:r>
    </w:p>
    <w:p w14:paraId="3878A8F4" w14:textId="77777777" w:rsidR="00492688" w:rsidRDefault="00492688">
      <w:pPr>
        <w:pStyle w:val="Textoindependiente"/>
      </w:pPr>
    </w:p>
    <w:p w14:paraId="07F66871" w14:textId="77777777" w:rsidR="00492688" w:rsidRDefault="00C9584B">
      <w:pPr>
        <w:pStyle w:val="Prrafodelista"/>
        <w:numPr>
          <w:ilvl w:val="0"/>
          <w:numId w:val="3"/>
        </w:numPr>
        <w:tabs>
          <w:tab w:val="left" w:pos="830"/>
        </w:tabs>
        <w:ind w:right="231" w:firstLine="0"/>
        <w:jc w:val="both"/>
        <w:rPr>
          <w:sz w:val="20"/>
        </w:rPr>
      </w:pPr>
      <w:r>
        <w:rPr>
          <w:sz w:val="20"/>
        </w:rPr>
        <w:t>De</w:t>
      </w:r>
      <w:r>
        <w:rPr>
          <w:spacing w:val="-4"/>
          <w:sz w:val="20"/>
        </w:rPr>
        <w:t xml:space="preserve"> </w:t>
      </w:r>
      <w:r>
        <w:rPr>
          <w:sz w:val="20"/>
        </w:rPr>
        <w:t>este</w:t>
      </w:r>
      <w:r>
        <w:rPr>
          <w:spacing w:val="-6"/>
          <w:sz w:val="20"/>
        </w:rPr>
        <w:t xml:space="preserve"> </w:t>
      </w:r>
      <w:r>
        <w:rPr>
          <w:sz w:val="20"/>
        </w:rPr>
        <w:t>modo,</w:t>
      </w:r>
      <w:r>
        <w:rPr>
          <w:spacing w:val="-4"/>
          <w:sz w:val="20"/>
        </w:rPr>
        <w:t xml:space="preserve"> </w:t>
      </w:r>
      <w:r>
        <w:rPr>
          <w:sz w:val="20"/>
        </w:rPr>
        <w:t>en</w:t>
      </w:r>
      <w:r>
        <w:rPr>
          <w:spacing w:val="-3"/>
          <w:sz w:val="20"/>
        </w:rPr>
        <w:t xml:space="preserve"> </w:t>
      </w:r>
      <w:r>
        <w:rPr>
          <w:sz w:val="20"/>
        </w:rPr>
        <w:t>cuanto</w:t>
      </w:r>
      <w:r>
        <w:rPr>
          <w:spacing w:val="-7"/>
          <w:sz w:val="20"/>
        </w:rPr>
        <w:t xml:space="preserve"> </w:t>
      </w:r>
      <w:r>
        <w:rPr>
          <w:sz w:val="20"/>
        </w:rPr>
        <w:t>a</w:t>
      </w:r>
      <w:r>
        <w:rPr>
          <w:spacing w:val="-4"/>
          <w:sz w:val="20"/>
        </w:rPr>
        <w:t xml:space="preserve"> </w:t>
      </w:r>
      <w:r>
        <w:rPr>
          <w:sz w:val="20"/>
        </w:rPr>
        <w:t>las</w:t>
      </w:r>
      <w:r>
        <w:rPr>
          <w:spacing w:val="-4"/>
          <w:sz w:val="20"/>
        </w:rPr>
        <w:t xml:space="preserve"> </w:t>
      </w:r>
      <w:r>
        <w:rPr>
          <w:sz w:val="20"/>
        </w:rPr>
        <w:t>sanciones</w:t>
      </w:r>
      <w:r>
        <w:rPr>
          <w:spacing w:val="-3"/>
          <w:sz w:val="20"/>
        </w:rPr>
        <w:t xml:space="preserve"> </w:t>
      </w:r>
      <w:r>
        <w:rPr>
          <w:sz w:val="20"/>
        </w:rPr>
        <w:t>impuestas</w:t>
      </w:r>
      <w:r>
        <w:rPr>
          <w:spacing w:val="-6"/>
          <w:sz w:val="20"/>
        </w:rPr>
        <w:t xml:space="preserve"> </w:t>
      </w:r>
      <w:r>
        <w:rPr>
          <w:sz w:val="20"/>
        </w:rPr>
        <w:t>a</w:t>
      </w:r>
      <w:r>
        <w:rPr>
          <w:spacing w:val="-4"/>
          <w:sz w:val="20"/>
        </w:rPr>
        <w:t xml:space="preserve"> </w:t>
      </w:r>
      <w:r>
        <w:rPr>
          <w:sz w:val="20"/>
        </w:rPr>
        <w:t>las</w:t>
      </w:r>
      <w:r>
        <w:rPr>
          <w:spacing w:val="-4"/>
          <w:sz w:val="20"/>
        </w:rPr>
        <w:t xml:space="preserve"> </w:t>
      </w:r>
      <w:r>
        <w:rPr>
          <w:sz w:val="20"/>
        </w:rPr>
        <w:t>víctimas,</w:t>
      </w:r>
      <w:r>
        <w:rPr>
          <w:spacing w:val="-4"/>
          <w:sz w:val="20"/>
        </w:rPr>
        <w:t xml:space="preserve"> </w:t>
      </w:r>
      <w:r>
        <w:rPr>
          <w:sz w:val="20"/>
        </w:rPr>
        <w:t>la</w:t>
      </w:r>
      <w:r>
        <w:rPr>
          <w:spacing w:val="-5"/>
          <w:sz w:val="20"/>
        </w:rPr>
        <w:t xml:space="preserve"> </w:t>
      </w:r>
      <w:r>
        <w:rPr>
          <w:sz w:val="20"/>
        </w:rPr>
        <w:t>Corte</w:t>
      </w:r>
      <w:r>
        <w:rPr>
          <w:spacing w:val="-6"/>
          <w:sz w:val="20"/>
        </w:rPr>
        <w:t xml:space="preserve"> </w:t>
      </w:r>
      <w:r>
        <w:rPr>
          <w:sz w:val="20"/>
        </w:rPr>
        <w:t>IDH no</w:t>
      </w:r>
      <w:r>
        <w:rPr>
          <w:spacing w:val="-19"/>
          <w:sz w:val="20"/>
        </w:rPr>
        <w:t xml:space="preserve"> </w:t>
      </w:r>
      <w:r>
        <w:rPr>
          <w:sz w:val="20"/>
        </w:rPr>
        <w:t>evalu</w:t>
      </w:r>
      <w:r>
        <w:rPr>
          <w:sz w:val="20"/>
        </w:rPr>
        <w:t>ó</w:t>
      </w:r>
      <w:r>
        <w:rPr>
          <w:spacing w:val="-19"/>
          <w:sz w:val="20"/>
        </w:rPr>
        <w:t xml:space="preserve"> </w:t>
      </w:r>
      <w:r>
        <w:rPr>
          <w:sz w:val="20"/>
        </w:rPr>
        <w:t>si</w:t>
      </w:r>
      <w:r>
        <w:rPr>
          <w:spacing w:val="-17"/>
          <w:sz w:val="20"/>
        </w:rPr>
        <w:t xml:space="preserve"> </w:t>
      </w:r>
      <w:r>
        <w:rPr>
          <w:sz w:val="20"/>
        </w:rPr>
        <w:t>las</w:t>
      </w:r>
      <w:r>
        <w:rPr>
          <w:spacing w:val="-18"/>
          <w:sz w:val="20"/>
        </w:rPr>
        <w:t xml:space="preserve"> </w:t>
      </w:r>
      <w:r>
        <w:rPr>
          <w:sz w:val="20"/>
        </w:rPr>
        <w:t>normas</w:t>
      </w:r>
      <w:r>
        <w:rPr>
          <w:spacing w:val="-18"/>
          <w:sz w:val="20"/>
        </w:rPr>
        <w:t xml:space="preserve"> </w:t>
      </w:r>
      <w:r>
        <w:rPr>
          <w:sz w:val="20"/>
        </w:rPr>
        <w:t>internas</w:t>
      </w:r>
      <w:r>
        <w:rPr>
          <w:spacing w:val="-16"/>
          <w:sz w:val="20"/>
        </w:rPr>
        <w:t xml:space="preserve"> </w:t>
      </w:r>
      <w:r>
        <w:rPr>
          <w:sz w:val="20"/>
        </w:rPr>
        <w:t>eran</w:t>
      </w:r>
      <w:r>
        <w:rPr>
          <w:spacing w:val="-14"/>
          <w:sz w:val="20"/>
        </w:rPr>
        <w:t xml:space="preserve"> </w:t>
      </w:r>
      <w:r>
        <w:rPr>
          <w:sz w:val="20"/>
        </w:rPr>
        <w:t>o</w:t>
      </w:r>
      <w:r>
        <w:rPr>
          <w:spacing w:val="-19"/>
          <w:sz w:val="20"/>
        </w:rPr>
        <w:t xml:space="preserve"> </w:t>
      </w:r>
      <w:r>
        <w:rPr>
          <w:sz w:val="20"/>
        </w:rPr>
        <w:t>no</w:t>
      </w:r>
      <w:r>
        <w:rPr>
          <w:spacing w:val="-16"/>
          <w:sz w:val="20"/>
        </w:rPr>
        <w:t xml:space="preserve"> </w:t>
      </w:r>
      <w:r>
        <w:rPr>
          <w:sz w:val="20"/>
        </w:rPr>
        <w:t>de</w:t>
      </w:r>
      <w:r>
        <w:rPr>
          <w:spacing w:val="-17"/>
          <w:sz w:val="20"/>
        </w:rPr>
        <w:t xml:space="preserve"> </w:t>
      </w:r>
      <w:r>
        <w:rPr>
          <w:sz w:val="20"/>
        </w:rPr>
        <w:t>carácter</w:t>
      </w:r>
      <w:r>
        <w:rPr>
          <w:spacing w:val="-18"/>
          <w:sz w:val="20"/>
        </w:rPr>
        <w:t xml:space="preserve"> </w:t>
      </w:r>
      <w:r>
        <w:rPr>
          <w:sz w:val="20"/>
        </w:rPr>
        <w:t>abierto</w:t>
      </w:r>
      <w:r>
        <w:rPr>
          <w:spacing w:val="-16"/>
          <w:sz w:val="20"/>
        </w:rPr>
        <w:t xml:space="preserve"> </w:t>
      </w:r>
      <w:r>
        <w:rPr>
          <w:sz w:val="20"/>
        </w:rPr>
        <w:t>respecto</w:t>
      </w:r>
      <w:r>
        <w:rPr>
          <w:spacing w:val="-17"/>
          <w:sz w:val="20"/>
        </w:rPr>
        <w:t xml:space="preserve"> </w:t>
      </w:r>
      <w:r>
        <w:rPr>
          <w:sz w:val="20"/>
        </w:rPr>
        <w:t>de</w:t>
      </w:r>
      <w:r>
        <w:rPr>
          <w:spacing w:val="-18"/>
          <w:sz w:val="20"/>
        </w:rPr>
        <w:t xml:space="preserve"> </w:t>
      </w:r>
      <w:r>
        <w:rPr>
          <w:sz w:val="20"/>
        </w:rPr>
        <w:t>las</w:t>
      </w:r>
      <w:r>
        <w:rPr>
          <w:spacing w:val="-17"/>
          <w:sz w:val="20"/>
        </w:rPr>
        <w:t xml:space="preserve"> </w:t>
      </w:r>
      <w:r>
        <w:rPr>
          <w:sz w:val="20"/>
        </w:rPr>
        <w:t>conductas que</w:t>
      </w:r>
      <w:r>
        <w:rPr>
          <w:spacing w:val="-8"/>
          <w:sz w:val="20"/>
        </w:rPr>
        <w:t xml:space="preserve"> </w:t>
      </w:r>
      <w:r>
        <w:rPr>
          <w:sz w:val="20"/>
        </w:rPr>
        <w:t>la</w:t>
      </w:r>
      <w:r>
        <w:rPr>
          <w:spacing w:val="-5"/>
          <w:sz w:val="20"/>
        </w:rPr>
        <w:t xml:space="preserve"> </w:t>
      </w:r>
      <w:r>
        <w:rPr>
          <w:sz w:val="20"/>
        </w:rPr>
        <w:t>norma</w:t>
      </w:r>
      <w:r>
        <w:rPr>
          <w:spacing w:val="-5"/>
          <w:sz w:val="20"/>
        </w:rPr>
        <w:t xml:space="preserve"> </w:t>
      </w:r>
      <w:r>
        <w:rPr>
          <w:sz w:val="20"/>
        </w:rPr>
        <w:t>debería</w:t>
      </w:r>
      <w:r>
        <w:rPr>
          <w:spacing w:val="-6"/>
          <w:sz w:val="20"/>
        </w:rPr>
        <w:t xml:space="preserve"> </w:t>
      </w:r>
      <w:r>
        <w:rPr>
          <w:sz w:val="20"/>
        </w:rPr>
        <w:t>de</w:t>
      </w:r>
      <w:r>
        <w:rPr>
          <w:spacing w:val="-4"/>
          <w:sz w:val="20"/>
        </w:rPr>
        <w:t xml:space="preserve"> </w:t>
      </w:r>
      <w:r>
        <w:rPr>
          <w:sz w:val="20"/>
        </w:rPr>
        <w:t>prever;</w:t>
      </w:r>
      <w:r>
        <w:rPr>
          <w:spacing w:val="-5"/>
          <w:sz w:val="20"/>
        </w:rPr>
        <w:t xml:space="preserve"> </w:t>
      </w:r>
      <w:r>
        <w:rPr>
          <w:sz w:val="20"/>
        </w:rPr>
        <w:t>sino</w:t>
      </w:r>
      <w:r>
        <w:rPr>
          <w:spacing w:val="-7"/>
          <w:sz w:val="20"/>
        </w:rPr>
        <w:t xml:space="preserve"> </w:t>
      </w:r>
      <w:r>
        <w:rPr>
          <w:sz w:val="20"/>
        </w:rPr>
        <w:t>que</w:t>
      </w:r>
      <w:r>
        <w:rPr>
          <w:spacing w:val="-7"/>
          <w:sz w:val="20"/>
        </w:rPr>
        <w:t xml:space="preserve"> </w:t>
      </w:r>
      <w:r>
        <w:rPr>
          <w:sz w:val="20"/>
        </w:rPr>
        <w:t>la</w:t>
      </w:r>
      <w:r>
        <w:rPr>
          <w:spacing w:val="-3"/>
          <w:sz w:val="20"/>
        </w:rPr>
        <w:t xml:space="preserve"> </w:t>
      </w:r>
      <w:r>
        <w:rPr>
          <w:sz w:val="20"/>
        </w:rPr>
        <w:t>responsabilidad</w:t>
      </w:r>
      <w:r>
        <w:rPr>
          <w:spacing w:val="-6"/>
          <w:sz w:val="20"/>
        </w:rPr>
        <w:t xml:space="preserve"> </w:t>
      </w:r>
      <w:r>
        <w:rPr>
          <w:sz w:val="20"/>
        </w:rPr>
        <w:t>internacional,</w:t>
      </w:r>
      <w:r>
        <w:rPr>
          <w:spacing w:val="-6"/>
          <w:sz w:val="20"/>
        </w:rPr>
        <w:t xml:space="preserve"> </w:t>
      </w:r>
      <w:r>
        <w:rPr>
          <w:sz w:val="20"/>
        </w:rPr>
        <w:t>en</w:t>
      </w:r>
      <w:r>
        <w:rPr>
          <w:spacing w:val="-4"/>
          <w:sz w:val="20"/>
        </w:rPr>
        <w:t xml:space="preserve"> </w:t>
      </w:r>
      <w:r>
        <w:rPr>
          <w:sz w:val="20"/>
        </w:rPr>
        <w:t>cuanto</w:t>
      </w:r>
      <w:r>
        <w:rPr>
          <w:spacing w:val="-8"/>
          <w:sz w:val="20"/>
        </w:rPr>
        <w:t xml:space="preserve"> </w:t>
      </w:r>
      <w:r>
        <w:rPr>
          <w:sz w:val="20"/>
        </w:rPr>
        <w:t xml:space="preserve">a este punto, se circunscribió a que “las normas disciplinarias aplicables a los casos de las […] víctimas otorgaban una excesiva discrecionalidad al juzgador </w:t>
      </w:r>
      <w:r>
        <w:rPr>
          <w:i/>
          <w:sz w:val="20"/>
        </w:rPr>
        <w:t>en el establecimiento de la sanción de destitución</w:t>
      </w:r>
      <w:r>
        <w:rPr>
          <w:sz w:val="20"/>
        </w:rPr>
        <w:t>” [énfasis</w:t>
      </w:r>
      <w:r>
        <w:rPr>
          <w:spacing w:val="-9"/>
          <w:sz w:val="20"/>
        </w:rPr>
        <w:t xml:space="preserve"> </w:t>
      </w:r>
      <w:r>
        <w:rPr>
          <w:sz w:val="20"/>
        </w:rPr>
        <w:t>añadido].</w:t>
      </w:r>
    </w:p>
    <w:p w14:paraId="13117BB0" w14:textId="77777777" w:rsidR="00492688" w:rsidRDefault="00492688">
      <w:pPr>
        <w:pStyle w:val="Textoindependiente"/>
      </w:pPr>
    </w:p>
    <w:p w14:paraId="20C2D11A" w14:textId="77777777" w:rsidR="00492688" w:rsidRDefault="00492688">
      <w:pPr>
        <w:pStyle w:val="Textoindependiente"/>
      </w:pPr>
    </w:p>
    <w:p w14:paraId="6CDC94D4" w14:textId="100C2E58" w:rsidR="00492688" w:rsidRDefault="00C9584B">
      <w:pPr>
        <w:pStyle w:val="Textoindependiente"/>
        <w:spacing w:before="8"/>
        <w:rPr>
          <w:sz w:val="17"/>
        </w:rPr>
      </w:pPr>
      <w:r>
        <w:rPr>
          <w:noProof/>
        </w:rPr>
        <mc:AlternateContent>
          <mc:Choice Requires="wps">
            <w:drawing>
              <wp:anchor distT="0" distB="0" distL="0" distR="0" simplePos="0" relativeHeight="251687936" behindDoc="1" locked="0" layoutInCell="1" allowOverlap="1" wp14:anchorId="0026E159" wp14:editId="107C6A71">
                <wp:simplePos x="0" y="0"/>
                <wp:positionH relativeFrom="page">
                  <wp:posOffset>1080770</wp:posOffset>
                </wp:positionH>
                <wp:positionV relativeFrom="paragraph">
                  <wp:posOffset>165100</wp:posOffset>
                </wp:positionV>
                <wp:extent cx="1828800" cy="1270"/>
                <wp:effectExtent l="0" t="0" r="0" b="0"/>
                <wp:wrapTopAndBottom/>
                <wp:docPr id="1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1712D" id="Freeform 13" o:spid="_x0000_s1026" style="position:absolute;margin-left:85.1pt;margin-top:13pt;width:2in;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" path="m,l2880,e" filled="f" strokeweight=".21131mm">
                <v:path arrowok="t" o:connecttype="custom" o:connectlocs="0,0;1828800,0" o:connectangles="0,0"/>
                <w10:wrap type="topAndBottom" anchorx="page"/>
              </v:shape>
            </w:pict>
          </mc:Fallback>
        </mc:AlternateContent>
      </w:r>
    </w:p>
    <w:p w14:paraId="654686AB" w14:textId="77777777" w:rsidR="00492688" w:rsidRDefault="00492688">
      <w:pPr>
        <w:pStyle w:val="Textoindependiente"/>
        <w:spacing w:before="1"/>
        <w:rPr>
          <w:sz w:val="6"/>
        </w:rPr>
      </w:pPr>
    </w:p>
    <w:p w14:paraId="5DA93F7C" w14:textId="77777777" w:rsidR="00492688" w:rsidRDefault="00C9584B">
      <w:pPr>
        <w:tabs>
          <w:tab w:val="left" w:pos="829"/>
        </w:tabs>
        <w:spacing w:before="101"/>
        <w:ind w:left="121" w:right="229"/>
        <w:rPr>
          <w:sz w:val="16"/>
        </w:rPr>
      </w:pPr>
      <w:bookmarkStart w:id="181" w:name="_bookmark149"/>
      <w:bookmarkEnd w:id="181"/>
      <w:r>
        <w:rPr>
          <w:position w:val="6"/>
          <w:sz w:val="10"/>
        </w:rPr>
        <w:t>4</w:t>
      </w:r>
      <w:r>
        <w:rPr>
          <w:position w:val="6"/>
          <w:sz w:val="10"/>
        </w:rPr>
        <w:tab/>
      </w:r>
      <w:r>
        <w:rPr>
          <w:i/>
          <w:sz w:val="16"/>
        </w:rPr>
        <w:t>Cfr. Caso López Lon</w:t>
      </w:r>
      <w:r>
        <w:rPr>
          <w:i/>
          <w:sz w:val="16"/>
        </w:rPr>
        <w:t>e y otros Vs. Honduras. Excepción Preliminar, Fondo, Reparaciones y Costas</w:t>
      </w:r>
      <w:r>
        <w:rPr>
          <w:sz w:val="16"/>
        </w:rPr>
        <w:t>. Sentencia de 5 de octubre de 2015. Serie C No. 302, párr.</w:t>
      </w:r>
      <w:r>
        <w:rPr>
          <w:spacing w:val="-17"/>
          <w:sz w:val="16"/>
        </w:rPr>
        <w:t xml:space="preserve"> </w:t>
      </w:r>
      <w:r>
        <w:rPr>
          <w:sz w:val="16"/>
        </w:rPr>
        <w:t>258.</w:t>
      </w:r>
    </w:p>
    <w:p w14:paraId="40F5716E" w14:textId="77777777" w:rsidR="00492688" w:rsidRDefault="00C9584B">
      <w:pPr>
        <w:tabs>
          <w:tab w:val="left" w:pos="829"/>
        </w:tabs>
        <w:spacing w:before="100"/>
        <w:ind w:left="121" w:right="229"/>
        <w:rPr>
          <w:sz w:val="16"/>
        </w:rPr>
      </w:pPr>
      <w:bookmarkStart w:id="182" w:name="_bookmark150"/>
      <w:bookmarkEnd w:id="182"/>
      <w:r>
        <w:rPr>
          <w:position w:val="6"/>
          <w:sz w:val="10"/>
        </w:rPr>
        <w:t>5</w:t>
      </w:r>
      <w:r>
        <w:rPr>
          <w:position w:val="6"/>
          <w:sz w:val="10"/>
        </w:rPr>
        <w:tab/>
      </w:r>
      <w:r>
        <w:rPr>
          <w:i/>
          <w:sz w:val="16"/>
        </w:rPr>
        <w:t>Cfr. Caso López Lone y otros Vs. Honduras. Excepción Preliminar, Fondo, Reparaciones y Costas</w:t>
      </w:r>
      <w:r>
        <w:rPr>
          <w:sz w:val="16"/>
        </w:rPr>
        <w:t>. Sentencia de 5 de octubre de 2015. Serie C No. 302, párr.</w:t>
      </w:r>
      <w:r>
        <w:rPr>
          <w:spacing w:val="-18"/>
          <w:sz w:val="16"/>
        </w:rPr>
        <w:t xml:space="preserve"> </w:t>
      </w:r>
      <w:r>
        <w:rPr>
          <w:sz w:val="16"/>
        </w:rPr>
        <w:t>259.</w:t>
      </w:r>
    </w:p>
    <w:p w14:paraId="230D6CB1" w14:textId="77777777" w:rsidR="00492688" w:rsidRDefault="00C9584B">
      <w:pPr>
        <w:tabs>
          <w:tab w:val="left" w:pos="829"/>
        </w:tabs>
        <w:spacing w:before="99"/>
        <w:ind w:left="121" w:right="229"/>
        <w:rPr>
          <w:sz w:val="16"/>
        </w:rPr>
      </w:pPr>
      <w:bookmarkStart w:id="183" w:name="_bookmark151"/>
      <w:bookmarkEnd w:id="183"/>
      <w:r>
        <w:rPr>
          <w:position w:val="6"/>
          <w:sz w:val="10"/>
        </w:rPr>
        <w:t>6</w:t>
      </w:r>
      <w:r>
        <w:rPr>
          <w:position w:val="6"/>
          <w:sz w:val="10"/>
        </w:rPr>
        <w:tab/>
      </w:r>
      <w:r>
        <w:rPr>
          <w:i/>
          <w:sz w:val="16"/>
        </w:rPr>
        <w:t>Cfr. Caso López Lone y otros Vs. Honduras. Excepción Preliminar, Fondo, Reparaciones y Costas</w:t>
      </w:r>
      <w:r>
        <w:rPr>
          <w:sz w:val="16"/>
        </w:rPr>
        <w:t>. Sentencia de 5 de octubre de 2015. Serie C No. 302, párr.</w:t>
      </w:r>
      <w:r>
        <w:rPr>
          <w:spacing w:val="-17"/>
          <w:sz w:val="16"/>
        </w:rPr>
        <w:t xml:space="preserve"> </w:t>
      </w:r>
      <w:r>
        <w:rPr>
          <w:sz w:val="16"/>
        </w:rPr>
        <w:t>264.</w:t>
      </w:r>
    </w:p>
    <w:p w14:paraId="550F9313" w14:textId="77777777" w:rsidR="00492688" w:rsidRDefault="00C9584B">
      <w:pPr>
        <w:tabs>
          <w:tab w:val="left" w:pos="887"/>
        </w:tabs>
        <w:spacing w:before="100"/>
        <w:ind w:left="121" w:right="229"/>
        <w:rPr>
          <w:sz w:val="16"/>
        </w:rPr>
      </w:pPr>
      <w:bookmarkStart w:id="184" w:name="_bookmark152"/>
      <w:bookmarkEnd w:id="184"/>
      <w:r>
        <w:rPr>
          <w:position w:val="6"/>
          <w:sz w:val="10"/>
        </w:rPr>
        <w:t>7</w:t>
      </w:r>
      <w:r>
        <w:rPr>
          <w:position w:val="6"/>
          <w:sz w:val="10"/>
        </w:rPr>
        <w:tab/>
      </w:r>
      <w:r>
        <w:rPr>
          <w:i/>
          <w:sz w:val="16"/>
        </w:rPr>
        <w:t>Cfr. Caso López Lone y otros Vs. Honduras. Excepción Preliminar, Fondo, Reparaciones y Costas</w:t>
      </w:r>
      <w:r>
        <w:rPr>
          <w:sz w:val="16"/>
        </w:rPr>
        <w:t>. S</w:t>
      </w:r>
      <w:r>
        <w:rPr>
          <w:sz w:val="16"/>
        </w:rPr>
        <w:t>entencia de 5 de octubre de 2015. Serie C No. 302, párrs. 263 y</w:t>
      </w:r>
      <w:r>
        <w:rPr>
          <w:spacing w:val="-19"/>
          <w:sz w:val="16"/>
        </w:rPr>
        <w:t xml:space="preserve"> </w:t>
      </w:r>
      <w:r>
        <w:rPr>
          <w:sz w:val="16"/>
        </w:rPr>
        <w:t>264.</w:t>
      </w:r>
    </w:p>
    <w:p w14:paraId="518A1266" w14:textId="77777777" w:rsidR="00492688" w:rsidRDefault="00492688">
      <w:pPr>
        <w:pStyle w:val="Textoindependiente"/>
      </w:pPr>
    </w:p>
    <w:p w14:paraId="38F0AC5F" w14:textId="77777777" w:rsidR="00492688" w:rsidRDefault="00492688">
      <w:pPr>
        <w:pStyle w:val="Textoindependiente"/>
        <w:spacing w:before="5"/>
        <w:rPr>
          <w:sz w:val="19"/>
        </w:rPr>
      </w:pPr>
    </w:p>
    <w:p w14:paraId="04117FC6" w14:textId="77777777" w:rsidR="00492688" w:rsidRDefault="00C9584B">
      <w:pPr>
        <w:spacing w:before="51"/>
        <w:ind w:right="111"/>
        <w:jc w:val="center"/>
        <w:rPr>
          <w:rFonts w:ascii="Calibri"/>
          <w:sz w:val="24"/>
        </w:rPr>
      </w:pPr>
      <w:r>
        <w:rPr>
          <w:rFonts w:ascii="Calibri"/>
          <w:sz w:val="24"/>
        </w:rPr>
        <w:t>3</w:t>
      </w:r>
    </w:p>
    <w:p w14:paraId="2E5F7871"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1F9C52A8" w14:textId="77777777" w:rsidR="00492688" w:rsidRDefault="00C9584B">
      <w:pPr>
        <w:pStyle w:val="Prrafodelista"/>
        <w:numPr>
          <w:ilvl w:val="0"/>
          <w:numId w:val="3"/>
        </w:numPr>
        <w:tabs>
          <w:tab w:val="left" w:pos="830"/>
        </w:tabs>
        <w:spacing w:before="71"/>
        <w:ind w:right="229" w:firstLine="0"/>
        <w:jc w:val="both"/>
        <w:rPr>
          <w:sz w:val="20"/>
        </w:rPr>
      </w:pPr>
      <w:r>
        <w:rPr>
          <w:sz w:val="20"/>
        </w:rPr>
        <w:lastRenderedPageBreak/>
        <w:t xml:space="preserve">Ahora bien, en cuanto a lo concerniente al segundo aspecto —las conductas sancionables en la normativa disciplinaria—, la Corte IDH consideró que “[t]ratándose de sanciones </w:t>
      </w:r>
      <w:r>
        <w:rPr>
          <w:sz w:val="20"/>
        </w:rPr>
        <w:t>disciplinarias impuestas a jueces y juezas la exigencia de motivación es aún mayor que en otros procesos disciplinarios, ya que el control disciplinario tiene como objeto valorar la conducta, idoneidad y desempeño del juez como funcionario público y, por e</w:t>
      </w:r>
      <w:r>
        <w:rPr>
          <w:sz w:val="20"/>
        </w:rPr>
        <w:t>nde, correspondería analizar la gravedad de la conducta y la proporcionalidad</w:t>
      </w:r>
      <w:r>
        <w:rPr>
          <w:spacing w:val="-13"/>
          <w:sz w:val="20"/>
        </w:rPr>
        <w:t xml:space="preserve"> </w:t>
      </w:r>
      <w:r>
        <w:rPr>
          <w:sz w:val="20"/>
        </w:rPr>
        <w:t>de</w:t>
      </w:r>
      <w:r>
        <w:rPr>
          <w:spacing w:val="-15"/>
          <w:sz w:val="20"/>
        </w:rPr>
        <w:t xml:space="preserve"> </w:t>
      </w:r>
      <w:r>
        <w:rPr>
          <w:sz w:val="20"/>
        </w:rPr>
        <w:t>la</w:t>
      </w:r>
      <w:r>
        <w:rPr>
          <w:spacing w:val="-11"/>
          <w:sz w:val="20"/>
        </w:rPr>
        <w:t xml:space="preserve"> </w:t>
      </w:r>
      <w:r>
        <w:rPr>
          <w:sz w:val="20"/>
        </w:rPr>
        <w:t>sanción.</w:t>
      </w:r>
      <w:r>
        <w:rPr>
          <w:spacing w:val="-14"/>
          <w:sz w:val="20"/>
        </w:rPr>
        <w:t xml:space="preserve"> </w:t>
      </w:r>
      <w:r>
        <w:rPr>
          <w:sz w:val="20"/>
        </w:rPr>
        <w:t>En</w:t>
      </w:r>
      <w:r>
        <w:rPr>
          <w:spacing w:val="-13"/>
          <w:sz w:val="20"/>
        </w:rPr>
        <w:t xml:space="preserve"> </w:t>
      </w:r>
      <w:r>
        <w:rPr>
          <w:sz w:val="20"/>
        </w:rPr>
        <w:t>el</w:t>
      </w:r>
      <w:r>
        <w:rPr>
          <w:spacing w:val="-13"/>
          <w:sz w:val="20"/>
        </w:rPr>
        <w:t xml:space="preserve"> </w:t>
      </w:r>
      <w:r>
        <w:rPr>
          <w:sz w:val="20"/>
        </w:rPr>
        <w:t>ámbito</w:t>
      </w:r>
      <w:r>
        <w:rPr>
          <w:spacing w:val="-14"/>
          <w:sz w:val="20"/>
        </w:rPr>
        <w:t xml:space="preserve"> </w:t>
      </w:r>
      <w:r>
        <w:rPr>
          <w:sz w:val="20"/>
        </w:rPr>
        <w:t>disciplinario</w:t>
      </w:r>
      <w:r>
        <w:rPr>
          <w:spacing w:val="-12"/>
          <w:sz w:val="20"/>
        </w:rPr>
        <w:t xml:space="preserve"> </w:t>
      </w:r>
      <w:r>
        <w:rPr>
          <w:sz w:val="20"/>
        </w:rPr>
        <w:t>es</w:t>
      </w:r>
      <w:r>
        <w:rPr>
          <w:spacing w:val="-14"/>
          <w:sz w:val="20"/>
        </w:rPr>
        <w:t xml:space="preserve"> </w:t>
      </w:r>
      <w:r>
        <w:rPr>
          <w:sz w:val="20"/>
        </w:rPr>
        <w:t>imprescindible</w:t>
      </w:r>
      <w:r>
        <w:rPr>
          <w:spacing w:val="-15"/>
          <w:sz w:val="20"/>
        </w:rPr>
        <w:t xml:space="preserve"> </w:t>
      </w:r>
      <w:r>
        <w:rPr>
          <w:sz w:val="20"/>
        </w:rPr>
        <w:t>la</w:t>
      </w:r>
      <w:r>
        <w:rPr>
          <w:spacing w:val="-14"/>
          <w:sz w:val="20"/>
        </w:rPr>
        <w:t xml:space="preserve"> </w:t>
      </w:r>
      <w:r>
        <w:rPr>
          <w:sz w:val="20"/>
        </w:rPr>
        <w:t>indicación precisa</w:t>
      </w:r>
      <w:r>
        <w:rPr>
          <w:spacing w:val="-10"/>
          <w:sz w:val="20"/>
        </w:rPr>
        <w:t xml:space="preserve"> </w:t>
      </w:r>
      <w:r>
        <w:rPr>
          <w:sz w:val="20"/>
        </w:rPr>
        <w:t>de</w:t>
      </w:r>
      <w:r>
        <w:rPr>
          <w:spacing w:val="-10"/>
          <w:sz w:val="20"/>
        </w:rPr>
        <w:t xml:space="preserve"> </w:t>
      </w:r>
      <w:r>
        <w:rPr>
          <w:sz w:val="20"/>
        </w:rPr>
        <w:t>aquello</w:t>
      </w:r>
      <w:r>
        <w:rPr>
          <w:spacing w:val="-11"/>
          <w:sz w:val="20"/>
        </w:rPr>
        <w:t xml:space="preserve"> </w:t>
      </w:r>
      <w:r>
        <w:rPr>
          <w:sz w:val="20"/>
        </w:rPr>
        <w:t>que</w:t>
      </w:r>
      <w:r>
        <w:rPr>
          <w:spacing w:val="-10"/>
          <w:sz w:val="20"/>
        </w:rPr>
        <w:t xml:space="preserve"> </w:t>
      </w:r>
      <w:r>
        <w:rPr>
          <w:sz w:val="20"/>
        </w:rPr>
        <w:t>constituye</w:t>
      </w:r>
      <w:r>
        <w:rPr>
          <w:spacing w:val="-11"/>
          <w:sz w:val="20"/>
        </w:rPr>
        <w:t xml:space="preserve"> </w:t>
      </w:r>
      <w:r>
        <w:rPr>
          <w:sz w:val="20"/>
        </w:rPr>
        <w:t>una</w:t>
      </w:r>
      <w:r>
        <w:rPr>
          <w:spacing w:val="-8"/>
          <w:sz w:val="20"/>
        </w:rPr>
        <w:t xml:space="preserve"> </w:t>
      </w:r>
      <w:r>
        <w:rPr>
          <w:sz w:val="20"/>
        </w:rPr>
        <w:t>falta</w:t>
      </w:r>
      <w:r>
        <w:rPr>
          <w:spacing w:val="-9"/>
          <w:sz w:val="20"/>
        </w:rPr>
        <w:t xml:space="preserve"> </w:t>
      </w:r>
      <w:r>
        <w:rPr>
          <w:sz w:val="20"/>
        </w:rPr>
        <w:t>y</w:t>
      </w:r>
      <w:r>
        <w:rPr>
          <w:spacing w:val="-8"/>
          <w:sz w:val="20"/>
        </w:rPr>
        <w:t xml:space="preserve"> </w:t>
      </w:r>
      <w:r>
        <w:rPr>
          <w:sz w:val="20"/>
        </w:rPr>
        <w:t>el</w:t>
      </w:r>
      <w:r>
        <w:rPr>
          <w:spacing w:val="-6"/>
          <w:sz w:val="20"/>
        </w:rPr>
        <w:t xml:space="preserve"> </w:t>
      </w:r>
      <w:r>
        <w:rPr>
          <w:sz w:val="20"/>
        </w:rPr>
        <w:t>desarrollo</w:t>
      </w:r>
      <w:r>
        <w:rPr>
          <w:spacing w:val="-11"/>
          <w:sz w:val="20"/>
        </w:rPr>
        <w:t xml:space="preserve"> </w:t>
      </w:r>
      <w:r>
        <w:rPr>
          <w:sz w:val="20"/>
        </w:rPr>
        <w:t>de</w:t>
      </w:r>
      <w:r>
        <w:rPr>
          <w:spacing w:val="-10"/>
          <w:sz w:val="20"/>
        </w:rPr>
        <w:t xml:space="preserve"> </w:t>
      </w:r>
      <w:r>
        <w:rPr>
          <w:sz w:val="20"/>
        </w:rPr>
        <w:t>argumentos</w:t>
      </w:r>
      <w:r>
        <w:rPr>
          <w:spacing w:val="-11"/>
          <w:sz w:val="20"/>
        </w:rPr>
        <w:t xml:space="preserve"> </w:t>
      </w:r>
      <w:r>
        <w:rPr>
          <w:sz w:val="20"/>
        </w:rPr>
        <w:t>que</w:t>
      </w:r>
      <w:r>
        <w:rPr>
          <w:spacing w:val="-10"/>
          <w:sz w:val="20"/>
        </w:rPr>
        <w:t xml:space="preserve"> </w:t>
      </w:r>
      <w:r>
        <w:rPr>
          <w:sz w:val="20"/>
        </w:rPr>
        <w:t>permitan concluir que las conductas reprochadas tienen la suficiente entidad para justificar que un juez no permanezca en el</w:t>
      </w:r>
      <w:r>
        <w:rPr>
          <w:spacing w:val="3"/>
          <w:sz w:val="20"/>
        </w:rPr>
        <w:t xml:space="preserve"> </w:t>
      </w:r>
      <w:r>
        <w:rPr>
          <w:sz w:val="20"/>
        </w:rPr>
        <w:t>cargo”</w:t>
      </w:r>
      <w:hyperlink w:anchor="_bookmark153" w:history="1">
        <w:r>
          <w:rPr>
            <w:position w:val="7"/>
            <w:sz w:val="13"/>
          </w:rPr>
          <w:t>8</w:t>
        </w:r>
      </w:hyperlink>
      <w:r>
        <w:rPr>
          <w:sz w:val="20"/>
        </w:rPr>
        <w:t>.</w:t>
      </w:r>
    </w:p>
    <w:p w14:paraId="4B1BB512" w14:textId="77777777" w:rsidR="00492688" w:rsidRDefault="00492688">
      <w:pPr>
        <w:pStyle w:val="Textoindependiente"/>
      </w:pPr>
    </w:p>
    <w:p w14:paraId="00FE5CAB" w14:textId="77777777" w:rsidR="00492688" w:rsidRDefault="00C9584B">
      <w:pPr>
        <w:pStyle w:val="Prrafodelista"/>
        <w:numPr>
          <w:ilvl w:val="0"/>
          <w:numId w:val="3"/>
        </w:numPr>
        <w:tabs>
          <w:tab w:val="left" w:pos="830"/>
        </w:tabs>
        <w:ind w:right="228" w:hanging="1"/>
        <w:jc w:val="both"/>
        <w:rPr>
          <w:sz w:val="20"/>
        </w:rPr>
      </w:pPr>
      <w:r>
        <w:rPr>
          <w:sz w:val="20"/>
        </w:rPr>
        <w:t>Particularmente indicó sobre el uso de tipos disciplinarios abiertos o indeterminados:</w:t>
      </w:r>
      <w:r>
        <w:rPr>
          <w:spacing w:val="-19"/>
          <w:sz w:val="20"/>
        </w:rPr>
        <w:t xml:space="preserve"> </w:t>
      </w:r>
      <w:r>
        <w:rPr>
          <w:sz w:val="20"/>
        </w:rPr>
        <w:t>“[</w:t>
      </w:r>
      <w:r>
        <w:rPr>
          <w:sz w:val="20"/>
        </w:rPr>
        <w:t>…]</w:t>
      </w:r>
      <w:r>
        <w:rPr>
          <w:spacing w:val="-18"/>
          <w:sz w:val="20"/>
        </w:rPr>
        <w:t xml:space="preserve"> </w:t>
      </w:r>
      <w:r>
        <w:rPr>
          <w:sz w:val="20"/>
        </w:rPr>
        <w:t>en</w:t>
      </w:r>
      <w:r>
        <w:rPr>
          <w:spacing w:val="-17"/>
          <w:sz w:val="20"/>
        </w:rPr>
        <w:t xml:space="preserve"> </w:t>
      </w:r>
      <w:r>
        <w:rPr>
          <w:sz w:val="20"/>
        </w:rPr>
        <w:t>estos</w:t>
      </w:r>
      <w:r>
        <w:rPr>
          <w:spacing w:val="-19"/>
          <w:sz w:val="20"/>
        </w:rPr>
        <w:t xml:space="preserve"> </w:t>
      </w:r>
      <w:r>
        <w:rPr>
          <w:sz w:val="20"/>
        </w:rPr>
        <w:t>supuestos</w:t>
      </w:r>
      <w:r>
        <w:rPr>
          <w:spacing w:val="-19"/>
          <w:sz w:val="20"/>
        </w:rPr>
        <w:t xml:space="preserve"> </w:t>
      </w:r>
      <w:r>
        <w:rPr>
          <w:sz w:val="20"/>
        </w:rPr>
        <w:t>[…]</w:t>
      </w:r>
      <w:r>
        <w:rPr>
          <w:spacing w:val="-20"/>
          <w:sz w:val="20"/>
        </w:rPr>
        <w:t xml:space="preserve"> </w:t>
      </w:r>
      <w:r>
        <w:rPr>
          <w:sz w:val="20"/>
        </w:rPr>
        <w:t>la</w:t>
      </w:r>
      <w:r>
        <w:rPr>
          <w:spacing w:val="-17"/>
          <w:sz w:val="20"/>
        </w:rPr>
        <w:t xml:space="preserve"> </w:t>
      </w:r>
      <w:r>
        <w:rPr>
          <w:sz w:val="20"/>
        </w:rPr>
        <w:t>motivación</w:t>
      </w:r>
      <w:r>
        <w:rPr>
          <w:spacing w:val="-20"/>
          <w:sz w:val="20"/>
        </w:rPr>
        <w:t xml:space="preserve"> </w:t>
      </w:r>
      <w:r>
        <w:rPr>
          <w:sz w:val="20"/>
        </w:rPr>
        <w:t>al</w:t>
      </w:r>
      <w:r>
        <w:rPr>
          <w:spacing w:val="-18"/>
          <w:sz w:val="20"/>
        </w:rPr>
        <w:t xml:space="preserve"> </w:t>
      </w:r>
      <w:r>
        <w:rPr>
          <w:sz w:val="20"/>
        </w:rPr>
        <w:t>momento</w:t>
      </w:r>
      <w:r>
        <w:rPr>
          <w:spacing w:val="-17"/>
          <w:sz w:val="20"/>
        </w:rPr>
        <w:t xml:space="preserve"> </w:t>
      </w:r>
      <w:r>
        <w:rPr>
          <w:sz w:val="20"/>
        </w:rPr>
        <w:t>de</w:t>
      </w:r>
      <w:r>
        <w:rPr>
          <w:spacing w:val="-20"/>
          <w:sz w:val="20"/>
        </w:rPr>
        <w:t xml:space="preserve"> </w:t>
      </w:r>
      <w:r>
        <w:rPr>
          <w:sz w:val="20"/>
        </w:rPr>
        <w:t>su</w:t>
      </w:r>
      <w:r>
        <w:rPr>
          <w:spacing w:val="-20"/>
          <w:sz w:val="20"/>
        </w:rPr>
        <w:t xml:space="preserve"> </w:t>
      </w:r>
      <w:r>
        <w:rPr>
          <w:sz w:val="20"/>
        </w:rPr>
        <w:t xml:space="preserve">aplicación es fundamental, pues corresponde al juzgador disciplinario, </w:t>
      </w:r>
      <w:r>
        <w:rPr>
          <w:i/>
          <w:sz w:val="20"/>
        </w:rPr>
        <w:t>interpretar dichas normas respetando</w:t>
      </w:r>
      <w:r>
        <w:rPr>
          <w:i/>
          <w:spacing w:val="-8"/>
          <w:sz w:val="20"/>
        </w:rPr>
        <w:t xml:space="preserve"> </w:t>
      </w:r>
      <w:r>
        <w:rPr>
          <w:i/>
          <w:sz w:val="20"/>
        </w:rPr>
        <w:t>el</w:t>
      </w:r>
      <w:r>
        <w:rPr>
          <w:i/>
          <w:spacing w:val="-10"/>
          <w:sz w:val="20"/>
        </w:rPr>
        <w:t xml:space="preserve"> </w:t>
      </w:r>
      <w:r>
        <w:rPr>
          <w:i/>
          <w:sz w:val="20"/>
        </w:rPr>
        <w:t>principio</w:t>
      </w:r>
      <w:r>
        <w:rPr>
          <w:i/>
          <w:spacing w:val="-8"/>
          <w:sz w:val="20"/>
        </w:rPr>
        <w:t xml:space="preserve"> </w:t>
      </w:r>
      <w:r>
        <w:rPr>
          <w:i/>
          <w:sz w:val="20"/>
        </w:rPr>
        <w:t>de</w:t>
      </w:r>
      <w:r>
        <w:rPr>
          <w:i/>
          <w:spacing w:val="-11"/>
          <w:sz w:val="20"/>
        </w:rPr>
        <w:t xml:space="preserve"> </w:t>
      </w:r>
      <w:r>
        <w:rPr>
          <w:i/>
          <w:sz w:val="20"/>
        </w:rPr>
        <w:t>legalidad</w:t>
      </w:r>
      <w:r>
        <w:rPr>
          <w:i/>
          <w:spacing w:val="-9"/>
          <w:sz w:val="20"/>
        </w:rPr>
        <w:t xml:space="preserve"> </w:t>
      </w:r>
      <w:r>
        <w:rPr>
          <w:i/>
          <w:sz w:val="20"/>
        </w:rPr>
        <w:t>y</w:t>
      </w:r>
      <w:r>
        <w:rPr>
          <w:i/>
          <w:spacing w:val="-9"/>
          <w:sz w:val="20"/>
        </w:rPr>
        <w:t xml:space="preserve"> </w:t>
      </w:r>
      <w:r>
        <w:rPr>
          <w:i/>
          <w:sz w:val="20"/>
        </w:rPr>
        <w:t>observando</w:t>
      </w:r>
      <w:r>
        <w:rPr>
          <w:i/>
          <w:spacing w:val="-11"/>
          <w:sz w:val="20"/>
        </w:rPr>
        <w:t xml:space="preserve"> </w:t>
      </w:r>
      <w:r>
        <w:rPr>
          <w:i/>
          <w:sz w:val="20"/>
        </w:rPr>
        <w:t>la</w:t>
      </w:r>
      <w:r>
        <w:rPr>
          <w:i/>
          <w:spacing w:val="-9"/>
          <w:sz w:val="20"/>
        </w:rPr>
        <w:t xml:space="preserve"> </w:t>
      </w:r>
      <w:r>
        <w:rPr>
          <w:i/>
          <w:sz w:val="20"/>
        </w:rPr>
        <w:t>mayor</w:t>
      </w:r>
      <w:r>
        <w:rPr>
          <w:i/>
          <w:spacing w:val="-11"/>
          <w:sz w:val="20"/>
        </w:rPr>
        <w:t xml:space="preserve"> </w:t>
      </w:r>
      <w:r>
        <w:rPr>
          <w:i/>
          <w:sz w:val="20"/>
        </w:rPr>
        <w:t>rigurosidad</w:t>
      </w:r>
      <w:r>
        <w:rPr>
          <w:i/>
          <w:spacing w:val="-6"/>
          <w:sz w:val="20"/>
        </w:rPr>
        <w:t xml:space="preserve"> </w:t>
      </w:r>
      <w:r>
        <w:rPr>
          <w:i/>
          <w:sz w:val="20"/>
        </w:rPr>
        <w:t>para</w:t>
      </w:r>
      <w:r>
        <w:rPr>
          <w:i/>
          <w:spacing w:val="-10"/>
          <w:sz w:val="20"/>
        </w:rPr>
        <w:t xml:space="preserve"> </w:t>
      </w:r>
      <w:r>
        <w:rPr>
          <w:i/>
          <w:sz w:val="20"/>
        </w:rPr>
        <w:t>verificar</w:t>
      </w:r>
      <w:r>
        <w:rPr>
          <w:i/>
          <w:spacing w:val="-11"/>
          <w:sz w:val="20"/>
        </w:rPr>
        <w:t xml:space="preserve"> </w:t>
      </w:r>
      <w:r>
        <w:rPr>
          <w:i/>
          <w:sz w:val="20"/>
        </w:rPr>
        <w:t>la existencia de la conducta sancionable”</w:t>
      </w:r>
      <w:hyperlink w:anchor="_bookmark154" w:history="1">
        <w:r>
          <w:rPr>
            <w:position w:val="7"/>
            <w:sz w:val="13"/>
          </w:rPr>
          <w:t>9</w:t>
        </w:r>
      </w:hyperlink>
      <w:r>
        <w:rPr>
          <w:position w:val="7"/>
          <w:sz w:val="13"/>
        </w:rPr>
        <w:t xml:space="preserve"> </w:t>
      </w:r>
      <w:r>
        <w:rPr>
          <w:sz w:val="20"/>
        </w:rPr>
        <w:t>[énfasis</w:t>
      </w:r>
      <w:r>
        <w:rPr>
          <w:spacing w:val="-26"/>
          <w:sz w:val="20"/>
        </w:rPr>
        <w:t xml:space="preserve"> </w:t>
      </w:r>
      <w:r>
        <w:rPr>
          <w:sz w:val="20"/>
        </w:rPr>
        <w:t>añadido].</w:t>
      </w:r>
    </w:p>
    <w:p w14:paraId="3935B987" w14:textId="77777777" w:rsidR="00492688" w:rsidRDefault="00492688">
      <w:pPr>
        <w:pStyle w:val="Textoindependiente"/>
        <w:spacing w:before="1"/>
      </w:pPr>
    </w:p>
    <w:p w14:paraId="5D1B4CBB" w14:textId="77777777" w:rsidR="00492688" w:rsidRDefault="00C9584B">
      <w:pPr>
        <w:pStyle w:val="Prrafodelista"/>
        <w:numPr>
          <w:ilvl w:val="0"/>
          <w:numId w:val="3"/>
        </w:numPr>
        <w:tabs>
          <w:tab w:val="left" w:pos="830"/>
        </w:tabs>
        <w:ind w:right="230" w:firstLine="0"/>
        <w:jc w:val="both"/>
        <w:rPr>
          <w:sz w:val="20"/>
        </w:rPr>
      </w:pPr>
      <w:r>
        <w:rPr>
          <w:sz w:val="20"/>
        </w:rPr>
        <w:t>En ese caso, la Corte IDH estimó que los acuerdos de destitución emitidos en contra de las víctimas carecían de motivación porque no contenían “una adecuada rela</w:t>
      </w:r>
      <w:r>
        <w:rPr>
          <w:sz w:val="20"/>
        </w:rPr>
        <w:t>ción entre los hechos constitutivos de la conducta o comportamiento reprochable</w:t>
      </w:r>
      <w:r>
        <w:rPr>
          <w:spacing w:val="-51"/>
          <w:sz w:val="20"/>
        </w:rPr>
        <w:t xml:space="preserve"> </w:t>
      </w:r>
      <w:r>
        <w:rPr>
          <w:sz w:val="20"/>
        </w:rPr>
        <w:t>y las normas presuntamente incumplidas”</w:t>
      </w:r>
      <w:hyperlink w:anchor="_bookmark155" w:history="1">
        <w:r>
          <w:rPr>
            <w:position w:val="7"/>
            <w:sz w:val="13"/>
          </w:rPr>
          <w:t>10</w:t>
        </w:r>
      </w:hyperlink>
      <w:r>
        <w:rPr>
          <w:sz w:val="20"/>
        </w:rPr>
        <w:t>. Asimismo, indicó que “[f]rente a la multiplicidad de normas invocadas por los órganos internos que in</w:t>
      </w:r>
      <w:r>
        <w:rPr>
          <w:sz w:val="20"/>
        </w:rPr>
        <w:t xml:space="preserve">tervinieron en los procesos disciplinarios […] no le corresponde [a esta Corte] seleccionar aquellas que mejor se adecúen a las conductas de las […] víctimas” a “efectos de determinar si cumplen o no con los requisitos de </w:t>
      </w:r>
      <w:r>
        <w:rPr>
          <w:i/>
          <w:sz w:val="20"/>
        </w:rPr>
        <w:t xml:space="preserve">precisión y claridad que exige el </w:t>
      </w:r>
      <w:r>
        <w:rPr>
          <w:i/>
          <w:sz w:val="20"/>
        </w:rPr>
        <w:t>principio de legalidad</w:t>
      </w:r>
      <w:r>
        <w:rPr>
          <w:i/>
          <w:spacing w:val="-13"/>
          <w:sz w:val="20"/>
        </w:rPr>
        <w:t xml:space="preserve"> </w:t>
      </w:r>
      <w:r>
        <w:rPr>
          <w:i/>
          <w:sz w:val="20"/>
        </w:rPr>
        <w:t>para</w:t>
      </w:r>
      <w:r>
        <w:rPr>
          <w:i/>
          <w:spacing w:val="-10"/>
          <w:sz w:val="20"/>
        </w:rPr>
        <w:t xml:space="preserve"> </w:t>
      </w:r>
      <w:r>
        <w:rPr>
          <w:i/>
          <w:sz w:val="20"/>
        </w:rPr>
        <w:t>normas</w:t>
      </w:r>
      <w:r>
        <w:rPr>
          <w:i/>
          <w:spacing w:val="-11"/>
          <w:sz w:val="20"/>
        </w:rPr>
        <w:t xml:space="preserve"> </w:t>
      </w:r>
      <w:r>
        <w:rPr>
          <w:i/>
          <w:sz w:val="20"/>
        </w:rPr>
        <w:t>de</w:t>
      </w:r>
      <w:r>
        <w:rPr>
          <w:i/>
          <w:spacing w:val="-11"/>
          <w:sz w:val="20"/>
        </w:rPr>
        <w:t xml:space="preserve"> </w:t>
      </w:r>
      <w:r>
        <w:rPr>
          <w:i/>
          <w:sz w:val="20"/>
        </w:rPr>
        <w:t>carácter</w:t>
      </w:r>
      <w:r>
        <w:rPr>
          <w:i/>
          <w:spacing w:val="-12"/>
          <w:sz w:val="20"/>
        </w:rPr>
        <w:t xml:space="preserve"> </w:t>
      </w:r>
      <w:r>
        <w:rPr>
          <w:i/>
          <w:sz w:val="20"/>
        </w:rPr>
        <w:t>sancionatorio”</w:t>
      </w:r>
      <w:r>
        <w:rPr>
          <w:sz w:val="20"/>
        </w:rPr>
        <w:t>.</w:t>
      </w:r>
      <w:r>
        <w:rPr>
          <w:spacing w:val="-13"/>
          <w:sz w:val="20"/>
        </w:rPr>
        <w:t xml:space="preserve"> </w:t>
      </w:r>
      <w:r>
        <w:rPr>
          <w:sz w:val="20"/>
        </w:rPr>
        <w:t>La</w:t>
      </w:r>
      <w:r>
        <w:rPr>
          <w:spacing w:val="-10"/>
          <w:sz w:val="20"/>
        </w:rPr>
        <w:t xml:space="preserve"> </w:t>
      </w:r>
      <w:r>
        <w:rPr>
          <w:sz w:val="20"/>
        </w:rPr>
        <w:t>Corte</w:t>
      </w:r>
      <w:r>
        <w:rPr>
          <w:spacing w:val="-14"/>
          <w:sz w:val="20"/>
        </w:rPr>
        <w:t xml:space="preserve"> </w:t>
      </w:r>
      <w:r>
        <w:rPr>
          <w:sz w:val="20"/>
        </w:rPr>
        <w:t>IDH</w:t>
      </w:r>
      <w:r>
        <w:rPr>
          <w:spacing w:val="-11"/>
          <w:sz w:val="20"/>
        </w:rPr>
        <w:t xml:space="preserve"> </w:t>
      </w:r>
      <w:r>
        <w:rPr>
          <w:sz w:val="20"/>
        </w:rPr>
        <w:t>concluyó,</w:t>
      </w:r>
      <w:r>
        <w:rPr>
          <w:spacing w:val="-14"/>
          <w:sz w:val="20"/>
        </w:rPr>
        <w:t xml:space="preserve"> </w:t>
      </w:r>
      <w:r>
        <w:rPr>
          <w:sz w:val="20"/>
        </w:rPr>
        <w:t>que</w:t>
      </w:r>
      <w:r>
        <w:rPr>
          <w:spacing w:val="-12"/>
          <w:sz w:val="20"/>
        </w:rPr>
        <w:t xml:space="preserve"> </w:t>
      </w:r>
      <w:r>
        <w:rPr>
          <w:sz w:val="20"/>
        </w:rPr>
        <w:t>al</w:t>
      </w:r>
      <w:r>
        <w:rPr>
          <w:spacing w:val="-12"/>
          <w:sz w:val="20"/>
        </w:rPr>
        <w:t xml:space="preserve"> </w:t>
      </w:r>
      <w:r>
        <w:rPr>
          <w:sz w:val="20"/>
        </w:rPr>
        <w:t>menos en este caso, “</w:t>
      </w:r>
      <w:r>
        <w:rPr>
          <w:i/>
          <w:sz w:val="20"/>
        </w:rPr>
        <w:t xml:space="preserve">no es posible realizar un análisis detallado respecto al requisito de legalidad material de las normas supuestamente incumplidas, debido a la </w:t>
      </w:r>
      <w:r>
        <w:rPr>
          <w:i/>
          <w:sz w:val="20"/>
        </w:rPr>
        <w:t>ausencia de motivación</w:t>
      </w:r>
      <w:r>
        <w:rPr>
          <w:sz w:val="20"/>
        </w:rPr>
        <w:t>” [énfasis</w:t>
      </w:r>
      <w:r>
        <w:rPr>
          <w:spacing w:val="-4"/>
          <w:sz w:val="20"/>
        </w:rPr>
        <w:t xml:space="preserve"> </w:t>
      </w:r>
      <w:r>
        <w:rPr>
          <w:sz w:val="20"/>
        </w:rPr>
        <w:t>añadido]</w:t>
      </w:r>
      <w:hyperlink w:anchor="_bookmark156" w:history="1">
        <w:r>
          <w:rPr>
            <w:position w:val="7"/>
            <w:sz w:val="13"/>
          </w:rPr>
          <w:t>11</w:t>
        </w:r>
      </w:hyperlink>
      <w:r>
        <w:rPr>
          <w:sz w:val="20"/>
        </w:rPr>
        <w:t>.</w:t>
      </w:r>
    </w:p>
    <w:p w14:paraId="7B5B7B52" w14:textId="77777777" w:rsidR="00492688" w:rsidRDefault="00492688">
      <w:pPr>
        <w:pStyle w:val="Textoindependiente"/>
        <w:spacing w:before="11"/>
        <w:rPr>
          <w:sz w:val="19"/>
        </w:rPr>
      </w:pPr>
    </w:p>
    <w:p w14:paraId="7F96ED60" w14:textId="77777777" w:rsidR="00492688" w:rsidRDefault="00C9584B">
      <w:pPr>
        <w:pStyle w:val="Prrafodelista"/>
        <w:numPr>
          <w:ilvl w:val="0"/>
          <w:numId w:val="3"/>
        </w:numPr>
        <w:tabs>
          <w:tab w:val="left" w:pos="830"/>
        </w:tabs>
        <w:ind w:right="231" w:hanging="1"/>
        <w:jc w:val="both"/>
        <w:rPr>
          <w:sz w:val="20"/>
        </w:rPr>
      </w:pPr>
      <w:r>
        <w:rPr>
          <w:sz w:val="20"/>
        </w:rPr>
        <w:t xml:space="preserve">En el párrafo 272 de la sentencia del caso </w:t>
      </w:r>
      <w:r>
        <w:rPr>
          <w:i/>
          <w:sz w:val="20"/>
        </w:rPr>
        <w:t>López Lone y otros</w:t>
      </w:r>
      <w:r>
        <w:rPr>
          <w:sz w:val="20"/>
        </w:rPr>
        <w:t xml:space="preserve">, la Corte IDH, retomando lo indicado en el párrafo </w:t>
      </w:r>
      <w:r>
        <w:rPr>
          <w:spacing w:val="2"/>
          <w:sz w:val="20"/>
        </w:rPr>
        <w:t>257</w:t>
      </w:r>
      <w:hyperlink w:anchor="_bookmark157" w:history="1">
        <w:r>
          <w:rPr>
            <w:spacing w:val="2"/>
            <w:position w:val="7"/>
            <w:sz w:val="13"/>
          </w:rPr>
          <w:t>12</w:t>
        </w:r>
      </w:hyperlink>
      <w:r>
        <w:rPr>
          <w:spacing w:val="2"/>
          <w:position w:val="7"/>
          <w:sz w:val="13"/>
        </w:rPr>
        <w:t xml:space="preserve"> </w:t>
      </w:r>
      <w:r>
        <w:rPr>
          <w:sz w:val="20"/>
        </w:rPr>
        <w:t>reiteró que “aun cuando puede</w:t>
      </w:r>
      <w:r>
        <w:rPr>
          <w:spacing w:val="66"/>
          <w:sz w:val="20"/>
        </w:rPr>
        <w:t xml:space="preserve"> </w:t>
      </w:r>
      <w:r>
        <w:rPr>
          <w:sz w:val="20"/>
        </w:rPr>
        <w:t>aceptarse</w:t>
      </w:r>
    </w:p>
    <w:p w14:paraId="5C1D6DFD" w14:textId="77777777" w:rsidR="00492688" w:rsidRDefault="00492688">
      <w:pPr>
        <w:pStyle w:val="Textoindependiente"/>
      </w:pPr>
    </w:p>
    <w:p w14:paraId="70117553" w14:textId="274B284A" w:rsidR="00492688" w:rsidRDefault="00C9584B">
      <w:pPr>
        <w:pStyle w:val="Textoindependiente"/>
        <w:spacing w:before="6"/>
        <w:rPr>
          <w:sz w:val="17"/>
        </w:rPr>
      </w:pPr>
      <w:r>
        <w:rPr>
          <w:noProof/>
        </w:rPr>
        <mc:AlternateContent>
          <mc:Choice Requires="wps">
            <w:drawing>
              <wp:anchor distT="0" distB="0" distL="0" distR="0" simplePos="0" relativeHeight="251688960" behindDoc="1" locked="0" layoutInCell="1" allowOverlap="1" wp14:anchorId="6E9FBBDE" wp14:editId="60473863">
                <wp:simplePos x="0" y="0"/>
                <wp:positionH relativeFrom="page">
                  <wp:posOffset>1080770</wp:posOffset>
                </wp:positionH>
                <wp:positionV relativeFrom="paragraph">
                  <wp:posOffset>163830</wp:posOffset>
                </wp:positionV>
                <wp:extent cx="1828800" cy="1270"/>
                <wp:effectExtent l="0" t="0" r="0" b="0"/>
                <wp:wrapTopAndBottom/>
                <wp:docPr id="1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8235D" id="Freeform 12" o:spid="_x0000_s1026" style="position:absolute;margin-left:85.1pt;margin-top:12.9pt;width:2in;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68CED900" w14:textId="77777777" w:rsidR="00492688" w:rsidRDefault="00492688">
      <w:pPr>
        <w:pStyle w:val="Textoindependiente"/>
        <w:spacing w:before="1"/>
        <w:rPr>
          <w:sz w:val="6"/>
        </w:rPr>
      </w:pPr>
    </w:p>
    <w:p w14:paraId="6267CBE9" w14:textId="77777777" w:rsidR="00492688" w:rsidRDefault="00C9584B">
      <w:pPr>
        <w:tabs>
          <w:tab w:val="left" w:pos="829"/>
        </w:tabs>
        <w:spacing w:before="101"/>
        <w:ind w:left="121" w:right="229"/>
        <w:jc w:val="both"/>
        <w:rPr>
          <w:sz w:val="16"/>
        </w:rPr>
      </w:pPr>
      <w:bookmarkStart w:id="185" w:name="_bookmark153"/>
      <w:bookmarkEnd w:id="185"/>
      <w:r>
        <w:rPr>
          <w:position w:val="6"/>
          <w:sz w:val="10"/>
        </w:rPr>
        <w:t>8</w:t>
      </w:r>
      <w:r>
        <w:rPr>
          <w:position w:val="6"/>
          <w:sz w:val="10"/>
        </w:rPr>
        <w:tab/>
      </w:r>
      <w:r>
        <w:rPr>
          <w:i/>
          <w:sz w:val="16"/>
        </w:rPr>
        <w:t>Cfr. Caso López Lone y otros Vs. Honduras. Excepción Preliminar, Fondo, Reparaciones y Costas</w:t>
      </w:r>
      <w:r>
        <w:rPr>
          <w:sz w:val="16"/>
        </w:rPr>
        <w:t>. Sentencia de 5 de octubre de 2015. Serie C No. 302, párr.</w:t>
      </w:r>
      <w:r>
        <w:rPr>
          <w:spacing w:val="-18"/>
          <w:sz w:val="16"/>
        </w:rPr>
        <w:t xml:space="preserve"> </w:t>
      </w:r>
      <w:r>
        <w:rPr>
          <w:sz w:val="16"/>
        </w:rPr>
        <w:t>267.</w:t>
      </w:r>
    </w:p>
    <w:p w14:paraId="43068D99" w14:textId="77777777" w:rsidR="00492688" w:rsidRDefault="00C9584B">
      <w:pPr>
        <w:tabs>
          <w:tab w:val="left" w:pos="829"/>
        </w:tabs>
        <w:spacing w:before="100"/>
        <w:ind w:left="121" w:right="229"/>
        <w:jc w:val="both"/>
        <w:rPr>
          <w:sz w:val="16"/>
        </w:rPr>
      </w:pPr>
      <w:bookmarkStart w:id="186" w:name="_bookmark154"/>
      <w:bookmarkEnd w:id="186"/>
      <w:r>
        <w:rPr>
          <w:position w:val="6"/>
          <w:sz w:val="10"/>
        </w:rPr>
        <w:t>9</w:t>
      </w:r>
      <w:r>
        <w:rPr>
          <w:position w:val="6"/>
          <w:sz w:val="10"/>
        </w:rPr>
        <w:tab/>
      </w:r>
      <w:r>
        <w:rPr>
          <w:i/>
          <w:sz w:val="16"/>
        </w:rPr>
        <w:t>Cfr. Caso López Lone y otros Vs. Honduras. Excepci</w:t>
      </w:r>
      <w:r>
        <w:rPr>
          <w:i/>
          <w:sz w:val="16"/>
        </w:rPr>
        <w:t>ón Preliminar, Fondo, Reparaciones y Costas</w:t>
      </w:r>
      <w:r>
        <w:rPr>
          <w:sz w:val="16"/>
        </w:rPr>
        <w:t>. Sentencia de 5 de octubre de 2015. Serie C No. 302, párr.</w:t>
      </w:r>
      <w:r>
        <w:rPr>
          <w:spacing w:val="-17"/>
          <w:sz w:val="16"/>
        </w:rPr>
        <w:t xml:space="preserve"> </w:t>
      </w:r>
      <w:r>
        <w:rPr>
          <w:sz w:val="16"/>
        </w:rPr>
        <w:t>270.</w:t>
      </w:r>
    </w:p>
    <w:p w14:paraId="6D730C42" w14:textId="77777777" w:rsidR="00492688" w:rsidRDefault="00C9584B">
      <w:pPr>
        <w:tabs>
          <w:tab w:val="left" w:pos="829"/>
        </w:tabs>
        <w:spacing w:before="99"/>
        <w:ind w:left="121" w:right="229"/>
        <w:jc w:val="both"/>
        <w:rPr>
          <w:sz w:val="16"/>
        </w:rPr>
      </w:pPr>
      <w:bookmarkStart w:id="187" w:name="_bookmark155"/>
      <w:bookmarkEnd w:id="187"/>
      <w:r>
        <w:rPr>
          <w:position w:val="6"/>
          <w:sz w:val="10"/>
        </w:rPr>
        <w:t>10</w:t>
      </w:r>
      <w:r>
        <w:rPr>
          <w:position w:val="6"/>
          <w:sz w:val="10"/>
        </w:rPr>
        <w:tab/>
      </w:r>
      <w:r>
        <w:rPr>
          <w:i/>
          <w:sz w:val="16"/>
        </w:rPr>
        <w:t>Cfr. Caso López Lone y otros Vs. Honduras. Excepción Preliminar, Fondo, Reparaciones y Costas</w:t>
      </w:r>
      <w:r>
        <w:rPr>
          <w:sz w:val="16"/>
        </w:rPr>
        <w:t>. Sentencia de 5 de octubre de 2015. Serie C No. 302</w:t>
      </w:r>
      <w:r>
        <w:rPr>
          <w:sz w:val="16"/>
        </w:rPr>
        <w:t>, párr.</w:t>
      </w:r>
      <w:r>
        <w:rPr>
          <w:spacing w:val="-17"/>
          <w:sz w:val="16"/>
        </w:rPr>
        <w:t xml:space="preserve"> </w:t>
      </w:r>
      <w:r>
        <w:rPr>
          <w:sz w:val="16"/>
        </w:rPr>
        <w:t>270.</w:t>
      </w:r>
    </w:p>
    <w:p w14:paraId="71AA2C78" w14:textId="77777777" w:rsidR="00492688" w:rsidRDefault="00C9584B">
      <w:pPr>
        <w:tabs>
          <w:tab w:val="left" w:pos="829"/>
        </w:tabs>
        <w:spacing w:before="100"/>
        <w:ind w:left="121" w:right="229"/>
        <w:jc w:val="both"/>
        <w:rPr>
          <w:sz w:val="16"/>
        </w:rPr>
      </w:pPr>
      <w:bookmarkStart w:id="188" w:name="_bookmark156"/>
      <w:bookmarkEnd w:id="188"/>
      <w:r>
        <w:rPr>
          <w:position w:val="6"/>
          <w:sz w:val="10"/>
        </w:rPr>
        <w:t>11</w:t>
      </w:r>
      <w:r>
        <w:rPr>
          <w:position w:val="6"/>
          <w:sz w:val="10"/>
        </w:rPr>
        <w:tab/>
      </w:r>
      <w:r>
        <w:rPr>
          <w:i/>
          <w:sz w:val="16"/>
        </w:rPr>
        <w:t>Cfr. Caso López Lone y otros Vs. Honduras. Excepción Preliminar, Fondo, Reparaciones y Costas</w:t>
      </w:r>
      <w:r>
        <w:rPr>
          <w:sz w:val="16"/>
        </w:rPr>
        <w:t>. Sentencia de 5 de octubre de 2015. Serie C No. 302, párr.</w:t>
      </w:r>
      <w:r>
        <w:rPr>
          <w:spacing w:val="-18"/>
          <w:sz w:val="16"/>
        </w:rPr>
        <w:t xml:space="preserve"> </w:t>
      </w:r>
      <w:r>
        <w:rPr>
          <w:sz w:val="16"/>
        </w:rPr>
        <w:t>271.</w:t>
      </w:r>
    </w:p>
    <w:p w14:paraId="2878F866" w14:textId="77777777" w:rsidR="00492688" w:rsidRDefault="00C9584B">
      <w:pPr>
        <w:tabs>
          <w:tab w:val="left" w:pos="829"/>
        </w:tabs>
        <w:spacing w:before="101"/>
        <w:ind w:left="121" w:right="226"/>
        <w:jc w:val="both"/>
        <w:rPr>
          <w:sz w:val="16"/>
        </w:rPr>
      </w:pPr>
      <w:bookmarkStart w:id="189" w:name="_bookmark157"/>
      <w:bookmarkEnd w:id="189"/>
      <w:r>
        <w:rPr>
          <w:position w:val="6"/>
          <w:sz w:val="10"/>
        </w:rPr>
        <w:t>12</w:t>
      </w:r>
      <w:r>
        <w:rPr>
          <w:position w:val="6"/>
          <w:sz w:val="10"/>
        </w:rPr>
        <w:tab/>
      </w:r>
      <w:r>
        <w:rPr>
          <w:sz w:val="16"/>
        </w:rPr>
        <w:t>Al respecto en el referido párrafo, el Tribunal Interamericano indicó que: “257</w:t>
      </w:r>
      <w:r>
        <w:rPr>
          <w:sz w:val="16"/>
        </w:rPr>
        <w:t>. La Corte ha establecido que el artículo 9 de la Convención Americana, el cual establece el principio de legalidad, es aplicable</w:t>
      </w:r>
      <w:r>
        <w:rPr>
          <w:spacing w:val="-8"/>
          <w:sz w:val="16"/>
        </w:rPr>
        <w:t xml:space="preserve"> </w:t>
      </w:r>
      <w:r>
        <w:rPr>
          <w:sz w:val="16"/>
        </w:rPr>
        <w:t>a</w:t>
      </w:r>
      <w:r>
        <w:rPr>
          <w:spacing w:val="-11"/>
          <w:sz w:val="16"/>
        </w:rPr>
        <w:t xml:space="preserve"> </w:t>
      </w:r>
      <w:r>
        <w:rPr>
          <w:sz w:val="16"/>
        </w:rPr>
        <w:t>la</w:t>
      </w:r>
      <w:r>
        <w:rPr>
          <w:spacing w:val="-10"/>
          <w:sz w:val="16"/>
        </w:rPr>
        <w:t xml:space="preserve"> </w:t>
      </w:r>
      <w:r>
        <w:rPr>
          <w:sz w:val="16"/>
        </w:rPr>
        <w:t>materia</w:t>
      </w:r>
      <w:r>
        <w:rPr>
          <w:spacing w:val="-9"/>
          <w:sz w:val="16"/>
        </w:rPr>
        <w:t xml:space="preserve"> </w:t>
      </w:r>
      <w:r>
        <w:rPr>
          <w:sz w:val="16"/>
        </w:rPr>
        <w:t>sancionatoria</w:t>
      </w:r>
      <w:r>
        <w:rPr>
          <w:spacing w:val="-8"/>
          <w:sz w:val="16"/>
        </w:rPr>
        <w:t xml:space="preserve"> </w:t>
      </w:r>
      <w:r>
        <w:rPr>
          <w:sz w:val="16"/>
        </w:rPr>
        <w:t>administrativa.</w:t>
      </w:r>
      <w:r>
        <w:rPr>
          <w:spacing w:val="-12"/>
          <w:sz w:val="16"/>
        </w:rPr>
        <w:t xml:space="preserve"> </w:t>
      </w:r>
      <w:r>
        <w:rPr>
          <w:sz w:val="16"/>
        </w:rPr>
        <w:t>Al</w:t>
      </w:r>
      <w:r>
        <w:rPr>
          <w:spacing w:val="-11"/>
          <w:sz w:val="16"/>
        </w:rPr>
        <w:t xml:space="preserve"> </w:t>
      </w:r>
      <w:r>
        <w:rPr>
          <w:sz w:val="16"/>
        </w:rPr>
        <w:t>respecto,</w:t>
      </w:r>
      <w:r>
        <w:rPr>
          <w:spacing w:val="-9"/>
          <w:sz w:val="16"/>
        </w:rPr>
        <w:t xml:space="preserve"> </w:t>
      </w:r>
      <w:r>
        <w:rPr>
          <w:sz w:val="16"/>
        </w:rPr>
        <w:t>es</w:t>
      </w:r>
      <w:r>
        <w:rPr>
          <w:spacing w:val="-12"/>
          <w:sz w:val="16"/>
        </w:rPr>
        <w:t xml:space="preserve"> </w:t>
      </w:r>
      <w:r>
        <w:rPr>
          <w:sz w:val="16"/>
        </w:rPr>
        <w:t>preciso</w:t>
      </w:r>
      <w:r>
        <w:rPr>
          <w:spacing w:val="-10"/>
          <w:sz w:val="16"/>
        </w:rPr>
        <w:t xml:space="preserve"> </w:t>
      </w:r>
      <w:r>
        <w:rPr>
          <w:sz w:val="16"/>
        </w:rPr>
        <w:t>tomar</w:t>
      </w:r>
      <w:r>
        <w:rPr>
          <w:spacing w:val="-11"/>
          <w:sz w:val="16"/>
        </w:rPr>
        <w:t xml:space="preserve"> </w:t>
      </w:r>
      <w:r>
        <w:rPr>
          <w:sz w:val="16"/>
        </w:rPr>
        <w:t>en</w:t>
      </w:r>
      <w:r>
        <w:rPr>
          <w:spacing w:val="-12"/>
          <w:sz w:val="16"/>
        </w:rPr>
        <w:t xml:space="preserve"> </w:t>
      </w:r>
      <w:r>
        <w:rPr>
          <w:sz w:val="16"/>
        </w:rPr>
        <w:t>cuenta</w:t>
      </w:r>
      <w:r>
        <w:rPr>
          <w:spacing w:val="-8"/>
          <w:sz w:val="16"/>
        </w:rPr>
        <w:t xml:space="preserve"> </w:t>
      </w:r>
      <w:r>
        <w:rPr>
          <w:sz w:val="16"/>
        </w:rPr>
        <w:t>que</w:t>
      </w:r>
      <w:r>
        <w:rPr>
          <w:spacing w:val="-11"/>
          <w:sz w:val="16"/>
        </w:rPr>
        <w:t xml:space="preserve"> </w:t>
      </w:r>
      <w:r>
        <w:rPr>
          <w:sz w:val="16"/>
        </w:rPr>
        <w:t>las</w:t>
      </w:r>
      <w:r>
        <w:rPr>
          <w:spacing w:val="-12"/>
          <w:sz w:val="16"/>
        </w:rPr>
        <w:t xml:space="preserve"> </w:t>
      </w:r>
      <w:r>
        <w:rPr>
          <w:sz w:val="16"/>
        </w:rPr>
        <w:t>sanciones administrativas son, como las penales, una expresión del poder punitivo del Estado y que tienen, en ocasiones,</w:t>
      </w:r>
      <w:r>
        <w:rPr>
          <w:spacing w:val="-16"/>
          <w:sz w:val="16"/>
        </w:rPr>
        <w:t xml:space="preserve"> </w:t>
      </w:r>
      <w:r>
        <w:rPr>
          <w:sz w:val="16"/>
        </w:rPr>
        <w:t>naturaleza</w:t>
      </w:r>
      <w:r>
        <w:rPr>
          <w:spacing w:val="-15"/>
          <w:sz w:val="16"/>
        </w:rPr>
        <w:t xml:space="preserve"> </w:t>
      </w:r>
      <w:r>
        <w:rPr>
          <w:sz w:val="16"/>
        </w:rPr>
        <w:t>similar</w:t>
      </w:r>
      <w:r>
        <w:rPr>
          <w:spacing w:val="-14"/>
          <w:sz w:val="16"/>
        </w:rPr>
        <w:t xml:space="preserve"> </w:t>
      </w:r>
      <w:r>
        <w:rPr>
          <w:sz w:val="16"/>
        </w:rPr>
        <w:t>a</w:t>
      </w:r>
      <w:r>
        <w:rPr>
          <w:spacing w:val="-17"/>
          <w:sz w:val="16"/>
        </w:rPr>
        <w:t xml:space="preserve"> </w:t>
      </w:r>
      <w:r>
        <w:rPr>
          <w:sz w:val="16"/>
        </w:rPr>
        <w:t>la</w:t>
      </w:r>
      <w:r>
        <w:rPr>
          <w:spacing w:val="-15"/>
          <w:sz w:val="16"/>
        </w:rPr>
        <w:t xml:space="preserve"> </w:t>
      </w:r>
      <w:r>
        <w:rPr>
          <w:sz w:val="16"/>
        </w:rPr>
        <w:t>de</w:t>
      </w:r>
      <w:r>
        <w:rPr>
          <w:spacing w:val="-14"/>
          <w:sz w:val="16"/>
        </w:rPr>
        <w:t xml:space="preserve"> </w:t>
      </w:r>
      <w:r>
        <w:rPr>
          <w:sz w:val="16"/>
        </w:rPr>
        <w:t>éstas</w:t>
      </w:r>
      <w:r>
        <w:rPr>
          <w:spacing w:val="-14"/>
          <w:sz w:val="16"/>
        </w:rPr>
        <w:t xml:space="preserve"> </w:t>
      </w:r>
      <w:r>
        <w:rPr>
          <w:sz w:val="16"/>
        </w:rPr>
        <w:t>puesto</w:t>
      </w:r>
      <w:r>
        <w:rPr>
          <w:spacing w:val="-14"/>
          <w:sz w:val="16"/>
        </w:rPr>
        <w:t xml:space="preserve"> </w:t>
      </w:r>
      <w:r>
        <w:rPr>
          <w:sz w:val="16"/>
        </w:rPr>
        <w:t>que</w:t>
      </w:r>
      <w:r>
        <w:rPr>
          <w:spacing w:val="-17"/>
          <w:sz w:val="16"/>
        </w:rPr>
        <w:t xml:space="preserve"> </w:t>
      </w:r>
      <w:r>
        <w:rPr>
          <w:sz w:val="16"/>
        </w:rPr>
        <w:t>unas</w:t>
      </w:r>
      <w:r>
        <w:rPr>
          <w:spacing w:val="-14"/>
          <w:sz w:val="16"/>
        </w:rPr>
        <w:t xml:space="preserve"> </w:t>
      </w:r>
      <w:r>
        <w:rPr>
          <w:sz w:val="16"/>
        </w:rPr>
        <w:t>y</w:t>
      </w:r>
      <w:r>
        <w:rPr>
          <w:spacing w:val="-16"/>
          <w:sz w:val="16"/>
        </w:rPr>
        <w:t xml:space="preserve"> </w:t>
      </w:r>
      <w:r>
        <w:rPr>
          <w:sz w:val="16"/>
        </w:rPr>
        <w:t>otras</w:t>
      </w:r>
      <w:r>
        <w:rPr>
          <w:spacing w:val="-14"/>
          <w:sz w:val="16"/>
        </w:rPr>
        <w:t xml:space="preserve"> </w:t>
      </w:r>
      <w:r>
        <w:rPr>
          <w:sz w:val="16"/>
        </w:rPr>
        <w:t>implican</w:t>
      </w:r>
      <w:r>
        <w:rPr>
          <w:spacing w:val="-15"/>
          <w:sz w:val="16"/>
        </w:rPr>
        <w:t xml:space="preserve"> </w:t>
      </w:r>
      <w:r>
        <w:rPr>
          <w:sz w:val="16"/>
        </w:rPr>
        <w:t>menoscabo,</w:t>
      </w:r>
      <w:r>
        <w:rPr>
          <w:spacing w:val="-18"/>
          <w:sz w:val="16"/>
        </w:rPr>
        <w:t xml:space="preserve"> </w:t>
      </w:r>
      <w:r>
        <w:rPr>
          <w:sz w:val="16"/>
        </w:rPr>
        <w:t>privación</w:t>
      </w:r>
      <w:r>
        <w:rPr>
          <w:spacing w:val="-18"/>
          <w:sz w:val="16"/>
        </w:rPr>
        <w:t xml:space="preserve"> </w:t>
      </w:r>
      <w:r>
        <w:rPr>
          <w:sz w:val="16"/>
        </w:rPr>
        <w:t>o</w:t>
      </w:r>
      <w:r>
        <w:rPr>
          <w:spacing w:val="-14"/>
          <w:sz w:val="16"/>
        </w:rPr>
        <w:t xml:space="preserve"> </w:t>
      </w:r>
      <w:r>
        <w:rPr>
          <w:sz w:val="16"/>
        </w:rPr>
        <w:t>alteración de</w:t>
      </w:r>
      <w:r>
        <w:rPr>
          <w:spacing w:val="-14"/>
          <w:sz w:val="16"/>
        </w:rPr>
        <w:t xml:space="preserve"> </w:t>
      </w:r>
      <w:r>
        <w:rPr>
          <w:sz w:val="16"/>
        </w:rPr>
        <w:t>los</w:t>
      </w:r>
      <w:r>
        <w:rPr>
          <w:spacing w:val="-14"/>
          <w:sz w:val="16"/>
        </w:rPr>
        <w:t xml:space="preserve"> </w:t>
      </w:r>
      <w:r>
        <w:rPr>
          <w:sz w:val="16"/>
        </w:rPr>
        <w:t>derechos</w:t>
      </w:r>
      <w:r>
        <w:rPr>
          <w:spacing w:val="-17"/>
          <w:sz w:val="16"/>
        </w:rPr>
        <w:t xml:space="preserve"> </w:t>
      </w:r>
      <w:r>
        <w:rPr>
          <w:sz w:val="16"/>
        </w:rPr>
        <w:t>de</w:t>
      </w:r>
      <w:r>
        <w:rPr>
          <w:spacing w:val="-14"/>
          <w:sz w:val="16"/>
        </w:rPr>
        <w:t xml:space="preserve"> </w:t>
      </w:r>
      <w:r>
        <w:rPr>
          <w:sz w:val="16"/>
        </w:rPr>
        <w:t>las</w:t>
      </w:r>
      <w:r>
        <w:rPr>
          <w:spacing w:val="-14"/>
          <w:sz w:val="16"/>
        </w:rPr>
        <w:t xml:space="preserve"> </w:t>
      </w:r>
      <w:r>
        <w:rPr>
          <w:sz w:val="16"/>
        </w:rPr>
        <w:t>personas.</w:t>
      </w:r>
      <w:r>
        <w:rPr>
          <w:spacing w:val="-13"/>
          <w:sz w:val="16"/>
        </w:rPr>
        <w:t xml:space="preserve"> </w:t>
      </w:r>
      <w:r>
        <w:rPr>
          <w:sz w:val="16"/>
        </w:rPr>
        <w:t>Po</w:t>
      </w:r>
      <w:r>
        <w:rPr>
          <w:sz w:val="16"/>
        </w:rPr>
        <w:t>r</w:t>
      </w:r>
      <w:r>
        <w:rPr>
          <w:spacing w:val="-14"/>
          <w:sz w:val="16"/>
        </w:rPr>
        <w:t xml:space="preserve"> </w:t>
      </w:r>
      <w:r>
        <w:rPr>
          <w:sz w:val="16"/>
        </w:rPr>
        <w:t>lo</w:t>
      </w:r>
      <w:r>
        <w:rPr>
          <w:spacing w:val="-14"/>
          <w:sz w:val="16"/>
        </w:rPr>
        <w:t xml:space="preserve"> </w:t>
      </w:r>
      <w:r>
        <w:rPr>
          <w:sz w:val="16"/>
        </w:rPr>
        <w:t>tanto,</w:t>
      </w:r>
      <w:r>
        <w:rPr>
          <w:spacing w:val="-13"/>
          <w:sz w:val="16"/>
        </w:rPr>
        <w:t xml:space="preserve"> </w:t>
      </w:r>
      <w:r>
        <w:rPr>
          <w:sz w:val="16"/>
        </w:rPr>
        <w:t>en</w:t>
      </w:r>
      <w:r>
        <w:rPr>
          <w:spacing w:val="-15"/>
          <w:sz w:val="16"/>
        </w:rPr>
        <w:t xml:space="preserve"> </w:t>
      </w:r>
      <w:r>
        <w:rPr>
          <w:sz w:val="16"/>
        </w:rPr>
        <w:t>un</w:t>
      </w:r>
      <w:r>
        <w:rPr>
          <w:spacing w:val="-14"/>
          <w:sz w:val="16"/>
        </w:rPr>
        <w:t xml:space="preserve"> </w:t>
      </w:r>
      <w:r>
        <w:rPr>
          <w:sz w:val="16"/>
        </w:rPr>
        <w:t>sistema</w:t>
      </w:r>
      <w:r>
        <w:rPr>
          <w:spacing w:val="-15"/>
          <w:sz w:val="16"/>
        </w:rPr>
        <w:t xml:space="preserve"> </w:t>
      </w:r>
      <w:r>
        <w:rPr>
          <w:sz w:val="16"/>
        </w:rPr>
        <w:t>democrático</w:t>
      </w:r>
      <w:r>
        <w:rPr>
          <w:spacing w:val="-14"/>
          <w:sz w:val="16"/>
        </w:rPr>
        <w:t xml:space="preserve"> </w:t>
      </w:r>
      <w:r>
        <w:rPr>
          <w:sz w:val="16"/>
        </w:rPr>
        <w:t>es</w:t>
      </w:r>
      <w:r>
        <w:rPr>
          <w:spacing w:val="-17"/>
          <w:sz w:val="16"/>
        </w:rPr>
        <w:t xml:space="preserve"> </w:t>
      </w:r>
      <w:r>
        <w:rPr>
          <w:sz w:val="16"/>
        </w:rPr>
        <w:t>preciso</w:t>
      </w:r>
      <w:r>
        <w:rPr>
          <w:spacing w:val="-16"/>
          <w:sz w:val="16"/>
        </w:rPr>
        <w:t xml:space="preserve"> </w:t>
      </w:r>
      <w:r>
        <w:rPr>
          <w:sz w:val="16"/>
        </w:rPr>
        <w:t>extremar</w:t>
      </w:r>
      <w:r>
        <w:rPr>
          <w:spacing w:val="-11"/>
          <w:sz w:val="16"/>
        </w:rPr>
        <w:t xml:space="preserve"> </w:t>
      </w:r>
      <w:r>
        <w:rPr>
          <w:sz w:val="16"/>
        </w:rPr>
        <w:t>las</w:t>
      </w:r>
      <w:r>
        <w:rPr>
          <w:spacing w:val="-17"/>
          <w:sz w:val="16"/>
        </w:rPr>
        <w:t xml:space="preserve"> </w:t>
      </w:r>
      <w:r>
        <w:rPr>
          <w:sz w:val="16"/>
        </w:rPr>
        <w:t>precauciones para</w:t>
      </w:r>
      <w:r>
        <w:rPr>
          <w:spacing w:val="-8"/>
          <w:sz w:val="16"/>
        </w:rPr>
        <w:t xml:space="preserve"> </w:t>
      </w:r>
      <w:r>
        <w:rPr>
          <w:sz w:val="16"/>
        </w:rPr>
        <w:t>que</w:t>
      </w:r>
      <w:r>
        <w:rPr>
          <w:spacing w:val="-10"/>
          <w:sz w:val="16"/>
        </w:rPr>
        <w:t xml:space="preserve"> </w:t>
      </w:r>
      <w:r>
        <w:rPr>
          <w:sz w:val="16"/>
        </w:rPr>
        <w:t>dichas</w:t>
      </w:r>
      <w:r>
        <w:rPr>
          <w:spacing w:val="-7"/>
          <w:sz w:val="16"/>
        </w:rPr>
        <w:t xml:space="preserve"> </w:t>
      </w:r>
      <w:r>
        <w:rPr>
          <w:sz w:val="16"/>
        </w:rPr>
        <w:t>medidas</w:t>
      </w:r>
      <w:r>
        <w:rPr>
          <w:spacing w:val="-7"/>
          <w:sz w:val="16"/>
        </w:rPr>
        <w:t xml:space="preserve"> </w:t>
      </w:r>
      <w:r>
        <w:rPr>
          <w:sz w:val="16"/>
        </w:rPr>
        <w:t>se</w:t>
      </w:r>
      <w:r>
        <w:rPr>
          <w:spacing w:val="-7"/>
          <w:sz w:val="16"/>
        </w:rPr>
        <w:t xml:space="preserve"> </w:t>
      </w:r>
      <w:r>
        <w:rPr>
          <w:sz w:val="16"/>
        </w:rPr>
        <w:t>adopten</w:t>
      </w:r>
      <w:r>
        <w:rPr>
          <w:spacing w:val="-8"/>
          <w:sz w:val="16"/>
        </w:rPr>
        <w:t xml:space="preserve"> </w:t>
      </w:r>
      <w:r>
        <w:rPr>
          <w:sz w:val="16"/>
        </w:rPr>
        <w:t>con</w:t>
      </w:r>
      <w:r>
        <w:rPr>
          <w:spacing w:val="-8"/>
          <w:sz w:val="16"/>
        </w:rPr>
        <w:t xml:space="preserve"> </w:t>
      </w:r>
      <w:r>
        <w:rPr>
          <w:sz w:val="16"/>
        </w:rPr>
        <w:t>estricto</w:t>
      </w:r>
      <w:r>
        <w:rPr>
          <w:spacing w:val="-7"/>
          <w:sz w:val="16"/>
        </w:rPr>
        <w:t xml:space="preserve"> </w:t>
      </w:r>
      <w:r>
        <w:rPr>
          <w:sz w:val="16"/>
        </w:rPr>
        <w:t>respeto</w:t>
      </w:r>
      <w:r>
        <w:rPr>
          <w:spacing w:val="-7"/>
          <w:sz w:val="16"/>
        </w:rPr>
        <w:t xml:space="preserve"> </w:t>
      </w:r>
      <w:r>
        <w:rPr>
          <w:sz w:val="16"/>
        </w:rPr>
        <w:t>a</w:t>
      </w:r>
      <w:r>
        <w:rPr>
          <w:spacing w:val="-7"/>
          <w:sz w:val="16"/>
        </w:rPr>
        <w:t xml:space="preserve"> </w:t>
      </w:r>
      <w:r>
        <w:rPr>
          <w:sz w:val="16"/>
        </w:rPr>
        <w:t>los</w:t>
      </w:r>
      <w:r>
        <w:rPr>
          <w:spacing w:val="-7"/>
          <w:sz w:val="16"/>
        </w:rPr>
        <w:t xml:space="preserve"> </w:t>
      </w:r>
      <w:r>
        <w:rPr>
          <w:sz w:val="16"/>
        </w:rPr>
        <w:t>derechos</w:t>
      </w:r>
      <w:r>
        <w:rPr>
          <w:spacing w:val="-10"/>
          <w:sz w:val="16"/>
        </w:rPr>
        <w:t xml:space="preserve"> </w:t>
      </w:r>
      <w:r>
        <w:rPr>
          <w:sz w:val="16"/>
        </w:rPr>
        <w:t>básicos</w:t>
      </w:r>
      <w:r>
        <w:rPr>
          <w:spacing w:val="-7"/>
          <w:sz w:val="16"/>
        </w:rPr>
        <w:t xml:space="preserve"> </w:t>
      </w:r>
      <w:r>
        <w:rPr>
          <w:sz w:val="16"/>
        </w:rPr>
        <w:t>de</w:t>
      </w:r>
      <w:r>
        <w:rPr>
          <w:spacing w:val="-7"/>
          <w:sz w:val="16"/>
        </w:rPr>
        <w:t xml:space="preserve"> </w:t>
      </w:r>
      <w:r>
        <w:rPr>
          <w:sz w:val="16"/>
        </w:rPr>
        <w:t>las</w:t>
      </w:r>
      <w:r>
        <w:rPr>
          <w:spacing w:val="-7"/>
          <w:sz w:val="16"/>
        </w:rPr>
        <w:t xml:space="preserve"> </w:t>
      </w:r>
      <w:r>
        <w:rPr>
          <w:sz w:val="16"/>
        </w:rPr>
        <w:t>personas</w:t>
      </w:r>
      <w:r>
        <w:rPr>
          <w:spacing w:val="-7"/>
          <w:sz w:val="16"/>
        </w:rPr>
        <w:t xml:space="preserve"> </w:t>
      </w:r>
      <w:r>
        <w:rPr>
          <w:sz w:val="16"/>
        </w:rPr>
        <w:t>y</w:t>
      </w:r>
      <w:r>
        <w:rPr>
          <w:spacing w:val="-9"/>
          <w:sz w:val="16"/>
        </w:rPr>
        <w:t xml:space="preserve"> </w:t>
      </w:r>
      <w:r>
        <w:rPr>
          <w:sz w:val="16"/>
        </w:rPr>
        <w:t>previa</w:t>
      </w:r>
      <w:r>
        <w:rPr>
          <w:spacing w:val="-8"/>
          <w:sz w:val="16"/>
        </w:rPr>
        <w:t xml:space="preserve"> </w:t>
      </w:r>
      <w:r>
        <w:rPr>
          <w:sz w:val="16"/>
        </w:rPr>
        <w:t>una cuidadosa verificación de la efectiva existencia de una conducta ilícita. Asimismo, en aras de la seguridad jurídica es indispensable que la norma sancionatoria exista y resulte conocida, o pueda serlo, antes de que ocurran la acción o la omisión que l</w:t>
      </w:r>
      <w:r>
        <w:rPr>
          <w:sz w:val="16"/>
        </w:rPr>
        <w:t>a contravienen y que se pretende sancionar. En concordancia con lo anterior, la Corte considera que el principio de legalidad también tiene vigencia en materia disciplinaria, no obstante</w:t>
      </w:r>
      <w:r>
        <w:rPr>
          <w:spacing w:val="49"/>
          <w:sz w:val="16"/>
        </w:rPr>
        <w:t xml:space="preserve"> </w:t>
      </w:r>
      <w:r>
        <w:rPr>
          <w:sz w:val="16"/>
        </w:rPr>
        <w:t>su</w:t>
      </w:r>
      <w:r>
        <w:rPr>
          <w:spacing w:val="51"/>
          <w:sz w:val="16"/>
        </w:rPr>
        <w:t xml:space="preserve"> </w:t>
      </w:r>
      <w:r>
        <w:rPr>
          <w:sz w:val="16"/>
        </w:rPr>
        <w:t>alcance</w:t>
      </w:r>
      <w:r>
        <w:rPr>
          <w:spacing w:val="50"/>
          <w:sz w:val="16"/>
        </w:rPr>
        <w:t xml:space="preserve"> </w:t>
      </w:r>
      <w:r>
        <w:rPr>
          <w:sz w:val="16"/>
        </w:rPr>
        <w:t>depende</w:t>
      </w:r>
      <w:r>
        <w:rPr>
          <w:spacing w:val="53"/>
          <w:sz w:val="16"/>
        </w:rPr>
        <w:t xml:space="preserve"> </w:t>
      </w:r>
      <w:r>
        <w:rPr>
          <w:sz w:val="16"/>
        </w:rPr>
        <w:t>considerablemente</w:t>
      </w:r>
      <w:r>
        <w:rPr>
          <w:spacing w:val="50"/>
          <w:sz w:val="16"/>
        </w:rPr>
        <w:t xml:space="preserve"> </w:t>
      </w:r>
      <w:r>
        <w:rPr>
          <w:sz w:val="16"/>
        </w:rPr>
        <w:t>de</w:t>
      </w:r>
      <w:r>
        <w:rPr>
          <w:spacing w:val="50"/>
          <w:sz w:val="16"/>
        </w:rPr>
        <w:t xml:space="preserve"> </w:t>
      </w:r>
      <w:r>
        <w:rPr>
          <w:sz w:val="16"/>
        </w:rPr>
        <w:t>la</w:t>
      </w:r>
      <w:r>
        <w:rPr>
          <w:spacing w:val="49"/>
          <w:sz w:val="16"/>
        </w:rPr>
        <w:t xml:space="preserve"> </w:t>
      </w:r>
      <w:r>
        <w:rPr>
          <w:sz w:val="16"/>
        </w:rPr>
        <w:t>materia</w:t>
      </w:r>
      <w:r>
        <w:rPr>
          <w:spacing w:val="49"/>
          <w:sz w:val="16"/>
        </w:rPr>
        <w:t xml:space="preserve"> </w:t>
      </w:r>
      <w:r>
        <w:rPr>
          <w:sz w:val="16"/>
        </w:rPr>
        <w:t>regulada.</w:t>
      </w:r>
      <w:r>
        <w:rPr>
          <w:spacing w:val="49"/>
          <w:sz w:val="16"/>
        </w:rPr>
        <w:t xml:space="preserve"> </w:t>
      </w:r>
      <w:r>
        <w:rPr>
          <w:sz w:val="16"/>
        </w:rPr>
        <w:t>La</w:t>
      </w:r>
      <w:r>
        <w:rPr>
          <w:spacing w:val="49"/>
          <w:sz w:val="16"/>
        </w:rPr>
        <w:t xml:space="preserve"> </w:t>
      </w:r>
      <w:r>
        <w:rPr>
          <w:sz w:val="16"/>
        </w:rPr>
        <w:t>preci</w:t>
      </w:r>
      <w:r>
        <w:rPr>
          <w:sz w:val="16"/>
        </w:rPr>
        <w:t>sión</w:t>
      </w:r>
      <w:r>
        <w:rPr>
          <w:spacing w:val="49"/>
          <w:sz w:val="16"/>
        </w:rPr>
        <w:t xml:space="preserve"> </w:t>
      </w:r>
      <w:r>
        <w:rPr>
          <w:sz w:val="16"/>
        </w:rPr>
        <w:t>de</w:t>
      </w:r>
      <w:r>
        <w:rPr>
          <w:spacing w:val="50"/>
          <w:sz w:val="16"/>
        </w:rPr>
        <w:t xml:space="preserve"> </w:t>
      </w:r>
      <w:r>
        <w:rPr>
          <w:sz w:val="16"/>
        </w:rPr>
        <w:t>una</w:t>
      </w:r>
      <w:r>
        <w:rPr>
          <w:spacing w:val="52"/>
          <w:sz w:val="16"/>
        </w:rPr>
        <w:t xml:space="preserve"> </w:t>
      </w:r>
      <w:r>
        <w:rPr>
          <w:sz w:val="16"/>
        </w:rPr>
        <w:t>norma</w:t>
      </w:r>
    </w:p>
    <w:p w14:paraId="43DE1DD2" w14:textId="77777777" w:rsidR="00492688" w:rsidRDefault="00492688">
      <w:pPr>
        <w:pStyle w:val="Textoindependiente"/>
      </w:pPr>
    </w:p>
    <w:p w14:paraId="3B2AE70B" w14:textId="77777777" w:rsidR="00492688" w:rsidRDefault="00492688">
      <w:pPr>
        <w:pStyle w:val="Textoindependiente"/>
        <w:spacing w:before="4"/>
        <w:rPr>
          <w:sz w:val="19"/>
        </w:rPr>
      </w:pPr>
    </w:p>
    <w:p w14:paraId="77EE5E18" w14:textId="77777777" w:rsidR="00492688" w:rsidRDefault="00C9584B">
      <w:pPr>
        <w:spacing w:before="51"/>
        <w:ind w:right="111"/>
        <w:jc w:val="center"/>
        <w:rPr>
          <w:rFonts w:ascii="Calibri"/>
          <w:sz w:val="24"/>
        </w:rPr>
      </w:pPr>
      <w:r>
        <w:rPr>
          <w:rFonts w:ascii="Calibri"/>
          <w:sz w:val="24"/>
        </w:rPr>
        <w:t>4</w:t>
      </w:r>
    </w:p>
    <w:p w14:paraId="0E9CBB67"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2DCE1B7C" w14:textId="77777777" w:rsidR="00492688" w:rsidRDefault="00C9584B">
      <w:pPr>
        <w:pStyle w:val="Textoindependiente"/>
        <w:spacing w:before="71"/>
        <w:ind w:left="121" w:right="230"/>
        <w:jc w:val="both"/>
      </w:pPr>
      <w:r>
        <w:lastRenderedPageBreak/>
        <w:t>que la precisión requerida en materia disciplinaria sancionatoria sea menor que en materia penal […], el uso de supuestos abiertos o conceptos indeterminados […] requiere</w:t>
      </w:r>
      <w:r>
        <w:rPr>
          <w:spacing w:val="-23"/>
        </w:rPr>
        <w:t xml:space="preserve"> </w:t>
      </w:r>
      <w:r>
        <w:t>el</w:t>
      </w:r>
      <w:r>
        <w:rPr>
          <w:spacing w:val="-18"/>
        </w:rPr>
        <w:t xml:space="preserve"> </w:t>
      </w:r>
      <w:r>
        <w:t>establecimiento</w:t>
      </w:r>
      <w:r>
        <w:rPr>
          <w:spacing w:val="-22"/>
        </w:rPr>
        <w:t xml:space="preserve"> </w:t>
      </w:r>
      <w:r>
        <w:t>de</w:t>
      </w:r>
      <w:r>
        <w:rPr>
          <w:spacing w:val="-22"/>
        </w:rPr>
        <w:t xml:space="preserve"> </w:t>
      </w:r>
      <w:r>
        <w:t>criterios</w:t>
      </w:r>
      <w:r>
        <w:rPr>
          <w:spacing w:val="-22"/>
        </w:rPr>
        <w:t xml:space="preserve"> </w:t>
      </w:r>
      <w:r>
        <w:t>objetivos</w:t>
      </w:r>
      <w:r>
        <w:rPr>
          <w:spacing w:val="-19"/>
        </w:rPr>
        <w:t xml:space="preserve"> </w:t>
      </w:r>
      <w:r>
        <w:t>que</w:t>
      </w:r>
      <w:r>
        <w:rPr>
          <w:spacing w:val="-23"/>
        </w:rPr>
        <w:t xml:space="preserve"> </w:t>
      </w:r>
      <w:r>
        <w:t>guíen</w:t>
      </w:r>
      <w:r>
        <w:rPr>
          <w:spacing w:val="-20"/>
        </w:rPr>
        <w:t xml:space="preserve"> </w:t>
      </w:r>
      <w:r>
        <w:t>la</w:t>
      </w:r>
      <w:r>
        <w:rPr>
          <w:spacing w:val="-21"/>
        </w:rPr>
        <w:t xml:space="preserve"> </w:t>
      </w:r>
      <w:r>
        <w:t>interpretación</w:t>
      </w:r>
      <w:r>
        <w:rPr>
          <w:spacing w:val="-20"/>
        </w:rPr>
        <w:t xml:space="preserve"> </w:t>
      </w:r>
      <w:r>
        <w:t>o</w:t>
      </w:r>
      <w:r>
        <w:rPr>
          <w:spacing w:val="-22"/>
        </w:rPr>
        <w:t xml:space="preserve"> </w:t>
      </w:r>
      <w:r>
        <w:t>contenido que</w:t>
      </w:r>
      <w:r>
        <w:t xml:space="preserve"> debe darse a dichos conceptos a efectos de limitar la discrecionalidad en la aplicación</w:t>
      </w:r>
      <w:r>
        <w:rPr>
          <w:spacing w:val="-13"/>
        </w:rPr>
        <w:t xml:space="preserve"> </w:t>
      </w:r>
      <w:r>
        <w:t>de</w:t>
      </w:r>
      <w:r>
        <w:rPr>
          <w:spacing w:val="-14"/>
        </w:rPr>
        <w:t xml:space="preserve"> </w:t>
      </w:r>
      <w:r>
        <w:t>las</w:t>
      </w:r>
      <w:r>
        <w:rPr>
          <w:spacing w:val="-11"/>
        </w:rPr>
        <w:t xml:space="preserve"> </w:t>
      </w:r>
      <w:r>
        <w:t>sanciones”</w:t>
      </w:r>
      <w:hyperlink w:anchor="_bookmark158" w:history="1">
        <w:r>
          <w:rPr>
            <w:position w:val="7"/>
            <w:sz w:val="13"/>
          </w:rPr>
          <w:t>13</w:t>
        </w:r>
      </w:hyperlink>
      <w:r>
        <w:t>.</w:t>
      </w:r>
      <w:r>
        <w:rPr>
          <w:spacing w:val="-13"/>
        </w:rPr>
        <w:t xml:space="preserve"> </w:t>
      </w:r>
      <w:r>
        <w:t>En</w:t>
      </w:r>
      <w:r>
        <w:rPr>
          <w:spacing w:val="-12"/>
        </w:rPr>
        <w:t xml:space="preserve"> </w:t>
      </w:r>
      <w:r>
        <w:t>esta</w:t>
      </w:r>
      <w:r>
        <w:rPr>
          <w:spacing w:val="-10"/>
        </w:rPr>
        <w:t xml:space="preserve"> </w:t>
      </w:r>
      <w:r>
        <w:t>ocasión</w:t>
      </w:r>
      <w:r>
        <w:rPr>
          <w:spacing w:val="-10"/>
        </w:rPr>
        <w:t xml:space="preserve"> </w:t>
      </w:r>
      <w:r>
        <w:t>este</w:t>
      </w:r>
      <w:r>
        <w:rPr>
          <w:spacing w:val="-14"/>
        </w:rPr>
        <w:t xml:space="preserve"> </w:t>
      </w:r>
      <w:r>
        <w:t>pronunciamiento</w:t>
      </w:r>
      <w:r>
        <w:rPr>
          <w:spacing w:val="-14"/>
        </w:rPr>
        <w:t xml:space="preserve"> </w:t>
      </w:r>
      <w:r>
        <w:t>lo</w:t>
      </w:r>
      <w:r>
        <w:rPr>
          <w:spacing w:val="-11"/>
        </w:rPr>
        <w:t xml:space="preserve"> </w:t>
      </w:r>
      <w:r>
        <w:t>realizó</w:t>
      </w:r>
      <w:r>
        <w:rPr>
          <w:spacing w:val="-14"/>
        </w:rPr>
        <w:t xml:space="preserve"> </w:t>
      </w:r>
      <w:r>
        <w:t>respecto de las conductas</w:t>
      </w:r>
      <w:r>
        <w:rPr>
          <w:spacing w:val="-4"/>
        </w:rPr>
        <w:t xml:space="preserve"> </w:t>
      </w:r>
      <w:r>
        <w:t>sancionables.</w:t>
      </w:r>
    </w:p>
    <w:p w14:paraId="57013F4F" w14:textId="77777777" w:rsidR="00492688" w:rsidRDefault="00492688">
      <w:pPr>
        <w:pStyle w:val="Textoindependiente"/>
      </w:pPr>
    </w:p>
    <w:p w14:paraId="65E69CAD" w14:textId="77777777" w:rsidR="00492688" w:rsidRDefault="00C9584B">
      <w:pPr>
        <w:pStyle w:val="Prrafodelista"/>
        <w:numPr>
          <w:ilvl w:val="0"/>
          <w:numId w:val="3"/>
        </w:numPr>
        <w:tabs>
          <w:tab w:val="left" w:pos="830"/>
        </w:tabs>
        <w:spacing w:before="1"/>
        <w:ind w:left="829" w:hanging="709"/>
        <w:jc w:val="both"/>
        <w:rPr>
          <w:sz w:val="20"/>
        </w:rPr>
      </w:pPr>
      <w:r>
        <w:rPr>
          <w:sz w:val="20"/>
        </w:rPr>
        <w:t>A criterio del Tribunal</w:t>
      </w:r>
      <w:r>
        <w:rPr>
          <w:spacing w:val="-3"/>
          <w:sz w:val="20"/>
        </w:rPr>
        <w:t xml:space="preserve"> </w:t>
      </w:r>
      <w:r>
        <w:rPr>
          <w:sz w:val="20"/>
        </w:rPr>
        <w:t>I</w:t>
      </w:r>
      <w:r>
        <w:rPr>
          <w:sz w:val="20"/>
        </w:rPr>
        <w:t>nteramericano</w:t>
      </w:r>
      <w:hyperlink w:anchor="_bookmark159" w:history="1">
        <w:r>
          <w:rPr>
            <w:position w:val="7"/>
            <w:sz w:val="13"/>
          </w:rPr>
          <w:t>14</w:t>
        </w:r>
      </w:hyperlink>
      <w:r>
        <w:rPr>
          <w:sz w:val="20"/>
        </w:rPr>
        <w:t>:</w:t>
      </w:r>
    </w:p>
    <w:p w14:paraId="5B159707" w14:textId="77777777" w:rsidR="00492688" w:rsidRDefault="00492688">
      <w:pPr>
        <w:pStyle w:val="Textoindependiente"/>
        <w:spacing w:before="10"/>
        <w:rPr>
          <w:sz w:val="19"/>
        </w:rPr>
      </w:pPr>
    </w:p>
    <w:p w14:paraId="664FBCE2" w14:textId="77777777" w:rsidR="00492688" w:rsidRDefault="00C9584B">
      <w:pPr>
        <w:pStyle w:val="Prrafodelista"/>
        <w:numPr>
          <w:ilvl w:val="0"/>
          <w:numId w:val="2"/>
        </w:numPr>
        <w:tabs>
          <w:tab w:val="left" w:pos="1248"/>
        </w:tabs>
        <w:ind w:right="795" w:firstLine="0"/>
        <w:jc w:val="both"/>
        <w:rPr>
          <w:b/>
          <w:i/>
          <w:sz w:val="16"/>
        </w:rPr>
      </w:pPr>
      <w:r>
        <w:rPr>
          <w:sz w:val="16"/>
        </w:rPr>
        <w:t>Estos</w:t>
      </w:r>
      <w:r>
        <w:rPr>
          <w:spacing w:val="-7"/>
          <w:sz w:val="16"/>
        </w:rPr>
        <w:t xml:space="preserve"> </w:t>
      </w:r>
      <w:r>
        <w:rPr>
          <w:sz w:val="16"/>
        </w:rPr>
        <w:t>criterios</w:t>
      </w:r>
      <w:r>
        <w:rPr>
          <w:spacing w:val="-7"/>
          <w:sz w:val="16"/>
        </w:rPr>
        <w:t xml:space="preserve"> </w:t>
      </w:r>
      <w:r>
        <w:rPr>
          <w:sz w:val="16"/>
        </w:rPr>
        <w:t>pueden</w:t>
      </w:r>
      <w:r>
        <w:rPr>
          <w:spacing w:val="-6"/>
          <w:sz w:val="16"/>
        </w:rPr>
        <w:t xml:space="preserve"> </w:t>
      </w:r>
      <w:r>
        <w:rPr>
          <w:sz w:val="16"/>
        </w:rPr>
        <w:t>ser</w:t>
      </w:r>
      <w:r>
        <w:rPr>
          <w:spacing w:val="-4"/>
          <w:sz w:val="16"/>
        </w:rPr>
        <w:t xml:space="preserve"> </w:t>
      </w:r>
      <w:r>
        <w:rPr>
          <w:sz w:val="16"/>
        </w:rPr>
        <w:t>establecidos</w:t>
      </w:r>
      <w:r>
        <w:rPr>
          <w:spacing w:val="-5"/>
          <w:sz w:val="16"/>
        </w:rPr>
        <w:t xml:space="preserve"> </w:t>
      </w:r>
      <w:r>
        <w:rPr>
          <w:b/>
          <w:sz w:val="16"/>
        </w:rPr>
        <w:t>[:</w:t>
      </w:r>
      <w:r>
        <w:rPr>
          <w:b/>
          <w:spacing w:val="-6"/>
          <w:sz w:val="16"/>
        </w:rPr>
        <w:t xml:space="preserve"> </w:t>
      </w:r>
      <w:r>
        <w:rPr>
          <w:b/>
          <w:sz w:val="16"/>
        </w:rPr>
        <w:t>i)]</w:t>
      </w:r>
      <w:r>
        <w:rPr>
          <w:b/>
          <w:spacing w:val="-6"/>
          <w:sz w:val="16"/>
        </w:rPr>
        <w:t xml:space="preserve"> </w:t>
      </w:r>
      <w:r>
        <w:rPr>
          <w:b/>
          <w:i/>
          <w:sz w:val="16"/>
        </w:rPr>
        <w:t>por</w:t>
      </w:r>
      <w:r>
        <w:rPr>
          <w:b/>
          <w:i/>
          <w:spacing w:val="-6"/>
          <w:sz w:val="16"/>
        </w:rPr>
        <w:t xml:space="preserve"> </w:t>
      </w:r>
      <w:r>
        <w:rPr>
          <w:b/>
          <w:i/>
          <w:sz w:val="16"/>
        </w:rPr>
        <w:t>vía</w:t>
      </w:r>
      <w:r>
        <w:rPr>
          <w:b/>
          <w:i/>
          <w:spacing w:val="-5"/>
          <w:sz w:val="16"/>
        </w:rPr>
        <w:t xml:space="preserve"> </w:t>
      </w:r>
      <w:r>
        <w:rPr>
          <w:b/>
          <w:i/>
          <w:sz w:val="16"/>
        </w:rPr>
        <w:t>normativa</w:t>
      </w:r>
      <w:r>
        <w:rPr>
          <w:b/>
          <w:i/>
          <w:spacing w:val="-5"/>
          <w:sz w:val="16"/>
        </w:rPr>
        <w:t xml:space="preserve"> </w:t>
      </w:r>
      <w:r>
        <w:rPr>
          <w:b/>
          <w:i/>
          <w:sz w:val="16"/>
        </w:rPr>
        <w:t>o</w:t>
      </w:r>
      <w:r>
        <w:rPr>
          <w:b/>
          <w:i/>
          <w:spacing w:val="-6"/>
          <w:sz w:val="16"/>
        </w:rPr>
        <w:t xml:space="preserve"> </w:t>
      </w:r>
      <w:r>
        <w:rPr>
          <w:b/>
          <w:sz w:val="16"/>
        </w:rPr>
        <w:t>[ii)]</w:t>
      </w:r>
      <w:r>
        <w:rPr>
          <w:b/>
          <w:spacing w:val="-7"/>
          <w:sz w:val="16"/>
        </w:rPr>
        <w:t xml:space="preserve"> </w:t>
      </w:r>
      <w:r>
        <w:rPr>
          <w:b/>
          <w:i/>
          <w:sz w:val="16"/>
        </w:rPr>
        <w:t>por</w:t>
      </w:r>
      <w:r>
        <w:rPr>
          <w:b/>
          <w:i/>
          <w:spacing w:val="-7"/>
          <w:sz w:val="16"/>
        </w:rPr>
        <w:t xml:space="preserve"> </w:t>
      </w:r>
      <w:r>
        <w:rPr>
          <w:b/>
          <w:i/>
          <w:sz w:val="16"/>
        </w:rPr>
        <w:t>medio</w:t>
      </w:r>
      <w:r>
        <w:rPr>
          <w:b/>
          <w:i/>
          <w:spacing w:val="-7"/>
          <w:sz w:val="16"/>
        </w:rPr>
        <w:t xml:space="preserve"> </w:t>
      </w:r>
      <w:r>
        <w:rPr>
          <w:b/>
          <w:i/>
          <w:sz w:val="16"/>
        </w:rPr>
        <w:t xml:space="preserve">de </w:t>
      </w:r>
      <w:r>
        <w:rPr>
          <w:b/>
          <w:i/>
          <w:sz w:val="16"/>
        </w:rPr>
        <w:t>una interpretación jurisprudencial que enmarque estas nociones dentro del contexto, propósito y finalidad de la norma, de forma tal de evitar el uso arbitrario de dichos supuestos, con base en los prejuicios o concepciones personales y privadas del juzgado</w:t>
      </w:r>
      <w:r>
        <w:rPr>
          <w:b/>
          <w:i/>
          <w:sz w:val="16"/>
        </w:rPr>
        <w:t>r al momento de su</w:t>
      </w:r>
      <w:r>
        <w:rPr>
          <w:b/>
          <w:i/>
          <w:spacing w:val="-11"/>
          <w:sz w:val="16"/>
        </w:rPr>
        <w:t xml:space="preserve"> </w:t>
      </w:r>
      <w:r>
        <w:rPr>
          <w:b/>
          <w:i/>
          <w:sz w:val="16"/>
        </w:rPr>
        <w:t>aplicación.</w:t>
      </w:r>
    </w:p>
    <w:p w14:paraId="1C0E2609" w14:textId="77777777" w:rsidR="00492688" w:rsidRDefault="00492688">
      <w:pPr>
        <w:pStyle w:val="Textoindependiente"/>
        <w:spacing w:before="2"/>
        <w:rPr>
          <w:b/>
          <w:i/>
          <w:sz w:val="16"/>
        </w:rPr>
      </w:pPr>
    </w:p>
    <w:p w14:paraId="65D5EB61" w14:textId="77777777" w:rsidR="00492688" w:rsidRDefault="00C9584B">
      <w:pPr>
        <w:pStyle w:val="Prrafodelista"/>
        <w:numPr>
          <w:ilvl w:val="0"/>
          <w:numId w:val="2"/>
        </w:numPr>
        <w:tabs>
          <w:tab w:val="left" w:pos="1257"/>
        </w:tabs>
        <w:ind w:right="795" w:firstLine="0"/>
        <w:jc w:val="both"/>
        <w:rPr>
          <w:sz w:val="16"/>
        </w:rPr>
      </w:pPr>
      <w:r>
        <w:rPr>
          <w:sz w:val="16"/>
        </w:rPr>
        <w:t>Respecto a lo anterior, la Corte recuerda que el control disciplinario tiene como objeto valorar la conducta, idoneidad y desempeño del juez como funcionario público […]. De esta forma, la normativa disciplinaria de jueces y</w:t>
      </w:r>
      <w:r>
        <w:rPr>
          <w:sz w:val="16"/>
        </w:rPr>
        <w:t xml:space="preserve"> juezas, debe estar orientada a la protección de la función judicial de forma tal de evaluar el desempeño del juez o jueza en el ejercicio de sus</w:t>
      </w:r>
      <w:r>
        <w:rPr>
          <w:spacing w:val="-6"/>
          <w:sz w:val="16"/>
        </w:rPr>
        <w:t xml:space="preserve"> </w:t>
      </w:r>
      <w:r>
        <w:rPr>
          <w:sz w:val="16"/>
        </w:rPr>
        <w:t>funciones.</w:t>
      </w:r>
      <w:r>
        <w:rPr>
          <w:spacing w:val="-7"/>
          <w:sz w:val="16"/>
        </w:rPr>
        <w:t xml:space="preserve"> </w:t>
      </w:r>
      <w:r>
        <w:rPr>
          <w:sz w:val="16"/>
        </w:rPr>
        <w:t>Por</w:t>
      </w:r>
      <w:r>
        <w:rPr>
          <w:spacing w:val="-6"/>
          <w:sz w:val="16"/>
        </w:rPr>
        <w:t xml:space="preserve"> </w:t>
      </w:r>
      <w:r>
        <w:rPr>
          <w:sz w:val="16"/>
        </w:rPr>
        <w:t>ello,</w:t>
      </w:r>
      <w:r>
        <w:rPr>
          <w:spacing w:val="-7"/>
          <w:sz w:val="16"/>
        </w:rPr>
        <w:t xml:space="preserve"> </w:t>
      </w:r>
      <w:r>
        <w:rPr>
          <w:sz w:val="16"/>
        </w:rPr>
        <w:t>al</w:t>
      </w:r>
      <w:r>
        <w:rPr>
          <w:spacing w:val="-6"/>
          <w:sz w:val="16"/>
        </w:rPr>
        <w:t xml:space="preserve"> </w:t>
      </w:r>
      <w:r>
        <w:rPr>
          <w:sz w:val="16"/>
        </w:rPr>
        <w:t>aplicar</w:t>
      </w:r>
      <w:r>
        <w:rPr>
          <w:spacing w:val="-5"/>
          <w:sz w:val="16"/>
        </w:rPr>
        <w:t xml:space="preserve"> </w:t>
      </w:r>
      <w:r>
        <w:rPr>
          <w:sz w:val="16"/>
        </w:rPr>
        <w:t>normas</w:t>
      </w:r>
      <w:r>
        <w:rPr>
          <w:spacing w:val="-7"/>
          <w:sz w:val="16"/>
        </w:rPr>
        <w:t xml:space="preserve"> </w:t>
      </w:r>
      <w:r>
        <w:rPr>
          <w:sz w:val="16"/>
        </w:rPr>
        <w:t>disciplinarias</w:t>
      </w:r>
      <w:r>
        <w:rPr>
          <w:spacing w:val="-6"/>
          <w:sz w:val="16"/>
        </w:rPr>
        <w:t xml:space="preserve"> </w:t>
      </w:r>
      <w:r>
        <w:rPr>
          <w:sz w:val="16"/>
        </w:rPr>
        <w:t>abiertas</w:t>
      </w:r>
      <w:r>
        <w:rPr>
          <w:spacing w:val="-6"/>
          <w:sz w:val="16"/>
        </w:rPr>
        <w:t xml:space="preserve"> </w:t>
      </w:r>
      <w:r>
        <w:rPr>
          <w:sz w:val="16"/>
        </w:rPr>
        <w:t>o</w:t>
      </w:r>
      <w:r>
        <w:rPr>
          <w:spacing w:val="-4"/>
          <w:sz w:val="16"/>
        </w:rPr>
        <w:t xml:space="preserve"> </w:t>
      </w:r>
      <w:r>
        <w:rPr>
          <w:sz w:val="16"/>
        </w:rPr>
        <w:t>indeterminadas,</w:t>
      </w:r>
      <w:r>
        <w:rPr>
          <w:spacing w:val="-7"/>
          <w:sz w:val="16"/>
        </w:rPr>
        <w:t xml:space="preserve"> </w:t>
      </w:r>
      <w:r>
        <w:rPr>
          <w:sz w:val="16"/>
        </w:rPr>
        <w:t>que</w:t>
      </w:r>
      <w:r>
        <w:rPr>
          <w:spacing w:val="-7"/>
          <w:sz w:val="16"/>
        </w:rPr>
        <w:t xml:space="preserve"> </w:t>
      </w:r>
      <w:r>
        <w:rPr>
          <w:sz w:val="16"/>
        </w:rPr>
        <w:t xml:space="preserve">exijan la consideración de conceptos [indeterminados], es indispensable tener en cuenta la afectación que la conducta examinada podría tener en el ejercicio de la función judicial, </w:t>
      </w:r>
      <w:r>
        <w:rPr>
          <w:b/>
          <w:i/>
          <w:sz w:val="16"/>
        </w:rPr>
        <w:t>ya sea positivamente a través del establecimiento de criterios normativos p</w:t>
      </w:r>
      <w:r>
        <w:rPr>
          <w:b/>
          <w:i/>
          <w:sz w:val="16"/>
        </w:rPr>
        <w:t>ara su aplicación</w:t>
      </w:r>
      <w:r>
        <w:rPr>
          <w:b/>
          <w:i/>
          <w:spacing w:val="-4"/>
          <w:sz w:val="16"/>
        </w:rPr>
        <w:t xml:space="preserve"> </w:t>
      </w:r>
      <w:r>
        <w:rPr>
          <w:b/>
          <w:i/>
          <w:sz w:val="16"/>
        </w:rPr>
        <w:t>o</w:t>
      </w:r>
      <w:r>
        <w:rPr>
          <w:b/>
          <w:i/>
          <w:spacing w:val="-4"/>
          <w:sz w:val="16"/>
        </w:rPr>
        <w:t xml:space="preserve"> </w:t>
      </w:r>
      <w:r>
        <w:rPr>
          <w:b/>
          <w:i/>
          <w:sz w:val="16"/>
        </w:rPr>
        <w:t>por</w:t>
      </w:r>
      <w:r>
        <w:rPr>
          <w:b/>
          <w:i/>
          <w:spacing w:val="-5"/>
          <w:sz w:val="16"/>
        </w:rPr>
        <w:t xml:space="preserve"> </w:t>
      </w:r>
      <w:r>
        <w:rPr>
          <w:b/>
          <w:i/>
          <w:sz w:val="16"/>
        </w:rPr>
        <w:t>medio</w:t>
      </w:r>
      <w:r>
        <w:rPr>
          <w:b/>
          <w:i/>
          <w:spacing w:val="-3"/>
          <w:sz w:val="16"/>
        </w:rPr>
        <w:t xml:space="preserve"> </w:t>
      </w:r>
      <w:r>
        <w:rPr>
          <w:b/>
          <w:i/>
          <w:sz w:val="16"/>
        </w:rPr>
        <w:t>de</w:t>
      </w:r>
      <w:r>
        <w:rPr>
          <w:b/>
          <w:i/>
          <w:spacing w:val="-6"/>
          <w:sz w:val="16"/>
        </w:rPr>
        <w:t xml:space="preserve"> </w:t>
      </w:r>
      <w:r>
        <w:rPr>
          <w:b/>
          <w:i/>
          <w:sz w:val="16"/>
        </w:rPr>
        <w:t>un</w:t>
      </w:r>
      <w:r>
        <w:rPr>
          <w:b/>
          <w:i/>
          <w:spacing w:val="-4"/>
          <w:sz w:val="16"/>
        </w:rPr>
        <w:t xml:space="preserve"> </w:t>
      </w:r>
      <w:r>
        <w:rPr>
          <w:b/>
          <w:i/>
          <w:sz w:val="16"/>
        </w:rPr>
        <w:t>adecuado</w:t>
      </w:r>
      <w:r>
        <w:rPr>
          <w:b/>
          <w:i/>
          <w:spacing w:val="-1"/>
          <w:sz w:val="16"/>
        </w:rPr>
        <w:t xml:space="preserve"> </w:t>
      </w:r>
      <w:r>
        <w:rPr>
          <w:b/>
          <w:i/>
          <w:sz w:val="16"/>
        </w:rPr>
        <w:t>razonamiento</w:t>
      </w:r>
      <w:r>
        <w:rPr>
          <w:b/>
          <w:i/>
          <w:spacing w:val="-4"/>
          <w:sz w:val="16"/>
        </w:rPr>
        <w:t xml:space="preserve"> </w:t>
      </w:r>
      <w:r>
        <w:rPr>
          <w:b/>
          <w:i/>
          <w:sz w:val="16"/>
        </w:rPr>
        <w:t>e</w:t>
      </w:r>
      <w:r>
        <w:rPr>
          <w:b/>
          <w:i/>
          <w:spacing w:val="-3"/>
          <w:sz w:val="16"/>
        </w:rPr>
        <w:t xml:space="preserve"> </w:t>
      </w:r>
      <w:r>
        <w:rPr>
          <w:b/>
          <w:i/>
          <w:sz w:val="16"/>
        </w:rPr>
        <w:t>interpretación</w:t>
      </w:r>
      <w:r>
        <w:rPr>
          <w:b/>
          <w:i/>
          <w:spacing w:val="-3"/>
          <w:sz w:val="16"/>
        </w:rPr>
        <w:t xml:space="preserve"> </w:t>
      </w:r>
      <w:r>
        <w:rPr>
          <w:b/>
          <w:i/>
          <w:sz w:val="16"/>
        </w:rPr>
        <w:t>del</w:t>
      </w:r>
      <w:r>
        <w:rPr>
          <w:b/>
          <w:i/>
          <w:spacing w:val="-4"/>
          <w:sz w:val="16"/>
        </w:rPr>
        <w:t xml:space="preserve"> </w:t>
      </w:r>
      <w:r>
        <w:rPr>
          <w:b/>
          <w:i/>
          <w:sz w:val="16"/>
        </w:rPr>
        <w:t xml:space="preserve">juzgador al momento de su aplicación. </w:t>
      </w:r>
      <w:r>
        <w:rPr>
          <w:sz w:val="16"/>
        </w:rPr>
        <w:t>De lo contrario, se expondría el alcance de estos tipos disciplinarios a las creencias morales o privadas del juzgador [énfasis</w:t>
      </w:r>
      <w:r>
        <w:rPr>
          <w:spacing w:val="-19"/>
          <w:sz w:val="16"/>
        </w:rPr>
        <w:t xml:space="preserve"> </w:t>
      </w:r>
      <w:r>
        <w:rPr>
          <w:sz w:val="16"/>
        </w:rPr>
        <w:t>añadido].</w:t>
      </w:r>
    </w:p>
    <w:p w14:paraId="5AB3C659" w14:textId="77777777" w:rsidR="00492688" w:rsidRDefault="00492688">
      <w:pPr>
        <w:pStyle w:val="Textoindependiente"/>
        <w:rPr>
          <w:sz w:val="16"/>
        </w:rPr>
      </w:pPr>
    </w:p>
    <w:p w14:paraId="3DCD2391" w14:textId="77777777" w:rsidR="00492688" w:rsidRDefault="00C9584B">
      <w:pPr>
        <w:pStyle w:val="Prrafodelista"/>
        <w:numPr>
          <w:ilvl w:val="0"/>
          <w:numId w:val="3"/>
        </w:numPr>
        <w:tabs>
          <w:tab w:val="left" w:pos="830"/>
        </w:tabs>
        <w:ind w:right="232" w:hanging="1"/>
        <w:jc w:val="both"/>
        <w:rPr>
          <w:sz w:val="20"/>
        </w:rPr>
      </w:pPr>
      <w:r>
        <w:rPr>
          <w:sz w:val="20"/>
        </w:rPr>
        <w:t xml:space="preserve">Así, lo que sienta el caso </w:t>
      </w:r>
      <w:r>
        <w:rPr>
          <w:i/>
          <w:sz w:val="20"/>
        </w:rPr>
        <w:t xml:space="preserve">López Lone y otros, </w:t>
      </w:r>
      <w:r>
        <w:rPr>
          <w:sz w:val="20"/>
        </w:rPr>
        <w:t>es que i) no se requiere el mismo grado</w:t>
      </w:r>
      <w:r>
        <w:rPr>
          <w:spacing w:val="-7"/>
          <w:sz w:val="20"/>
        </w:rPr>
        <w:t xml:space="preserve"> </w:t>
      </w:r>
      <w:r>
        <w:rPr>
          <w:sz w:val="20"/>
        </w:rPr>
        <w:t>de</w:t>
      </w:r>
      <w:r>
        <w:rPr>
          <w:spacing w:val="-7"/>
          <w:sz w:val="20"/>
        </w:rPr>
        <w:t xml:space="preserve"> </w:t>
      </w:r>
      <w:r>
        <w:rPr>
          <w:sz w:val="20"/>
        </w:rPr>
        <w:t>precisión</w:t>
      </w:r>
      <w:r>
        <w:rPr>
          <w:spacing w:val="-5"/>
          <w:sz w:val="20"/>
        </w:rPr>
        <w:t xml:space="preserve"> </w:t>
      </w:r>
      <w:r>
        <w:rPr>
          <w:sz w:val="20"/>
        </w:rPr>
        <w:t>de</w:t>
      </w:r>
      <w:r>
        <w:rPr>
          <w:spacing w:val="-4"/>
          <w:sz w:val="20"/>
        </w:rPr>
        <w:t xml:space="preserve"> </w:t>
      </w:r>
      <w:r>
        <w:rPr>
          <w:sz w:val="20"/>
        </w:rPr>
        <w:t>las</w:t>
      </w:r>
      <w:r>
        <w:rPr>
          <w:spacing w:val="-6"/>
          <w:sz w:val="20"/>
        </w:rPr>
        <w:t xml:space="preserve"> </w:t>
      </w:r>
      <w:r>
        <w:rPr>
          <w:sz w:val="20"/>
        </w:rPr>
        <w:t>normas</w:t>
      </w:r>
      <w:r>
        <w:rPr>
          <w:spacing w:val="-5"/>
          <w:sz w:val="20"/>
        </w:rPr>
        <w:t xml:space="preserve"> </w:t>
      </w:r>
      <w:r>
        <w:rPr>
          <w:sz w:val="20"/>
        </w:rPr>
        <w:t>penales</w:t>
      </w:r>
      <w:r>
        <w:rPr>
          <w:spacing w:val="-4"/>
          <w:sz w:val="20"/>
        </w:rPr>
        <w:t xml:space="preserve"> </w:t>
      </w:r>
      <w:r>
        <w:rPr>
          <w:sz w:val="20"/>
        </w:rPr>
        <w:t>en</w:t>
      </w:r>
      <w:r>
        <w:rPr>
          <w:spacing w:val="-5"/>
          <w:sz w:val="20"/>
        </w:rPr>
        <w:t xml:space="preserve"> </w:t>
      </w:r>
      <w:r>
        <w:rPr>
          <w:sz w:val="20"/>
        </w:rPr>
        <w:t>los</w:t>
      </w:r>
      <w:r>
        <w:rPr>
          <w:spacing w:val="-4"/>
          <w:sz w:val="20"/>
        </w:rPr>
        <w:t xml:space="preserve"> </w:t>
      </w:r>
      <w:r>
        <w:rPr>
          <w:sz w:val="20"/>
        </w:rPr>
        <w:t>procesos</w:t>
      </w:r>
      <w:r>
        <w:rPr>
          <w:spacing w:val="-7"/>
          <w:sz w:val="20"/>
        </w:rPr>
        <w:t xml:space="preserve"> </w:t>
      </w:r>
      <w:r>
        <w:rPr>
          <w:sz w:val="20"/>
        </w:rPr>
        <w:t>disciplinarios</w:t>
      </w:r>
      <w:r>
        <w:rPr>
          <w:spacing w:val="-4"/>
          <w:sz w:val="20"/>
        </w:rPr>
        <w:t xml:space="preserve"> </w:t>
      </w:r>
      <w:r>
        <w:rPr>
          <w:sz w:val="20"/>
        </w:rPr>
        <w:t>sancionatorios,</w:t>
      </w:r>
    </w:p>
    <w:p w14:paraId="01DA4659" w14:textId="77777777" w:rsidR="00492688" w:rsidRDefault="00C9584B">
      <w:pPr>
        <w:pStyle w:val="Textoindependiente"/>
        <w:spacing w:before="1"/>
        <w:ind w:left="121" w:right="231"/>
        <w:jc w:val="both"/>
      </w:pPr>
      <w:r>
        <w:t>ii) se pueden permitir los tipos disciplinarios de carácter abierto o indeterminado, iii) para</w:t>
      </w:r>
      <w:r>
        <w:rPr>
          <w:spacing w:val="-19"/>
        </w:rPr>
        <w:t xml:space="preserve"> </w:t>
      </w:r>
      <w:r>
        <w:t>ello</w:t>
      </w:r>
      <w:r>
        <w:rPr>
          <w:spacing w:val="-18"/>
        </w:rPr>
        <w:t xml:space="preserve"> </w:t>
      </w:r>
      <w:r>
        <w:t>se</w:t>
      </w:r>
      <w:r>
        <w:rPr>
          <w:spacing w:val="-17"/>
        </w:rPr>
        <w:t xml:space="preserve"> </w:t>
      </w:r>
      <w:r>
        <w:t>requiere</w:t>
      </w:r>
      <w:r>
        <w:rPr>
          <w:spacing w:val="-20"/>
        </w:rPr>
        <w:t xml:space="preserve"> </w:t>
      </w:r>
      <w:r>
        <w:t>el</w:t>
      </w:r>
      <w:r>
        <w:rPr>
          <w:spacing w:val="-17"/>
        </w:rPr>
        <w:t xml:space="preserve"> </w:t>
      </w:r>
      <w:r>
        <w:t>establecimiento</w:t>
      </w:r>
      <w:r>
        <w:rPr>
          <w:spacing w:val="-20"/>
        </w:rPr>
        <w:t xml:space="preserve"> </w:t>
      </w:r>
      <w:r>
        <w:t>de</w:t>
      </w:r>
      <w:r>
        <w:rPr>
          <w:spacing w:val="-21"/>
        </w:rPr>
        <w:t xml:space="preserve"> </w:t>
      </w:r>
      <w:r>
        <w:t>criterios</w:t>
      </w:r>
      <w:r>
        <w:rPr>
          <w:spacing w:val="-19"/>
        </w:rPr>
        <w:t xml:space="preserve"> </w:t>
      </w:r>
      <w:r>
        <w:t>objetivos</w:t>
      </w:r>
      <w:r>
        <w:rPr>
          <w:spacing w:val="-20"/>
        </w:rPr>
        <w:t xml:space="preserve"> </w:t>
      </w:r>
      <w:r>
        <w:t>que</w:t>
      </w:r>
      <w:r>
        <w:rPr>
          <w:spacing w:val="-20"/>
        </w:rPr>
        <w:t xml:space="preserve"> </w:t>
      </w:r>
      <w:r>
        <w:t>guíen</w:t>
      </w:r>
      <w:r>
        <w:rPr>
          <w:spacing w:val="-17"/>
        </w:rPr>
        <w:t xml:space="preserve"> </w:t>
      </w:r>
      <w:r>
        <w:t>la</w:t>
      </w:r>
      <w:r>
        <w:rPr>
          <w:spacing w:val="-19"/>
        </w:rPr>
        <w:t xml:space="preserve"> </w:t>
      </w:r>
      <w:r>
        <w:t>interpretación o</w:t>
      </w:r>
      <w:r>
        <w:rPr>
          <w:spacing w:val="-16"/>
        </w:rPr>
        <w:t xml:space="preserve"> </w:t>
      </w:r>
      <w:r>
        <w:t>contenido</w:t>
      </w:r>
      <w:r>
        <w:rPr>
          <w:spacing w:val="-14"/>
        </w:rPr>
        <w:t xml:space="preserve"> </w:t>
      </w:r>
      <w:r>
        <w:t>que</w:t>
      </w:r>
      <w:r>
        <w:rPr>
          <w:spacing w:val="-16"/>
        </w:rPr>
        <w:t xml:space="preserve"> </w:t>
      </w:r>
      <w:r>
        <w:t>debe</w:t>
      </w:r>
      <w:r>
        <w:rPr>
          <w:spacing w:val="-14"/>
        </w:rPr>
        <w:t xml:space="preserve"> </w:t>
      </w:r>
      <w:r>
        <w:t>darse</w:t>
      </w:r>
      <w:r>
        <w:rPr>
          <w:spacing w:val="-15"/>
        </w:rPr>
        <w:t xml:space="preserve"> </w:t>
      </w:r>
      <w:r>
        <w:t>a</w:t>
      </w:r>
      <w:r>
        <w:rPr>
          <w:spacing w:val="-15"/>
        </w:rPr>
        <w:t xml:space="preserve"> </w:t>
      </w:r>
      <w:r>
        <w:t>dichos</w:t>
      </w:r>
      <w:r>
        <w:rPr>
          <w:spacing w:val="-13"/>
        </w:rPr>
        <w:t xml:space="preserve"> </w:t>
      </w:r>
      <w:r>
        <w:t>conceptos</w:t>
      </w:r>
      <w:r>
        <w:rPr>
          <w:spacing w:val="-13"/>
        </w:rPr>
        <w:t xml:space="preserve"> </w:t>
      </w:r>
      <w:r>
        <w:t>en</w:t>
      </w:r>
      <w:r>
        <w:rPr>
          <w:spacing w:val="-13"/>
        </w:rPr>
        <w:t xml:space="preserve"> </w:t>
      </w:r>
      <w:r>
        <w:t>aras</w:t>
      </w:r>
      <w:r>
        <w:rPr>
          <w:spacing w:val="-16"/>
        </w:rPr>
        <w:t xml:space="preserve"> </w:t>
      </w:r>
      <w:r>
        <w:t>de</w:t>
      </w:r>
      <w:r>
        <w:rPr>
          <w:spacing w:val="-14"/>
        </w:rPr>
        <w:t xml:space="preserve"> </w:t>
      </w:r>
      <w:r>
        <w:t>evaluar</w:t>
      </w:r>
      <w:r>
        <w:rPr>
          <w:spacing w:val="-16"/>
        </w:rPr>
        <w:t xml:space="preserve"> </w:t>
      </w:r>
      <w:r>
        <w:t>la</w:t>
      </w:r>
      <w:r>
        <w:rPr>
          <w:spacing w:val="-14"/>
        </w:rPr>
        <w:t xml:space="preserve"> </w:t>
      </w:r>
      <w:r>
        <w:t>legali</w:t>
      </w:r>
      <w:r>
        <w:t>dad</w:t>
      </w:r>
      <w:r>
        <w:rPr>
          <w:spacing w:val="-15"/>
        </w:rPr>
        <w:t xml:space="preserve"> </w:t>
      </w:r>
      <w:r>
        <w:t>material,</w:t>
      </w:r>
    </w:p>
    <w:p w14:paraId="2DC9818D" w14:textId="77777777" w:rsidR="00492688" w:rsidRDefault="00C9584B">
      <w:pPr>
        <w:pStyle w:val="Textoindependiente"/>
        <w:ind w:left="121" w:right="231"/>
        <w:jc w:val="both"/>
      </w:pPr>
      <w:r>
        <w:t>iv) estos criterios pueden ser establecidos por la vía normativa o por medio de una interpretación jurisprudencial. Adicionalmente, abonando a lo indicado en el referido caso,</w:t>
      </w:r>
      <w:r>
        <w:rPr>
          <w:spacing w:val="-9"/>
        </w:rPr>
        <w:t xml:space="preserve"> </w:t>
      </w:r>
      <w:r>
        <w:t>sería</w:t>
      </w:r>
      <w:r>
        <w:rPr>
          <w:spacing w:val="-9"/>
        </w:rPr>
        <w:t xml:space="preserve"> </w:t>
      </w:r>
      <w:r>
        <w:t>necesario</w:t>
      </w:r>
      <w:r>
        <w:rPr>
          <w:spacing w:val="-10"/>
        </w:rPr>
        <w:t xml:space="preserve"> </w:t>
      </w:r>
      <w:r>
        <w:t>que</w:t>
      </w:r>
      <w:r>
        <w:rPr>
          <w:spacing w:val="-9"/>
        </w:rPr>
        <w:t xml:space="preserve"> </w:t>
      </w:r>
      <w:r>
        <w:t>el</w:t>
      </w:r>
      <w:r>
        <w:rPr>
          <w:spacing w:val="-6"/>
        </w:rPr>
        <w:t xml:space="preserve"> </w:t>
      </w:r>
      <w:r>
        <w:t>establecimiento</w:t>
      </w:r>
      <w:r>
        <w:rPr>
          <w:spacing w:val="-10"/>
        </w:rPr>
        <w:t xml:space="preserve"> </w:t>
      </w:r>
      <w:r>
        <w:t>de</w:t>
      </w:r>
      <w:r>
        <w:rPr>
          <w:spacing w:val="-10"/>
        </w:rPr>
        <w:t xml:space="preserve"> </w:t>
      </w:r>
      <w:r>
        <w:t>los</w:t>
      </w:r>
      <w:r>
        <w:rPr>
          <w:spacing w:val="-9"/>
        </w:rPr>
        <w:t xml:space="preserve"> </w:t>
      </w:r>
      <w:r>
        <w:t>criterios</w:t>
      </w:r>
      <w:r>
        <w:rPr>
          <w:spacing w:val="-10"/>
        </w:rPr>
        <w:t xml:space="preserve"> </w:t>
      </w:r>
      <w:r>
        <w:t>objetivos</w:t>
      </w:r>
      <w:r>
        <w:rPr>
          <w:spacing w:val="-10"/>
        </w:rPr>
        <w:t xml:space="preserve"> </w:t>
      </w:r>
      <w:r>
        <w:t>sean</w:t>
      </w:r>
      <w:r>
        <w:rPr>
          <w:spacing w:val="-8"/>
        </w:rPr>
        <w:t xml:space="preserve"> </w:t>
      </w:r>
      <w:r>
        <w:t>previos</w:t>
      </w:r>
      <w:r>
        <w:rPr>
          <w:spacing w:val="-6"/>
        </w:rPr>
        <w:t xml:space="preserve"> </w:t>
      </w:r>
      <w:r>
        <w:t>—es decir, previsibles</w:t>
      </w:r>
      <w:hyperlink w:anchor="_bookmark160" w:history="1">
        <w:r>
          <w:rPr>
            <w:position w:val="7"/>
            <w:sz w:val="13"/>
          </w:rPr>
          <w:t>15</w:t>
        </w:r>
      </w:hyperlink>
      <w:r>
        <w:t>— para que el órgano disciplinario pueda tener elementos de razonamiento e interpretación al momento de su aplicación y motivación. Aunque este último</w:t>
      </w:r>
      <w:r>
        <w:rPr>
          <w:spacing w:val="-20"/>
        </w:rPr>
        <w:t xml:space="preserve"> </w:t>
      </w:r>
      <w:r>
        <w:t>elemento</w:t>
      </w:r>
      <w:r>
        <w:rPr>
          <w:spacing w:val="-19"/>
        </w:rPr>
        <w:t xml:space="preserve"> </w:t>
      </w:r>
      <w:r>
        <w:t>no</w:t>
      </w:r>
      <w:r>
        <w:rPr>
          <w:spacing w:val="-20"/>
        </w:rPr>
        <w:t xml:space="preserve"> </w:t>
      </w:r>
      <w:r>
        <w:t>fue</w:t>
      </w:r>
      <w:r>
        <w:rPr>
          <w:spacing w:val="-16"/>
        </w:rPr>
        <w:t xml:space="preserve"> </w:t>
      </w:r>
      <w:r>
        <w:t>abordado</w:t>
      </w:r>
      <w:r>
        <w:rPr>
          <w:spacing w:val="-19"/>
        </w:rPr>
        <w:t xml:space="preserve"> </w:t>
      </w:r>
      <w:r>
        <w:t>en</w:t>
      </w:r>
      <w:r>
        <w:rPr>
          <w:spacing w:val="-16"/>
        </w:rPr>
        <w:t xml:space="preserve"> </w:t>
      </w:r>
      <w:r>
        <w:t>el</w:t>
      </w:r>
      <w:r>
        <w:rPr>
          <w:spacing w:val="-16"/>
        </w:rPr>
        <w:t xml:space="preserve"> </w:t>
      </w:r>
      <w:r>
        <w:t>caso,</w:t>
      </w:r>
      <w:r>
        <w:rPr>
          <w:spacing w:val="-18"/>
        </w:rPr>
        <w:t xml:space="preserve"> </w:t>
      </w:r>
      <w:r>
        <w:t>por</w:t>
      </w:r>
      <w:r>
        <w:rPr>
          <w:spacing w:val="-17"/>
        </w:rPr>
        <w:t xml:space="preserve"> </w:t>
      </w:r>
      <w:r>
        <w:t>las</w:t>
      </w:r>
      <w:r>
        <w:rPr>
          <w:spacing w:val="-18"/>
        </w:rPr>
        <w:t xml:space="preserve"> </w:t>
      </w:r>
      <w:r>
        <w:t>particularidades</w:t>
      </w:r>
      <w:r>
        <w:rPr>
          <w:spacing w:val="-19"/>
        </w:rPr>
        <w:t xml:space="preserve"> </w:t>
      </w:r>
      <w:r>
        <w:t>propias</w:t>
      </w:r>
      <w:r>
        <w:rPr>
          <w:spacing w:val="-18"/>
        </w:rPr>
        <w:t xml:space="preserve"> </w:t>
      </w:r>
      <w:r>
        <w:t>del</w:t>
      </w:r>
      <w:r>
        <w:rPr>
          <w:spacing w:val="-18"/>
        </w:rPr>
        <w:t xml:space="preserve"> </w:t>
      </w:r>
      <w:r>
        <w:t>asunto, lo</w:t>
      </w:r>
      <w:r>
        <w:rPr>
          <w:spacing w:val="46"/>
        </w:rPr>
        <w:t xml:space="preserve"> </w:t>
      </w:r>
      <w:r>
        <w:t>cierto</w:t>
      </w:r>
      <w:r>
        <w:rPr>
          <w:spacing w:val="49"/>
        </w:rPr>
        <w:t xml:space="preserve"> </w:t>
      </w:r>
      <w:r>
        <w:t>es</w:t>
      </w:r>
      <w:r>
        <w:rPr>
          <w:spacing w:val="47"/>
        </w:rPr>
        <w:t xml:space="preserve"> </w:t>
      </w:r>
      <w:r>
        <w:t>que</w:t>
      </w:r>
      <w:r>
        <w:rPr>
          <w:spacing w:val="49"/>
        </w:rPr>
        <w:t xml:space="preserve"> </w:t>
      </w:r>
      <w:r>
        <w:t>es</w:t>
      </w:r>
      <w:r>
        <w:rPr>
          <w:spacing w:val="47"/>
        </w:rPr>
        <w:t xml:space="preserve"> </w:t>
      </w:r>
      <w:r>
        <w:t>un</w:t>
      </w:r>
      <w:r>
        <w:rPr>
          <w:spacing w:val="50"/>
        </w:rPr>
        <w:t xml:space="preserve"> </w:t>
      </w:r>
      <w:r>
        <w:t>elemento</w:t>
      </w:r>
      <w:r>
        <w:rPr>
          <w:spacing w:val="49"/>
        </w:rPr>
        <w:t xml:space="preserve"> </w:t>
      </w:r>
      <w:r>
        <w:t>fundamental</w:t>
      </w:r>
      <w:r>
        <w:rPr>
          <w:spacing w:val="48"/>
        </w:rPr>
        <w:t xml:space="preserve"> </w:t>
      </w:r>
      <w:r>
        <w:t>para</w:t>
      </w:r>
      <w:r>
        <w:rPr>
          <w:spacing w:val="48"/>
        </w:rPr>
        <w:t xml:space="preserve"> </w:t>
      </w:r>
      <w:r>
        <w:t>que</w:t>
      </w:r>
      <w:r>
        <w:rPr>
          <w:spacing w:val="46"/>
        </w:rPr>
        <w:t xml:space="preserve"> </w:t>
      </w:r>
      <w:r>
        <w:t>las</w:t>
      </w:r>
      <w:r>
        <w:rPr>
          <w:spacing w:val="47"/>
        </w:rPr>
        <w:t xml:space="preserve"> </w:t>
      </w:r>
      <w:r>
        <w:t>y</w:t>
      </w:r>
      <w:r>
        <w:rPr>
          <w:spacing w:val="48"/>
        </w:rPr>
        <w:t xml:space="preserve"> </w:t>
      </w:r>
      <w:r>
        <w:t>los</w:t>
      </w:r>
      <w:r>
        <w:rPr>
          <w:spacing w:val="47"/>
        </w:rPr>
        <w:t xml:space="preserve"> </w:t>
      </w:r>
      <w:r>
        <w:t>miembros</w:t>
      </w:r>
      <w:r>
        <w:rPr>
          <w:spacing w:val="47"/>
        </w:rPr>
        <w:t xml:space="preserve"> </w:t>
      </w:r>
      <w:r>
        <w:t>de</w:t>
      </w:r>
      <w:r>
        <w:rPr>
          <w:spacing w:val="47"/>
        </w:rPr>
        <w:t xml:space="preserve"> </w:t>
      </w:r>
      <w:r>
        <w:t>la</w:t>
      </w:r>
    </w:p>
    <w:p w14:paraId="267BC110" w14:textId="77777777" w:rsidR="00492688" w:rsidRDefault="00492688">
      <w:pPr>
        <w:pStyle w:val="Textoindependiente"/>
      </w:pPr>
    </w:p>
    <w:p w14:paraId="74AA4E30" w14:textId="28AFF4C4" w:rsidR="00492688" w:rsidRDefault="00C9584B">
      <w:pPr>
        <w:pStyle w:val="Textoindependiente"/>
        <w:spacing w:before="11"/>
        <w:rPr>
          <w:sz w:val="29"/>
        </w:rPr>
      </w:pPr>
      <w:r>
        <w:rPr>
          <w:noProof/>
        </w:rPr>
        <mc:AlternateContent>
          <mc:Choice Requires="wps">
            <w:drawing>
              <wp:anchor distT="0" distB="0" distL="0" distR="0" simplePos="0" relativeHeight="251689984" behindDoc="1" locked="0" layoutInCell="1" allowOverlap="1" wp14:anchorId="00F717C2" wp14:editId="202AE56B">
                <wp:simplePos x="0" y="0"/>
                <wp:positionH relativeFrom="page">
                  <wp:posOffset>1080770</wp:posOffset>
                </wp:positionH>
                <wp:positionV relativeFrom="paragraph">
                  <wp:posOffset>259715</wp:posOffset>
                </wp:positionV>
                <wp:extent cx="1828800" cy="1270"/>
                <wp:effectExtent l="0" t="0" r="0" b="0"/>
                <wp:wrapTopAndBottom/>
                <wp:docPr id="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F2EDB" id="Freeform 11" o:spid="_x0000_s1026" style="position:absolute;margin-left:85.1pt;margin-top:20.45pt;width:2in;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" path="m,l2880,e" filled="f" strokeweight=".21131mm">
                <v:path arrowok="t" o:connecttype="custom" o:connectlocs="0,0;1828800,0" o:connectangles="0,0"/>
                <w10:wrap type="topAndBottom" anchorx="page"/>
              </v:shape>
            </w:pict>
          </mc:Fallback>
        </mc:AlternateContent>
      </w:r>
    </w:p>
    <w:p w14:paraId="44867D4D" w14:textId="77777777" w:rsidR="00492688" w:rsidRDefault="00C9584B">
      <w:pPr>
        <w:spacing w:before="74"/>
        <w:ind w:left="121"/>
        <w:rPr>
          <w:sz w:val="16"/>
        </w:rPr>
      </w:pPr>
      <w:r>
        <w:rPr>
          <w:sz w:val="16"/>
        </w:rPr>
        <w:t>sancionatoria de naturaleza disciplinaria puede ser diferente a la requerida por el principio de legalidad en materia penal, por la naturaleza de los conflictos que cada una está destinada a resolver”.</w:t>
      </w:r>
    </w:p>
    <w:p w14:paraId="7681C22B" w14:textId="77777777" w:rsidR="00492688" w:rsidRDefault="00C9584B">
      <w:pPr>
        <w:tabs>
          <w:tab w:val="left" w:pos="829"/>
        </w:tabs>
        <w:spacing w:before="98"/>
        <w:ind w:left="121" w:right="229"/>
        <w:jc w:val="both"/>
        <w:rPr>
          <w:sz w:val="16"/>
        </w:rPr>
      </w:pPr>
      <w:bookmarkStart w:id="190" w:name="_bookmark158"/>
      <w:bookmarkEnd w:id="190"/>
      <w:r>
        <w:rPr>
          <w:position w:val="6"/>
          <w:sz w:val="10"/>
        </w:rPr>
        <w:t>13</w:t>
      </w:r>
      <w:r>
        <w:rPr>
          <w:position w:val="6"/>
          <w:sz w:val="10"/>
        </w:rPr>
        <w:tab/>
      </w:r>
      <w:r>
        <w:rPr>
          <w:i/>
          <w:sz w:val="16"/>
        </w:rPr>
        <w:t>Cfr. Caso López Lone y otros Vs. Honduras. Excepción Preliminar, Fondo, Reparaciones y Costas</w:t>
      </w:r>
      <w:r>
        <w:rPr>
          <w:sz w:val="16"/>
        </w:rPr>
        <w:t>. Sentencia de 5 de octubre de 2015. Serie C No. 302, párr.</w:t>
      </w:r>
      <w:r>
        <w:rPr>
          <w:spacing w:val="-18"/>
          <w:sz w:val="16"/>
        </w:rPr>
        <w:t xml:space="preserve"> </w:t>
      </w:r>
      <w:r>
        <w:rPr>
          <w:sz w:val="16"/>
        </w:rPr>
        <w:t>272.</w:t>
      </w:r>
    </w:p>
    <w:p w14:paraId="6B02EB99" w14:textId="77777777" w:rsidR="00492688" w:rsidRDefault="00C9584B">
      <w:pPr>
        <w:tabs>
          <w:tab w:val="left" w:pos="829"/>
        </w:tabs>
        <w:spacing w:before="101"/>
        <w:ind w:left="121" w:right="229"/>
        <w:jc w:val="both"/>
        <w:rPr>
          <w:sz w:val="16"/>
        </w:rPr>
      </w:pPr>
      <w:bookmarkStart w:id="191" w:name="_bookmark159"/>
      <w:bookmarkEnd w:id="191"/>
      <w:r>
        <w:rPr>
          <w:position w:val="6"/>
          <w:sz w:val="10"/>
        </w:rPr>
        <w:t>14</w:t>
      </w:r>
      <w:r>
        <w:rPr>
          <w:position w:val="6"/>
          <w:sz w:val="10"/>
        </w:rPr>
        <w:tab/>
      </w:r>
      <w:r>
        <w:rPr>
          <w:i/>
          <w:sz w:val="16"/>
        </w:rPr>
        <w:t>Cfr. Caso López Lone y otros Vs. Honduras. Excepción Preliminar, Fondo, Reparaciones y Costas</w:t>
      </w:r>
      <w:r>
        <w:rPr>
          <w:sz w:val="16"/>
        </w:rPr>
        <w:t xml:space="preserve">. </w:t>
      </w:r>
      <w:r>
        <w:rPr>
          <w:sz w:val="16"/>
        </w:rPr>
        <w:t>Sentencia de 5 de octubre de 2015. Serie C No. 302, párrs. 272 y</w:t>
      </w:r>
      <w:r>
        <w:rPr>
          <w:spacing w:val="-18"/>
          <w:sz w:val="16"/>
        </w:rPr>
        <w:t xml:space="preserve"> </w:t>
      </w:r>
      <w:r>
        <w:rPr>
          <w:sz w:val="16"/>
        </w:rPr>
        <w:t>273.</w:t>
      </w:r>
    </w:p>
    <w:p w14:paraId="6A152FB6" w14:textId="77777777" w:rsidR="00492688" w:rsidRDefault="00C9584B">
      <w:pPr>
        <w:tabs>
          <w:tab w:val="left" w:pos="829"/>
        </w:tabs>
        <w:spacing w:before="101"/>
        <w:ind w:left="121" w:right="227"/>
        <w:jc w:val="both"/>
        <w:rPr>
          <w:sz w:val="16"/>
        </w:rPr>
      </w:pPr>
      <w:bookmarkStart w:id="192" w:name="_bookmark160"/>
      <w:bookmarkEnd w:id="192"/>
      <w:r>
        <w:rPr>
          <w:position w:val="6"/>
          <w:sz w:val="10"/>
        </w:rPr>
        <w:t>15</w:t>
      </w:r>
      <w:r>
        <w:rPr>
          <w:position w:val="6"/>
          <w:sz w:val="10"/>
        </w:rPr>
        <w:tab/>
      </w:r>
      <w:r>
        <w:rPr>
          <w:sz w:val="16"/>
        </w:rPr>
        <w:t>En este sentido, la jurisprudencia constante de la Corte IDH al respecto ha sostenido que la calificación</w:t>
      </w:r>
      <w:r>
        <w:rPr>
          <w:spacing w:val="-14"/>
          <w:sz w:val="16"/>
        </w:rPr>
        <w:t xml:space="preserve"> </w:t>
      </w:r>
      <w:r>
        <w:rPr>
          <w:sz w:val="16"/>
        </w:rPr>
        <w:t>de</w:t>
      </w:r>
      <w:r>
        <w:rPr>
          <w:spacing w:val="-12"/>
          <w:sz w:val="16"/>
        </w:rPr>
        <w:t xml:space="preserve"> </w:t>
      </w:r>
      <w:r>
        <w:rPr>
          <w:sz w:val="16"/>
        </w:rPr>
        <w:t>un</w:t>
      </w:r>
      <w:r>
        <w:rPr>
          <w:spacing w:val="-14"/>
          <w:sz w:val="16"/>
        </w:rPr>
        <w:t xml:space="preserve"> </w:t>
      </w:r>
      <w:r>
        <w:rPr>
          <w:sz w:val="16"/>
        </w:rPr>
        <w:t>hecho</w:t>
      </w:r>
      <w:r>
        <w:rPr>
          <w:spacing w:val="-11"/>
          <w:sz w:val="16"/>
        </w:rPr>
        <w:t xml:space="preserve"> </w:t>
      </w:r>
      <w:r>
        <w:rPr>
          <w:sz w:val="16"/>
        </w:rPr>
        <w:t>como</w:t>
      </w:r>
      <w:r>
        <w:rPr>
          <w:spacing w:val="-12"/>
          <w:sz w:val="16"/>
        </w:rPr>
        <w:t xml:space="preserve"> </w:t>
      </w:r>
      <w:r>
        <w:rPr>
          <w:sz w:val="16"/>
        </w:rPr>
        <w:t>ilícito</w:t>
      </w:r>
      <w:r>
        <w:rPr>
          <w:spacing w:val="-9"/>
          <w:sz w:val="16"/>
        </w:rPr>
        <w:t xml:space="preserve"> </w:t>
      </w:r>
      <w:r>
        <w:rPr>
          <w:sz w:val="16"/>
        </w:rPr>
        <w:t>y</w:t>
      </w:r>
      <w:r>
        <w:rPr>
          <w:spacing w:val="-12"/>
          <w:sz w:val="16"/>
        </w:rPr>
        <w:t xml:space="preserve"> </w:t>
      </w:r>
      <w:r>
        <w:rPr>
          <w:sz w:val="16"/>
        </w:rPr>
        <w:t>la</w:t>
      </w:r>
      <w:r>
        <w:rPr>
          <w:spacing w:val="-15"/>
          <w:sz w:val="16"/>
        </w:rPr>
        <w:t xml:space="preserve"> </w:t>
      </w:r>
      <w:r>
        <w:rPr>
          <w:sz w:val="16"/>
        </w:rPr>
        <w:t>fijación</w:t>
      </w:r>
      <w:r>
        <w:rPr>
          <w:spacing w:val="-14"/>
          <w:sz w:val="16"/>
        </w:rPr>
        <w:t xml:space="preserve"> </w:t>
      </w:r>
      <w:r>
        <w:rPr>
          <w:sz w:val="16"/>
        </w:rPr>
        <w:t>de</w:t>
      </w:r>
      <w:r>
        <w:rPr>
          <w:spacing w:val="-14"/>
          <w:sz w:val="16"/>
        </w:rPr>
        <w:t xml:space="preserve"> </w:t>
      </w:r>
      <w:r>
        <w:rPr>
          <w:sz w:val="16"/>
        </w:rPr>
        <w:t>sus</w:t>
      </w:r>
      <w:r>
        <w:rPr>
          <w:spacing w:val="-12"/>
          <w:sz w:val="16"/>
        </w:rPr>
        <w:t xml:space="preserve"> </w:t>
      </w:r>
      <w:r>
        <w:rPr>
          <w:sz w:val="16"/>
        </w:rPr>
        <w:t>efectos</w:t>
      </w:r>
      <w:r>
        <w:rPr>
          <w:spacing w:val="-11"/>
          <w:sz w:val="16"/>
        </w:rPr>
        <w:t xml:space="preserve"> </w:t>
      </w:r>
      <w:r>
        <w:rPr>
          <w:sz w:val="16"/>
        </w:rPr>
        <w:t>jurídicos</w:t>
      </w:r>
      <w:r>
        <w:rPr>
          <w:spacing w:val="-12"/>
          <w:sz w:val="16"/>
        </w:rPr>
        <w:t xml:space="preserve"> </w:t>
      </w:r>
      <w:r>
        <w:rPr>
          <w:sz w:val="16"/>
        </w:rPr>
        <w:t>deben</w:t>
      </w:r>
      <w:r>
        <w:rPr>
          <w:spacing w:val="-14"/>
          <w:sz w:val="16"/>
        </w:rPr>
        <w:t xml:space="preserve"> </w:t>
      </w:r>
      <w:r>
        <w:rPr>
          <w:sz w:val="16"/>
        </w:rPr>
        <w:t>ser</w:t>
      </w:r>
      <w:r>
        <w:rPr>
          <w:spacing w:val="-13"/>
          <w:sz w:val="16"/>
        </w:rPr>
        <w:t xml:space="preserve"> </w:t>
      </w:r>
      <w:r>
        <w:rPr>
          <w:sz w:val="16"/>
        </w:rPr>
        <w:t>pre</w:t>
      </w:r>
      <w:r>
        <w:rPr>
          <w:sz w:val="16"/>
        </w:rPr>
        <w:t>existentes</w:t>
      </w:r>
      <w:r>
        <w:rPr>
          <w:spacing w:val="-11"/>
          <w:sz w:val="16"/>
        </w:rPr>
        <w:t xml:space="preserve"> </w:t>
      </w:r>
      <w:r>
        <w:rPr>
          <w:sz w:val="16"/>
        </w:rPr>
        <w:t>a</w:t>
      </w:r>
      <w:r>
        <w:rPr>
          <w:spacing w:val="-13"/>
          <w:sz w:val="16"/>
        </w:rPr>
        <w:t xml:space="preserve"> </w:t>
      </w:r>
      <w:r>
        <w:rPr>
          <w:sz w:val="16"/>
        </w:rPr>
        <w:t>la</w:t>
      </w:r>
      <w:r>
        <w:rPr>
          <w:spacing w:val="-14"/>
          <w:sz w:val="16"/>
        </w:rPr>
        <w:t xml:space="preserve"> </w:t>
      </w:r>
      <w:r>
        <w:rPr>
          <w:sz w:val="16"/>
        </w:rPr>
        <w:t>conducta del sujeto al que se considera infractor ya sea en materia penal o en materia administrativa sancionadora. De lo contrario, las personas no podrían orientar su comportamiento conforme a un orden jurídico vigente y cierto, en el que</w:t>
      </w:r>
      <w:r>
        <w:rPr>
          <w:sz w:val="16"/>
        </w:rPr>
        <w:t xml:space="preserve"> se expresan el reproche social y las consecuencias de éste. Véase en este sentido: </w:t>
      </w:r>
      <w:r>
        <w:rPr>
          <w:i/>
          <w:sz w:val="16"/>
        </w:rPr>
        <w:t>Caso Baena</w:t>
      </w:r>
      <w:r>
        <w:rPr>
          <w:i/>
          <w:spacing w:val="-3"/>
          <w:sz w:val="16"/>
        </w:rPr>
        <w:t xml:space="preserve"> </w:t>
      </w:r>
      <w:r>
        <w:rPr>
          <w:i/>
          <w:sz w:val="16"/>
        </w:rPr>
        <w:t>Ricardo</w:t>
      </w:r>
      <w:r>
        <w:rPr>
          <w:i/>
          <w:spacing w:val="-3"/>
          <w:sz w:val="16"/>
        </w:rPr>
        <w:t xml:space="preserve"> </w:t>
      </w:r>
      <w:r>
        <w:rPr>
          <w:i/>
          <w:sz w:val="16"/>
        </w:rPr>
        <w:t>y</w:t>
      </w:r>
      <w:r>
        <w:rPr>
          <w:i/>
          <w:spacing w:val="-3"/>
          <w:sz w:val="16"/>
        </w:rPr>
        <w:t xml:space="preserve"> </w:t>
      </w:r>
      <w:r>
        <w:rPr>
          <w:i/>
          <w:sz w:val="16"/>
        </w:rPr>
        <w:t>otros</w:t>
      </w:r>
      <w:r>
        <w:rPr>
          <w:i/>
          <w:spacing w:val="-1"/>
          <w:sz w:val="16"/>
        </w:rPr>
        <w:t xml:space="preserve"> </w:t>
      </w:r>
      <w:r>
        <w:rPr>
          <w:i/>
          <w:sz w:val="16"/>
        </w:rPr>
        <w:t>Vs.</w:t>
      </w:r>
      <w:r>
        <w:rPr>
          <w:i/>
          <w:spacing w:val="-3"/>
          <w:sz w:val="16"/>
        </w:rPr>
        <w:t xml:space="preserve"> </w:t>
      </w:r>
      <w:r>
        <w:rPr>
          <w:i/>
          <w:sz w:val="16"/>
        </w:rPr>
        <w:t>Panamá.</w:t>
      </w:r>
      <w:r>
        <w:rPr>
          <w:i/>
          <w:spacing w:val="-2"/>
          <w:sz w:val="16"/>
        </w:rPr>
        <w:t xml:space="preserve"> </w:t>
      </w:r>
      <w:r>
        <w:rPr>
          <w:i/>
          <w:sz w:val="16"/>
        </w:rPr>
        <w:t>Fondo,</w:t>
      </w:r>
      <w:r>
        <w:rPr>
          <w:i/>
          <w:spacing w:val="-2"/>
          <w:sz w:val="16"/>
        </w:rPr>
        <w:t xml:space="preserve"> </w:t>
      </w:r>
      <w:r>
        <w:rPr>
          <w:i/>
          <w:sz w:val="16"/>
        </w:rPr>
        <w:t>Reparaciones</w:t>
      </w:r>
      <w:r>
        <w:rPr>
          <w:i/>
          <w:spacing w:val="-4"/>
          <w:sz w:val="16"/>
        </w:rPr>
        <w:t xml:space="preserve"> </w:t>
      </w:r>
      <w:r>
        <w:rPr>
          <w:i/>
          <w:sz w:val="16"/>
        </w:rPr>
        <w:t>y</w:t>
      </w:r>
      <w:r>
        <w:rPr>
          <w:i/>
          <w:spacing w:val="-4"/>
          <w:sz w:val="16"/>
        </w:rPr>
        <w:t xml:space="preserve"> </w:t>
      </w:r>
      <w:r>
        <w:rPr>
          <w:i/>
          <w:sz w:val="16"/>
        </w:rPr>
        <w:t>Costas</w:t>
      </w:r>
      <w:r>
        <w:rPr>
          <w:sz w:val="16"/>
        </w:rPr>
        <w:t>.</w:t>
      </w:r>
      <w:r>
        <w:rPr>
          <w:spacing w:val="-2"/>
          <w:sz w:val="16"/>
        </w:rPr>
        <w:t xml:space="preserve"> </w:t>
      </w:r>
      <w:r>
        <w:rPr>
          <w:sz w:val="16"/>
        </w:rPr>
        <w:t>Sentencia</w:t>
      </w:r>
      <w:r>
        <w:rPr>
          <w:spacing w:val="-2"/>
          <w:sz w:val="16"/>
        </w:rPr>
        <w:t xml:space="preserve"> </w:t>
      </w:r>
      <w:r>
        <w:rPr>
          <w:sz w:val="16"/>
        </w:rPr>
        <w:t>de</w:t>
      </w:r>
      <w:r>
        <w:rPr>
          <w:spacing w:val="-1"/>
          <w:sz w:val="16"/>
        </w:rPr>
        <w:t xml:space="preserve"> </w:t>
      </w:r>
      <w:r>
        <w:rPr>
          <w:sz w:val="16"/>
        </w:rPr>
        <w:t>2</w:t>
      </w:r>
      <w:r>
        <w:rPr>
          <w:spacing w:val="-3"/>
          <w:sz w:val="16"/>
        </w:rPr>
        <w:t xml:space="preserve"> </w:t>
      </w:r>
      <w:r>
        <w:rPr>
          <w:sz w:val="16"/>
        </w:rPr>
        <w:t>de</w:t>
      </w:r>
      <w:r>
        <w:rPr>
          <w:spacing w:val="-5"/>
          <w:sz w:val="16"/>
        </w:rPr>
        <w:t xml:space="preserve"> </w:t>
      </w:r>
      <w:r>
        <w:rPr>
          <w:sz w:val="16"/>
        </w:rPr>
        <w:t>febrero</w:t>
      </w:r>
      <w:r>
        <w:rPr>
          <w:spacing w:val="-3"/>
          <w:sz w:val="16"/>
        </w:rPr>
        <w:t xml:space="preserve"> </w:t>
      </w:r>
      <w:r>
        <w:rPr>
          <w:sz w:val="16"/>
        </w:rPr>
        <w:t>de</w:t>
      </w:r>
      <w:r>
        <w:rPr>
          <w:spacing w:val="-4"/>
          <w:sz w:val="16"/>
        </w:rPr>
        <w:t xml:space="preserve"> </w:t>
      </w:r>
      <w:r>
        <w:rPr>
          <w:sz w:val="16"/>
        </w:rPr>
        <w:t>2001.</w:t>
      </w:r>
      <w:r>
        <w:rPr>
          <w:spacing w:val="-5"/>
          <w:sz w:val="16"/>
        </w:rPr>
        <w:t xml:space="preserve"> </w:t>
      </w:r>
      <w:r>
        <w:rPr>
          <w:sz w:val="16"/>
        </w:rPr>
        <w:t>Serie C</w:t>
      </w:r>
      <w:r>
        <w:rPr>
          <w:spacing w:val="-2"/>
          <w:sz w:val="16"/>
        </w:rPr>
        <w:t xml:space="preserve"> </w:t>
      </w:r>
      <w:r>
        <w:rPr>
          <w:sz w:val="16"/>
        </w:rPr>
        <w:t>No.</w:t>
      </w:r>
      <w:r>
        <w:rPr>
          <w:spacing w:val="-6"/>
          <w:sz w:val="16"/>
        </w:rPr>
        <w:t xml:space="preserve"> </w:t>
      </w:r>
      <w:r>
        <w:rPr>
          <w:sz w:val="16"/>
        </w:rPr>
        <w:t>72,</w:t>
      </w:r>
      <w:r>
        <w:rPr>
          <w:spacing w:val="-6"/>
          <w:sz w:val="16"/>
        </w:rPr>
        <w:t xml:space="preserve"> </w:t>
      </w:r>
      <w:r>
        <w:rPr>
          <w:sz w:val="16"/>
        </w:rPr>
        <w:t>párr.</w:t>
      </w:r>
      <w:r>
        <w:rPr>
          <w:spacing w:val="-3"/>
          <w:sz w:val="16"/>
        </w:rPr>
        <w:t xml:space="preserve"> </w:t>
      </w:r>
      <w:r>
        <w:rPr>
          <w:sz w:val="16"/>
        </w:rPr>
        <w:t>106;</w:t>
      </w:r>
      <w:r>
        <w:rPr>
          <w:spacing w:val="-4"/>
          <w:sz w:val="16"/>
        </w:rPr>
        <w:t xml:space="preserve"> </w:t>
      </w:r>
      <w:r>
        <w:rPr>
          <w:i/>
          <w:sz w:val="16"/>
        </w:rPr>
        <w:t>Norín</w:t>
      </w:r>
      <w:r>
        <w:rPr>
          <w:i/>
          <w:spacing w:val="-3"/>
          <w:sz w:val="16"/>
        </w:rPr>
        <w:t xml:space="preserve"> </w:t>
      </w:r>
      <w:r>
        <w:rPr>
          <w:i/>
          <w:sz w:val="16"/>
        </w:rPr>
        <w:t>Catrimán</w:t>
      </w:r>
      <w:r>
        <w:rPr>
          <w:i/>
          <w:spacing w:val="-3"/>
          <w:sz w:val="16"/>
        </w:rPr>
        <w:t xml:space="preserve"> </w:t>
      </w:r>
      <w:r>
        <w:rPr>
          <w:i/>
          <w:sz w:val="16"/>
        </w:rPr>
        <w:t>y</w:t>
      </w:r>
      <w:r>
        <w:rPr>
          <w:i/>
          <w:spacing w:val="-4"/>
          <w:sz w:val="16"/>
        </w:rPr>
        <w:t xml:space="preserve"> </w:t>
      </w:r>
      <w:r>
        <w:rPr>
          <w:i/>
          <w:sz w:val="16"/>
        </w:rPr>
        <w:t>otros</w:t>
      </w:r>
      <w:r>
        <w:rPr>
          <w:i/>
          <w:spacing w:val="-1"/>
          <w:sz w:val="16"/>
        </w:rPr>
        <w:t xml:space="preserve"> </w:t>
      </w:r>
      <w:r>
        <w:rPr>
          <w:i/>
          <w:sz w:val="16"/>
        </w:rPr>
        <w:t>(Dirigentes,</w:t>
      </w:r>
      <w:r>
        <w:rPr>
          <w:i/>
          <w:spacing w:val="-6"/>
          <w:sz w:val="16"/>
        </w:rPr>
        <w:t xml:space="preserve"> </w:t>
      </w:r>
      <w:r>
        <w:rPr>
          <w:i/>
          <w:sz w:val="16"/>
        </w:rPr>
        <w:t>Miembros</w:t>
      </w:r>
      <w:r>
        <w:rPr>
          <w:i/>
          <w:spacing w:val="-5"/>
          <w:sz w:val="16"/>
        </w:rPr>
        <w:t xml:space="preserve"> </w:t>
      </w:r>
      <w:r>
        <w:rPr>
          <w:i/>
          <w:sz w:val="16"/>
        </w:rPr>
        <w:t>y</w:t>
      </w:r>
      <w:r>
        <w:rPr>
          <w:i/>
          <w:spacing w:val="-2"/>
          <w:sz w:val="16"/>
        </w:rPr>
        <w:t xml:space="preserve"> </w:t>
      </w:r>
      <w:r>
        <w:rPr>
          <w:i/>
          <w:sz w:val="16"/>
        </w:rPr>
        <w:t>Activista</w:t>
      </w:r>
      <w:r>
        <w:rPr>
          <w:i/>
          <w:spacing w:val="-3"/>
          <w:sz w:val="16"/>
        </w:rPr>
        <w:t xml:space="preserve"> </w:t>
      </w:r>
      <w:r>
        <w:rPr>
          <w:i/>
          <w:sz w:val="16"/>
        </w:rPr>
        <w:t>del</w:t>
      </w:r>
      <w:r>
        <w:rPr>
          <w:i/>
          <w:spacing w:val="-3"/>
          <w:sz w:val="16"/>
        </w:rPr>
        <w:t xml:space="preserve"> </w:t>
      </w:r>
      <w:r>
        <w:rPr>
          <w:i/>
          <w:sz w:val="16"/>
        </w:rPr>
        <w:t>Pueblo</w:t>
      </w:r>
      <w:r>
        <w:rPr>
          <w:i/>
          <w:spacing w:val="-2"/>
          <w:sz w:val="16"/>
        </w:rPr>
        <w:t xml:space="preserve"> </w:t>
      </w:r>
      <w:r>
        <w:rPr>
          <w:i/>
          <w:sz w:val="16"/>
        </w:rPr>
        <w:t>Indígena</w:t>
      </w:r>
      <w:r>
        <w:rPr>
          <w:i/>
          <w:spacing w:val="-6"/>
          <w:sz w:val="16"/>
        </w:rPr>
        <w:t xml:space="preserve"> </w:t>
      </w:r>
      <w:r>
        <w:rPr>
          <w:i/>
          <w:sz w:val="16"/>
        </w:rPr>
        <w:t>Mapuche) Vs. Chile. Fondo, Reparaciones y Costas. S</w:t>
      </w:r>
      <w:r>
        <w:rPr>
          <w:sz w:val="16"/>
        </w:rPr>
        <w:t xml:space="preserve">entencia de 29 de mayo de 2014. Serie C No. 279, párr, 161 y </w:t>
      </w:r>
      <w:r>
        <w:rPr>
          <w:i/>
          <w:sz w:val="16"/>
        </w:rPr>
        <w:t>Caso</w:t>
      </w:r>
      <w:r>
        <w:rPr>
          <w:i/>
          <w:spacing w:val="-8"/>
          <w:sz w:val="16"/>
        </w:rPr>
        <w:t xml:space="preserve"> </w:t>
      </w:r>
      <w:r>
        <w:rPr>
          <w:i/>
          <w:sz w:val="16"/>
        </w:rPr>
        <w:t>Argüelles</w:t>
      </w:r>
      <w:r>
        <w:rPr>
          <w:i/>
          <w:spacing w:val="-5"/>
          <w:sz w:val="16"/>
        </w:rPr>
        <w:t xml:space="preserve"> </w:t>
      </w:r>
      <w:r>
        <w:rPr>
          <w:i/>
          <w:sz w:val="16"/>
        </w:rPr>
        <w:t>y</w:t>
      </w:r>
      <w:r>
        <w:rPr>
          <w:i/>
          <w:spacing w:val="-7"/>
          <w:sz w:val="16"/>
        </w:rPr>
        <w:t xml:space="preserve"> </w:t>
      </w:r>
      <w:r>
        <w:rPr>
          <w:i/>
          <w:sz w:val="16"/>
        </w:rPr>
        <w:t>otros</w:t>
      </w:r>
      <w:r>
        <w:rPr>
          <w:i/>
          <w:spacing w:val="-5"/>
          <w:sz w:val="16"/>
        </w:rPr>
        <w:t xml:space="preserve"> </w:t>
      </w:r>
      <w:r>
        <w:rPr>
          <w:i/>
          <w:sz w:val="16"/>
        </w:rPr>
        <w:t>Vs.</w:t>
      </w:r>
      <w:r>
        <w:rPr>
          <w:i/>
          <w:spacing w:val="-7"/>
          <w:sz w:val="16"/>
        </w:rPr>
        <w:t xml:space="preserve"> </w:t>
      </w:r>
      <w:r>
        <w:rPr>
          <w:i/>
          <w:sz w:val="16"/>
        </w:rPr>
        <w:t>Argentina.</w:t>
      </w:r>
      <w:r>
        <w:rPr>
          <w:i/>
          <w:spacing w:val="-4"/>
          <w:sz w:val="16"/>
        </w:rPr>
        <w:t xml:space="preserve"> </w:t>
      </w:r>
      <w:r>
        <w:rPr>
          <w:i/>
          <w:sz w:val="16"/>
        </w:rPr>
        <w:t>Excepciones</w:t>
      </w:r>
      <w:r>
        <w:rPr>
          <w:i/>
          <w:spacing w:val="-5"/>
          <w:sz w:val="16"/>
        </w:rPr>
        <w:t xml:space="preserve"> </w:t>
      </w:r>
      <w:r>
        <w:rPr>
          <w:i/>
          <w:sz w:val="16"/>
        </w:rPr>
        <w:t>Preliminares,</w:t>
      </w:r>
      <w:r>
        <w:rPr>
          <w:i/>
          <w:spacing w:val="-7"/>
          <w:sz w:val="16"/>
        </w:rPr>
        <w:t xml:space="preserve"> </w:t>
      </w:r>
      <w:r>
        <w:rPr>
          <w:i/>
          <w:sz w:val="16"/>
        </w:rPr>
        <w:t>Fondo,</w:t>
      </w:r>
      <w:r>
        <w:rPr>
          <w:i/>
          <w:spacing w:val="-6"/>
          <w:sz w:val="16"/>
        </w:rPr>
        <w:t xml:space="preserve"> </w:t>
      </w:r>
      <w:r>
        <w:rPr>
          <w:i/>
          <w:sz w:val="16"/>
        </w:rPr>
        <w:t>Reparaciones</w:t>
      </w:r>
      <w:r>
        <w:rPr>
          <w:i/>
          <w:spacing w:val="-7"/>
          <w:sz w:val="16"/>
        </w:rPr>
        <w:t xml:space="preserve"> </w:t>
      </w:r>
      <w:r>
        <w:rPr>
          <w:i/>
          <w:sz w:val="16"/>
        </w:rPr>
        <w:t>y</w:t>
      </w:r>
      <w:r>
        <w:rPr>
          <w:i/>
          <w:spacing w:val="-5"/>
          <w:sz w:val="16"/>
        </w:rPr>
        <w:t xml:space="preserve"> </w:t>
      </w:r>
      <w:r>
        <w:rPr>
          <w:i/>
          <w:sz w:val="16"/>
        </w:rPr>
        <w:t>Costas.</w:t>
      </w:r>
      <w:r>
        <w:rPr>
          <w:i/>
          <w:spacing w:val="-4"/>
          <w:sz w:val="16"/>
        </w:rPr>
        <w:t xml:space="preserve"> </w:t>
      </w:r>
      <w:r>
        <w:rPr>
          <w:sz w:val="16"/>
        </w:rPr>
        <w:t>Sentencia</w:t>
      </w:r>
      <w:r>
        <w:rPr>
          <w:spacing w:val="-3"/>
          <w:sz w:val="16"/>
        </w:rPr>
        <w:t xml:space="preserve"> </w:t>
      </w:r>
      <w:r>
        <w:rPr>
          <w:sz w:val="16"/>
        </w:rPr>
        <w:t>de 20 de noviembre de 2014. Serie C No. 288, párr.</w:t>
      </w:r>
      <w:r>
        <w:rPr>
          <w:spacing w:val="-9"/>
          <w:sz w:val="16"/>
        </w:rPr>
        <w:t xml:space="preserve"> </w:t>
      </w:r>
      <w:r>
        <w:rPr>
          <w:sz w:val="16"/>
        </w:rPr>
        <w:t>207.</w:t>
      </w:r>
    </w:p>
    <w:p w14:paraId="49D43EF2" w14:textId="77777777" w:rsidR="00492688" w:rsidRDefault="00492688">
      <w:pPr>
        <w:pStyle w:val="Textoindependiente"/>
      </w:pPr>
    </w:p>
    <w:p w14:paraId="6E7F9DFB" w14:textId="77777777" w:rsidR="00492688" w:rsidRDefault="00492688">
      <w:pPr>
        <w:pStyle w:val="Textoindependiente"/>
        <w:spacing w:before="3"/>
        <w:rPr>
          <w:sz w:val="19"/>
        </w:rPr>
      </w:pPr>
    </w:p>
    <w:p w14:paraId="30DC9EBF" w14:textId="77777777" w:rsidR="00492688" w:rsidRDefault="00C9584B">
      <w:pPr>
        <w:spacing w:before="52"/>
        <w:ind w:right="111"/>
        <w:jc w:val="center"/>
        <w:rPr>
          <w:rFonts w:ascii="Calibri"/>
          <w:sz w:val="24"/>
        </w:rPr>
      </w:pPr>
      <w:r>
        <w:rPr>
          <w:rFonts w:ascii="Calibri"/>
          <w:sz w:val="24"/>
        </w:rPr>
        <w:t>5</w:t>
      </w:r>
    </w:p>
    <w:p w14:paraId="1AC2C2E8"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3CBBF6A1" w14:textId="77777777" w:rsidR="00492688" w:rsidRDefault="00C9584B">
      <w:pPr>
        <w:pStyle w:val="Textoindependiente"/>
        <w:spacing w:before="71"/>
        <w:ind w:left="121" w:right="733"/>
      </w:pPr>
      <w:r>
        <w:lastRenderedPageBreak/>
        <w:t>judicatura encuentren certeza ante la potencial aplicación de tipos disciplinarios abiertos o indeterminados.</w:t>
      </w:r>
    </w:p>
    <w:p w14:paraId="11F148BF" w14:textId="77777777" w:rsidR="00492688" w:rsidRDefault="00492688">
      <w:pPr>
        <w:pStyle w:val="Textoindependiente"/>
        <w:spacing w:before="1"/>
      </w:pPr>
    </w:p>
    <w:p w14:paraId="70807B16" w14:textId="77777777" w:rsidR="00492688" w:rsidRDefault="00C9584B">
      <w:pPr>
        <w:pStyle w:val="Prrafodelista"/>
        <w:numPr>
          <w:ilvl w:val="0"/>
          <w:numId w:val="3"/>
        </w:numPr>
        <w:tabs>
          <w:tab w:val="left" w:pos="830"/>
        </w:tabs>
        <w:ind w:right="231" w:hanging="1"/>
        <w:jc w:val="both"/>
        <w:rPr>
          <w:sz w:val="20"/>
        </w:rPr>
      </w:pPr>
      <w:r>
        <w:rPr>
          <w:sz w:val="20"/>
        </w:rPr>
        <w:t>No obstante, la motivación en los procesos disciplinarios</w:t>
      </w:r>
      <w:r>
        <w:rPr>
          <w:sz w:val="20"/>
        </w:rPr>
        <w:t xml:space="preserve"> sancionatorios, en los que se apliquen las máximas sanciones a las y los miembros de la judicatura, a mi juicio, debe reunir determinados elementos para que pueda ser considerada como</w:t>
      </w:r>
      <w:r>
        <w:rPr>
          <w:spacing w:val="-46"/>
          <w:sz w:val="20"/>
        </w:rPr>
        <w:t xml:space="preserve"> </w:t>
      </w:r>
      <w:r>
        <w:rPr>
          <w:sz w:val="20"/>
        </w:rPr>
        <w:t xml:space="preserve">una adecuada motivación (entre ellas, la inclusión en la motivación de </w:t>
      </w:r>
      <w:r>
        <w:rPr>
          <w:sz w:val="20"/>
        </w:rPr>
        <w:t>los criterios jurisprudenciales o interpretativos pre existentes). Esta última cuestión no fue analizada</w:t>
      </w:r>
      <w:r>
        <w:rPr>
          <w:spacing w:val="-8"/>
          <w:sz w:val="20"/>
        </w:rPr>
        <w:t xml:space="preserve"> </w:t>
      </w:r>
      <w:r>
        <w:rPr>
          <w:sz w:val="20"/>
        </w:rPr>
        <w:t>por</w:t>
      </w:r>
      <w:r>
        <w:rPr>
          <w:spacing w:val="-9"/>
          <w:sz w:val="20"/>
        </w:rPr>
        <w:t xml:space="preserve"> </w:t>
      </w:r>
      <w:r>
        <w:rPr>
          <w:sz w:val="20"/>
        </w:rPr>
        <w:t>la</w:t>
      </w:r>
      <w:r>
        <w:rPr>
          <w:spacing w:val="-4"/>
          <w:sz w:val="20"/>
        </w:rPr>
        <w:t xml:space="preserve"> </w:t>
      </w:r>
      <w:r>
        <w:rPr>
          <w:sz w:val="20"/>
        </w:rPr>
        <w:t>Corte</w:t>
      </w:r>
      <w:r>
        <w:rPr>
          <w:spacing w:val="-9"/>
          <w:sz w:val="20"/>
        </w:rPr>
        <w:t xml:space="preserve"> </w:t>
      </w:r>
      <w:r>
        <w:rPr>
          <w:sz w:val="20"/>
        </w:rPr>
        <w:t>IDH</w:t>
      </w:r>
      <w:r>
        <w:rPr>
          <w:spacing w:val="-5"/>
          <w:sz w:val="20"/>
        </w:rPr>
        <w:t xml:space="preserve"> </w:t>
      </w:r>
      <w:r>
        <w:rPr>
          <w:sz w:val="20"/>
        </w:rPr>
        <w:t>en</w:t>
      </w:r>
      <w:r>
        <w:rPr>
          <w:spacing w:val="-4"/>
          <w:sz w:val="20"/>
        </w:rPr>
        <w:t xml:space="preserve"> </w:t>
      </w:r>
      <w:r>
        <w:rPr>
          <w:sz w:val="20"/>
        </w:rPr>
        <w:t>ocasión</w:t>
      </w:r>
      <w:r>
        <w:rPr>
          <w:spacing w:val="-7"/>
          <w:sz w:val="20"/>
        </w:rPr>
        <w:t xml:space="preserve"> </w:t>
      </w:r>
      <w:r>
        <w:rPr>
          <w:sz w:val="20"/>
        </w:rPr>
        <w:t>del</w:t>
      </w:r>
      <w:r>
        <w:rPr>
          <w:spacing w:val="-4"/>
          <w:sz w:val="20"/>
        </w:rPr>
        <w:t xml:space="preserve"> </w:t>
      </w:r>
      <w:r>
        <w:rPr>
          <w:sz w:val="20"/>
        </w:rPr>
        <w:t>caso</w:t>
      </w:r>
      <w:r>
        <w:rPr>
          <w:spacing w:val="-7"/>
          <w:sz w:val="20"/>
        </w:rPr>
        <w:t xml:space="preserve"> </w:t>
      </w:r>
      <w:r>
        <w:rPr>
          <w:i/>
          <w:sz w:val="20"/>
        </w:rPr>
        <w:t>López</w:t>
      </w:r>
      <w:r>
        <w:rPr>
          <w:i/>
          <w:spacing w:val="-7"/>
          <w:sz w:val="20"/>
        </w:rPr>
        <w:t xml:space="preserve"> </w:t>
      </w:r>
      <w:r>
        <w:rPr>
          <w:i/>
          <w:sz w:val="20"/>
        </w:rPr>
        <w:t>Lone</w:t>
      </w:r>
      <w:r>
        <w:rPr>
          <w:i/>
          <w:spacing w:val="-6"/>
          <w:sz w:val="20"/>
        </w:rPr>
        <w:t xml:space="preserve"> </w:t>
      </w:r>
      <w:r>
        <w:rPr>
          <w:i/>
          <w:sz w:val="20"/>
        </w:rPr>
        <w:t>y</w:t>
      </w:r>
      <w:r>
        <w:rPr>
          <w:i/>
          <w:spacing w:val="-6"/>
          <w:sz w:val="20"/>
        </w:rPr>
        <w:t xml:space="preserve"> </w:t>
      </w:r>
      <w:r>
        <w:rPr>
          <w:i/>
          <w:sz w:val="20"/>
        </w:rPr>
        <w:t>otros,</w:t>
      </w:r>
      <w:r>
        <w:rPr>
          <w:i/>
          <w:spacing w:val="-7"/>
          <w:sz w:val="20"/>
        </w:rPr>
        <w:t xml:space="preserve"> </w:t>
      </w:r>
      <w:r>
        <w:rPr>
          <w:sz w:val="20"/>
        </w:rPr>
        <w:t>debido</w:t>
      </w:r>
      <w:r>
        <w:rPr>
          <w:spacing w:val="-9"/>
          <w:sz w:val="20"/>
        </w:rPr>
        <w:t xml:space="preserve"> </w:t>
      </w:r>
      <w:r>
        <w:rPr>
          <w:sz w:val="20"/>
        </w:rPr>
        <w:t>a</w:t>
      </w:r>
      <w:r>
        <w:rPr>
          <w:spacing w:val="-5"/>
          <w:sz w:val="20"/>
        </w:rPr>
        <w:t xml:space="preserve"> </w:t>
      </w:r>
      <w:r>
        <w:rPr>
          <w:sz w:val="20"/>
        </w:rPr>
        <w:t>que,</w:t>
      </w:r>
      <w:r>
        <w:rPr>
          <w:spacing w:val="-5"/>
          <w:sz w:val="20"/>
        </w:rPr>
        <w:t xml:space="preserve"> </w:t>
      </w:r>
      <w:r>
        <w:rPr>
          <w:sz w:val="20"/>
        </w:rPr>
        <w:t>como se indicó, existió “una ausencia de</w:t>
      </w:r>
      <w:r>
        <w:rPr>
          <w:spacing w:val="-9"/>
          <w:sz w:val="20"/>
        </w:rPr>
        <w:t xml:space="preserve"> </w:t>
      </w:r>
      <w:r>
        <w:rPr>
          <w:sz w:val="20"/>
        </w:rPr>
        <w:t>motivación”.</w:t>
      </w:r>
    </w:p>
    <w:p w14:paraId="0BFEE193" w14:textId="77777777" w:rsidR="00492688" w:rsidRDefault="00492688">
      <w:pPr>
        <w:pStyle w:val="Textoindependiente"/>
        <w:spacing w:before="12"/>
        <w:rPr>
          <w:sz w:val="19"/>
        </w:rPr>
      </w:pPr>
    </w:p>
    <w:p w14:paraId="4C206B24" w14:textId="77777777" w:rsidR="00492688" w:rsidRDefault="00C9584B">
      <w:pPr>
        <w:pStyle w:val="Prrafodelista"/>
        <w:numPr>
          <w:ilvl w:val="0"/>
          <w:numId w:val="3"/>
        </w:numPr>
        <w:tabs>
          <w:tab w:val="left" w:pos="831"/>
        </w:tabs>
        <w:ind w:right="230" w:firstLine="0"/>
        <w:jc w:val="both"/>
        <w:rPr>
          <w:sz w:val="20"/>
        </w:rPr>
      </w:pPr>
      <w:r>
        <w:rPr>
          <w:sz w:val="20"/>
        </w:rPr>
        <w:t>Que la precisión de una norma de naturaleza sancionatoria sea o pueda ser diferente</w:t>
      </w:r>
      <w:r>
        <w:rPr>
          <w:spacing w:val="-15"/>
          <w:sz w:val="20"/>
        </w:rPr>
        <w:t xml:space="preserve"> </w:t>
      </w:r>
      <w:r>
        <w:rPr>
          <w:sz w:val="20"/>
        </w:rPr>
        <w:t>—como</w:t>
      </w:r>
      <w:r>
        <w:rPr>
          <w:spacing w:val="-16"/>
          <w:sz w:val="20"/>
        </w:rPr>
        <w:t xml:space="preserve"> </w:t>
      </w:r>
      <w:r>
        <w:rPr>
          <w:sz w:val="20"/>
        </w:rPr>
        <w:t>ha</w:t>
      </w:r>
      <w:r>
        <w:rPr>
          <w:spacing w:val="-12"/>
          <w:sz w:val="20"/>
        </w:rPr>
        <w:t xml:space="preserve"> </w:t>
      </w:r>
      <w:r>
        <w:rPr>
          <w:sz w:val="20"/>
        </w:rPr>
        <w:t>sido</w:t>
      </w:r>
      <w:r>
        <w:rPr>
          <w:spacing w:val="-14"/>
          <w:sz w:val="20"/>
        </w:rPr>
        <w:t xml:space="preserve"> </w:t>
      </w:r>
      <w:r>
        <w:rPr>
          <w:sz w:val="20"/>
        </w:rPr>
        <w:t>reconocido</w:t>
      </w:r>
      <w:r>
        <w:rPr>
          <w:spacing w:val="-14"/>
          <w:sz w:val="20"/>
        </w:rPr>
        <w:t xml:space="preserve"> </w:t>
      </w:r>
      <w:r>
        <w:rPr>
          <w:sz w:val="20"/>
        </w:rPr>
        <w:t>por</w:t>
      </w:r>
      <w:r>
        <w:rPr>
          <w:spacing w:val="-14"/>
          <w:sz w:val="20"/>
        </w:rPr>
        <w:t xml:space="preserve"> </w:t>
      </w:r>
      <w:r>
        <w:rPr>
          <w:sz w:val="20"/>
        </w:rPr>
        <w:t>el</w:t>
      </w:r>
      <w:r>
        <w:rPr>
          <w:spacing w:val="-16"/>
          <w:sz w:val="20"/>
        </w:rPr>
        <w:t xml:space="preserve"> </w:t>
      </w:r>
      <w:r>
        <w:rPr>
          <w:sz w:val="20"/>
        </w:rPr>
        <w:t>Tribunal</w:t>
      </w:r>
      <w:r>
        <w:rPr>
          <w:spacing w:val="-15"/>
          <w:sz w:val="20"/>
        </w:rPr>
        <w:t xml:space="preserve"> </w:t>
      </w:r>
      <w:r>
        <w:rPr>
          <w:sz w:val="20"/>
        </w:rPr>
        <w:t>Interamericano—</w:t>
      </w:r>
      <w:r>
        <w:rPr>
          <w:spacing w:val="-16"/>
          <w:sz w:val="20"/>
        </w:rPr>
        <w:t xml:space="preserve"> </w:t>
      </w:r>
      <w:r>
        <w:rPr>
          <w:sz w:val="20"/>
        </w:rPr>
        <w:t>a</w:t>
      </w:r>
      <w:r>
        <w:rPr>
          <w:spacing w:val="-12"/>
          <w:sz w:val="20"/>
        </w:rPr>
        <w:t xml:space="preserve"> </w:t>
      </w:r>
      <w:r>
        <w:rPr>
          <w:sz w:val="20"/>
        </w:rPr>
        <w:t>la</w:t>
      </w:r>
      <w:r>
        <w:rPr>
          <w:spacing w:val="-15"/>
          <w:sz w:val="20"/>
        </w:rPr>
        <w:t xml:space="preserve"> </w:t>
      </w:r>
      <w:r>
        <w:rPr>
          <w:sz w:val="20"/>
        </w:rPr>
        <w:t>requerida</w:t>
      </w:r>
      <w:r>
        <w:rPr>
          <w:spacing w:val="-15"/>
          <w:sz w:val="20"/>
        </w:rPr>
        <w:t xml:space="preserve"> </w:t>
      </w:r>
      <w:r>
        <w:rPr>
          <w:sz w:val="20"/>
        </w:rPr>
        <w:t>por el principio de legalidad en materia penal (cuestión que está relacionada con la taxatividad y c</w:t>
      </w:r>
      <w:r>
        <w:rPr>
          <w:sz w:val="20"/>
        </w:rPr>
        <w:t>laridad) no exime, en automático, la obligación del Estado respecto de la generación de criterios objetivos que sean previos y pongan un límite a la posible aplicación arbitraria de dichas normas, ya sea en la vía normativa o en la vía interpretativa.</w:t>
      </w:r>
    </w:p>
    <w:p w14:paraId="12BB1A66" w14:textId="77777777" w:rsidR="00492688" w:rsidRDefault="00492688">
      <w:pPr>
        <w:pStyle w:val="Textoindependiente"/>
        <w:spacing w:before="11"/>
        <w:rPr>
          <w:sz w:val="19"/>
        </w:rPr>
      </w:pPr>
    </w:p>
    <w:p w14:paraId="2EF0781F" w14:textId="77777777" w:rsidR="00492688" w:rsidRDefault="00C9584B">
      <w:pPr>
        <w:pStyle w:val="Prrafodelista"/>
        <w:numPr>
          <w:ilvl w:val="0"/>
          <w:numId w:val="1"/>
        </w:numPr>
        <w:tabs>
          <w:tab w:val="left" w:pos="1651"/>
        </w:tabs>
        <w:spacing w:before="1"/>
        <w:ind w:right="1453" w:hanging="1553"/>
        <w:jc w:val="left"/>
        <w:rPr>
          <w:sz w:val="20"/>
        </w:rPr>
      </w:pPr>
      <w:r>
        <w:rPr>
          <w:sz w:val="20"/>
        </w:rPr>
        <w:t xml:space="preserve">LA </w:t>
      </w:r>
      <w:r>
        <w:rPr>
          <w:sz w:val="20"/>
        </w:rPr>
        <w:t>INDEPENDENCIA JUDICIAL Y PRINCIPIO DE LEGALIDAD EN EL CASO CORDERO</w:t>
      </w:r>
      <w:r>
        <w:rPr>
          <w:spacing w:val="-5"/>
          <w:sz w:val="20"/>
        </w:rPr>
        <w:t xml:space="preserve"> </w:t>
      </w:r>
      <w:r>
        <w:rPr>
          <w:sz w:val="20"/>
        </w:rPr>
        <w:t>BERNAL</w:t>
      </w:r>
    </w:p>
    <w:p w14:paraId="5A3D1886" w14:textId="77777777" w:rsidR="00492688" w:rsidRDefault="00492688">
      <w:pPr>
        <w:pStyle w:val="Textoindependiente"/>
      </w:pPr>
    </w:p>
    <w:p w14:paraId="74E2AFA8" w14:textId="77777777" w:rsidR="00492688" w:rsidRDefault="00C9584B">
      <w:pPr>
        <w:pStyle w:val="Prrafodelista"/>
        <w:numPr>
          <w:ilvl w:val="0"/>
          <w:numId w:val="3"/>
        </w:numPr>
        <w:tabs>
          <w:tab w:val="left" w:pos="688"/>
        </w:tabs>
        <w:ind w:right="226" w:firstLine="0"/>
        <w:jc w:val="both"/>
        <w:rPr>
          <w:sz w:val="20"/>
        </w:rPr>
      </w:pPr>
      <w:r>
        <w:rPr>
          <w:spacing w:val="-4"/>
          <w:sz w:val="20"/>
        </w:rPr>
        <w:t xml:space="preserve">Tal </w:t>
      </w:r>
      <w:r>
        <w:rPr>
          <w:sz w:val="20"/>
        </w:rPr>
        <w:t xml:space="preserve">y </w:t>
      </w:r>
      <w:r>
        <w:rPr>
          <w:spacing w:val="-3"/>
          <w:sz w:val="20"/>
        </w:rPr>
        <w:t xml:space="preserve">como </w:t>
      </w:r>
      <w:r>
        <w:rPr>
          <w:sz w:val="20"/>
        </w:rPr>
        <w:t xml:space="preserve">se </w:t>
      </w:r>
      <w:r>
        <w:rPr>
          <w:spacing w:val="-4"/>
          <w:sz w:val="20"/>
        </w:rPr>
        <w:t xml:space="preserve">indica </w:t>
      </w:r>
      <w:r>
        <w:rPr>
          <w:spacing w:val="-3"/>
          <w:sz w:val="20"/>
        </w:rPr>
        <w:t xml:space="preserve">en la </w:t>
      </w:r>
      <w:r>
        <w:rPr>
          <w:spacing w:val="-4"/>
          <w:sz w:val="20"/>
        </w:rPr>
        <w:t xml:space="preserve">Sentencia, </w:t>
      </w:r>
      <w:r>
        <w:rPr>
          <w:spacing w:val="-3"/>
          <w:sz w:val="20"/>
        </w:rPr>
        <w:t xml:space="preserve">la Corte IDH </w:t>
      </w:r>
      <w:r>
        <w:rPr>
          <w:sz w:val="20"/>
        </w:rPr>
        <w:t xml:space="preserve">ha </w:t>
      </w:r>
      <w:r>
        <w:rPr>
          <w:spacing w:val="-4"/>
          <w:sz w:val="20"/>
        </w:rPr>
        <w:t xml:space="preserve">señalado </w:t>
      </w:r>
      <w:r>
        <w:rPr>
          <w:spacing w:val="-2"/>
          <w:sz w:val="20"/>
        </w:rPr>
        <w:t xml:space="preserve">que </w:t>
      </w:r>
      <w:r>
        <w:rPr>
          <w:sz w:val="20"/>
        </w:rPr>
        <w:t xml:space="preserve">de la </w:t>
      </w:r>
      <w:r>
        <w:rPr>
          <w:spacing w:val="-4"/>
          <w:sz w:val="20"/>
        </w:rPr>
        <w:t xml:space="preserve">independencia judicial </w:t>
      </w:r>
      <w:r>
        <w:rPr>
          <w:sz w:val="20"/>
        </w:rPr>
        <w:t xml:space="preserve">se </w:t>
      </w:r>
      <w:r>
        <w:rPr>
          <w:spacing w:val="-4"/>
          <w:sz w:val="20"/>
        </w:rPr>
        <w:t xml:space="preserve">derivan </w:t>
      </w:r>
      <w:r>
        <w:rPr>
          <w:spacing w:val="-3"/>
          <w:sz w:val="20"/>
        </w:rPr>
        <w:t xml:space="preserve">las </w:t>
      </w:r>
      <w:r>
        <w:rPr>
          <w:spacing w:val="-4"/>
          <w:sz w:val="20"/>
        </w:rPr>
        <w:t xml:space="preserve">garantías (a) </w:t>
      </w:r>
      <w:r>
        <w:rPr>
          <w:sz w:val="20"/>
        </w:rPr>
        <w:t xml:space="preserve">a la </w:t>
      </w:r>
      <w:r>
        <w:rPr>
          <w:spacing w:val="-4"/>
          <w:sz w:val="20"/>
        </w:rPr>
        <w:t xml:space="preserve">estabilidad </w:t>
      </w:r>
      <w:r>
        <w:rPr>
          <w:sz w:val="20"/>
        </w:rPr>
        <w:t xml:space="preserve">e </w:t>
      </w:r>
      <w:r>
        <w:rPr>
          <w:spacing w:val="-4"/>
          <w:sz w:val="20"/>
        </w:rPr>
        <w:t xml:space="preserve">inamovilidad </w:t>
      </w:r>
      <w:r>
        <w:rPr>
          <w:spacing w:val="-3"/>
          <w:sz w:val="20"/>
        </w:rPr>
        <w:t xml:space="preserve">en el </w:t>
      </w:r>
      <w:r>
        <w:rPr>
          <w:spacing w:val="-4"/>
          <w:sz w:val="20"/>
        </w:rPr>
        <w:t>cargo,</w:t>
      </w:r>
      <w:r>
        <w:rPr>
          <w:spacing w:val="-27"/>
          <w:sz w:val="20"/>
        </w:rPr>
        <w:t xml:space="preserve"> </w:t>
      </w:r>
      <w:r>
        <w:rPr>
          <w:spacing w:val="-4"/>
          <w:sz w:val="20"/>
        </w:rPr>
        <w:t>(b)</w:t>
      </w:r>
      <w:r>
        <w:rPr>
          <w:spacing w:val="-22"/>
          <w:sz w:val="20"/>
        </w:rPr>
        <w:t xml:space="preserve"> </w:t>
      </w:r>
      <w:r>
        <w:rPr>
          <w:sz w:val="20"/>
        </w:rPr>
        <w:t>a</w:t>
      </w:r>
      <w:r>
        <w:rPr>
          <w:spacing w:val="-26"/>
          <w:sz w:val="20"/>
        </w:rPr>
        <w:t xml:space="preserve"> </w:t>
      </w:r>
      <w:r>
        <w:rPr>
          <w:sz w:val="20"/>
        </w:rPr>
        <w:t>un</w:t>
      </w:r>
      <w:r>
        <w:rPr>
          <w:spacing w:val="-24"/>
          <w:sz w:val="20"/>
        </w:rPr>
        <w:t xml:space="preserve"> </w:t>
      </w:r>
      <w:r>
        <w:rPr>
          <w:spacing w:val="-4"/>
          <w:sz w:val="20"/>
        </w:rPr>
        <w:t>adecuado</w:t>
      </w:r>
      <w:r>
        <w:rPr>
          <w:spacing w:val="-24"/>
          <w:sz w:val="20"/>
        </w:rPr>
        <w:t xml:space="preserve"> </w:t>
      </w:r>
      <w:r>
        <w:rPr>
          <w:spacing w:val="-4"/>
          <w:sz w:val="20"/>
        </w:rPr>
        <w:t>proceso</w:t>
      </w:r>
      <w:r>
        <w:rPr>
          <w:spacing w:val="-25"/>
          <w:sz w:val="20"/>
        </w:rPr>
        <w:t xml:space="preserve"> </w:t>
      </w:r>
      <w:r>
        <w:rPr>
          <w:sz w:val="20"/>
        </w:rPr>
        <w:t>de</w:t>
      </w:r>
      <w:r>
        <w:rPr>
          <w:spacing w:val="-26"/>
          <w:sz w:val="20"/>
        </w:rPr>
        <w:t xml:space="preserve"> </w:t>
      </w:r>
      <w:r>
        <w:rPr>
          <w:spacing w:val="-4"/>
          <w:sz w:val="20"/>
        </w:rPr>
        <w:t>nombramiento,</w:t>
      </w:r>
      <w:r>
        <w:rPr>
          <w:spacing w:val="-26"/>
          <w:sz w:val="20"/>
        </w:rPr>
        <w:t xml:space="preserve"> </w:t>
      </w:r>
      <w:r>
        <w:rPr>
          <w:sz w:val="20"/>
        </w:rPr>
        <w:t>y</w:t>
      </w:r>
      <w:r>
        <w:rPr>
          <w:spacing w:val="-26"/>
          <w:sz w:val="20"/>
        </w:rPr>
        <w:t xml:space="preserve"> </w:t>
      </w:r>
      <w:r>
        <w:rPr>
          <w:spacing w:val="-3"/>
          <w:sz w:val="20"/>
        </w:rPr>
        <w:t>(c)</w:t>
      </w:r>
      <w:r>
        <w:rPr>
          <w:spacing w:val="-22"/>
          <w:sz w:val="20"/>
        </w:rPr>
        <w:t xml:space="preserve"> </w:t>
      </w:r>
      <w:r>
        <w:rPr>
          <w:sz w:val="20"/>
        </w:rPr>
        <w:t>a</w:t>
      </w:r>
      <w:r>
        <w:rPr>
          <w:spacing w:val="-25"/>
          <w:sz w:val="20"/>
        </w:rPr>
        <w:t xml:space="preserve"> </w:t>
      </w:r>
      <w:r>
        <w:rPr>
          <w:spacing w:val="-3"/>
          <w:sz w:val="20"/>
        </w:rPr>
        <w:t>ser</w:t>
      </w:r>
      <w:r>
        <w:rPr>
          <w:spacing w:val="-27"/>
          <w:sz w:val="20"/>
        </w:rPr>
        <w:t xml:space="preserve"> </w:t>
      </w:r>
      <w:r>
        <w:rPr>
          <w:spacing w:val="-4"/>
          <w:sz w:val="20"/>
        </w:rPr>
        <w:t>protegidos</w:t>
      </w:r>
      <w:r>
        <w:rPr>
          <w:spacing w:val="-26"/>
          <w:sz w:val="20"/>
        </w:rPr>
        <w:t xml:space="preserve"> </w:t>
      </w:r>
      <w:r>
        <w:rPr>
          <w:spacing w:val="-4"/>
          <w:sz w:val="20"/>
        </w:rPr>
        <w:t>contra</w:t>
      </w:r>
      <w:r>
        <w:rPr>
          <w:spacing w:val="-22"/>
          <w:sz w:val="20"/>
        </w:rPr>
        <w:t xml:space="preserve"> </w:t>
      </w:r>
      <w:r>
        <w:rPr>
          <w:spacing w:val="-4"/>
          <w:sz w:val="20"/>
        </w:rPr>
        <w:t xml:space="preserve">presiones externas. </w:t>
      </w:r>
      <w:r>
        <w:rPr>
          <w:spacing w:val="-3"/>
          <w:sz w:val="20"/>
        </w:rPr>
        <w:t xml:space="preserve">Sobre </w:t>
      </w:r>
      <w:r>
        <w:rPr>
          <w:sz w:val="20"/>
        </w:rPr>
        <w:t xml:space="preserve">la </w:t>
      </w:r>
      <w:r>
        <w:rPr>
          <w:spacing w:val="-4"/>
          <w:sz w:val="20"/>
        </w:rPr>
        <w:t xml:space="preserve">garantía </w:t>
      </w:r>
      <w:r>
        <w:rPr>
          <w:sz w:val="20"/>
        </w:rPr>
        <w:t xml:space="preserve">de </w:t>
      </w:r>
      <w:r>
        <w:rPr>
          <w:spacing w:val="-4"/>
          <w:sz w:val="20"/>
        </w:rPr>
        <w:t xml:space="preserve">estabilidad </w:t>
      </w:r>
      <w:r>
        <w:rPr>
          <w:sz w:val="20"/>
        </w:rPr>
        <w:t xml:space="preserve">e </w:t>
      </w:r>
      <w:r>
        <w:rPr>
          <w:spacing w:val="-4"/>
          <w:sz w:val="20"/>
        </w:rPr>
        <w:t xml:space="preserve">inamovilidad </w:t>
      </w:r>
      <w:r>
        <w:rPr>
          <w:spacing w:val="-3"/>
          <w:sz w:val="20"/>
        </w:rPr>
        <w:t xml:space="preserve">en </w:t>
      </w:r>
      <w:r>
        <w:rPr>
          <w:sz w:val="20"/>
        </w:rPr>
        <w:t xml:space="preserve">el </w:t>
      </w:r>
      <w:r>
        <w:rPr>
          <w:spacing w:val="-4"/>
          <w:sz w:val="20"/>
        </w:rPr>
        <w:t xml:space="preserve">cargo, </w:t>
      </w:r>
      <w:r>
        <w:rPr>
          <w:sz w:val="20"/>
        </w:rPr>
        <w:t xml:space="preserve">el </w:t>
      </w:r>
      <w:r>
        <w:rPr>
          <w:spacing w:val="-4"/>
          <w:sz w:val="20"/>
        </w:rPr>
        <w:t xml:space="preserve">Tribunal Interamericano </w:t>
      </w:r>
      <w:r>
        <w:rPr>
          <w:sz w:val="20"/>
        </w:rPr>
        <w:t xml:space="preserve">ha </w:t>
      </w:r>
      <w:r>
        <w:rPr>
          <w:spacing w:val="-4"/>
          <w:sz w:val="20"/>
        </w:rPr>
        <w:t xml:space="preserve">considerado </w:t>
      </w:r>
      <w:r>
        <w:rPr>
          <w:spacing w:val="-3"/>
          <w:sz w:val="20"/>
        </w:rPr>
        <w:t xml:space="preserve">que </w:t>
      </w:r>
      <w:r>
        <w:rPr>
          <w:spacing w:val="-4"/>
          <w:sz w:val="20"/>
        </w:rPr>
        <w:t xml:space="preserve">implica, </w:t>
      </w:r>
      <w:r>
        <w:rPr>
          <w:sz w:val="20"/>
        </w:rPr>
        <w:t xml:space="preserve">a </w:t>
      </w:r>
      <w:r>
        <w:rPr>
          <w:spacing w:val="-3"/>
          <w:sz w:val="20"/>
        </w:rPr>
        <w:t xml:space="preserve">su vez, </w:t>
      </w:r>
      <w:r>
        <w:rPr>
          <w:spacing w:val="-4"/>
          <w:sz w:val="20"/>
        </w:rPr>
        <w:t xml:space="preserve">(i) </w:t>
      </w:r>
      <w:r>
        <w:rPr>
          <w:spacing w:val="-3"/>
          <w:sz w:val="20"/>
        </w:rPr>
        <w:t xml:space="preserve">que </w:t>
      </w:r>
      <w:r>
        <w:rPr>
          <w:sz w:val="20"/>
        </w:rPr>
        <w:t xml:space="preserve">la </w:t>
      </w:r>
      <w:r>
        <w:rPr>
          <w:spacing w:val="-4"/>
          <w:sz w:val="20"/>
        </w:rPr>
        <w:t xml:space="preserve">separación </w:t>
      </w:r>
      <w:r>
        <w:rPr>
          <w:spacing w:val="-3"/>
          <w:sz w:val="20"/>
        </w:rPr>
        <w:t xml:space="preserve">de </w:t>
      </w:r>
      <w:r>
        <w:rPr>
          <w:spacing w:val="-2"/>
          <w:sz w:val="20"/>
        </w:rPr>
        <w:t xml:space="preserve">los </w:t>
      </w:r>
      <w:r>
        <w:rPr>
          <w:spacing w:val="-4"/>
          <w:sz w:val="20"/>
        </w:rPr>
        <w:t xml:space="preserve">jueces </w:t>
      </w:r>
      <w:r>
        <w:rPr>
          <w:spacing w:val="-3"/>
          <w:sz w:val="20"/>
        </w:rPr>
        <w:t xml:space="preserve">de sus </w:t>
      </w:r>
      <w:r>
        <w:rPr>
          <w:spacing w:val="-4"/>
          <w:sz w:val="20"/>
        </w:rPr>
        <w:t>car</w:t>
      </w:r>
      <w:r>
        <w:rPr>
          <w:spacing w:val="-4"/>
          <w:sz w:val="20"/>
        </w:rPr>
        <w:t xml:space="preserve">gos deba obedecer exclusivamente </w:t>
      </w:r>
      <w:r>
        <w:rPr>
          <w:sz w:val="20"/>
        </w:rPr>
        <w:t xml:space="preserve">a </w:t>
      </w:r>
      <w:r>
        <w:rPr>
          <w:spacing w:val="-4"/>
          <w:sz w:val="20"/>
        </w:rPr>
        <w:t xml:space="preserve">causales permitidas, </w:t>
      </w:r>
      <w:r>
        <w:rPr>
          <w:spacing w:val="-3"/>
          <w:sz w:val="20"/>
        </w:rPr>
        <w:t xml:space="preserve">ya sea </w:t>
      </w:r>
      <w:r>
        <w:rPr>
          <w:spacing w:val="-2"/>
          <w:sz w:val="20"/>
        </w:rPr>
        <w:t xml:space="preserve">por </w:t>
      </w:r>
      <w:r>
        <w:rPr>
          <w:spacing w:val="-3"/>
          <w:sz w:val="20"/>
        </w:rPr>
        <w:t xml:space="preserve">medio </w:t>
      </w:r>
      <w:r>
        <w:rPr>
          <w:sz w:val="20"/>
        </w:rPr>
        <w:t xml:space="preserve">de un </w:t>
      </w:r>
      <w:r>
        <w:rPr>
          <w:spacing w:val="-4"/>
          <w:sz w:val="20"/>
        </w:rPr>
        <w:t xml:space="preserve">proceso </w:t>
      </w:r>
      <w:r>
        <w:rPr>
          <w:sz w:val="20"/>
        </w:rPr>
        <w:t xml:space="preserve">que </w:t>
      </w:r>
      <w:r>
        <w:rPr>
          <w:spacing w:val="-4"/>
          <w:sz w:val="20"/>
        </w:rPr>
        <w:t xml:space="preserve">cumpla </w:t>
      </w:r>
      <w:r>
        <w:rPr>
          <w:spacing w:val="-3"/>
          <w:sz w:val="20"/>
        </w:rPr>
        <w:t xml:space="preserve">con las </w:t>
      </w:r>
      <w:r>
        <w:rPr>
          <w:spacing w:val="-4"/>
          <w:sz w:val="20"/>
        </w:rPr>
        <w:t xml:space="preserve">garantías judiciales </w:t>
      </w:r>
      <w:r>
        <w:rPr>
          <w:sz w:val="20"/>
        </w:rPr>
        <w:t xml:space="preserve">o </w:t>
      </w:r>
      <w:r>
        <w:rPr>
          <w:spacing w:val="-4"/>
          <w:sz w:val="20"/>
        </w:rPr>
        <w:t xml:space="preserve">porque </w:t>
      </w:r>
      <w:r>
        <w:rPr>
          <w:spacing w:val="-3"/>
          <w:sz w:val="20"/>
        </w:rPr>
        <w:t xml:space="preserve">han </w:t>
      </w:r>
      <w:r>
        <w:rPr>
          <w:spacing w:val="-4"/>
          <w:sz w:val="20"/>
        </w:rPr>
        <w:t xml:space="preserve">cumplido </w:t>
      </w:r>
      <w:r>
        <w:rPr>
          <w:spacing w:val="-3"/>
          <w:sz w:val="20"/>
        </w:rPr>
        <w:t xml:space="preserve">el </w:t>
      </w:r>
      <w:r>
        <w:rPr>
          <w:spacing w:val="-4"/>
          <w:sz w:val="20"/>
        </w:rPr>
        <w:t xml:space="preserve">término </w:t>
      </w:r>
      <w:r>
        <w:rPr>
          <w:sz w:val="20"/>
        </w:rPr>
        <w:t xml:space="preserve">de </w:t>
      </w:r>
      <w:r>
        <w:rPr>
          <w:spacing w:val="-3"/>
          <w:sz w:val="20"/>
        </w:rPr>
        <w:t xml:space="preserve">su </w:t>
      </w:r>
      <w:r>
        <w:rPr>
          <w:spacing w:val="-4"/>
          <w:sz w:val="20"/>
        </w:rPr>
        <w:t xml:space="preserve">mandato; </w:t>
      </w:r>
      <w:r>
        <w:rPr>
          <w:spacing w:val="-3"/>
          <w:sz w:val="20"/>
        </w:rPr>
        <w:t xml:space="preserve">(ii) que </w:t>
      </w:r>
      <w:r>
        <w:rPr>
          <w:spacing w:val="-2"/>
          <w:sz w:val="20"/>
        </w:rPr>
        <w:t xml:space="preserve">los </w:t>
      </w:r>
      <w:r>
        <w:rPr>
          <w:spacing w:val="-4"/>
          <w:sz w:val="20"/>
        </w:rPr>
        <w:t xml:space="preserve">jueces </w:t>
      </w:r>
      <w:r>
        <w:rPr>
          <w:spacing w:val="-3"/>
          <w:sz w:val="20"/>
        </w:rPr>
        <w:t xml:space="preserve">solo </w:t>
      </w:r>
      <w:r>
        <w:rPr>
          <w:spacing w:val="-4"/>
          <w:sz w:val="20"/>
        </w:rPr>
        <w:t xml:space="preserve">pueden </w:t>
      </w:r>
      <w:r>
        <w:rPr>
          <w:spacing w:val="-3"/>
          <w:sz w:val="20"/>
        </w:rPr>
        <w:t xml:space="preserve">ser </w:t>
      </w:r>
      <w:r>
        <w:rPr>
          <w:spacing w:val="-4"/>
          <w:sz w:val="20"/>
        </w:rPr>
        <w:t xml:space="preserve">destituidos </w:t>
      </w:r>
      <w:r>
        <w:rPr>
          <w:spacing w:val="-2"/>
          <w:sz w:val="20"/>
        </w:rPr>
        <w:t xml:space="preserve">por </w:t>
      </w:r>
      <w:r>
        <w:rPr>
          <w:spacing w:val="-4"/>
          <w:sz w:val="20"/>
        </w:rPr>
        <w:t xml:space="preserve">faltas </w:t>
      </w:r>
      <w:r>
        <w:rPr>
          <w:sz w:val="20"/>
        </w:rPr>
        <w:t xml:space="preserve">de </w:t>
      </w:r>
      <w:r>
        <w:rPr>
          <w:spacing w:val="-4"/>
          <w:sz w:val="20"/>
        </w:rPr>
        <w:t xml:space="preserve">disciplina </w:t>
      </w:r>
      <w:r>
        <w:rPr>
          <w:spacing w:val="-3"/>
          <w:sz w:val="20"/>
        </w:rPr>
        <w:t xml:space="preserve">graves </w:t>
      </w:r>
      <w:r>
        <w:rPr>
          <w:sz w:val="20"/>
        </w:rPr>
        <w:t>o</w:t>
      </w:r>
      <w:r>
        <w:rPr>
          <w:spacing w:val="-13"/>
          <w:sz w:val="20"/>
        </w:rPr>
        <w:t xml:space="preserve"> </w:t>
      </w:r>
      <w:r>
        <w:rPr>
          <w:spacing w:val="-4"/>
          <w:sz w:val="20"/>
        </w:rPr>
        <w:t>incompetencia;</w:t>
      </w:r>
      <w:r>
        <w:rPr>
          <w:spacing w:val="-9"/>
          <w:sz w:val="20"/>
        </w:rPr>
        <w:t xml:space="preserve"> </w:t>
      </w:r>
      <w:r>
        <w:rPr>
          <w:sz w:val="20"/>
        </w:rPr>
        <w:t>y</w:t>
      </w:r>
      <w:r>
        <w:rPr>
          <w:spacing w:val="-11"/>
          <w:sz w:val="20"/>
        </w:rPr>
        <w:t xml:space="preserve"> </w:t>
      </w:r>
      <w:r>
        <w:rPr>
          <w:spacing w:val="-4"/>
          <w:sz w:val="20"/>
        </w:rPr>
        <w:t>(iii)</w:t>
      </w:r>
      <w:r>
        <w:rPr>
          <w:spacing w:val="-11"/>
          <w:sz w:val="20"/>
        </w:rPr>
        <w:t xml:space="preserve"> </w:t>
      </w:r>
      <w:r>
        <w:rPr>
          <w:spacing w:val="-2"/>
          <w:sz w:val="20"/>
        </w:rPr>
        <w:t>que</w:t>
      </w:r>
      <w:r>
        <w:rPr>
          <w:spacing w:val="-11"/>
          <w:sz w:val="20"/>
        </w:rPr>
        <w:t xml:space="preserve"> </w:t>
      </w:r>
      <w:r>
        <w:rPr>
          <w:spacing w:val="-3"/>
          <w:sz w:val="20"/>
        </w:rPr>
        <w:t>todo</w:t>
      </w:r>
      <w:r>
        <w:rPr>
          <w:spacing w:val="-13"/>
          <w:sz w:val="20"/>
        </w:rPr>
        <w:t xml:space="preserve"> </w:t>
      </w:r>
      <w:r>
        <w:rPr>
          <w:spacing w:val="-4"/>
          <w:sz w:val="20"/>
        </w:rPr>
        <w:t>proceso</w:t>
      </w:r>
      <w:r>
        <w:rPr>
          <w:spacing w:val="-9"/>
          <w:sz w:val="20"/>
        </w:rPr>
        <w:t xml:space="preserve"> </w:t>
      </w:r>
      <w:r>
        <w:rPr>
          <w:spacing w:val="-4"/>
          <w:sz w:val="20"/>
        </w:rPr>
        <w:t>deberá</w:t>
      </w:r>
      <w:r>
        <w:rPr>
          <w:spacing w:val="-9"/>
          <w:sz w:val="20"/>
        </w:rPr>
        <w:t xml:space="preserve"> </w:t>
      </w:r>
      <w:r>
        <w:rPr>
          <w:spacing w:val="-4"/>
          <w:sz w:val="20"/>
        </w:rPr>
        <w:t>resolverse</w:t>
      </w:r>
      <w:r>
        <w:rPr>
          <w:spacing w:val="-12"/>
          <w:sz w:val="20"/>
        </w:rPr>
        <w:t xml:space="preserve"> </w:t>
      </w:r>
      <w:r>
        <w:rPr>
          <w:sz w:val="20"/>
        </w:rPr>
        <w:t>de</w:t>
      </w:r>
      <w:r>
        <w:rPr>
          <w:spacing w:val="-13"/>
          <w:sz w:val="20"/>
        </w:rPr>
        <w:t xml:space="preserve"> </w:t>
      </w:r>
      <w:r>
        <w:rPr>
          <w:spacing w:val="-4"/>
          <w:sz w:val="20"/>
        </w:rPr>
        <w:t>acuerdo</w:t>
      </w:r>
      <w:r>
        <w:rPr>
          <w:spacing w:val="-9"/>
          <w:sz w:val="20"/>
        </w:rPr>
        <w:t xml:space="preserve"> </w:t>
      </w:r>
      <w:r>
        <w:rPr>
          <w:spacing w:val="-3"/>
          <w:sz w:val="20"/>
        </w:rPr>
        <w:t>con</w:t>
      </w:r>
      <w:r>
        <w:rPr>
          <w:spacing w:val="-11"/>
          <w:sz w:val="20"/>
        </w:rPr>
        <w:t xml:space="preserve"> </w:t>
      </w:r>
      <w:r>
        <w:rPr>
          <w:spacing w:val="-3"/>
          <w:sz w:val="20"/>
        </w:rPr>
        <w:t>las</w:t>
      </w:r>
      <w:r>
        <w:rPr>
          <w:spacing w:val="-11"/>
          <w:sz w:val="20"/>
        </w:rPr>
        <w:t xml:space="preserve"> </w:t>
      </w:r>
      <w:r>
        <w:rPr>
          <w:spacing w:val="-4"/>
          <w:sz w:val="20"/>
        </w:rPr>
        <w:t>normas</w:t>
      </w:r>
      <w:r>
        <w:rPr>
          <w:spacing w:val="-10"/>
          <w:sz w:val="20"/>
        </w:rPr>
        <w:t xml:space="preserve"> </w:t>
      </w:r>
      <w:r>
        <w:rPr>
          <w:sz w:val="20"/>
        </w:rPr>
        <w:t xml:space="preserve">de </w:t>
      </w:r>
      <w:r>
        <w:rPr>
          <w:spacing w:val="-4"/>
          <w:sz w:val="20"/>
        </w:rPr>
        <w:t xml:space="preserve">comportamiento judicial establecidas </w:t>
      </w:r>
      <w:r>
        <w:rPr>
          <w:sz w:val="20"/>
        </w:rPr>
        <w:t xml:space="preserve">y </w:t>
      </w:r>
      <w:r>
        <w:rPr>
          <w:spacing w:val="-4"/>
          <w:sz w:val="20"/>
        </w:rPr>
        <w:t xml:space="preserve">mediante procedimientos </w:t>
      </w:r>
      <w:r>
        <w:rPr>
          <w:spacing w:val="-3"/>
          <w:sz w:val="20"/>
        </w:rPr>
        <w:t xml:space="preserve">justos </w:t>
      </w:r>
      <w:r>
        <w:rPr>
          <w:spacing w:val="-2"/>
          <w:sz w:val="20"/>
        </w:rPr>
        <w:t xml:space="preserve">que </w:t>
      </w:r>
      <w:r>
        <w:rPr>
          <w:spacing w:val="-4"/>
          <w:sz w:val="20"/>
        </w:rPr>
        <w:t xml:space="preserve">aseguren </w:t>
      </w:r>
      <w:r>
        <w:rPr>
          <w:spacing w:val="-5"/>
          <w:sz w:val="20"/>
        </w:rPr>
        <w:t xml:space="preserve">la </w:t>
      </w:r>
      <w:r>
        <w:rPr>
          <w:spacing w:val="-4"/>
          <w:sz w:val="20"/>
        </w:rPr>
        <w:t xml:space="preserve">objetividad </w:t>
      </w:r>
      <w:r>
        <w:rPr>
          <w:sz w:val="20"/>
        </w:rPr>
        <w:t xml:space="preserve">e </w:t>
      </w:r>
      <w:r>
        <w:rPr>
          <w:spacing w:val="-4"/>
          <w:sz w:val="20"/>
        </w:rPr>
        <w:t xml:space="preserve">imparcialidad según </w:t>
      </w:r>
      <w:r>
        <w:rPr>
          <w:spacing w:val="-3"/>
          <w:sz w:val="20"/>
        </w:rPr>
        <w:t xml:space="preserve">la </w:t>
      </w:r>
      <w:r>
        <w:rPr>
          <w:spacing w:val="-4"/>
          <w:sz w:val="20"/>
        </w:rPr>
        <w:t xml:space="preserve">Constitución </w:t>
      </w:r>
      <w:r>
        <w:rPr>
          <w:sz w:val="20"/>
        </w:rPr>
        <w:t xml:space="preserve">o </w:t>
      </w:r>
      <w:r>
        <w:rPr>
          <w:spacing w:val="-3"/>
          <w:sz w:val="20"/>
        </w:rPr>
        <w:t xml:space="preserve">la </w:t>
      </w:r>
      <w:r>
        <w:rPr>
          <w:sz w:val="20"/>
        </w:rPr>
        <w:t>ley</w:t>
      </w:r>
      <w:hyperlink w:anchor="_bookmark161" w:history="1">
        <w:r>
          <w:rPr>
            <w:position w:val="7"/>
            <w:sz w:val="13"/>
          </w:rPr>
          <w:t>16</w:t>
        </w:r>
      </w:hyperlink>
      <w:r>
        <w:rPr>
          <w:sz w:val="20"/>
        </w:rPr>
        <w:t xml:space="preserve">. </w:t>
      </w:r>
      <w:r>
        <w:rPr>
          <w:spacing w:val="-3"/>
          <w:sz w:val="20"/>
        </w:rPr>
        <w:t xml:space="preserve">Además en el </w:t>
      </w:r>
      <w:r>
        <w:rPr>
          <w:spacing w:val="-4"/>
          <w:sz w:val="20"/>
        </w:rPr>
        <w:t xml:space="preserve">fallo </w:t>
      </w:r>
      <w:r>
        <w:rPr>
          <w:sz w:val="20"/>
        </w:rPr>
        <w:t xml:space="preserve">se </w:t>
      </w:r>
      <w:r>
        <w:rPr>
          <w:spacing w:val="-4"/>
          <w:sz w:val="20"/>
        </w:rPr>
        <w:t>indicó</w:t>
      </w:r>
      <w:r>
        <w:rPr>
          <w:spacing w:val="62"/>
          <w:sz w:val="20"/>
        </w:rPr>
        <w:t xml:space="preserve"> </w:t>
      </w:r>
      <w:r>
        <w:rPr>
          <w:spacing w:val="-4"/>
          <w:sz w:val="20"/>
        </w:rPr>
        <w:t>que:</w:t>
      </w:r>
    </w:p>
    <w:p w14:paraId="3779BE36" w14:textId="77777777" w:rsidR="00492688" w:rsidRDefault="00492688">
      <w:pPr>
        <w:pStyle w:val="Textoindependiente"/>
      </w:pPr>
    </w:p>
    <w:p w14:paraId="5482F2F6" w14:textId="77777777" w:rsidR="00492688" w:rsidRDefault="00C9584B">
      <w:pPr>
        <w:ind w:left="687" w:right="793"/>
        <w:jc w:val="both"/>
        <w:rPr>
          <w:sz w:val="16"/>
        </w:rPr>
      </w:pPr>
      <w:r>
        <w:rPr>
          <w:spacing w:val="-3"/>
          <w:sz w:val="16"/>
        </w:rPr>
        <w:t>75.</w:t>
      </w:r>
      <w:r>
        <w:rPr>
          <w:spacing w:val="-13"/>
          <w:sz w:val="16"/>
        </w:rPr>
        <w:t xml:space="preserve"> </w:t>
      </w:r>
      <w:r>
        <w:rPr>
          <w:spacing w:val="-4"/>
          <w:sz w:val="16"/>
        </w:rPr>
        <w:t>[…]</w:t>
      </w:r>
      <w:r>
        <w:rPr>
          <w:spacing w:val="-12"/>
          <w:sz w:val="16"/>
        </w:rPr>
        <w:t xml:space="preserve"> </w:t>
      </w:r>
      <w:r>
        <w:rPr>
          <w:spacing w:val="-4"/>
          <w:sz w:val="16"/>
        </w:rPr>
        <w:t>esta</w:t>
      </w:r>
      <w:r>
        <w:rPr>
          <w:spacing w:val="-12"/>
          <w:sz w:val="16"/>
        </w:rPr>
        <w:t xml:space="preserve"> </w:t>
      </w:r>
      <w:r>
        <w:rPr>
          <w:spacing w:val="-4"/>
          <w:sz w:val="16"/>
        </w:rPr>
        <w:t>Corte</w:t>
      </w:r>
      <w:r>
        <w:rPr>
          <w:spacing w:val="-8"/>
          <w:sz w:val="16"/>
        </w:rPr>
        <w:t xml:space="preserve"> </w:t>
      </w:r>
      <w:r>
        <w:rPr>
          <w:spacing w:val="-3"/>
          <w:sz w:val="16"/>
        </w:rPr>
        <w:t>ha</w:t>
      </w:r>
      <w:r>
        <w:rPr>
          <w:spacing w:val="-11"/>
          <w:sz w:val="16"/>
        </w:rPr>
        <w:t xml:space="preserve"> </w:t>
      </w:r>
      <w:r>
        <w:rPr>
          <w:spacing w:val="-5"/>
          <w:sz w:val="16"/>
        </w:rPr>
        <w:t>establecido</w:t>
      </w:r>
      <w:r>
        <w:rPr>
          <w:spacing w:val="-10"/>
          <w:sz w:val="16"/>
        </w:rPr>
        <w:t xml:space="preserve"> </w:t>
      </w:r>
      <w:r>
        <w:rPr>
          <w:spacing w:val="-4"/>
          <w:sz w:val="16"/>
        </w:rPr>
        <w:t>que</w:t>
      </w:r>
      <w:r>
        <w:rPr>
          <w:spacing w:val="-11"/>
          <w:sz w:val="16"/>
        </w:rPr>
        <w:t xml:space="preserve"> </w:t>
      </w:r>
      <w:r>
        <w:rPr>
          <w:spacing w:val="-3"/>
          <w:sz w:val="16"/>
        </w:rPr>
        <w:t>la</w:t>
      </w:r>
      <w:r>
        <w:rPr>
          <w:spacing w:val="-11"/>
          <w:sz w:val="16"/>
        </w:rPr>
        <w:t xml:space="preserve"> </w:t>
      </w:r>
      <w:r>
        <w:rPr>
          <w:spacing w:val="-5"/>
          <w:sz w:val="16"/>
        </w:rPr>
        <w:t>separación</w:t>
      </w:r>
      <w:r>
        <w:rPr>
          <w:spacing w:val="-13"/>
          <w:sz w:val="16"/>
        </w:rPr>
        <w:t xml:space="preserve"> </w:t>
      </w:r>
      <w:r>
        <w:rPr>
          <w:spacing w:val="-4"/>
          <w:sz w:val="16"/>
        </w:rPr>
        <w:t>del</w:t>
      </w:r>
      <w:r>
        <w:rPr>
          <w:spacing w:val="-12"/>
          <w:sz w:val="16"/>
        </w:rPr>
        <w:t xml:space="preserve"> </w:t>
      </w:r>
      <w:r>
        <w:rPr>
          <w:spacing w:val="-4"/>
          <w:sz w:val="16"/>
        </w:rPr>
        <w:t>cargo</w:t>
      </w:r>
      <w:r>
        <w:rPr>
          <w:spacing w:val="-10"/>
          <w:sz w:val="16"/>
        </w:rPr>
        <w:t xml:space="preserve"> </w:t>
      </w:r>
      <w:r>
        <w:rPr>
          <w:spacing w:val="-3"/>
          <w:sz w:val="16"/>
        </w:rPr>
        <w:t>de</w:t>
      </w:r>
      <w:r>
        <w:rPr>
          <w:spacing w:val="-11"/>
          <w:sz w:val="16"/>
        </w:rPr>
        <w:t xml:space="preserve"> </w:t>
      </w:r>
      <w:r>
        <w:rPr>
          <w:spacing w:val="-3"/>
          <w:sz w:val="16"/>
        </w:rPr>
        <w:t>un</w:t>
      </w:r>
      <w:r>
        <w:rPr>
          <w:spacing w:val="-12"/>
          <w:sz w:val="16"/>
        </w:rPr>
        <w:t xml:space="preserve"> </w:t>
      </w:r>
      <w:r>
        <w:rPr>
          <w:spacing w:val="-4"/>
          <w:sz w:val="16"/>
        </w:rPr>
        <w:t>juez</w:t>
      </w:r>
      <w:r>
        <w:rPr>
          <w:spacing w:val="-11"/>
          <w:sz w:val="16"/>
        </w:rPr>
        <w:t xml:space="preserve"> </w:t>
      </w:r>
      <w:r>
        <w:rPr>
          <w:spacing w:val="-5"/>
          <w:sz w:val="16"/>
        </w:rPr>
        <w:t>provisional</w:t>
      </w:r>
      <w:r>
        <w:rPr>
          <w:spacing w:val="-13"/>
          <w:sz w:val="16"/>
        </w:rPr>
        <w:t xml:space="preserve"> </w:t>
      </w:r>
      <w:r>
        <w:rPr>
          <w:spacing w:val="-4"/>
          <w:sz w:val="16"/>
        </w:rPr>
        <w:t>debe</w:t>
      </w:r>
      <w:r>
        <w:rPr>
          <w:spacing w:val="-11"/>
          <w:sz w:val="16"/>
        </w:rPr>
        <w:t xml:space="preserve"> </w:t>
      </w:r>
      <w:r>
        <w:rPr>
          <w:spacing w:val="-5"/>
          <w:sz w:val="16"/>
        </w:rPr>
        <w:t xml:space="preserve">responder </w:t>
      </w:r>
      <w:r>
        <w:rPr>
          <w:sz w:val="16"/>
        </w:rPr>
        <w:t xml:space="preserve">a </w:t>
      </w:r>
      <w:r>
        <w:rPr>
          <w:spacing w:val="-4"/>
          <w:sz w:val="16"/>
        </w:rPr>
        <w:t xml:space="preserve">las </w:t>
      </w:r>
      <w:r>
        <w:rPr>
          <w:spacing w:val="-5"/>
          <w:sz w:val="16"/>
        </w:rPr>
        <w:t xml:space="preserve">causales legalmente previstas, </w:t>
      </w:r>
      <w:r>
        <w:rPr>
          <w:spacing w:val="-4"/>
          <w:sz w:val="16"/>
        </w:rPr>
        <w:t xml:space="preserve">sean estas (i) </w:t>
      </w:r>
      <w:r>
        <w:rPr>
          <w:spacing w:val="-3"/>
          <w:sz w:val="16"/>
        </w:rPr>
        <w:t xml:space="preserve">el </w:t>
      </w:r>
      <w:r>
        <w:rPr>
          <w:spacing w:val="-5"/>
          <w:sz w:val="16"/>
        </w:rPr>
        <w:t xml:space="preserve">acaecimiento </w:t>
      </w:r>
      <w:r>
        <w:rPr>
          <w:spacing w:val="-3"/>
          <w:sz w:val="16"/>
        </w:rPr>
        <w:t xml:space="preserve">de la </w:t>
      </w:r>
      <w:r>
        <w:rPr>
          <w:spacing w:val="-5"/>
          <w:sz w:val="16"/>
        </w:rPr>
        <w:t xml:space="preserve">condición resolutoria </w:t>
      </w:r>
      <w:r>
        <w:rPr>
          <w:sz w:val="16"/>
        </w:rPr>
        <w:t xml:space="preserve">a </w:t>
      </w:r>
      <w:r>
        <w:rPr>
          <w:spacing w:val="-6"/>
          <w:sz w:val="16"/>
        </w:rPr>
        <w:t xml:space="preserve">que </w:t>
      </w:r>
      <w:r>
        <w:rPr>
          <w:spacing w:val="-3"/>
          <w:sz w:val="16"/>
        </w:rPr>
        <w:t xml:space="preserve">se </w:t>
      </w:r>
      <w:r>
        <w:rPr>
          <w:spacing w:val="-5"/>
          <w:sz w:val="16"/>
        </w:rPr>
        <w:t xml:space="preserve">sujetó </w:t>
      </w:r>
      <w:r>
        <w:rPr>
          <w:spacing w:val="-3"/>
          <w:sz w:val="16"/>
        </w:rPr>
        <w:t xml:space="preserve">la </w:t>
      </w:r>
      <w:r>
        <w:rPr>
          <w:spacing w:val="-5"/>
          <w:sz w:val="16"/>
        </w:rPr>
        <w:t xml:space="preserve">designación </w:t>
      </w:r>
      <w:r>
        <w:rPr>
          <w:sz w:val="16"/>
        </w:rPr>
        <w:t xml:space="preserve">o </w:t>
      </w:r>
      <w:r>
        <w:rPr>
          <w:spacing w:val="-5"/>
          <w:sz w:val="16"/>
        </w:rPr>
        <w:t xml:space="preserve">nombramiento, </w:t>
      </w:r>
      <w:r>
        <w:rPr>
          <w:sz w:val="16"/>
        </w:rPr>
        <w:t xml:space="preserve">o </w:t>
      </w:r>
      <w:r>
        <w:rPr>
          <w:spacing w:val="-3"/>
          <w:sz w:val="16"/>
        </w:rPr>
        <w:t xml:space="preserve">el </w:t>
      </w:r>
      <w:r>
        <w:rPr>
          <w:spacing w:val="-5"/>
          <w:sz w:val="16"/>
        </w:rPr>
        <w:t xml:space="preserve">cumplimiento </w:t>
      </w:r>
      <w:r>
        <w:rPr>
          <w:spacing w:val="-3"/>
          <w:sz w:val="16"/>
        </w:rPr>
        <w:t xml:space="preserve">de un </w:t>
      </w:r>
      <w:r>
        <w:rPr>
          <w:spacing w:val="-4"/>
          <w:sz w:val="16"/>
        </w:rPr>
        <w:t xml:space="preserve">plazo </w:t>
      </w:r>
      <w:r>
        <w:rPr>
          <w:spacing w:val="-5"/>
          <w:sz w:val="16"/>
        </w:rPr>
        <w:t xml:space="preserve">predeterminado </w:t>
      </w:r>
      <w:r>
        <w:rPr>
          <w:spacing w:val="-4"/>
          <w:sz w:val="16"/>
        </w:rPr>
        <w:t xml:space="preserve">debido </w:t>
      </w:r>
      <w:r>
        <w:rPr>
          <w:sz w:val="16"/>
        </w:rPr>
        <w:t xml:space="preserve">a </w:t>
      </w:r>
      <w:r>
        <w:rPr>
          <w:spacing w:val="-3"/>
          <w:sz w:val="16"/>
        </w:rPr>
        <w:t xml:space="preserve">la </w:t>
      </w:r>
      <w:r>
        <w:rPr>
          <w:spacing w:val="-5"/>
          <w:sz w:val="16"/>
        </w:rPr>
        <w:t xml:space="preserve">celebración </w:t>
      </w:r>
      <w:r>
        <w:rPr>
          <w:sz w:val="16"/>
        </w:rPr>
        <w:t xml:space="preserve">y </w:t>
      </w:r>
      <w:r>
        <w:rPr>
          <w:spacing w:val="-5"/>
          <w:sz w:val="16"/>
        </w:rPr>
        <w:t xml:space="preserve">conclusión </w:t>
      </w:r>
      <w:r>
        <w:rPr>
          <w:spacing w:val="-3"/>
          <w:sz w:val="16"/>
        </w:rPr>
        <w:t xml:space="preserve">de un </w:t>
      </w:r>
      <w:r>
        <w:rPr>
          <w:spacing w:val="-5"/>
          <w:sz w:val="16"/>
        </w:rPr>
        <w:t xml:space="preserve">concurso </w:t>
      </w:r>
      <w:r>
        <w:rPr>
          <w:spacing w:val="-4"/>
          <w:sz w:val="16"/>
        </w:rPr>
        <w:t xml:space="preserve">público, </w:t>
      </w:r>
      <w:r>
        <w:rPr>
          <w:sz w:val="16"/>
        </w:rPr>
        <w:t xml:space="preserve">a </w:t>
      </w:r>
      <w:r>
        <w:rPr>
          <w:spacing w:val="-5"/>
          <w:sz w:val="16"/>
        </w:rPr>
        <w:t xml:space="preserve">partir </w:t>
      </w:r>
      <w:r>
        <w:rPr>
          <w:spacing w:val="-4"/>
          <w:sz w:val="16"/>
        </w:rPr>
        <w:t xml:space="preserve">del cual </w:t>
      </w:r>
      <w:r>
        <w:rPr>
          <w:spacing w:val="-3"/>
          <w:sz w:val="16"/>
        </w:rPr>
        <w:t xml:space="preserve">se </w:t>
      </w:r>
      <w:r>
        <w:rPr>
          <w:spacing w:val="-5"/>
          <w:sz w:val="16"/>
        </w:rPr>
        <w:t xml:space="preserve">nombre </w:t>
      </w:r>
      <w:r>
        <w:rPr>
          <w:sz w:val="16"/>
        </w:rPr>
        <w:t xml:space="preserve">o </w:t>
      </w:r>
      <w:r>
        <w:rPr>
          <w:spacing w:val="-4"/>
          <w:sz w:val="16"/>
        </w:rPr>
        <w:t xml:space="preserve">designe </w:t>
      </w:r>
      <w:r>
        <w:rPr>
          <w:spacing w:val="-3"/>
          <w:sz w:val="16"/>
        </w:rPr>
        <w:t xml:space="preserve">al </w:t>
      </w:r>
      <w:r>
        <w:rPr>
          <w:spacing w:val="-5"/>
          <w:sz w:val="16"/>
        </w:rPr>
        <w:t>reemplazante</w:t>
      </w:r>
      <w:r>
        <w:rPr>
          <w:spacing w:val="-14"/>
          <w:sz w:val="16"/>
        </w:rPr>
        <w:t xml:space="preserve"> </w:t>
      </w:r>
      <w:r>
        <w:rPr>
          <w:spacing w:val="-4"/>
          <w:sz w:val="16"/>
        </w:rPr>
        <w:t>del</w:t>
      </w:r>
      <w:r>
        <w:rPr>
          <w:spacing w:val="-14"/>
          <w:sz w:val="16"/>
        </w:rPr>
        <w:t xml:space="preserve"> </w:t>
      </w:r>
      <w:r>
        <w:rPr>
          <w:sz w:val="16"/>
        </w:rPr>
        <w:t>o</w:t>
      </w:r>
      <w:r>
        <w:rPr>
          <w:spacing w:val="-10"/>
          <w:sz w:val="16"/>
        </w:rPr>
        <w:t xml:space="preserve"> </w:t>
      </w:r>
      <w:r>
        <w:rPr>
          <w:spacing w:val="-3"/>
          <w:sz w:val="16"/>
        </w:rPr>
        <w:t>la</w:t>
      </w:r>
      <w:r>
        <w:rPr>
          <w:spacing w:val="-12"/>
          <w:sz w:val="16"/>
        </w:rPr>
        <w:t xml:space="preserve"> </w:t>
      </w:r>
      <w:r>
        <w:rPr>
          <w:spacing w:val="-4"/>
          <w:sz w:val="16"/>
        </w:rPr>
        <w:t>juez</w:t>
      </w:r>
      <w:r>
        <w:rPr>
          <w:spacing w:val="-15"/>
          <w:sz w:val="16"/>
        </w:rPr>
        <w:t xml:space="preserve"> </w:t>
      </w:r>
      <w:r>
        <w:rPr>
          <w:spacing w:val="-5"/>
          <w:sz w:val="16"/>
        </w:rPr>
        <w:t>provisional</w:t>
      </w:r>
      <w:r>
        <w:rPr>
          <w:spacing w:val="-14"/>
          <w:sz w:val="16"/>
        </w:rPr>
        <w:t xml:space="preserve"> </w:t>
      </w:r>
      <w:r>
        <w:rPr>
          <w:spacing w:val="-3"/>
          <w:sz w:val="16"/>
        </w:rPr>
        <w:t>c</w:t>
      </w:r>
      <w:r>
        <w:rPr>
          <w:spacing w:val="-3"/>
          <w:sz w:val="16"/>
        </w:rPr>
        <w:t>on</w:t>
      </w:r>
      <w:r>
        <w:rPr>
          <w:spacing w:val="-15"/>
          <w:sz w:val="16"/>
        </w:rPr>
        <w:t xml:space="preserve"> </w:t>
      </w:r>
      <w:r>
        <w:rPr>
          <w:spacing w:val="-5"/>
          <w:sz w:val="16"/>
        </w:rPr>
        <w:t>carácter</w:t>
      </w:r>
      <w:r>
        <w:rPr>
          <w:spacing w:val="-12"/>
          <w:sz w:val="16"/>
        </w:rPr>
        <w:t xml:space="preserve"> </w:t>
      </w:r>
      <w:r>
        <w:rPr>
          <w:spacing w:val="-5"/>
          <w:sz w:val="16"/>
        </w:rPr>
        <w:t>permanente,</w:t>
      </w:r>
      <w:r>
        <w:rPr>
          <w:spacing w:val="-12"/>
          <w:sz w:val="16"/>
        </w:rPr>
        <w:t xml:space="preserve"> </w:t>
      </w:r>
      <w:r>
        <w:rPr>
          <w:sz w:val="16"/>
        </w:rPr>
        <w:t>o</w:t>
      </w:r>
      <w:r>
        <w:rPr>
          <w:spacing w:val="-12"/>
          <w:sz w:val="16"/>
        </w:rPr>
        <w:t xml:space="preserve"> </w:t>
      </w:r>
      <w:r>
        <w:rPr>
          <w:spacing w:val="-4"/>
          <w:sz w:val="16"/>
        </w:rPr>
        <w:t>(ii)</w:t>
      </w:r>
      <w:r>
        <w:rPr>
          <w:spacing w:val="-14"/>
          <w:sz w:val="16"/>
        </w:rPr>
        <w:t xml:space="preserve"> </w:t>
      </w:r>
      <w:r>
        <w:rPr>
          <w:spacing w:val="-3"/>
          <w:sz w:val="16"/>
        </w:rPr>
        <w:t>por</w:t>
      </w:r>
      <w:r>
        <w:rPr>
          <w:spacing w:val="-13"/>
          <w:sz w:val="16"/>
        </w:rPr>
        <w:t xml:space="preserve"> </w:t>
      </w:r>
      <w:r>
        <w:rPr>
          <w:spacing w:val="-4"/>
          <w:sz w:val="16"/>
        </w:rPr>
        <w:t>faltas</w:t>
      </w:r>
      <w:r>
        <w:rPr>
          <w:spacing w:val="-13"/>
          <w:sz w:val="16"/>
        </w:rPr>
        <w:t xml:space="preserve"> </w:t>
      </w:r>
      <w:r>
        <w:rPr>
          <w:spacing w:val="-5"/>
          <w:sz w:val="16"/>
        </w:rPr>
        <w:t>disciplinarias</w:t>
      </w:r>
      <w:r>
        <w:rPr>
          <w:spacing w:val="-13"/>
          <w:sz w:val="16"/>
        </w:rPr>
        <w:t xml:space="preserve"> </w:t>
      </w:r>
      <w:r>
        <w:rPr>
          <w:spacing w:val="-4"/>
          <w:sz w:val="16"/>
        </w:rPr>
        <w:t xml:space="preserve">graves </w:t>
      </w:r>
      <w:r>
        <w:rPr>
          <w:sz w:val="16"/>
        </w:rPr>
        <w:t xml:space="preserve">o </w:t>
      </w:r>
      <w:r>
        <w:rPr>
          <w:spacing w:val="-5"/>
          <w:sz w:val="16"/>
        </w:rPr>
        <w:t>comprobada</w:t>
      </w:r>
      <w:r>
        <w:rPr>
          <w:spacing w:val="-17"/>
          <w:sz w:val="16"/>
        </w:rPr>
        <w:t xml:space="preserve"> </w:t>
      </w:r>
      <w:r>
        <w:rPr>
          <w:spacing w:val="-4"/>
          <w:sz w:val="16"/>
        </w:rPr>
        <w:t>incompetencia[…]</w:t>
      </w:r>
      <w:hyperlink w:anchor="_bookmark162" w:history="1">
        <w:r>
          <w:rPr>
            <w:spacing w:val="-4"/>
            <w:position w:val="6"/>
            <w:sz w:val="10"/>
          </w:rPr>
          <w:t>17</w:t>
        </w:r>
      </w:hyperlink>
      <w:r>
        <w:rPr>
          <w:spacing w:val="-4"/>
          <w:sz w:val="16"/>
        </w:rPr>
        <w:t>.</w:t>
      </w:r>
    </w:p>
    <w:p w14:paraId="3EAF9CF0" w14:textId="77777777" w:rsidR="00492688" w:rsidRDefault="00492688">
      <w:pPr>
        <w:pStyle w:val="Textoindependiente"/>
        <w:spacing w:before="12"/>
        <w:rPr>
          <w:sz w:val="18"/>
        </w:rPr>
      </w:pPr>
    </w:p>
    <w:p w14:paraId="7224674B" w14:textId="77777777" w:rsidR="00492688" w:rsidRDefault="00C9584B">
      <w:pPr>
        <w:pStyle w:val="Prrafodelista"/>
        <w:numPr>
          <w:ilvl w:val="0"/>
          <w:numId w:val="3"/>
        </w:numPr>
        <w:tabs>
          <w:tab w:val="left" w:pos="830"/>
        </w:tabs>
        <w:ind w:right="227" w:firstLine="0"/>
        <w:jc w:val="both"/>
        <w:rPr>
          <w:sz w:val="20"/>
        </w:rPr>
      </w:pPr>
      <w:r>
        <w:rPr>
          <w:spacing w:val="-3"/>
          <w:sz w:val="20"/>
        </w:rPr>
        <w:t>Por</w:t>
      </w:r>
      <w:r>
        <w:rPr>
          <w:spacing w:val="-13"/>
          <w:sz w:val="20"/>
        </w:rPr>
        <w:t xml:space="preserve"> </w:t>
      </w:r>
      <w:r>
        <w:rPr>
          <w:spacing w:val="-3"/>
          <w:sz w:val="20"/>
        </w:rPr>
        <w:t>su</w:t>
      </w:r>
      <w:r>
        <w:rPr>
          <w:spacing w:val="-11"/>
          <w:sz w:val="20"/>
        </w:rPr>
        <w:t xml:space="preserve"> </w:t>
      </w:r>
      <w:r>
        <w:rPr>
          <w:spacing w:val="-4"/>
          <w:sz w:val="20"/>
        </w:rPr>
        <w:t>parte,</w:t>
      </w:r>
      <w:r>
        <w:rPr>
          <w:spacing w:val="-14"/>
          <w:sz w:val="20"/>
        </w:rPr>
        <w:t xml:space="preserve"> </w:t>
      </w:r>
      <w:r>
        <w:rPr>
          <w:sz w:val="20"/>
        </w:rPr>
        <w:t>no</w:t>
      </w:r>
      <w:r>
        <w:rPr>
          <w:spacing w:val="-13"/>
          <w:sz w:val="20"/>
        </w:rPr>
        <w:t xml:space="preserve"> </w:t>
      </w:r>
      <w:r>
        <w:rPr>
          <w:spacing w:val="-3"/>
          <w:sz w:val="20"/>
        </w:rPr>
        <w:t>debe</w:t>
      </w:r>
      <w:r>
        <w:rPr>
          <w:spacing w:val="-14"/>
          <w:sz w:val="20"/>
        </w:rPr>
        <w:t xml:space="preserve"> </w:t>
      </w:r>
      <w:r>
        <w:rPr>
          <w:spacing w:val="-4"/>
          <w:sz w:val="20"/>
        </w:rPr>
        <w:t>perderse</w:t>
      </w:r>
      <w:r>
        <w:rPr>
          <w:spacing w:val="-15"/>
          <w:sz w:val="20"/>
        </w:rPr>
        <w:t xml:space="preserve"> </w:t>
      </w:r>
      <w:r>
        <w:rPr>
          <w:sz w:val="20"/>
        </w:rPr>
        <w:t>de</w:t>
      </w:r>
      <w:r>
        <w:rPr>
          <w:spacing w:val="-12"/>
          <w:sz w:val="20"/>
        </w:rPr>
        <w:t xml:space="preserve"> </w:t>
      </w:r>
      <w:r>
        <w:rPr>
          <w:spacing w:val="-4"/>
          <w:sz w:val="20"/>
        </w:rPr>
        <w:t>vista</w:t>
      </w:r>
      <w:r>
        <w:rPr>
          <w:spacing w:val="-14"/>
          <w:sz w:val="20"/>
        </w:rPr>
        <w:t xml:space="preserve"> </w:t>
      </w:r>
      <w:r>
        <w:rPr>
          <w:sz w:val="20"/>
        </w:rPr>
        <w:t>lo</w:t>
      </w:r>
      <w:r>
        <w:rPr>
          <w:spacing w:val="-15"/>
          <w:sz w:val="20"/>
        </w:rPr>
        <w:t xml:space="preserve"> </w:t>
      </w:r>
      <w:r>
        <w:rPr>
          <w:spacing w:val="-3"/>
          <w:sz w:val="20"/>
        </w:rPr>
        <w:t>que</w:t>
      </w:r>
      <w:r>
        <w:rPr>
          <w:spacing w:val="-12"/>
          <w:sz w:val="20"/>
        </w:rPr>
        <w:t xml:space="preserve"> </w:t>
      </w:r>
      <w:r>
        <w:rPr>
          <w:sz w:val="20"/>
        </w:rPr>
        <w:t>se</w:t>
      </w:r>
      <w:r>
        <w:rPr>
          <w:spacing w:val="-13"/>
          <w:sz w:val="20"/>
        </w:rPr>
        <w:t xml:space="preserve"> </w:t>
      </w:r>
      <w:r>
        <w:rPr>
          <w:spacing w:val="-4"/>
          <w:sz w:val="20"/>
        </w:rPr>
        <w:t>retoma</w:t>
      </w:r>
      <w:r>
        <w:rPr>
          <w:spacing w:val="-10"/>
          <w:sz w:val="20"/>
        </w:rPr>
        <w:t xml:space="preserve"> </w:t>
      </w:r>
      <w:r>
        <w:rPr>
          <w:spacing w:val="-3"/>
          <w:sz w:val="20"/>
        </w:rPr>
        <w:t>en</w:t>
      </w:r>
      <w:r>
        <w:rPr>
          <w:spacing w:val="-11"/>
          <w:sz w:val="20"/>
        </w:rPr>
        <w:t xml:space="preserve"> </w:t>
      </w:r>
      <w:r>
        <w:rPr>
          <w:spacing w:val="-3"/>
          <w:sz w:val="20"/>
        </w:rPr>
        <w:t>el</w:t>
      </w:r>
      <w:r>
        <w:rPr>
          <w:spacing w:val="-10"/>
          <w:sz w:val="20"/>
        </w:rPr>
        <w:t xml:space="preserve"> </w:t>
      </w:r>
      <w:r>
        <w:rPr>
          <w:spacing w:val="-3"/>
          <w:sz w:val="20"/>
        </w:rPr>
        <w:t>fallo</w:t>
      </w:r>
      <w:r>
        <w:rPr>
          <w:spacing w:val="-13"/>
          <w:sz w:val="20"/>
        </w:rPr>
        <w:t xml:space="preserve"> </w:t>
      </w:r>
      <w:r>
        <w:rPr>
          <w:spacing w:val="-3"/>
          <w:sz w:val="20"/>
        </w:rPr>
        <w:t>en</w:t>
      </w:r>
      <w:r>
        <w:rPr>
          <w:spacing w:val="-11"/>
          <w:sz w:val="20"/>
        </w:rPr>
        <w:t xml:space="preserve"> </w:t>
      </w:r>
      <w:r>
        <w:rPr>
          <w:spacing w:val="-4"/>
          <w:sz w:val="20"/>
        </w:rPr>
        <w:t>relación</w:t>
      </w:r>
      <w:r>
        <w:rPr>
          <w:spacing w:val="-10"/>
          <w:sz w:val="20"/>
        </w:rPr>
        <w:t xml:space="preserve"> </w:t>
      </w:r>
      <w:r>
        <w:rPr>
          <w:sz w:val="20"/>
        </w:rPr>
        <w:t>a</w:t>
      </w:r>
      <w:r>
        <w:rPr>
          <w:spacing w:val="-14"/>
          <w:sz w:val="20"/>
        </w:rPr>
        <w:t xml:space="preserve"> </w:t>
      </w:r>
      <w:r>
        <w:rPr>
          <w:spacing w:val="-3"/>
          <w:sz w:val="20"/>
        </w:rPr>
        <w:t xml:space="preserve">la </w:t>
      </w:r>
      <w:r>
        <w:rPr>
          <w:spacing w:val="-4"/>
          <w:sz w:val="20"/>
        </w:rPr>
        <w:t xml:space="preserve">Relatora Especial </w:t>
      </w:r>
      <w:r>
        <w:rPr>
          <w:spacing w:val="-3"/>
          <w:sz w:val="20"/>
        </w:rPr>
        <w:t xml:space="preserve">sobre </w:t>
      </w:r>
      <w:r>
        <w:rPr>
          <w:sz w:val="20"/>
        </w:rPr>
        <w:t xml:space="preserve">la </w:t>
      </w:r>
      <w:r>
        <w:rPr>
          <w:spacing w:val="-4"/>
          <w:sz w:val="20"/>
        </w:rPr>
        <w:t xml:space="preserve">independencia </w:t>
      </w:r>
      <w:r>
        <w:rPr>
          <w:sz w:val="20"/>
        </w:rPr>
        <w:t xml:space="preserve">de </w:t>
      </w:r>
      <w:r>
        <w:rPr>
          <w:spacing w:val="-2"/>
          <w:sz w:val="20"/>
        </w:rPr>
        <w:t xml:space="preserve">los </w:t>
      </w:r>
      <w:r>
        <w:rPr>
          <w:spacing w:val="-4"/>
          <w:sz w:val="20"/>
        </w:rPr>
        <w:t xml:space="preserve">magistrados </w:t>
      </w:r>
      <w:r>
        <w:rPr>
          <w:sz w:val="20"/>
        </w:rPr>
        <w:t xml:space="preserve">y </w:t>
      </w:r>
      <w:r>
        <w:rPr>
          <w:spacing w:val="-4"/>
          <w:sz w:val="20"/>
        </w:rPr>
        <w:t xml:space="preserve">abogados, Gabriela Knaul, quien </w:t>
      </w:r>
      <w:r>
        <w:rPr>
          <w:sz w:val="20"/>
        </w:rPr>
        <w:t xml:space="preserve">ha </w:t>
      </w:r>
      <w:r>
        <w:rPr>
          <w:spacing w:val="-4"/>
          <w:sz w:val="20"/>
        </w:rPr>
        <w:t xml:space="preserve">señalado </w:t>
      </w:r>
      <w:r>
        <w:rPr>
          <w:spacing w:val="-3"/>
          <w:sz w:val="20"/>
        </w:rPr>
        <w:t xml:space="preserve">que “si bien los </w:t>
      </w:r>
      <w:r>
        <w:rPr>
          <w:spacing w:val="-4"/>
          <w:sz w:val="20"/>
        </w:rPr>
        <w:t xml:space="preserve">jueces </w:t>
      </w:r>
      <w:r>
        <w:rPr>
          <w:spacing w:val="-3"/>
          <w:sz w:val="20"/>
        </w:rPr>
        <w:t xml:space="preserve">pueden ser </w:t>
      </w:r>
      <w:r>
        <w:rPr>
          <w:spacing w:val="-4"/>
          <w:sz w:val="20"/>
        </w:rPr>
        <w:t xml:space="preserve">sometidos </w:t>
      </w:r>
      <w:r>
        <w:rPr>
          <w:sz w:val="20"/>
        </w:rPr>
        <w:t xml:space="preserve">a </w:t>
      </w:r>
      <w:r>
        <w:rPr>
          <w:spacing w:val="-4"/>
          <w:sz w:val="20"/>
        </w:rPr>
        <w:t xml:space="preserve">procesos disciplinarios </w:t>
      </w:r>
      <w:r>
        <w:rPr>
          <w:spacing w:val="-3"/>
          <w:sz w:val="20"/>
        </w:rPr>
        <w:t xml:space="preserve">por </w:t>
      </w:r>
      <w:r>
        <w:rPr>
          <w:spacing w:val="-4"/>
          <w:sz w:val="20"/>
        </w:rPr>
        <w:t xml:space="preserve">conductas </w:t>
      </w:r>
      <w:r>
        <w:rPr>
          <w:sz w:val="20"/>
        </w:rPr>
        <w:t xml:space="preserve">que </w:t>
      </w:r>
      <w:r>
        <w:rPr>
          <w:spacing w:val="-4"/>
          <w:sz w:val="20"/>
        </w:rPr>
        <w:t xml:space="preserve">desacrediten </w:t>
      </w:r>
      <w:r>
        <w:rPr>
          <w:spacing w:val="-3"/>
          <w:sz w:val="20"/>
        </w:rPr>
        <w:t xml:space="preserve">el </w:t>
      </w:r>
      <w:r>
        <w:rPr>
          <w:spacing w:val="-4"/>
          <w:sz w:val="20"/>
        </w:rPr>
        <w:t xml:space="preserve">cargo </w:t>
      </w:r>
      <w:r>
        <w:rPr>
          <w:sz w:val="20"/>
        </w:rPr>
        <w:t xml:space="preserve">o </w:t>
      </w:r>
      <w:r>
        <w:rPr>
          <w:spacing w:val="-4"/>
          <w:sz w:val="20"/>
        </w:rPr>
        <w:t xml:space="preserve">desconozcan </w:t>
      </w:r>
      <w:r>
        <w:rPr>
          <w:sz w:val="20"/>
        </w:rPr>
        <w:t xml:space="preserve">la </w:t>
      </w:r>
      <w:r>
        <w:rPr>
          <w:spacing w:val="-4"/>
          <w:sz w:val="20"/>
        </w:rPr>
        <w:t xml:space="preserve">ética judicial, </w:t>
      </w:r>
      <w:r>
        <w:rPr>
          <w:spacing w:val="-2"/>
          <w:sz w:val="20"/>
        </w:rPr>
        <w:t xml:space="preserve">los </w:t>
      </w:r>
      <w:r>
        <w:rPr>
          <w:spacing w:val="-4"/>
          <w:sz w:val="20"/>
        </w:rPr>
        <w:t>tipos disciplinarios</w:t>
      </w:r>
      <w:r>
        <w:rPr>
          <w:spacing w:val="-6"/>
          <w:sz w:val="20"/>
        </w:rPr>
        <w:t xml:space="preserve"> </w:t>
      </w:r>
      <w:r>
        <w:rPr>
          <w:spacing w:val="-4"/>
          <w:sz w:val="20"/>
        </w:rPr>
        <w:t>referido</w:t>
      </w:r>
      <w:r>
        <w:rPr>
          <w:spacing w:val="-4"/>
          <w:sz w:val="20"/>
        </w:rPr>
        <w:t>s</w:t>
      </w:r>
      <w:r>
        <w:rPr>
          <w:spacing w:val="-6"/>
          <w:sz w:val="20"/>
        </w:rPr>
        <w:t xml:space="preserve"> </w:t>
      </w:r>
      <w:r>
        <w:rPr>
          <w:sz w:val="20"/>
        </w:rPr>
        <w:t>en</w:t>
      </w:r>
      <w:r>
        <w:rPr>
          <w:spacing w:val="-8"/>
          <w:sz w:val="20"/>
        </w:rPr>
        <w:t xml:space="preserve"> </w:t>
      </w:r>
      <w:r>
        <w:rPr>
          <w:spacing w:val="-4"/>
          <w:sz w:val="20"/>
        </w:rPr>
        <w:t>términos</w:t>
      </w:r>
      <w:r>
        <w:rPr>
          <w:spacing w:val="-8"/>
          <w:sz w:val="20"/>
        </w:rPr>
        <w:t xml:space="preserve"> </w:t>
      </w:r>
      <w:r>
        <w:rPr>
          <w:spacing w:val="-4"/>
          <w:sz w:val="20"/>
        </w:rPr>
        <w:t>generales</w:t>
      </w:r>
      <w:r>
        <w:rPr>
          <w:spacing w:val="-9"/>
          <w:sz w:val="20"/>
        </w:rPr>
        <w:t xml:space="preserve"> </w:t>
      </w:r>
      <w:r>
        <w:rPr>
          <w:spacing w:val="-3"/>
          <w:sz w:val="20"/>
        </w:rPr>
        <w:t>al</w:t>
      </w:r>
      <w:r>
        <w:rPr>
          <w:spacing w:val="-4"/>
          <w:sz w:val="20"/>
        </w:rPr>
        <w:t xml:space="preserve"> peligro</w:t>
      </w:r>
      <w:r>
        <w:rPr>
          <w:spacing w:val="-9"/>
          <w:sz w:val="20"/>
        </w:rPr>
        <w:t xml:space="preserve"> </w:t>
      </w:r>
      <w:r>
        <w:rPr>
          <w:sz w:val="20"/>
        </w:rPr>
        <w:t>o</w:t>
      </w:r>
      <w:r>
        <w:rPr>
          <w:spacing w:val="-8"/>
          <w:sz w:val="20"/>
        </w:rPr>
        <w:t xml:space="preserve"> </w:t>
      </w:r>
      <w:r>
        <w:rPr>
          <w:spacing w:val="-4"/>
          <w:sz w:val="20"/>
        </w:rPr>
        <w:t>menoscabo</w:t>
      </w:r>
      <w:r>
        <w:rPr>
          <w:spacing w:val="-9"/>
          <w:sz w:val="20"/>
        </w:rPr>
        <w:t xml:space="preserve"> </w:t>
      </w:r>
      <w:r>
        <w:rPr>
          <w:sz w:val="20"/>
        </w:rPr>
        <w:t>de</w:t>
      </w:r>
      <w:r>
        <w:rPr>
          <w:spacing w:val="-8"/>
          <w:sz w:val="20"/>
        </w:rPr>
        <w:t xml:space="preserve"> </w:t>
      </w:r>
      <w:r>
        <w:rPr>
          <w:sz w:val="20"/>
        </w:rPr>
        <w:t>la</w:t>
      </w:r>
      <w:r>
        <w:rPr>
          <w:spacing w:val="-10"/>
          <w:sz w:val="20"/>
        </w:rPr>
        <w:t xml:space="preserve"> </w:t>
      </w:r>
      <w:r>
        <w:rPr>
          <w:spacing w:val="-4"/>
          <w:sz w:val="20"/>
        </w:rPr>
        <w:t>administración</w:t>
      </w:r>
    </w:p>
    <w:p w14:paraId="799BACB7" w14:textId="77777777" w:rsidR="00492688" w:rsidRDefault="00492688">
      <w:pPr>
        <w:pStyle w:val="Textoindependiente"/>
      </w:pPr>
    </w:p>
    <w:p w14:paraId="643DEE13" w14:textId="7547736C" w:rsidR="00492688" w:rsidRDefault="00C9584B">
      <w:pPr>
        <w:pStyle w:val="Textoindependiente"/>
        <w:spacing w:before="1"/>
        <w:rPr>
          <w:sz w:val="19"/>
        </w:rPr>
      </w:pPr>
      <w:r>
        <w:rPr>
          <w:noProof/>
        </w:rPr>
        <mc:AlternateContent>
          <mc:Choice Requires="wps">
            <w:drawing>
              <wp:anchor distT="0" distB="0" distL="0" distR="0" simplePos="0" relativeHeight="251691008" behindDoc="1" locked="0" layoutInCell="1" allowOverlap="1" wp14:anchorId="225722C1" wp14:editId="3AE4C432">
                <wp:simplePos x="0" y="0"/>
                <wp:positionH relativeFrom="page">
                  <wp:posOffset>1080770</wp:posOffset>
                </wp:positionH>
                <wp:positionV relativeFrom="paragraph">
                  <wp:posOffset>176530</wp:posOffset>
                </wp:positionV>
                <wp:extent cx="1828800" cy="1270"/>
                <wp:effectExtent l="0" t="0" r="0" b="0"/>
                <wp:wrapTopAndBottom/>
                <wp:docPr id="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8CBB9" id="Freeform 10" o:spid="_x0000_s1026" style="position:absolute;margin-left:85.1pt;margin-top:13.9pt;width:2in;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36E34A03" w14:textId="77777777" w:rsidR="00492688" w:rsidRDefault="00492688">
      <w:pPr>
        <w:pStyle w:val="Textoindependiente"/>
        <w:rPr>
          <w:sz w:val="8"/>
        </w:rPr>
      </w:pPr>
    </w:p>
    <w:p w14:paraId="489B1946" w14:textId="77777777" w:rsidR="00492688" w:rsidRDefault="00C9584B">
      <w:pPr>
        <w:tabs>
          <w:tab w:val="left" w:pos="829"/>
        </w:tabs>
        <w:spacing w:before="73" w:line="264" w:lineRule="auto"/>
        <w:ind w:left="121" w:right="229" w:hanging="1"/>
        <w:rPr>
          <w:sz w:val="16"/>
        </w:rPr>
      </w:pPr>
      <w:bookmarkStart w:id="193" w:name="_bookmark161"/>
      <w:bookmarkEnd w:id="193"/>
      <w:r>
        <w:rPr>
          <w:rFonts w:ascii="Calibri" w:hAnsi="Calibri"/>
          <w:position w:val="7"/>
          <w:sz w:val="13"/>
        </w:rPr>
        <w:t>16</w:t>
      </w:r>
      <w:r>
        <w:rPr>
          <w:rFonts w:ascii="Calibri" w:hAnsi="Calibri"/>
          <w:position w:val="7"/>
          <w:sz w:val="13"/>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72.</w:t>
      </w:r>
    </w:p>
    <w:p w14:paraId="01257783" w14:textId="77777777" w:rsidR="00492688" w:rsidRDefault="00C9584B">
      <w:pPr>
        <w:tabs>
          <w:tab w:val="left" w:pos="829"/>
        </w:tabs>
        <w:spacing w:before="81"/>
        <w:ind w:left="121" w:right="229" w:hanging="1"/>
        <w:rPr>
          <w:sz w:val="16"/>
        </w:rPr>
      </w:pPr>
      <w:bookmarkStart w:id="194" w:name="_bookmark162"/>
      <w:bookmarkEnd w:id="194"/>
      <w:r>
        <w:rPr>
          <w:position w:val="6"/>
          <w:sz w:val="10"/>
        </w:rPr>
        <w:t>17</w:t>
      </w:r>
      <w:r>
        <w:rPr>
          <w:position w:val="6"/>
          <w:sz w:val="10"/>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75.</w:t>
      </w:r>
    </w:p>
    <w:p w14:paraId="15669158" w14:textId="77777777" w:rsidR="00492688" w:rsidRDefault="00492688">
      <w:pPr>
        <w:pStyle w:val="Textoindependiente"/>
      </w:pPr>
    </w:p>
    <w:p w14:paraId="1AE28BA7" w14:textId="77777777" w:rsidR="00492688" w:rsidRDefault="00492688">
      <w:pPr>
        <w:pStyle w:val="Textoindependiente"/>
        <w:spacing w:before="4"/>
        <w:rPr>
          <w:sz w:val="19"/>
        </w:rPr>
      </w:pPr>
    </w:p>
    <w:p w14:paraId="00144ADE" w14:textId="77777777" w:rsidR="00492688" w:rsidRDefault="00C9584B">
      <w:pPr>
        <w:spacing w:before="52"/>
        <w:ind w:right="111"/>
        <w:jc w:val="center"/>
        <w:rPr>
          <w:rFonts w:ascii="Calibri"/>
          <w:sz w:val="24"/>
        </w:rPr>
      </w:pPr>
      <w:r>
        <w:rPr>
          <w:rFonts w:ascii="Calibri"/>
          <w:sz w:val="24"/>
        </w:rPr>
        <w:t>6</w:t>
      </w:r>
    </w:p>
    <w:p w14:paraId="2588E388"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0F8D8F12" w14:textId="77777777" w:rsidR="00492688" w:rsidRDefault="00C9584B">
      <w:pPr>
        <w:pStyle w:val="Textoindependiente"/>
        <w:spacing w:before="71"/>
        <w:ind w:left="121" w:right="227"/>
        <w:jc w:val="both"/>
      </w:pPr>
      <w:r>
        <w:rPr>
          <w:spacing w:val="-3"/>
        </w:rPr>
        <w:lastRenderedPageBreak/>
        <w:t>de</w:t>
      </w:r>
      <w:r>
        <w:rPr>
          <w:spacing w:val="-15"/>
        </w:rPr>
        <w:t xml:space="preserve"> </w:t>
      </w:r>
      <w:r>
        <w:rPr>
          <w:spacing w:val="-4"/>
        </w:rPr>
        <w:t>justicia,</w:t>
      </w:r>
      <w:r>
        <w:rPr>
          <w:spacing w:val="-15"/>
        </w:rPr>
        <w:t xml:space="preserve"> </w:t>
      </w:r>
      <w:r>
        <w:rPr>
          <w:spacing w:val="-4"/>
        </w:rPr>
        <w:t>tienen</w:t>
      </w:r>
      <w:r>
        <w:rPr>
          <w:spacing w:val="-12"/>
        </w:rPr>
        <w:t xml:space="preserve"> </w:t>
      </w:r>
      <w:r>
        <w:t>el</w:t>
      </w:r>
      <w:r>
        <w:rPr>
          <w:spacing w:val="-14"/>
        </w:rPr>
        <w:t xml:space="preserve"> </w:t>
      </w:r>
      <w:r>
        <w:rPr>
          <w:spacing w:val="-4"/>
        </w:rPr>
        <w:t>riesgo</w:t>
      </w:r>
      <w:r>
        <w:rPr>
          <w:spacing w:val="-14"/>
        </w:rPr>
        <w:t xml:space="preserve"> </w:t>
      </w:r>
      <w:r>
        <w:t>de</w:t>
      </w:r>
      <w:r>
        <w:rPr>
          <w:spacing w:val="-15"/>
        </w:rPr>
        <w:t xml:space="preserve"> </w:t>
      </w:r>
      <w:r>
        <w:rPr>
          <w:spacing w:val="-4"/>
        </w:rPr>
        <w:t>“socavar</w:t>
      </w:r>
      <w:r>
        <w:rPr>
          <w:spacing w:val="-14"/>
        </w:rPr>
        <w:t xml:space="preserve"> </w:t>
      </w:r>
      <w:r>
        <w:rPr>
          <w:spacing w:val="-3"/>
        </w:rPr>
        <w:t>la</w:t>
      </w:r>
      <w:r>
        <w:rPr>
          <w:spacing w:val="-14"/>
        </w:rPr>
        <w:t xml:space="preserve"> </w:t>
      </w:r>
      <w:r>
        <w:rPr>
          <w:spacing w:val="-4"/>
        </w:rPr>
        <w:t>independencia</w:t>
      </w:r>
      <w:r>
        <w:rPr>
          <w:spacing w:val="-13"/>
        </w:rPr>
        <w:t xml:space="preserve"> </w:t>
      </w:r>
      <w:r>
        <w:rPr>
          <w:spacing w:val="-3"/>
        </w:rPr>
        <w:t>del</w:t>
      </w:r>
      <w:r>
        <w:rPr>
          <w:spacing w:val="-16"/>
        </w:rPr>
        <w:t xml:space="preserve"> </w:t>
      </w:r>
      <w:r>
        <w:rPr>
          <w:spacing w:val="-3"/>
        </w:rPr>
        <w:t>poder</w:t>
      </w:r>
      <w:r>
        <w:rPr>
          <w:spacing w:val="-17"/>
        </w:rPr>
        <w:t xml:space="preserve"> </w:t>
      </w:r>
      <w:r>
        <w:rPr>
          <w:spacing w:val="-4"/>
        </w:rPr>
        <w:t>judicial”</w:t>
      </w:r>
      <w:r>
        <w:rPr>
          <w:spacing w:val="-26"/>
        </w:rPr>
        <w:t xml:space="preserve"> </w:t>
      </w:r>
      <w:hyperlink w:anchor="_bookmark163" w:history="1">
        <w:r>
          <w:rPr>
            <w:position w:val="7"/>
            <w:sz w:val="13"/>
          </w:rPr>
          <w:t>18</w:t>
        </w:r>
      </w:hyperlink>
      <w:r>
        <w:t>.</w:t>
      </w:r>
      <w:r>
        <w:rPr>
          <w:spacing w:val="45"/>
        </w:rPr>
        <w:t xml:space="preserve"> </w:t>
      </w:r>
      <w:r>
        <w:rPr>
          <w:spacing w:val="-4"/>
        </w:rPr>
        <w:t>Además,</w:t>
      </w:r>
      <w:r>
        <w:rPr>
          <w:spacing w:val="-14"/>
        </w:rPr>
        <w:t xml:space="preserve"> </w:t>
      </w:r>
      <w:r>
        <w:rPr>
          <w:spacing w:val="-5"/>
        </w:rPr>
        <w:t xml:space="preserve">la </w:t>
      </w:r>
      <w:r>
        <w:rPr>
          <w:spacing w:val="-4"/>
        </w:rPr>
        <w:t>misma</w:t>
      </w:r>
      <w:r>
        <w:rPr>
          <w:spacing w:val="-11"/>
        </w:rPr>
        <w:t xml:space="preserve"> </w:t>
      </w:r>
      <w:r>
        <w:rPr>
          <w:spacing w:val="-4"/>
        </w:rPr>
        <w:t>Relatora</w:t>
      </w:r>
      <w:r>
        <w:rPr>
          <w:spacing w:val="-13"/>
        </w:rPr>
        <w:t xml:space="preserve"> </w:t>
      </w:r>
      <w:r>
        <w:rPr>
          <w:spacing w:val="-4"/>
        </w:rPr>
        <w:t>Especial</w:t>
      </w:r>
      <w:r>
        <w:rPr>
          <w:spacing w:val="-11"/>
        </w:rPr>
        <w:t xml:space="preserve"> </w:t>
      </w:r>
      <w:r>
        <w:t>ha</w:t>
      </w:r>
      <w:r>
        <w:rPr>
          <w:spacing w:val="-13"/>
        </w:rPr>
        <w:t xml:space="preserve"> </w:t>
      </w:r>
      <w:r>
        <w:rPr>
          <w:spacing w:val="-4"/>
        </w:rPr>
        <w:t>indicado</w:t>
      </w:r>
      <w:r>
        <w:rPr>
          <w:spacing w:val="-12"/>
        </w:rPr>
        <w:t xml:space="preserve"> </w:t>
      </w:r>
      <w:r>
        <w:rPr>
          <w:spacing w:val="-3"/>
        </w:rPr>
        <w:t>que</w:t>
      </w:r>
      <w:r>
        <w:rPr>
          <w:spacing w:val="-13"/>
        </w:rPr>
        <w:t xml:space="preserve"> </w:t>
      </w:r>
      <w:r>
        <w:rPr>
          <w:spacing w:val="-3"/>
        </w:rPr>
        <w:t>si</w:t>
      </w:r>
      <w:r>
        <w:rPr>
          <w:spacing w:val="-10"/>
        </w:rPr>
        <w:t xml:space="preserve"> </w:t>
      </w:r>
      <w:r>
        <w:rPr>
          <w:spacing w:val="-4"/>
        </w:rPr>
        <w:t>bien</w:t>
      </w:r>
      <w:r>
        <w:rPr>
          <w:spacing w:val="-10"/>
        </w:rPr>
        <w:t xml:space="preserve"> </w:t>
      </w:r>
      <w:r>
        <w:rPr>
          <w:spacing w:val="-4"/>
        </w:rPr>
        <w:t>comprometer</w:t>
      </w:r>
      <w:r>
        <w:rPr>
          <w:spacing w:val="-15"/>
        </w:rPr>
        <w:t xml:space="preserve"> </w:t>
      </w:r>
      <w:r>
        <w:t>la</w:t>
      </w:r>
      <w:r>
        <w:rPr>
          <w:spacing w:val="-11"/>
        </w:rPr>
        <w:t xml:space="preserve"> </w:t>
      </w:r>
      <w:r>
        <w:rPr>
          <w:spacing w:val="-4"/>
        </w:rPr>
        <w:t>dignidad</w:t>
      </w:r>
      <w:r>
        <w:rPr>
          <w:spacing w:val="-8"/>
        </w:rPr>
        <w:t xml:space="preserve"> </w:t>
      </w:r>
      <w:r>
        <w:rPr>
          <w:spacing w:val="-4"/>
        </w:rPr>
        <w:t>del</w:t>
      </w:r>
      <w:r>
        <w:rPr>
          <w:spacing w:val="-9"/>
        </w:rPr>
        <w:t xml:space="preserve"> </w:t>
      </w:r>
      <w:r>
        <w:rPr>
          <w:spacing w:val="-4"/>
        </w:rPr>
        <w:t>cargo</w:t>
      </w:r>
      <w:r>
        <w:rPr>
          <w:spacing w:val="-12"/>
        </w:rPr>
        <w:t xml:space="preserve"> </w:t>
      </w:r>
      <w:r>
        <w:rPr>
          <w:spacing w:val="-4"/>
        </w:rPr>
        <w:t xml:space="preserve">puede </w:t>
      </w:r>
      <w:r>
        <w:rPr>
          <w:spacing w:val="-3"/>
        </w:rPr>
        <w:t xml:space="preserve">ser una </w:t>
      </w:r>
      <w:r>
        <w:rPr>
          <w:spacing w:val="-4"/>
        </w:rPr>
        <w:t xml:space="preserve">conducta sancionable, incluso </w:t>
      </w:r>
      <w:r>
        <w:rPr>
          <w:spacing w:val="-3"/>
        </w:rPr>
        <w:t xml:space="preserve">con </w:t>
      </w:r>
      <w:r>
        <w:rPr>
          <w:spacing w:val="-4"/>
        </w:rPr>
        <w:t xml:space="preserve">destitución, </w:t>
      </w:r>
      <w:r>
        <w:rPr>
          <w:spacing w:val="-3"/>
        </w:rPr>
        <w:t xml:space="preserve">el tipo </w:t>
      </w:r>
      <w:r>
        <w:rPr>
          <w:spacing w:val="-4"/>
        </w:rPr>
        <w:t xml:space="preserve">disciplinario </w:t>
      </w:r>
      <w:r>
        <w:t xml:space="preserve">no </w:t>
      </w:r>
      <w:r>
        <w:rPr>
          <w:spacing w:val="-3"/>
        </w:rPr>
        <w:t xml:space="preserve">puede ser </w:t>
      </w:r>
      <w:r>
        <w:rPr>
          <w:spacing w:val="-4"/>
        </w:rPr>
        <w:t xml:space="preserve">indeterminado. </w:t>
      </w:r>
      <w:r>
        <w:t xml:space="preserve">En </w:t>
      </w:r>
      <w:r>
        <w:rPr>
          <w:spacing w:val="-4"/>
        </w:rPr>
        <w:t xml:space="preserve">esa medida, </w:t>
      </w:r>
      <w:r>
        <w:rPr>
          <w:spacing w:val="-3"/>
        </w:rPr>
        <w:t xml:space="preserve">“la ley debe </w:t>
      </w:r>
      <w:r>
        <w:rPr>
          <w:spacing w:val="-4"/>
        </w:rPr>
        <w:t xml:space="preserve">precisar </w:t>
      </w:r>
      <w:r>
        <w:t xml:space="preserve">de </w:t>
      </w:r>
      <w:r>
        <w:rPr>
          <w:spacing w:val="-4"/>
        </w:rPr>
        <w:t xml:space="preserve">manera detallada </w:t>
      </w:r>
      <w:r>
        <w:rPr>
          <w:spacing w:val="-3"/>
        </w:rPr>
        <w:t xml:space="preserve">las </w:t>
      </w:r>
      <w:r>
        <w:rPr>
          <w:spacing w:val="-4"/>
        </w:rPr>
        <w:t xml:space="preserve">infracciones </w:t>
      </w:r>
      <w:r>
        <w:rPr>
          <w:spacing w:val="-3"/>
        </w:rPr>
        <w:t xml:space="preserve">que </w:t>
      </w:r>
      <w:r>
        <w:rPr>
          <w:spacing w:val="-4"/>
        </w:rPr>
        <w:t xml:space="preserve">puedan </w:t>
      </w:r>
      <w:r>
        <w:rPr>
          <w:spacing w:val="-3"/>
        </w:rPr>
        <w:t xml:space="preserve">dar lugar </w:t>
      </w:r>
      <w:r>
        <w:t xml:space="preserve">a la </w:t>
      </w:r>
      <w:r>
        <w:rPr>
          <w:spacing w:val="-4"/>
        </w:rPr>
        <w:t xml:space="preserve">imposición </w:t>
      </w:r>
      <w:r>
        <w:t xml:space="preserve">de </w:t>
      </w:r>
      <w:r>
        <w:rPr>
          <w:spacing w:val="-4"/>
        </w:rPr>
        <w:t xml:space="preserve">medidas disciplinarias contra </w:t>
      </w:r>
      <w:r>
        <w:rPr>
          <w:spacing w:val="-2"/>
        </w:rPr>
        <w:t xml:space="preserve">los </w:t>
      </w:r>
      <w:r>
        <w:rPr>
          <w:spacing w:val="-4"/>
        </w:rPr>
        <w:t xml:space="preserve">jueces, incluida </w:t>
      </w:r>
      <w:r>
        <w:rPr>
          <w:spacing w:val="-3"/>
        </w:rPr>
        <w:t xml:space="preserve">la </w:t>
      </w:r>
      <w:r>
        <w:rPr>
          <w:spacing w:val="-4"/>
        </w:rPr>
        <w:t xml:space="preserve">gravedad </w:t>
      </w:r>
      <w:r>
        <w:t xml:space="preserve">de </w:t>
      </w:r>
      <w:r>
        <w:rPr>
          <w:spacing w:val="-3"/>
        </w:rPr>
        <w:t xml:space="preserve">la </w:t>
      </w:r>
      <w:r>
        <w:rPr>
          <w:spacing w:val="-4"/>
        </w:rPr>
        <w:t xml:space="preserve">infracción </w:t>
      </w:r>
      <w:r>
        <w:t xml:space="preserve">y </w:t>
      </w:r>
      <w:r>
        <w:rPr>
          <w:spacing w:val="-3"/>
        </w:rPr>
        <w:t xml:space="preserve">el tipo </w:t>
      </w:r>
      <w:r>
        <w:t xml:space="preserve">de </w:t>
      </w:r>
      <w:r>
        <w:rPr>
          <w:spacing w:val="-4"/>
        </w:rPr>
        <w:t xml:space="preserve">medida disciplinaria </w:t>
      </w:r>
      <w:r>
        <w:rPr>
          <w:spacing w:val="-3"/>
        </w:rPr>
        <w:t xml:space="preserve">que </w:t>
      </w:r>
      <w:r>
        <w:t xml:space="preserve">se </w:t>
      </w:r>
      <w:r>
        <w:rPr>
          <w:spacing w:val="-4"/>
        </w:rPr>
        <w:t xml:space="preserve">aplicará </w:t>
      </w:r>
      <w:r>
        <w:rPr>
          <w:spacing w:val="-3"/>
        </w:rPr>
        <w:t>en el caso</w:t>
      </w:r>
      <w:r>
        <w:rPr>
          <w:spacing w:val="-45"/>
        </w:rPr>
        <w:t xml:space="preserve"> </w:t>
      </w:r>
      <w:r>
        <w:t xml:space="preserve">de </w:t>
      </w:r>
      <w:r>
        <w:rPr>
          <w:spacing w:val="-3"/>
        </w:rPr>
        <w:t xml:space="preserve">que </w:t>
      </w:r>
      <w:r>
        <w:t>se</w:t>
      </w:r>
      <w:r>
        <w:rPr>
          <w:spacing w:val="-17"/>
        </w:rPr>
        <w:t xml:space="preserve"> </w:t>
      </w:r>
      <w:r>
        <w:t>trate”</w:t>
      </w:r>
      <w:hyperlink w:anchor="_bookmark164" w:history="1">
        <w:r>
          <w:rPr>
            <w:position w:val="7"/>
            <w:sz w:val="13"/>
          </w:rPr>
          <w:t>19</w:t>
        </w:r>
      </w:hyperlink>
      <w:r>
        <w:t>.</w:t>
      </w:r>
    </w:p>
    <w:p w14:paraId="44B666EA" w14:textId="77777777" w:rsidR="00492688" w:rsidRDefault="00492688">
      <w:pPr>
        <w:pStyle w:val="Textoindependiente"/>
      </w:pPr>
    </w:p>
    <w:p w14:paraId="2496F823" w14:textId="77777777" w:rsidR="00492688" w:rsidRDefault="00C9584B">
      <w:pPr>
        <w:pStyle w:val="Prrafodelista"/>
        <w:numPr>
          <w:ilvl w:val="0"/>
          <w:numId w:val="3"/>
        </w:numPr>
        <w:tabs>
          <w:tab w:val="left" w:pos="830"/>
        </w:tabs>
        <w:ind w:right="227" w:firstLine="0"/>
        <w:jc w:val="both"/>
        <w:rPr>
          <w:sz w:val="20"/>
        </w:rPr>
      </w:pPr>
      <w:r>
        <w:rPr>
          <w:spacing w:val="-4"/>
          <w:sz w:val="20"/>
        </w:rPr>
        <w:t xml:space="preserve">Ahora </w:t>
      </w:r>
      <w:r>
        <w:rPr>
          <w:spacing w:val="-3"/>
          <w:sz w:val="20"/>
        </w:rPr>
        <w:t xml:space="preserve">bien, en el caso </w:t>
      </w:r>
      <w:r>
        <w:rPr>
          <w:spacing w:val="-4"/>
          <w:sz w:val="20"/>
        </w:rPr>
        <w:t xml:space="preserve">concreto, </w:t>
      </w:r>
      <w:r>
        <w:rPr>
          <w:spacing w:val="-3"/>
          <w:sz w:val="20"/>
        </w:rPr>
        <w:t xml:space="preserve">la </w:t>
      </w:r>
      <w:r>
        <w:rPr>
          <w:spacing w:val="-4"/>
          <w:sz w:val="20"/>
        </w:rPr>
        <w:t xml:space="preserve">sanción </w:t>
      </w:r>
      <w:r>
        <w:rPr>
          <w:sz w:val="20"/>
        </w:rPr>
        <w:t xml:space="preserve">que </w:t>
      </w:r>
      <w:r>
        <w:rPr>
          <w:spacing w:val="-3"/>
          <w:sz w:val="20"/>
        </w:rPr>
        <w:t xml:space="preserve">le fue </w:t>
      </w:r>
      <w:r>
        <w:rPr>
          <w:spacing w:val="-4"/>
          <w:sz w:val="20"/>
        </w:rPr>
        <w:t xml:space="preserve">aplicada </w:t>
      </w:r>
      <w:r>
        <w:rPr>
          <w:spacing w:val="-3"/>
          <w:sz w:val="20"/>
        </w:rPr>
        <w:t xml:space="preserve">al señor </w:t>
      </w:r>
      <w:r>
        <w:rPr>
          <w:spacing w:val="-5"/>
          <w:sz w:val="20"/>
        </w:rPr>
        <w:t xml:space="preserve">Cordero </w:t>
      </w:r>
      <w:r>
        <w:rPr>
          <w:spacing w:val="-4"/>
          <w:sz w:val="20"/>
        </w:rPr>
        <w:t xml:space="preserve">Bernal </w:t>
      </w:r>
      <w:r>
        <w:rPr>
          <w:spacing w:val="-3"/>
          <w:sz w:val="20"/>
        </w:rPr>
        <w:t xml:space="preserve">fue el </w:t>
      </w:r>
      <w:r>
        <w:rPr>
          <w:spacing w:val="-4"/>
          <w:sz w:val="20"/>
        </w:rPr>
        <w:t xml:space="preserve">numeral </w:t>
      </w:r>
      <w:r>
        <w:rPr>
          <w:sz w:val="20"/>
        </w:rPr>
        <w:t xml:space="preserve">2 </w:t>
      </w:r>
      <w:r>
        <w:rPr>
          <w:spacing w:val="-3"/>
          <w:sz w:val="20"/>
        </w:rPr>
        <w:t xml:space="preserve">del </w:t>
      </w:r>
      <w:r>
        <w:rPr>
          <w:spacing w:val="-4"/>
          <w:sz w:val="20"/>
        </w:rPr>
        <w:t xml:space="preserve">artículo </w:t>
      </w:r>
      <w:r>
        <w:rPr>
          <w:spacing w:val="-3"/>
          <w:sz w:val="20"/>
        </w:rPr>
        <w:t xml:space="preserve">31 </w:t>
      </w:r>
      <w:r>
        <w:rPr>
          <w:sz w:val="20"/>
        </w:rPr>
        <w:t xml:space="preserve">de la </w:t>
      </w:r>
      <w:r>
        <w:rPr>
          <w:spacing w:val="-3"/>
          <w:sz w:val="20"/>
        </w:rPr>
        <w:t xml:space="preserve">Ley </w:t>
      </w:r>
      <w:r>
        <w:rPr>
          <w:spacing w:val="-4"/>
          <w:sz w:val="20"/>
        </w:rPr>
        <w:t xml:space="preserve">Orgánica </w:t>
      </w:r>
      <w:r>
        <w:rPr>
          <w:spacing w:val="-3"/>
          <w:sz w:val="20"/>
        </w:rPr>
        <w:t xml:space="preserve">del </w:t>
      </w:r>
      <w:r>
        <w:rPr>
          <w:spacing w:val="-4"/>
          <w:sz w:val="20"/>
        </w:rPr>
        <w:t xml:space="preserve">Consejo Nacional </w:t>
      </w:r>
      <w:r>
        <w:rPr>
          <w:sz w:val="20"/>
        </w:rPr>
        <w:t xml:space="preserve">de </w:t>
      </w:r>
      <w:r>
        <w:rPr>
          <w:spacing w:val="-3"/>
          <w:sz w:val="20"/>
        </w:rPr>
        <w:t xml:space="preserve">la </w:t>
      </w:r>
      <w:r>
        <w:rPr>
          <w:spacing w:val="-4"/>
          <w:sz w:val="20"/>
        </w:rPr>
        <w:t xml:space="preserve">Magistratura </w:t>
      </w:r>
      <w:r>
        <w:rPr>
          <w:spacing w:val="-3"/>
          <w:sz w:val="20"/>
        </w:rPr>
        <w:t xml:space="preserve">(en </w:t>
      </w:r>
      <w:r>
        <w:rPr>
          <w:spacing w:val="-4"/>
          <w:sz w:val="20"/>
        </w:rPr>
        <w:t xml:space="preserve">adelante </w:t>
      </w:r>
      <w:r>
        <w:rPr>
          <w:spacing w:val="-3"/>
          <w:sz w:val="20"/>
        </w:rPr>
        <w:t xml:space="preserve">“el art. 31.2 </w:t>
      </w:r>
      <w:r>
        <w:rPr>
          <w:sz w:val="20"/>
        </w:rPr>
        <w:t xml:space="preserve">de </w:t>
      </w:r>
      <w:r>
        <w:rPr>
          <w:spacing w:val="-3"/>
          <w:sz w:val="20"/>
        </w:rPr>
        <w:t xml:space="preserve">la </w:t>
      </w:r>
      <w:r>
        <w:rPr>
          <w:spacing w:val="-4"/>
          <w:sz w:val="20"/>
        </w:rPr>
        <w:t xml:space="preserve">LOC”) </w:t>
      </w:r>
      <w:r>
        <w:rPr>
          <w:sz w:val="20"/>
        </w:rPr>
        <w:t xml:space="preserve">de </w:t>
      </w:r>
      <w:r>
        <w:rPr>
          <w:spacing w:val="-3"/>
          <w:sz w:val="20"/>
        </w:rPr>
        <w:t xml:space="preserve">25 </w:t>
      </w:r>
      <w:r>
        <w:rPr>
          <w:sz w:val="20"/>
        </w:rPr>
        <w:t xml:space="preserve">de </w:t>
      </w:r>
      <w:r>
        <w:rPr>
          <w:spacing w:val="-4"/>
          <w:sz w:val="20"/>
        </w:rPr>
        <w:t xml:space="preserve">noviembre </w:t>
      </w:r>
      <w:r>
        <w:rPr>
          <w:sz w:val="20"/>
        </w:rPr>
        <w:t xml:space="preserve">de </w:t>
      </w:r>
      <w:r>
        <w:rPr>
          <w:spacing w:val="-4"/>
          <w:sz w:val="20"/>
        </w:rPr>
        <w:t xml:space="preserve">1994, </w:t>
      </w:r>
      <w:r>
        <w:rPr>
          <w:spacing w:val="-3"/>
          <w:sz w:val="20"/>
        </w:rPr>
        <w:t xml:space="preserve">la </w:t>
      </w:r>
      <w:r>
        <w:rPr>
          <w:spacing w:val="-4"/>
          <w:sz w:val="20"/>
        </w:rPr>
        <w:t xml:space="preserve">cual indica </w:t>
      </w:r>
      <w:r>
        <w:rPr>
          <w:spacing w:val="-3"/>
          <w:sz w:val="20"/>
        </w:rPr>
        <w:t xml:space="preserve">que la </w:t>
      </w:r>
      <w:r>
        <w:rPr>
          <w:spacing w:val="-4"/>
          <w:sz w:val="20"/>
        </w:rPr>
        <w:t xml:space="preserve">sanción </w:t>
      </w:r>
      <w:r>
        <w:rPr>
          <w:sz w:val="20"/>
        </w:rPr>
        <w:t xml:space="preserve">de </w:t>
      </w:r>
      <w:r>
        <w:rPr>
          <w:spacing w:val="-4"/>
          <w:sz w:val="20"/>
        </w:rPr>
        <w:t xml:space="preserve">destitución </w:t>
      </w:r>
      <w:r>
        <w:rPr>
          <w:spacing w:val="-3"/>
          <w:sz w:val="20"/>
        </w:rPr>
        <w:t xml:space="preserve">es </w:t>
      </w:r>
      <w:r>
        <w:rPr>
          <w:spacing w:val="-4"/>
          <w:sz w:val="20"/>
        </w:rPr>
        <w:t xml:space="preserve">procedente </w:t>
      </w:r>
      <w:r>
        <w:rPr>
          <w:spacing w:val="-2"/>
          <w:sz w:val="20"/>
        </w:rPr>
        <w:t xml:space="preserve">por </w:t>
      </w:r>
      <w:r>
        <w:rPr>
          <w:spacing w:val="-4"/>
          <w:sz w:val="20"/>
        </w:rPr>
        <w:t xml:space="preserve">“[l]a comisión </w:t>
      </w:r>
      <w:r>
        <w:rPr>
          <w:sz w:val="20"/>
        </w:rPr>
        <w:t xml:space="preserve">de un </w:t>
      </w:r>
      <w:r>
        <w:rPr>
          <w:b/>
          <w:spacing w:val="-4"/>
          <w:sz w:val="20"/>
        </w:rPr>
        <w:t xml:space="preserve">hecho grave </w:t>
      </w:r>
      <w:r>
        <w:rPr>
          <w:spacing w:val="-3"/>
          <w:sz w:val="20"/>
        </w:rPr>
        <w:t xml:space="preserve">que sin ser delito </w:t>
      </w:r>
      <w:r>
        <w:rPr>
          <w:spacing w:val="-4"/>
          <w:sz w:val="20"/>
        </w:rPr>
        <w:t xml:space="preserve">compromete </w:t>
      </w:r>
      <w:r>
        <w:rPr>
          <w:spacing w:val="-3"/>
          <w:sz w:val="20"/>
        </w:rPr>
        <w:t xml:space="preserve">la </w:t>
      </w:r>
      <w:r>
        <w:rPr>
          <w:b/>
          <w:spacing w:val="-4"/>
          <w:sz w:val="20"/>
        </w:rPr>
        <w:t xml:space="preserve">dignidad </w:t>
      </w:r>
      <w:r>
        <w:rPr>
          <w:b/>
          <w:spacing w:val="-3"/>
          <w:sz w:val="20"/>
        </w:rPr>
        <w:t xml:space="preserve">del cargo </w:t>
      </w:r>
      <w:r>
        <w:rPr>
          <w:sz w:val="20"/>
        </w:rPr>
        <w:t xml:space="preserve">y la </w:t>
      </w:r>
      <w:r>
        <w:rPr>
          <w:b/>
          <w:spacing w:val="-4"/>
          <w:sz w:val="20"/>
        </w:rPr>
        <w:t xml:space="preserve">desmerezca </w:t>
      </w:r>
      <w:r>
        <w:rPr>
          <w:b/>
          <w:spacing w:val="-3"/>
          <w:sz w:val="20"/>
        </w:rPr>
        <w:t xml:space="preserve">en el </w:t>
      </w:r>
      <w:r>
        <w:rPr>
          <w:b/>
          <w:spacing w:val="-4"/>
          <w:sz w:val="20"/>
        </w:rPr>
        <w:t xml:space="preserve">concepto público” </w:t>
      </w:r>
      <w:r>
        <w:rPr>
          <w:spacing w:val="-4"/>
          <w:sz w:val="20"/>
        </w:rPr>
        <w:t>[énfasis</w:t>
      </w:r>
      <w:r>
        <w:rPr>
          <w:spacing w:val="-11"/>
          <w:sz w:val="20"/>
        </w:rPr>
        <w:t xml:space="preserve"> </w:t>
      </w:r>
      <w:r>
        <w:rPr>
          <w:spacing w:val="-4"/>
          <w:sz w:val="20"/>
        </w:rPr>
        <w:t>añadido].</w:t>
      </w:r>
    </w:p>
    <w:p w14:paraId="4EBA1FB2" w14:textId="77777777" w:rsidR="00492688" w:rsidRDefault="00492688">
      <w:pPr>
        <w:pStyle w:val="Textoindependiente"/>
      </w:pPr>
    </w:p>
    <w:p w14:paraId="555EC65B" w14:textId="77777777" w:rsidR="00492688" w:rsidRDefault="00C9584B">
      <w:pPr>
        <w:pStyle w:val="Prrafodelista"/>
        <w:numPr>
          <w:ilvl w:val="0"/>
          <w:numId w:val="3"/>
        </w:numPr>
        <w:tabs>
          <w:tab w:val="left" w:pos="830"/>
        </w:tabs>
        <w:ind w:right="226" w:firstLine="0"/>
        <w:jc w:val="both"/>
        <w:rPr>
          <w:sz w:val="20"/>
        </w:rPr>
      </w:pPr>
      <w:r>
        <w:rPr>
          <w:sz w:val="20"/>
        </w:rPr>
        <w:t xml:space="preserve">De </w:t>
      </w:r>
      <w:r>
        <w:rPr>
          <w:spacing w:val="-3"/>
          <w:sz w:val="20"/>
        </w:rPr>
        <w:t xml:space="preserve">la </w:t>
      </w:r>
      <w:r>
        <w:rPr>
          <w:spacing w:val="-4"/>
          <w:sz w:val="20"/>
        </w:rPr>
        <w:t xml:space="preserve">lectura </w:t>
      </w:r>
      <w:r>
        <w:rPr>
          <w:sz w:val="20"/>
        </w:rPr>
        <w:t xml:space="preserve">de la </w:t>
      </w:r>
      <w:r>
        <w:rPr>
          <w:spacing w:val="-4"/>
          <w:sz w:val="20"/>
        </w:rPr>
        <w:t xml:space="preserve">referida </w:t>
      </w:r>
      <w:r>
        <w:rPr>
          <w:spacing w:val="-4"/>
          <w:sz w:val="20"/>
        </w:rPr>
        <w:t xml:space="preserve">disposición </w:t>
      </w:r>
      <w:r>
        <w:rPr>
          <w:sz w:val="20"/>
        </w:rPr>
        <w:t xml:space="preserve">se </w:t>
      </w:r>
      <w:r>
        <w:rPr>
          <w:spacing w:val="-4"/>
          <w:sz w:val="20"/>
        </w:rPr>
        <w:t xml:space="preserve">advierte </w:t>
      </w:r>
      <w:r>
        <w:rPr>
          <w:spacing w:val="-3"/>
          <w:sz w:val="20"/>
        </w:rPr>
        <w:t xml:space="preserve">que </w:t>
      </w:r>
      <w:r>
        <w:rPr>
          <w:spacing w:val="-4"/>
          <w:sz w:val="20"/>
        </w:rPr>
        <w:t xml:space="preserve">adolece </w:t>
      </w:r>
      <w:r>
        <w:rPr>
          <w:sz w:val="20"/>
        </w:rPr>
        <w:t xml:space="preserve">de </w:t>
      </w:r>
      <w:r>
        <w:rPr>
          <w:spacing w:val="-4"/>
          <w:sz w:val="20"/>
        </w:rPr>
        <w:t xml:space="preserve">vaguedad, </w:t>
      </w:r>
      <w:r>
        <w:rPr>
          <w:sz w:val="20"/>
        </w:rPr>
        <w:t xml:space="preserve">no </w:t>
      </w:r>
      <w:r>
        <w:rPr>
          <w:spacing w:val="-3"/>
          <w:sz w:val="20"/>
        </w:rPr>
        <w:t>solo</w:t>
      </w:r>
      <w:r>
        <w:rPr>
          <w:spacing w:val="-8"/>
          <w:sz w:val="20"/>
        </w:rPr>
        <w:t xml:space="preserve"> </w:t>
      </w:r>
      <w:r>
        <w:rPr>
          <w:spacing w:val="-4"/>
          <w:sz w:val="20"/>
        </w:rPr>
        <w:t>respecto</w:t>
      </w:r>
      <w:r>
        <w:rPr>
          <w:spacing w:val="-7"/>
          <w:sz w:val="20"/>
        </w:rPr>
        <w:t xml:space="preserve"> </w:t>
      </w:r>
      <w:r>
        <w:rPr>
          <w:sz w:val="20"/>
        </w:rPr>
        <w:t>de</w:t>
      </w:r>
      <w:r>
        <w:rPr>
          <w:spacing w:val="-10"/>
          <w:sz w:val="20"/>
        </w:rPr>
        <w:t xml:space="preserve"> </w:t>
      </w:r>
      <w:r>
        <w:rPr>
          <w:sz w:val="20"/>
        </w:rPr>
        <w:t>lo</w:t>
      </w:r>
      <w:r>
        <w:rPr>
          <w:spacing w:val="-9"/>
          <w:sz w:val="20"/>
        </w:rPr>
        <w:t xml:space="preserve"> </w:t>
      </w:r>
      <w:r>
        <w:rPr>
          <w:spacing w:val="-3"/>
          <w:sz w:val="20"/>
        </w:rPr>
        <w:t>que</w:t>
      </w:r>
      <w:r>
        <w:rPr>
          <w:spacing w:val="-9"/>
          <w:sz w:val="20"/>
        </w:rPr>
        <w:t xml:space="preserve"> </w:t>
      </w:r>
      <w:r>
        <w:rPr>
          <w:spacing w:val="-3"/>
          <w:sz w:val="20"/>
        </w:rPr>
        <w:t>podría</w:t>
      </w:r>
      <w:r>
        <w:rPr>
          <w:spacing w:val="-9"/>
          <w:sz w:val="20"/>
        </w:rPr>
        <w:t xml:space="preserve"> </w:t>
      </w:r>
      <w:r>
        <w:rPr>
          <w:spacing w:val="-4"/>
          <w:sz w:val="20"/>
        </w:rPr>
        <w:t>implicar</w:t>
      </w:r>
      <w:r>
        <w:rPr>
          <w:spacing w:val="-9"/>
          <w:sz w:val="20"/>
        </w:rPr>
        <w:t xml:space="preserve"> </w:t>
      </w:r>
      <w:r>
        <w:rPr>
          <w:spacing w:val="-3"/>
          <w:sz w:val="20"/>
        </w:rPr>
        <w:t>“un</w:t>
      </w:r>
      <w:r>
        <w:rPr>
          <w:spacing w:val="-8"/>
          <w:sz w:val="20"/>
        </w:rPr>
        <w:t xml:space="preserve"> </w:t>
      </w:r>
      <w:r>
        <w:rPr>
          <w:spacing w:val="-4"/>
          <w:sz w:val="20"/>
        </w:rPr>
        <w:t>hecho</w:t>
      </w:r>
      <w:r>
        <w:rPr>
          <w:spacing w:val="-7"/>
          <w:sz w:val="20"/>
        </w:rPr>
        <w:t xml:space="preserve"> </w:t>
      </w:r>
      <w:r>
        <w:rPr>
          <w:spacing w:val="-4"/>
          <w:sz w:val="20"/>
        </w:rPr>
        <w:t>grave”</w:t>
      </w:r>
      <w:r>
        <w:rPr>
          <w:spacing w:val="-6"/>
          <w:sz w:val="20"/>
        </w:rPr>
        <w:t xml:space="preserve"> </w:t>
      </w:r>
      <w:r>
        <w:rPr>
          <w:sz w:val="20"/>
        </w:rPr>
        <w:t>o</w:t>
      </w:r>
      <w:r>
        <w:rPr>
          <w:spacing w:val="-10"/>
          <w:sz w:val="20"/>
        </w:rPr>
        <w:t xml:space="preserve"> </w:t>
      </w:r>
      <w:r>
        <w:rPr>
          <w:spacing w:val="-4"/>
          <w:sz w:val="20"/>
        </w:rPr>
        <w:t>“las</w:t>
      </w:r>
      <w:r>
        <w:rPr>
          <w:spacing w:val="-7"/>
          <w:sz w:val="20"/>
        </w:rPr>
        <w:t xml:space="preserve"> </w:t>
      </w:r>
      <w:r>
        <w:rPr>
          <w:spacing w:val="-4"/>
          <w:sz w:val="20"/>
        </w:rPr>
        <w:t>conductas</w:t>
      </w:r>
      <w:r>
        <w:rPr>
          <w:spacing w:val="-8"/>
          <w:sz w:val="20"/>
        </w:rPr>
        <w:t xml:space="preserve"> </w:t>
      </w:r>
      <w:r>
        <w:rPr>
          <w:spacing w:val="-3"/>
          <w:sz w:val="20"/>
        </w:rPr>
        <w:t>que</w:t>
      </w:r>
      <w:r>
        <w:rPr>
          <w:spacing w:val="-7"/>
          <w:sz w:val="20"/>
        </w:rPr>
        <w:t xml:space="preserve"> </w:t>
      </w:r>
      <w:r>
        <w:rPr>
          <w:spacing w:val="-4"/>
          <w:sz w:val="20"/>
        </w:rPr>
        <w:t>podrían</w:t>
      </w:r>
      <w:r>
        <w:rPr>
          <w:spacing w:val="-5"/>
          <w:sz w:val="20"/>
        </w:rPr>
        <w:t xml:space="preserve"> </w:t>
      </w:r>
      <w:r>
        <w:rPr>
          <w:spacing w:val="-3"/>
          <w:sz w:val="20"/>
        </w:rPr>
        <w:t xml:space="preserve">ser </w:t>
      </w:r>
      <w:r>
        <w:rPr>
          <w:spacing w:val="-4"/>
          <w:sz w:val="20"/>
        </w:rPr>
        <w:t xml:space="preserve">calificadas </w:t>
      </w:r>
      <w:r>
        <w:rPr>
          <w:spacing w:val="-3"/>
          <w:sz w:val="20"/>
        </w:rPr>
        <w:t xml:space="preserve">como </w:t>
      </w:r>
      <w:r>
        <w:rPr>
          <w:spacing w:val="-4"/>
          <w:sz w:val="20"/>
        </w:rPr>
        <w:t xml:space="preserve">graves”, sino además </w:t>
      </w:r>
      <w:r>
        <w:rPr>
          <w:sz w:val="20"/>
        </w:rPr>
        <w:t xml:space="preserve">de lo </w:t>
      </w:r>
      <w:r>
        <w:rPr>
          <w:spacing w:val="-2"/>
          <w:sz w:val="20"/>
        </w:rPr>
        <w:t xml:space="preserve">que </w:t>
      </w:r>
      <w:r>
        <w:rPr>
          <w:spacing w:val="-4"/>
          <w:sz w:val="20"/>
        </w:rPr>
        <w:t xml:space="preserve">implicaría </w:t>
      </w:r>
      <w:r>
        <w:rPr>
          <w:spacing w:val="-3"/>
          <w:sz w:val="20"/>
        </w:rPr>
        <w:t xml:space="preserve">“la </w:t>
      </w:r>
      <w:r>
        <w:rPr>
          <w:spacing w:val="-4"/>
          <w:sz w:val="20"/>
        </w:rPr>
        <w:t xml:space="preserve">dignidad </w:t>
      </w:r>
      <w:r>
        <w:rPr>
          <w:spacing w:val="-3"/>
          <w:sz w:val="20"/>
        </w:rPr>
        <w:t xml:space="preserve">del </w:t>
      </w:r>
      <w:r>
        <w:rPr>
          <w:spacing w:val="-4"/>
          <w:sz w:val="20"/>
        </w:rPr>
        <w:t xml:space="preserve">cargo” </w:t>
      </w:r>
      <w:r>
        <w:rPr>
          <w:sz w:val="20"/>
        </w:rPr>
        <w:t xml:space="preserve">y </w:t>
      </w:r>
      <w:r>
        <w:rPr>
          <w:spacing w:val="-4"/>
          <w:sz w:val="20"/>
        </w:rPr>
        <w:t xml:space="preserve">“desmerecer </w:t>
      </w:r>
      <w:r>
        <w:rPr>
          <w:spacing w:val="-3"/>
          <w:sz w:val="20"/>
        </w:rPr>
        <w:t xml:space="preserve">en el </w:t>
      </w:r>
      <w:r>
        <w:rPr>
          <w:spacing w:val="-4"/>
          <w:sz w:val="20"/>
        </w:rPr>
        <w:t xml:space="preserve">concepto público”. Tampoco </w:t>
      </w:r>
      <w:r>
        <w:rPr>
          <w:spacing w:val="-3"/>
          <w:sz w:val="20"/>
        </w:rPr>
        <w:t xml:space="preserve">fue </w:t>
      </w:r>
      <w:r>
        <w:rPr>
          <w:spacing w:val="-4"/>
          <w:sz w:val="20"/>
        </w:rPr>
        <w:t xml:space="preserve">indicado </w:t>
      </w:r>
      <w:r>
        <w:rPr>
          <w:spacing w:val="-2"/>
          <w:sz w:val="20"/>
        </w:rPr>
        <w:t xml:space="preserve">por </w:t>
      </w:r>
      <w:r>
        <w:rPr>
          <w:spacing w:val="-3"/>
          <w:sz w:val="20"/>
        </w:rPr>
        <w:t xml:space="preserve">el </w:t>
      </w:r>
      <w:r>
        <w:rPr>
          <w:spacing w:val="-4"/>
          <w:sz w:val="20"/>
        </w:rPr>
        <w:t xml:space="preserve">Estado </w:t>
      </w:r>
      <w:r>
        <w:rPr>
          <w:spacing w:val="-3"/>
          <w:sz w:val="20"/>
        </w:rPr>
        <w:t xml:space="preserve">que </w:t>
      </w:r>
      <w:r>
        <w:rPr>
          <w:sz w:val="20"/>
        </w:rPr>
        <w:t xml:space="preserve">se </w:t>
      </w:r>
      <w:r>
        <w:rPr>
          <w:spacing w:val="-3"/>
          <w:sz w:val="20"/>
        </w:rPr>
        <w:t xml:space="preserve">hayan </w:t>
      </w:r>
      <w:r>
        <w:rPr>
          <w:spacing w:val="-4"/>
          <w:sz w:val="20"/>
        </w:rPr>
        <w:t>desarrollado</w:t>
      </w:r>
      <w:r>
        <w:rPr>
          <w:spacing w:val="62"/>
          <w:sz w:val="20"/>
        </w:rPr>
        <w:t xml:space="preserve"> </w:t>
      </w:r>
      <w:r>
        <w:rPr>
          <w:spacing w:val="-4"/>
          <w:sz w:val="20"/>
        </w:rPr>
        <w:t xml:space="preserve">criterios  objetivos  normativos  </w:t>
      </w:r>
      <w:r>
        <w:rPr>
          <w:sz w:val="20"/>
        </w:rPr>
        <w:t xml:space="preserve">o </w:t>
      </w:r>
      <w:r>
        <w:rPr>
          <w:spacing w:val="-4"/>
          <w:sz w:val="20"/>
        </w:rPr>
        <w:t xml:space="preserve">jurisprudenciales/interpretativos  </w:t>
      </w:r>
      <w:r>
        <w:rPr>
          <w:spacing w:val="-3"/>
          <w:sz w:val="20"/>
        </w:rPr>
        <w:t xml:space="preserve">que </w:t>
      </w:r>
      <w:r>
        <w:rPr>
          <w:spacing w:val="-5"/>
          <w:sz w:val="20"/>
        </w:rPr>
        <w:t xml:space="preserve">permitan </w:t>
      </w:r>
      <w:r>
        <w:rPr>
          <w:spacing w:val="-4"/>
          <w:sz w:val="20"/>
        </w:rPr>
        <w:t xml:space="preserve">corregir </w:t>
      </w:r>
      <w:r>
        <w:rPr>
          <w:spacing w:val="-3"/>
          <w:sz w:val="20"/>
        </w:rPr>
        <w:t xml:space="preserve">la </w:t>
      </w:r>
      <w:r>
        <w:rPr>
          <w:spacing w:val="-4"/>
          <w:sz w:val="20"/>
        </w:rPr>
        <w:t xml:space="preserve">vaguedad </w:t>
      </w:r>
      <w:r>
        <w:rPr>
          <w:sz w:val="20"/>
        </w:rPr>
        <w:t xml:space="preserve">de </w:t>
      </w:r>
      <w:r>
        <w:rPr>
          <w:spacing w:val="-4"/>
          <w:sz w:val="20"/>
        </w:rPr>
        <w:t xml:space="preserve">estos términos, cuya </w:t>
      </w:r>
      <w:r>
        <w:rPr>
          <w:spacing w:val="-3"/>
          <w:sz w:val="20"/>
        </w:rPr>
        <w:t xml:space="preserve">su </w:t>
      </w:r>
      <w:r>
        <w:rPr>
          <w:spacing w:val="-4"/>
          <w:sz w:val="20"/>
        </w:rPr>
        <w:t>textura especialmente abierta implicaba ries</w:t>
      </w:r>
      <w:r>
        <w:rPr>
          <w:spacing w:val="-4"/>
          <w:sz w:val="20"/>
        </w:rPr>
        <w:t xml:space="preserve">gos </w:t>
      </w:r>
      <w:r>
        <w:rPr>
          <w:spacing w:val="-3"/>
          <w:sz w:val="20"/>
        </w:rPr>
        <w:t xml:space="preserve">para la </w:t>
      </w:r>
      <w:r>
        <w:rPr>
          <w:spacing w:val="-4"/>
          <w:sz w:val="20"/>
        </w:rPr>
        <w:t xml:space="preserve">independencia </w:t>
      </w:r>
      <w:r>
        <w:rPr>
          <w:spacing w:val="-3"/>
          <w:sz w:val="20"/>
        </w:rPr>
        <w:t>del poder</w:t>
      </w:r>
      <w:r>
        <w:rPr>
          <w:spacing w:val="-37"/>
          <w:sz w:val="20"/>
        </w:rPr>
        <w:t xml:space="preserve"> </w:t>
      </w:r>
      <w:r>
        <w:rPr>
          <w:spacing w:val="-4"/>
          <w:sz w:val="20"/>
        </w:rPr>
        <w:t>judicial.</w:t>
      </w:r>
    </w:p>
    <w:p w14:paraId="2FEC70F8" w14:textId="77777777" w:rsidR="00492688" w:rsidRDefault="00492688">
      <w:pPr>
        <w:pStyle w:val="Textoindependiente"/>
      </w:pPr>
    </w:p>
    <w:p w14:paraId="1CB6A0C1" w14:textId="77777777" w:rsidR="00492688" w:rsidRDefault="00C9584B">
      <w:pPr>
        <w:pStyle w:val="Prrafodelista"/>
        <w:numPr>
          <w:ilvl w:val="0"/>
          <w:numId w:val="3"/>
        </w:numPr>
        <w:tabs>
          <w:tab w:val="left" w:pos="830"/>
        </w:tabs>
        <w:ind w:right="227" w:firstLine="0"/>
        <w:jc w:val="both"/>
        <w:rPr>
          <w:sz w:val="20"/>
        </w:rPr>
      </w:pPr>
      <w:r>
        <w:rPr>
          <w:sz w:val="20"/>
        </w:rPr>
        <w:t xml:space="preserve">No </w:t>
      </w:r>
      <w:r>
        <w:rPr>
          <w:spacing w:val="-3"/>
          <w:sz w:val="20"/>
        </w:rPr>
        <w:t xml:space="preserve">debe pasar </w:t>
      </w:r>
      <w:r>
        <w:rPr>
          <w:spacing w:val="-4"/>
          <w:sz w:val="20"/>
        </w:rPr>
        <w:t xml:space="preserve">inadvertido </w:t>
      </w:r>
      <w:r>
        <w:rPr>
          <w:spacing w:val="-3"/>
          <w:sz w:val="20"/>
        </w:rPr>
        <w:t xml:space="preserve">que la misma Corte </w:t>
      </w:r>
      <w:r>
        <w:rPr>
          <w:sz w:val="20"/>
        </w:rPr>
        <w:t xml:space="preserve">IDH y </w:t>
      </w:r>
      <w:r>
        <w:rPr>
          <w:spacing w:val="-3"/>
          <w:sz w:val="20"/>
        </w:rPr>
        <w:t xml:space="preserve">el </w:t>
      </w:r>
      <w:r>
        <w:rPr>
          <w:spacing w:val="-4"/>
          <w:sz w:val="20"/>
        </w:rPr>
        <w:t xml:space="preserve">Relator Especial </w:t>
      </w:r>
      <w:r>
        <w:rPr>
          <w:spacing w:val="-3"/>
          <w:sz w:val="20"/>
        </w:rPr>
        <w:t xml:space="preserve">sobre la </w:t>
      </w:r>
      <w:r>
        <w:rPr>
          <w:spacing w:val="-4"/>
          <w:sz w:val="20"/>
        </w:rPr>
        <w:t>independencia</w:t>
      </w:r>
      <w:r>
        <w:rPr>
          <w:spacing w:val="-19"/>
          <w:sz w:val="20"/>
        </w:rPr>
        <w:t xml:space="preserve"> </w:t>
      </w:r>
      <w:r>
        <w:rPr>
          <w:sz w:val="20"/>
        </w:rPr>
        <w:t>de</w:t>
      </w:r>
      <w:r>
        <w:rPr>
          <w:spacing w:val="-23"/>
          <w:sz w:val="20"/>
        </w:rPr>
        <w:t xml:space="preserve"> </w:t>
      </w:r>
      <w:r>
        <w:rPr>
          <w:spacing w:val="-2"/>
          <w:sz w:val="20"/>
        </w:rPr>
        <w:t>los</w:t>
      </w:r>
      <w:r>
        <w:rPr>
          <w:spacing w:val="-22"/>
          <w:sz w:val="20"/>
        </w:rPr>
        <w:t xml:space="preserve"> </w:t>
      </w:r>
      <w:r>
        <w:rPr>
          <w:spacing w:val="-4"/>
          <w:sz w:val="20"/>
        </w:rPr>
        <w:t>magistrados</w:t>
      </w:r>
      <w:r>
        <w:rPr>
          <w:spacing w:val="-22"/>
          <w:sz w:val="20"/>
        </w:rPr>
        <w:t xml:space="preserve"> </w:t>
      </w:r>
      <w:r>
        <w:rPr>
          <w:sz w:val="20"/>
        </w:rPr>
        <w:t>y</w:t>
      </w:r>
      <w:r>
        <w:rPr>
          <w:spacing w:val="-19"/>
          <w:sz w:val="20"/>
        </w:rPr>
        <w:t xml:space="preserve"> </w:t>
      </w:r>
      <w:r>
        <w:rPr>
          <w:spacing w:val="-4"/>
          <w:sz w:val="20"/>
        </w:rPr>
        <w:t>abogados,</w:t>
      </w:r>
      <w:r>
        <w:rPr>
          <w:spacing w:val="-21"/>
          <w:sz w:val="20"/>
        </w:rPr>
        <w:t xml:space="preserve"> </w:t>
      </w:r>
      <w:r>
        <w:rPr>
          <w:sz w:val="20"/>
        </w:rPr>
        <w:t>han</w:t>
      </w:r>
      <w:r>
        <w:rPr>
          <w:spacing w:val="-23"/>
          <w:sz w:val="20"/>
        </w:rPr>
        <w:t xml:space="preserve"> </w:t>
      </w:r>
      <w:r>
        <w:rPr>
          <w:spacing w:val="-4"/>
          <w:sz w:val="20"/>
        </w:rPr>
        <w:t>insistido</w:t>
      </w:r>
      <w:r>
        <w:rPr>
          <w:spacing w:val="-20"/>
          <w:sz w:val="20"/>
        </w:rPr>
        <w:t xml:space="preserve"> </w:t>
      </w:r>
      <w:r>
        <w:rPr>
          <w:spacing w:val="-3"/>
          <w:sz w:val="20"/>
        </w:rPr>
        <w:t>en</w:t>
      </w:r>
      <w:r>
        <w:rPr>
          <w:spacing w:val="-20"/>
          <w:sz w:val="20"/>
        </w:rPr>
        <w:t xml:space="preserve"> </w:t>
      </w:r>
      <w:r>
        <w:rPr>
          <w:spacing w:val="-3"/>
          <w:sz w:val="20"/>
        </w:rPr>
        <w:t>que</w:t>
      </w:r>
      <w:r>
        <w:rPr>
          <w:spacing w:val="-18"/>
          <w:sz w:val="20"/>
        </w:rPr>
        <w:t xml:space="preserve"> </w:t>
      </w:r>
      <w:r>
        <w:rPr>
          <w:spacing w:val="-3"/>
          <w:sz w:val="20"/>
        </w:rPr>
        <w:t>las</w:t>
      </w:r>
      <w:r>
        <w:rPr>
          <w:spacing w:val="-21"/>
          <w:sz w:val="20"/>
        </w:rPr>
        <w:t xml:space="preserve"> </w:t>
      </w:r>
      <w:r>
        <w:rPr>
          <w:spacing w:val="-4"/>
          <w:sz w:val="20"/>
        </w:rPr>
        <w:t>juezas</w:t>
      </w:r>
      <w:r>
        <w:rPr>
          <w:spacing w:val="-20"/>
          <w:sz w:val="20"/>
        </w:rPr>
        <w:t xml:space="preserve"> </w:t>
      </w:r>
      <w:r>
        <w:rPr>
          <w:sz w:val="20"/>
        </w:rPr>
        <w:t>y</w:t>
      </w:r>
      <w:r>
        <w:rPr>
          <w:spacing w:val="-22"/>
          <w:sz w:val="20"/>
        </w:rPr>
        <w:t xml:space="preserve"> </w:t>
      </w:r>
      <w:r>
        <w:rPr>
          <w:spacing w:val="-3"/>
          <w:sz w:val="20"/>
        </w:rPr>
        <w:t>jueces</w:t>
      </w:r>
      <w:r>
        <w:rPr>
          <w:spacing w:val="-22"/>
          <w:sz w:val="20"/>
        </w:rPr>
        <w:t xml:space="preserve"> </w:t>
      </w:r>
      <w:r>
        <w:rPr>
          <w:spacing w:val="-3"/>
          <w:sz w:val="20"/>
        </w:rPr>
        <w:t xml:space="preserve">solo </w:t>
      </w:r>
      <w:r>
        <w:rPr>
          <w:spacing w:val="-4"/>
          <w:sz w:val="20"/>
        </w:rPr>
        <w:t xml:space="preserve">pueden </w:t>
      </w:r>
      <w:r>
        <w:rPr>
          <w:spacing w:val="-3"/>
          <w:sz w:val="20"/>
        </w:rPr>
        <w:t xml:space="preserve">ser </w:t>
      </w:r>
      <w:r>
        <w:rPr>
          <w:spacing w:val="-4"/>
          <w:sz w:val="20"/>
        </w:rPr>
        <w:t xml:space="preserve">removidos </w:t>
      </w:r>
      <w:r>
        <w:rPr>
          <w:sz w:val="20"/>
        </w:rPr>
        <w:t xml:space="preserve">de </w:t>
      </w:r>
      <w:r>
        <w:rPr>
          <w:spacing w:val="-4"/>
          <w:sz w:val="20"/>
        </w:rPr>
        <w:t xml:space="preserve">sus cargos </w:t>
      </w:r>
      <w:r>
        <w:rPr>
          <w:spacing w:val="-2"/>
          <w:sz w:val="20"/>
        </w:rPr>
        <w:t xml:space="preserve">por </w:t>
      </w:r>
      <w:r>
        <w:rPr>
          <w:spacing w:val="-4"/>
          <w:sz w:val="20"/>
        </w:rPr>
        <w:t xml:space="preserve">conductas precisadas </w:t>
      </w:r>
      <w:r>
        <w:rPr>
          <w:sz w:val="20"/>
        </w:rPr>
        <w:t xml:space="preserve">de </w:t>
      </w:r>
      <w:r>
        <w:rPr>
          <w:spacing w:val="-4"/>
          <w:sz w:val="20"/>
        </w:rPr>
        <w:t xml:space="preserve">manera detallada </w:t>
      </w:r>
      <w:r>
        <w:rPr>
          <w:spacing w:val="-3"/>
          <w:sz w:val="20"/>
        </w:rPr>
        <w:t xml:space="preserve">en </w:t>
      </w:r>
      <w:r>
        <w:rPr>
          <w:spacing w:val="-5"/>
          <w:sz w:val="20"/>
        </w:rPr>
        <w:t xml:space="preserve">la </w:t>
      </w:r>
      <w:r>
        <w:rPr>
          <w:sz w:val="20"/>
        </w:rPr>
        <w:t>ley</w:t>
      </w:r>
      <w:hyperlink w:anchor="_bookmark165" w:history="1">
        <w:r>
          <w:rPr>
            <w:position w:val="7"/>
            <w:sz w:val="13"/>
          </w:rPr>
          <w:t>20</w:t>
        </w:r>
      </w:hyperlink>
      <w:r>
        <w:rPr>
          <w:sz w:val="20"/>
        </w:rPr>
        <w:t>.</w:t>
      </w:r>
      <w:r>
        <w:rPr>
          <w:spacing w:val="-10"/>
          <w:sz w:val="20"/>
        </w:rPr>
        <w:t xml:space="preserve"> </w:t>
      </w:r>
      <w:r>
        <w:rPr>
          <w:sz w:val="20"/>
        </w:rPr>
        <w:t>En</w:t>
      </w:r>
      <w:r>
        <w:rPr>
          <w:spacing w:val="-6"/>
          <w:sz w:val="20"/>
        </w:rPr>
        <w:t xml:space="preserve"> </w:t>
      </w:r>
      <w:r>
        <w:rPr>
          <w:spacing w:val="-3"/>
          <w:sz w:val="20"/>
        </w:rPr>
        <w:t>el</w:t>
      </w:r>
      <w:r>
        <w:rPr>
          <w:spacing w:val="-6"/>
          <w:sz w:val="20"/>
        </w:rPr>
        <w:t xml:space="preserve"> </w:t>
      </w:r>
      <w:r>
        <w:rPr>
          <w:spacing w:val="-3"/>
          <w:sz w:val="20"/>
        </w:rPr>
        <w:t>mismo</w:t>
      </w:r>
      <w:r>
        <w:rPr>
          <w:spacing w:val="-8"/>
          <w:sz w:val="20"/>
        </w:rPr>
        <w:t xml:space="preserve"> </w:t>
      </w:r>
      <w:r>
        <w:rPr>
          <w:spacing w:val="-4"/>
          <w:sz w:val="20"/>
        </w:rPr>
        <w:t>sentido,</w:t>
      </w:r>
      <w:r>
        <w:rPr>
          <w:spacing w:val="-7"/>
          <w:sz w:val="20"/>
        </w:rPr>
        <w:t xml:space="preserve"> </w:t>
      </w:r>
      <w:r>
        <w:rPr>
          <w:spacing w:val="-3"/>
          <w:sz w:val="20"/>
        </w:rPr>
        <w:t>el</w:t>
      </w:r>
      <w:r>
        <w:rPr>
          <w:spacing w:val="-9"/>
          <w:sz w:val="20"/>
        </w:rPr>
        <w:t xml:space="preserve"> </w:t>
      </w:r>
      <w:r>
        <w:rPr>
          <w:spacing w:val="-4"/>
          <w:sz w:val="20"/>
        </w:rPr>
        <w:t>Relator</w:t>
      </w:r>
      <w:r>
        <w:rPr>
          <w:spacing w:val="-10"/>
          <w:sz w:val="20"/>
        </w:rPr>
        <w:t xml:space="preserve"> </w:t>
      </w:r>
      <w:r>
        <w:rPr>
          <w:spacing w:val="-4"/>
          <w:sz w:val="20"/>
        </w:rPr>
        <w:t>Especial</w:t>
      </w:r>
      <w:r>
        <w:rPr>
          <w:spacing w:val="-9"/>
          <w:sz w:val="20"/>
        </w:rPr>
        <w:t xml:space="preserve"> </w:t>
      </w:r>
      <w:r>
        <w:rPr>
          <w:sz w:val="20"/>
        </w:rPr>
        <w:t>ha</w:t>
      </w:r>
      <w:r>
        <w:rPr>
          <w:spacing w:val="-7"/>
          <w:sz w:val="20"/>
        </w:rPr>
        <w:t xml:space="preserve"> </w:t>
      </w:r>
      <w:r>
        <w:rPr>
          <w:spacing w:val="-4"/>
          <w:sz w:val="20"/>
        </w:rPr>
        <w:t>señalado</w:t>
      </w:r>
      <w:r>
        <w:rPr>
          <w:spacing w:val="-7"/>
          <w:sz w:val="20"/>
        </w:rPr>
        <w:t xml:space="preserve"> </w:t>
      </w:r>
      <w:r>
        <w:rPr>
          <w:spacing w:val="-4"/>
          <w:sz w:val="20"/>
        </w:rPr>
        <w:t>“que</w:t>
      </w:r>
      <w:r>
        <w:rPr>
          <w:spacing w:val="-8"/>
          <w:sz w:val="20"/>
        </w:rPr>
        <w:t xml:space="preserve"> </w:t>
      </w:r>
      <w:r>
        <w:rPr>
          <w:spacing w:val="-3"/>
          <w:sz w:val="20"/>
        </w:rPr>
        <w:t>las</w:t>
      </w:r>
      <w:r>
        <w:rPr>
          <w:spacing w:val="-9"/>
          <w:sz w:val="20"/>
        </w:rPr>
        <w:t xml:space="preserve"> </w:t>
      </w:r>
      <w:r>
        <w:rPr>
          <w:spacing w:val="-4"/>
          <w:sz w:val="20"/>
        </w:rPr>
        <w:t>medidas</w:t>
      </w:r>
      <w:r>
        <w:rPr>
          <w:spacing w:val="-10"/>
          <w:sz w:val="20"/>
        </w:rPr>
        <w:t xml:space="preserve"> </w:t>
      </w:r>
      <w:r>
        <w:rPr>
          <w:spacing w:val="-4"/>
          <w:sz w:val="20"/>
        </w:rPr>
        <w:t>disciplinarias</w:t>
      </w:r>
    </w:p>
    <w:p w14:paraId="2541CA9B" w14:textId="77777777" w:rsidR="00492688" w:rsidRDefault="00492688">
      <w:pPr>
        <w:pStyle w:val="Textoindependiente"/>
      </w:pPr>
    </w:p>
    <w:p w14:paraId="68066284" w14:textId="77777777" w:rsidR="00492688" w:rsidRDefault="00492688">
      <w:pPr>
        <w:pStyle w:val="Textoindependiente"/>
      </w:pPr>
    </w:p>
    <w:p w14:paraId="57FE435C" w14:textId="0E883F22" w:rsidR="00492688" w:rsidRDefault="00C9584B">
      <w:pPr>
        <w:pStyle w:val="Textoindependiente"/>
        <w:spacing w:before="1"/>
        <w:rPr>
          <w:sz w:val="18"/>
        </w:rPr>
      </w:pPr>
      <w:r>
        <w:rPr>
          <w:noProof/>
        </w:rPr>
        <mc:AlternateContent>
          <mc:Choice Requires="wps">
            <w:drawing>
              <wp:anchor distT="0" distB="0" distL="0" distR="0" simplePos="0" relativeHeight="251692032" behindDoc="1" locked="0" layoutInCell="1" allowOverlap="1" wp14:anchorId="03DCFF37" wp14:editId="56E44718">
                <wp:simplePos x="0" y="0"/>
                <wp:positionH relativeFrom="page">
                  <wp:posOffset>1080770</wp:posOffset>
                </wp:positionH>
                <wp:positionV relativeFrom="paragraph">
                  <wp:posOffset>168275</wp:posOffset>
                </wp:positionV>
                <wp:extent cx="1828800" cy="1270"/>
                <wp:effectExtent l="0" t="0" r="0" b="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9C7EE" id="Freeform 9" o:spid="_x0000_s1026" style="position:absolute;margin-left:85.1pt;margin-top:13.25pt;width:2in;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" path="m,l2880,e" filled="f" strokeweight=".21131mm">
                <v:path arrowok="t" o:connecttype="custom" o:connectlocs="0,0;1828800,0" o:connectangles="0,0"/>
                <w10:wrap type="topAndBottom" anchorx="page"/>
              </v:shape>
            </w:pict>
          </mc:Fallback>
        </mc:AlternateContent>
      </w:r>
    </w:p>
    <w:p w14:paraId="506AFF5B" w14:textId="77777777" w:rsidR="00492688" w:rsidRDefault="00492688">
      <w:pPr>
        <w:pStyle w:val="Textoindependiente"/>
        <w:spacing w:before="10"/>
        <w:rPr>
          <w:sz w:val="5"/>
        </w:rPr>
      </w:pPr>
    </w:p>
    <w:p w14:paraId="33D32538" w14:textId="77777777" w:rsidR="00492688" w:rsidRDefault="00C9584B">
      <w:pPr>
        <w:tabs>
          <w:tab w:val="left" w:pos="829"/>
        </w:tabs>
        <w:spacing w:before="101"/>
        <w:ind w:left="121" w:right="229" w:hanging="1"/>
        <w:jc w:val="both"/>
        <w:rPr>
          <w:sz w:val="16"/>
        </w:rPr>
      </w:pPr>
      <w:bookmarkStart w:id="195" w:name="_bookmark163"/>
      <w:bookmarkEnd w:id="195"/>
      <w:r>
        <w:rPr>
          <w:position w:val="6"/>
          <w:sz w:val="10"/>
        </w:rPr>
        <w:t>18</w:t>
      </w:r>
      <w:r>
        <w:rPr>
          <w:position w:val="6"/>
          <w:sz w:val="10"/>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76.</w:t>
      </w:r>
    </w:p>
    <w:p w14:paraId="4647A30B" w14:textId="77777777" w:rsidR="00492688" w:rsidRDefault="00C9584B">
      <w:pPr>
        <w:tabs>
          <w:tab w:val="left" w:pos="829"/>
        </w:tabs>
        <w:spacing w:before="101"/>
        <w:ind w:left="121" w:right="227"/>
        <w:jc w:val="both"/>
        <w:rPr>
          <w:sz w:val="16"/>
        </w:rPr>
      </w:pPr>
      <w:bookmarkStart w:id="196" w:name="_bookmark164"/>
      <w:bookmarkEnd w:id="196"/>
      <w:r>
        <w:rPr>
          <w:position w:val="6"/>
          <w:sz w:val="10"/>
        </w:rPr>
        <w:t>19</w:t>
      </w:r>
      <w:r>
        <w:rPr>
          <w:position w:val="6"/>
          <w:sz w:val="10"/>
        </w:rPr>
        <w:tab/>
      </w:r>
      <w:r>
        <w:rPr>
          <w:sz w:val="16"/>
        </w:rPr>
        <w:t>Consejo de Derechos Humanos. Informe de la Relatora Especial sobre la independencia de magistrados y abogados, Gabriela Knaul</w:t>
      </w:r>
      <w:r>
        <w:rPr>
          <w:sz w:val="16"/>
        </w:rPr>
        <w:t xml:space="preserve">. Misión a El Salvador. Doc. UN. A/HRC/23/43/Add.1, párr. 76. Disponible en: </w:t>
      </w:r>
      <w:hyperlink r:id="rId12">
        <w:r>
          <w:rPr>
            <w:sz w:val="16"/>
            <w:u w:val="single"/>
          </w:rPr>
          <w:t>https://undocs.org/es/A/HRC/23/43/Add.1</w:t>
        </w:r>
      </w:hyperlink>
      <w:r>
        <w:rPr>
          <w:sz w:val="16"/>
          <w:u w:val="single"/>
        </w:rPr>
        <w:t>.</w:t>
      </w:r>
      <w:r>
        <w:rPr>
          <w:sz w:val="16"/>
        </w:rPr>
        <w:t xml:space="preserve"> En el mismo sentido, el Consejo Consultivo de Jueces Europeos en su Informe No.</w:t>
      </w:r>
      <w:r>
        <w:rPr>
          <w:sz w:val="16"/>
        </w:rPr>
        <w:t xml:space="preserve"> 1 (2001) sobre las normas relativas a la independencia e inamovilidad de los jueces, señala que “sería útil elaborar reglas que definan, no sólo las conductas que puedan motivar la</w:t>
      </w:r>
      <w:r>
        <w:rPr>
          <w:spacing w:val="-11"/>
          <w:sz w:val="16"/>
        </w:rPr>
        <w:t xml:space="preserve"> </w:t>
      </w:r>
      <w:r>
        <w:rPr>
          <w:sz w:val="16"/>
        </w:rPr>
        <w:t>revocación,</w:t>
      </w:r>
      <w:r>
        <w:rPr>
          <w:spacing w:val="-11"/>
          <w:sz w:val="16"/>
        </w:rPr>
        <w:t xml:space="preserve"> </w:t>
      </w:r>
      <w:r>
        <w:rPr>
          <w:sz w:val="16"/>
        </w:rPr>
        <w:t>sino</w:t>
      </w:r>
      <w:r>
        <w:rPr>
          <w:spacing w:val="-10"/>
          <w:sz w:val="16"/>
        </w:rPr>
        <w:t xml:space="preserve"> </w:t>
      </w:r>
      <w:r>
        <w:rPr>
          <w:sz w:val="16"/>
        </w:rPr>
        <w:t>también</w:t>
      </w:r>
      <w:r>
        <w:rPr>
          <w:spacing w:val="-11"/>
          <w:sz w:val="16"/>
        </w:rPr>
        <w:t xml:space="preserve"> </w:t>
      </w:r>
      <w:r>
        <w:rPr>
          <w:sz w:val="16"/>
        </w:rPr>
        <w:t>el</w:t>
      </w:r>
      <w:r>
        <w:rPr>
          <w:spacing w:val="-13"/>
          <w:sz w:val="16"/>
        </w:rPr>
        <w:t xml:space="preserve"> </w:t>
      </w:r>
      <w:r>
        <w:rPr>
          <w:sz w:val="16"/>
        </w:rPr>
        <w:t>conjunto</w:t>
      </w:r>
      <w:r>
        <w:rPr>
          <w:spacing w:val="-10"/>
          <w:sz w:val="16"/>
        </w:rPr>
        <w:t xml:space="preserve"> </w:t>
      </w:r>
      <w:r>
        <w:rPr>
          <w:sz w:val="16"/>
        </w:rPr>
        <w:t>de</w:t>
      </w:r>
      <w:r>
        <w:rPr>
          <w:spacing w:val="-12"/>
          <w:sz w:val="16"/>
        </w:rPr>
        <w:t xml:space="preserve"> </w:t>
      </w:r>
      <w:r>
        <w:rPr>
          <w:sz w:val="16"/>
        </w:rPr>
        <w:t>los</w:t>
      </w:r>
      <w:r>
        <w:rPr>
          <w:spacing w:val="-12"/>
          <w:sz w:val="16"/>
        </w:rPr>
        <w:t xml:space="preserve"> </w:t>
      </w:r>
      <w:r>
        <w:rPr>
          <w:sz w:val="16"/>
        </w:rPr>
        <w:t>comportamientos</w:t>
      </w:r>
      <w:r>
        <w:rPr>
          <w:spacing w:val="-10"/>
          <w:sz w:val="16"/>
        </w:rPr>
        <w:t xml:space="preserve"> </w:t>
      </w:r>
      <w:r>
        <w:rPr>
          <w:sz w:val="16"/>
        </w:rPr>
        <w:t>que</w:t>
      </w:r>
      <w:r>
        <w:rPr>
          <w:spacing w:val="-13"/>
          <w:sz w:val="16"/>
        </w:rPr>
        <w:t xml:space="preserve"> </w:t>
      </w:r>
      <w:r>
        <w:rPr>
          <w:sz w:val="16"/>
        </w:rPr>
        <w:t>puedan</w:t>
      </w:r>
      <w:r>
        <w:rPr>
          <w:spacing w:val="-13"/>
          <w:sz w:val="16"/>
        </w:rPr>
        <w:t xml:space="preserve"> </w:t>
      </w:r>
      <w:r>
        <w:rPr>
          <w:sz w:val="16"/>
        </w:rPr>
        <w:t>pro</w:t>
      </w:r>
      <w:r>
        <w:rPr>
          <w:sz w:val="16"/>
        </w:rPr>
        <w:t>vocar</w:t>
      </w:r>
      <w:r>
        <w:rPr>
          <w:spacing w:val="-9"/>
          <w:sz w:val="16"/>
        </w:rPr>
        <w:t xml:space="preserve"> </w:t>
      </w:r>
      <w:r>
        <w:rPr>
          <w:sz w:val="16"/>
        </w:rPr>
        <w:t>sanciones</w:t>
      </w:r>
      <w:r>
        <w:rPr>
          <w:spacing w:val="-13"/>
          <w:sz w:val="16"/>
        </w:rPr>
        <w:t xml:space="preserve"> </w:t>
      </w:r>
      <w:r>
        <w:rPr>
          <w:sz w:val="16"/>
        </w:rPr>
        <w:t>disciplinarias o un cambio de estatuto como por ejemplo un traslado a otro juzgado o a otro lugar”, párr. 60. Disponible en:</w:t>
      </w:r>
      <w:r>
        <w:rPr>
          <w:spacing w:val="-1"/>
          <w:sz w:val="16"/>
        </w:rPr>
        <w:t xml:space="preserve"> </w:t>
      </w:r>
      <w:hyperlink r:id="rId13">
        <w:r>
          <w:rPr>
            <w:sz w:val="16"/>
            <w:u w:val="single"/>
          </w:rPr>
          <w:t>https://rm.coe.int/1680747c9c</w:t>
        </w:r>
      </w:hyperlink>
    </w:p>
    <w:p w14:paraId="4546C4B2" w14:textId="77777777" w:rsidR="00492688" w:rsidRDefault="00C9584B">
      <w:pPr>
        <w:tabs>
          <w:tab w:val="left" w:pos="829"/>
        </w:tabs>
        <w:spacing w:before="101"/>
        <w:ind w:left="121" w:right="226"/>
        <w:jc w:val="both"/>
        <w:rPr>
          <w:sz w:val="16"/>
        </w:rPr>
      </w:pPr>
      <w:bookmarkStart w:id="197" w:name="_bookmark165"/>
      <w:bookmarkEnd w:id="197"/>
      <w:r>
        <w:rPr>
          <w:position w:val="6"/>
          <w:sz w:val="10"/>
        </w:rPr>
        <w:t>20</w:t>
      </w:r>
      <w:r>
        <w:rPr>
          <w:position w:val="6"/>
          <w:sz w:val="10"/>
        </w:rPr>
        <w:tab/>
      </w:r>
      <w:r>
        <w:rPr>
          <w:sz w:val="16"/>
        </w:rPr>
        <w:t>Al</w:t>
      </w:r>
      <w:r>
        <w:rPr>
          <w:spacing w:val="-4"/>
          <w:sz w:val="16"/>
        </w:rPr>
        <w:t xml:space="preserve"> </w:t>
      </w:r>
      <w:r>
        <w:rPr>
          <w:sz w:val="16"/>
        </w:rPr>
        <w:t>respecto,</w:t>
      </w:r>
      <w:r>
        <w:rPr>
          <w:spacing w:val="-3"/>
          <w:sz w:val="16"/>
        </w:rPr>
        <w:t xml:space="preserve"> </w:t>
      </w:r>
      <w:r>
        <w:rPr>
          <w:sz w:val="16"/>
        </w:rPr>
        <w:t>el</w:t>
      </w:r>
      <w:r>
        <w:rPr>
          <w:spacing w:val="-3"/>
          <w:sz w:val="16"/>
        </w:rPr>
        <w:t xml:space="preserve"> </w:t>
      </w:r>
      <w:r>
        <w:rPr>
          <w:sz w:val="16"/>
        </w:rPr>
        <w:t>Relator</w:t>
      </w:r>
      <w:r>
        <w:rPr>
          <w:spacing w:val="-2"/>
          <w:sz w:val="16"/>
        </w:rPr>
        <w:t xml:space="preserve"> </w:t>
      </w:r>
      <w:r>
        <w:rPr>
          <w:sz w:val="16"/>
        </w:rPr>
        <w:t>Especial</w:t>
      </w:r>
      <w:r>
        <w:rPr>
          <w:spacing w:val="-4"/>
          <w:sz w:val="16"/>
        </w:rPr>
        <w:t xml:space="preserve"> </w:t>
      </w:r>
      <w:r>
        <w:rPr>
          <w:sz w:val="16"/>
        </w:rPr>
        <w:t>sobre</w:t>
      </w:r>
      <w:r>
        <w:rPr>
          <w:spacing w:val="-2"/>
          <w:sz w:val="16"/>
        </w:rPr>
        <w:t xml:space="preserve"> </w:t>
      </w:r>
      <w:r>
        <w:rPr>
          <w:sz w:val="16"/>
        </w:rPr>
        <w:t>la</w:t>
      </w:r>
      <w:r>
        <w:rPr>
          <w:spacing w:val="-3"/>
          <w:sz w:val="16"/>
        </w:rPr>
        <w:t xml:space="preserve"> </w:t>
      </w:r>
      <w:r>
        <w:rPr>
          <w:sz w:val="16"/>
        </w:rPr>
        <w:t>independencia</w:t>
      </w:r>
      <w:r>
        <w:rPr>
          <w:spacing w:val="-3"/>
          <w:sz w:val="16"/>
        </w:rPr>
        <w:t xml:space="preserve"> </w:t>
      </w:r>
      <w:r>
        <w:rPr>
          <w:sz w:val="16"/>
        </w:rPr>
        <w:t>de</w:t>
      </w:r>
      <w:r>
        <w:rPr>
          <w:spacing w:val="-2"/>
          <w:sz w:val="16"/>
        </w:rPr>
        <w:t xml:space="preserve"> los</w:t>
      </w:r>
      <w:r>
        <w:rPr>
          <w:spacing w:val="-3"/>
          <w:sz w:val="16"/>
        </w:rPr>
        <w:t xml:space="preserve"> </w:t>
      </w:r>
      <w:r>
        <w:rPr>
          <w:sz w:val="16"/>
        </w:rPr>
        <w:t>magistrados</w:t>
      </w:r>
      <w:r>
        <w:rPr>
          <w:spacing w:val="-5"/>
          <w:sz w:val="16"/>
        </w:rPr>
        <w:t xml:space="preserve"> </w:t>
      </w:r>
      <w:r>
        <w:rPr>
          <w:sz w:val="16"/>
        </w:rPr>
        <w:t>y</w:t>
      </w:r>
      <w:r>
        <w:rPr>
          <w:spacing w:val="-2"/>
          <w:sz w:val="16"/>
        </w:rPr>
        <w:t xml:space="preserve"> </w:t>
      </w:r>
      <w:r>
        <w:rPr>
          <w:sz w:val="16"/>
        </w:rPr>
        <w:t>abogados</w:t>
      </w:r>
      <w:r>
        <w:rPr>
          <w:spacing w:val="-2"/>
          <w:sz w:val="16"/>
        </w:rPr>
        <w:t xml:space="preserve"> </w:t>
      </w:r>
      <w:r>
        <w:rPr>
          <w:sz w:val="16"/>
        </w:rPr>
        <w:t>ha</w:t>
      </w:r>
      <w:r>
        <w:rPr>
          <w:spacing w:val="-6"/>
          <w:sz w:val="16"/>
        </w:rPr>
        <w:t xml:space="preserve"> </w:t>
      </w:r>
      <w:r>
        <w:rPr>
          <w:sz w:val="16"/>
        </w:rPr>
        <w:t xml:space="preserve">señalado: “la ley debe precisar de manera detallada las infracciones que pueden dar lugar a la imposición de medidas disciplinarias contra los jueces, incluida la gravedad de la infracción y </w:t>
      </w:r>
      <w:r>
        <w:rPr>
          <w:sz w:val="16"/>
        </w:rPr>
        <w:t>el tipo de medida disciplinaria que se aplicará en el caso de que se trate”. Consejo de Derechos Humanos. Informe del Relator Especial sobre la independencia</w:t>
      </w:r>
      <w:r>
        <w:rPr>
          <w:spacing w:val="-16"/>
          <w:sz w:val="16"/>
        </w:rPr>
        <w:t xml:space="preserve"> </w:t>
      </w:r>
      <w:r>
        <w:rPr>
          <w:sz w:val="16"/>
        </w:rPr>
        <w:t>de</w:t>
      </w:r>
      <w:r>
        <w:rPr>
          <w:spacing w:val="-14"/>
          <w:sz w:val="16"/>
        </w:rPr>
        <w:t xml:space="preserve"> </w:t>
      </w:r>
      <w:r>
        <w:rPr>
          <w:sz w:val="16"/>
        </w:rPr>
        <w:t>los</w:t>
      </w:r>
      <w:r>
        <w:rPr>
          <w:spacing w:val="-14"/>
          <w:sz w:val="16"/>
        </w:rPr>
        <w:t xml:space="preserve"> </w:t>
      </w:r>
      <w:r>
        <w:rPr>
          <w:sz w:val="16"/>
        </w:rPr>
        <w:t>magistrados</w:t>
      </w:r>
      <w:r>
        <w:rPr>
          <w:spacing w:val="-17"/>
          <w:sz w:val="16"/>
        </w:rPr>
        <w:t xml:space="preserve"> </w:t>
      </w:r>
      <w:r>
        <w:rPr>
          <w:sz w:val="16"/>
        </w:rPr>
        <w:t>y</w:t>
      </w:r>
      <w:r>
        <w:rPr>
          <w:spacing w:val="-15"/>
          <w:sz w:val="16"/>
        </w:rPr>
        <w:t xml:space="preserve"> </w:t>
      </w:r>
      <w:r>
        <w:rPr>
          <w:sz w:val="16"/>
        </w:rPr>
        <w:t>abogados,</w:t>
      </w:r>
      <w:r>
        <w:rPr>
          <w:spacing w:val="-15"/>
          <w:sz w:val="16"/>
        </w:rPr>
        <w:t xml:space="preserve"> </w:t>
      </w:r>
      <w:r>
        <w:rPr>
          <w:sz w:val="16"/>
        </w:rPr>
        <w:t>Leandro</w:t>
      </w:r>
      <w:r>
        <w:rPr>
          <w:spacing w:val="-16"/>
          <w:sz w:val="16"/>
        </w:rPr>
        <w:t xml:space="preserve"> </w:t>
      </w:r>
      <w:r>
        <w:rPr>
          <w:sz w:val="16"/>
        </w:rPr>
        <w:t>Despouy.</w:t>
      </w:r>
      <w:r>
        <w:rPr>
          <w:spacing w:val="-15"/>
          <w:sz w:val="16"/>
        </w:rPr>
        <w:t xml:space="preserve"> </w:t>
      </w:r>
      <w:r>
        <w:rPr>
          <w:sz w:val="16"/>
        </w:rPr>
        <w:t>Doc.</w:t>
      </w:r>
      <w:r>
        <w:rPr>
          <w:spacing w:val="-16"/>
          <w:sz w:val="16"/>
        </w:rPr>
        <w:t xml:space="preserve"> </w:t>
      </w:r>
      <w:r>
        <w:rPr>
          <w:sz w:val="16"/>
        </w:rPr>
        <w:t>UN.</w:t>
      </w:r>
      <w:r>
        <w:rPr>
          <w:spacing w:val="-15"/>
          <w:sz w:val="16"/>
        </w:rPr>
        <w:t xml:space="preserve"> </w:t>
      </w:r>
      <w:r>
        <w:rPr>
          <w:sz w:val="16"/>
        </w:rPr>
        <w:t>A/HRC/11/41,</w:t>
      </w:r>
      <w:r>
        <w:rPr>
          <w:spacing w:val="-15"/>
          <w:sz w:val="16"/>
        </w:rPr>
        <w:t xml:space="preserve"> </w:t>
      </w:r>
      <w:r>
        <w:rPr>
          <w:sz w:val="16"/>
        </w:rPr>
        <w:t>párr.</w:t>
      </w:r>
      <w:r>
        <w:rPr>
          <w:spacing w:val="-16"/>
          <w:sz w:val="16"/>
        </w:rPr>
        <w:t xml:space="preserve"> </w:t>
      </w:r>
      <w:r>
        <w:rPr>
          <w:sz w:val="16"/>
        </w:rPr>
        <w:t>57.</w:t>
      </w:r>
      <w:r>
        <w:rPr>
          <w:spacing w:val="-15"/>
          <w:sz w:val="16"/>
        </w:rPr>
        <w:t xml:space="preserve"> </w:t>
      </w:r>
      <w:r>
        <w:rPr>
          <w:sz w:val="16"/>
        </w:rPr>
        <w:t xml:space="preserve">Disponible en: </w:t>
      </w:r>
      <w:hyperlink r:id="rId14">
        <w:r>
          <w:rPr>
            <w:sz w:val="16"/>
            <w:u w:val="single"/>
          </w:rPr>
          <w:t>https://www2.ohchr.org/english/bodies/hrcouncil/docs/11session/A.HRC.11.41_sp.pdf</w:t>
        </w:r>
      </w:hyperlink>
      <w:r>
        <w:rPr>
          <w:sz w:val="16"/>
        </w:rPr>
        <w:t>. También sobre este</w:t>
      </w:r>
      <w:r>
        <w:rPr>
          <w:spacing w:val="-5"/>
          <w:sz w:val="16"/>
        </w:rPr>
        <w:t xml:space="preserve"> </w:t>
      </w:r>
      <w:r>
        <w:rPr>
          <w:sz w:val="16"/>
        </w:rPr>
        <w:t>asunto,</w:t>
      </w:r>
      <w:r>
        <w:rPr>
          <w:spacing w:val="-6"/>
          <w:sz w:val="16"/>
        </w:rPr>
        <w:t xml:space="preserve"> </w:t>
      </w:r>
      <w:r>
        <w:rPr>
          <w:sz w:val="16"/>
        </w:rPr>
        <w:t>la</w:t>
      </w:r>
      <w:r>
        <w:rPr>
          <w:spacing w:val="-6"/>
          <w:sz w:val="16"/>
        </w:rPr>
        <w:t xml:space="preserve"> </w:t>
      </w:r>
      <w:r>
        <w:rPr>
          <w:sz w:val="16"/>
        </w:rPr>
        <w:t>sentencia</w:t>
      </w:r>
      <w:r>
        <w:rPr>
          <w:spacing w:val="-6"/>
          <w:sz w:val="16"/>
        </w:rPr>
        <w:t xml:space="preserve"> </w:t>
      </w:r>
      <w:r>
        <w:rPr>
          <w:sz w:val="16"/>
        </w:rPr>
        <w:t>del</w:t>
      </w:r>
      <w:r>
        <w:rPr>
          <w:spacing w:val="-8"/>
          <w:sz w:val="16"/>
        </w:rPr>
        <w:t xml:space="preserve"> </w:t>
      </w:r>
      <w:r>
        <w:rPr>
          <w:sz w:val="16"/>
        </w:rPr>
        <w:t>caso</w:t>
      </w:r>
      <w:r>
        <w:rPr>
          <w:spacing w:val="-4"/>
          <w:sz w:val="16"/>
        </w:rPr>
        <w:t xml:space="preserve"> </w:t>
      </w:r>
      <w:r>
        <w:rPr>
          <w:i/>
          <w:sz w:val="16"/>
        </w:rPr>
        <w:t>López</w:t>
      </w:r>
      <w:r>
        <w:rPr>
          <w:i/>
          <w:spacing w:val="-8"/>
          <w:sz w:val="16"/>
        </w:rPr>
        <w:t xml:space="preserve"> </w:t>
      </w:r>
      <w:r>
        <w:rPr>
          <w:i/>
          <w:sz w:val="16"/>
        </w:rPr>
        <w:t>Lone</w:t>
      </w:r>
      <w:r>
        <w:rPr>
          <w:i/>
          <w:spacing w:val="-7"/>
          <w:sz w:val="16"/>
        </w:rPr>
        <w:t xml:space="preserve"> </w:t>
      </w:r>
      <w:r>
        <w:rPr>
          <w:i/>
          <w:sz w:val="16"/>
        </w:rPr>
        <w:t>Vs.</w:t>
      </w:r>
      <w:r>
        <w:rPr>
          <w:i/>
          <w:spacing w:val="-5"/>
          <w:sz w:val="16"/>
        </w:rPr>
        <w:t xml:space="preserve"> </w:t>
      </w:r>
      <w:r>
        <w:rPr>
          <w:i/>
          <w:sz w:val="16"/>
        </w:rPr>
        <w:t>Honduras</w:t>
      </w:r>
      <w:r>
        <w:rPr>
          <w:sz w:val="16"/>
        </w:rPr>
        <w:t>,</w:t>
      </w:r>
      <w:r>
        <w:rPr>
          <w:spacing w:val="-6"/>
          <w:sz w:val="16"/>
        </w:rPr>
        <w:t xml:space="preserve"> </w:t>
      </w:r>
      <w:r>
        <w:rPr>
          <w:sz w:val="16"/>
        </w:rPr>
        <w:t>señala:</w:t>
      </w:r>
      <w:r>
        <w:rPr>
          <w:spacing w:val="-6"/>
          <w:sz w:val="16"/>
        </w:rPr>
        <w:t xml:space="preserve"> </w:t>
      </w:r>
      <w:r>
        <w:rPr>
          <w:sz w:val="16"/>
        </w:rPr>
        <w:t>“este</w:t>
      </w:r>
      <w:r>
        <w:rPr>
          <w:spacing w:val="-7"/>
          <w:sz w:val="16"/>
        </w:rPr>
        <w:t xml:space="preserve"> </w:t>
      </w:r>
      <w:r>
        <w:rPr>
          <w:sz w:val="16"/>
        </w:rPr>
        <w:t>Tribunal</w:t>
      </w:r>
      <w:r>
        <w:rPr>
          <w:spacing w:val="-6"/>
          <w:sz w:val="16"/>
        </w:rPr>
        <w:t xml:space="preserve"> </w:t>
      </w:r>
      <w:r>
        <w:rPr>
          <w:sz w:val="16"/>
        </w:rPr>
        <w:t>reitera</w:t>
      </w:r>
      <w:r>
        <w:rPr>
          <w:spacing w:val="-8"/>
          <w:sz w:val="16"/>
        </w:rPr>
        <w:t xml:space="preserve"> </w:t>
      </w:r>
      <w:r>
        <w:rPr>
          <w:sz w:val="16"/>
        </w:rPr>
        <w:t>que</w:t>
      </w:r>
      <w:r>
        <w:rPr>
          <w:spacing w:val="-5"/>
          <w:sz w:val="16"/>
        </w:rPr>
        <w:t xml:space="preserve"> </w:t>
      </w:r>
      <w:r>
        <w:rPr>
          <w:sz w:val="16"/>
        </w:rPr>
        <w:t>la</w:t>
      </w:r>
      <w:r>
        <w:rPr>
          <w:spacing w:val="-6"/>
          <w:sz w:val="16"/>
        </w:rPr>
        <w:t xml:space="preserve"> </w:t>
      </w:r>
      <w:r>
        <w:rPr>
          <w:sz w:val="16"/>
        </w:rPr>
        <w:t>garantía</w:t>
      </w:r>
      <w:r>
        <w:rPr>
          <w:spacing w:val="-6"/>
          <w:sz w:val="16"/>
        </w:rPr>
        <w:t xml:space="preserve"> </w:t>
      </w:r>
      <w:r>
        <w:rPr>
          <w:sz w:val="16"/>
        </w:rPr>
        <w:t>de estabilidad</w:t>
      </w:r>
      <w:r>
        <w:rPr>
          <w:spacing w:val="-5"/>
          <w:sz w:val="16"/>
        </w:rPr>
        <w:t xml:space="preserve"> </w:t>
      </w:r>
      <w:r>
        <w:rPr>
          <w:sz w:val="16"/>
        </w:rPr>
        <w:t>en</w:t>
      </w:r>
      <w:r>
        <w:rPr>
          <w:spacing w:val="-6"/>
          <w:sz w:val="16"/>
        </w:rPr>
        <w:t xml:space="preserve"> </w:t>
      </w:r>
      <w:r>
        <w:rPr>
          <w:sz w:val="16"/>
        </w:rPr>
        <w:t>el</w:t>
      </w:r>
      <w:r>
        <w:rPr>
          <w:spacing w:val="-6"/>
          <w:sz w:val="16"/>
        </w:rPr>
        <w:t xml:space="preserve"> </w:t>
      </w:r>
      <w:r>
        <w:rPr>
          <w:sz w:val="16"/>
        </w:rPr>
        <w:t>cargo</w:t>
      </w:r>
      <w:r>
        <w:rPr>
          <w:spacing w:val="-4"/>
          <w:sz w:val="16"/>
        </w:rPr>
        <w:t xml:space="preserve"> </w:t>
      </w:r>
      <w:r>
        <w:rPr>
          <w:sz w:val="16"/>
        </w:rPr>
        <w:t>de</w:t>
      </w:r>
      <w:r>
        <w:rPr>
          <w:spacing w:val="-5"/>
          <w:sz w:val="16"/>
        </w:rPr>
        <w:t xml:space="preserve"> </w:t>
      </w:r>
      <w:r>
        <w:rPr>
          <w:sz w:val="16"/>
        </w:rPr>
        <w:t>jueces</w:t>
      </w:r>
      <w:r>
        <w:rPr>
          <w:spacing w:val="-6"/>
          <w:sz w:val="16"/>
        </w:rPr>
        <w:t xml:space="preserve"> </w:t>
      </w:r>
      <w:r>
        <w:rPr>
          <w:sz w:val="16"/>
        </w:rPr>
        <w:t>y</w:t>
      </w:r>
      <w:r>
        <w:rPr>
          <w:spacing w:val="-4"/>
          <w:sz w:val="16"/>
        </w:rPr>
        <w:t xml:space="preserve"> </w:t>
      </w:r>
      <w:r>
        <w:rPr>
          <w:sz w:val="16"/>
        </w:rPr>
        <w:t>juezas</w:t>
      </w:r>
      <w:r>
        <w:rPr>
          <w:spacing w:val="-5"/>
          <w:sz w:val="16"/>
        </w:rPr>
        <w:t xml:space="preserve"> </w:t>
      </w:r>
      <w:r>
        <w:rPr>
          <w:sz w:val="16"/>
        </w:rPr>
        <w:t>requiere</w:t>
      </w:r>
      <w:r>
        <w:rPr>
          <w:spacing w:val="-5"/>
          <w:sz w:val="16"/>
        </w:rPr>
        <w:t xml:space="preserve"> </w:t>
      </w:r>
      <w:r>
        <w:rPr>
          <w:sz w:val="16"/>
        </w:rPr>
        <w:t>que</w:t>
      </w:r>
      <w:r>
        <w:rPr>
          <w:spacing w:val="-7"/>
          <w:sz w:val="16"/>
        </w:rPr>
        <w:t xml:space="preserve"> </w:t>
      </w:r>
      <w:r>
        <w:rPr>
          <w:sz w:val="16"/>
        </w:rPr>
        <w:t>estos</w:t>
      </w:r>
      <w:r>
        <w:rPr>
          <w:spacing w:val="-7"/>
          <w:sz w:val="16"/>
        </w:rPr>
        <w:t xml:space="preserve"> </w:t>
      </w:r>
      <w:r>
        <w:rPr>
          <w:sz w:val="16"/>
        </w:rPr>
        <w:t>no</w:t>
      </w:r>
      <w:r>
        <w:rPr>
          <w:spacing w:val="-5"/>
          <w:sz w:val="16"/>
        </w:rPr>
        <w:t xml:space="preserve"> </w:t>
      </w:r>
      <w:r>
        <w:rPr>
          <w:sz w:val="16"/>
        </w:rPr>
        <w:t>sean</w:t>
      </w:r>
      <w:r>
        <w:rPr>
          <w:spacing w:val="-6"/>
          <w:sz w:val="16"/>
        </w:rPr>
        <w:t xml:space="preserve"> </w:t>
      </w:r>
      <w:r>
        <w:rPr>
          <w:sz w:val="16"/>
        </w:rPr>
        <w:t>destituidos</w:t>
      </w:r>
      <w:r>
        <w:rPr>
          <w:spacing w:val="-5"/>
          <w:sz w:val="16"/>
        </w:rPr>
        <w:t xml:space="preserve"> </w:t>
      </w:r>
      <w:r>
        <w:rPr>
          <w:sz w:val="16"/>
        </w:rPr>
        <w:t>o</w:t>
      </w:r>
      <w:r>
        <w:rPr>
          <w:spacing w:val="-7"/>
          <w:sz w:val="16"/>
        </w:rPr>
        <w:t xml:space="preserve"> </w:t>
      </w:r>
      <w:r>
        <w:rPr>
          <w:sz w:val="16"/>
        </w:rPr>
        <w:t>removidos</w:t>
      </w:r>
      <w:r>
        <w:rPr>
          <w:spacing w:val="-7"/>
          <w:sz w:val="16"/>
        </w:rPr>
        <w:t xml:space="preserve"> </w:t>
      </w:r>
      <w:r>
        <w:rPr>
          <w:sz w:val="16"/>
        </w:rPr>
        <w:t>de</w:t>
      </w:r>
      <w:r>
        <w:rPr>
          <w:spacing w:val="-5"/>
          <w:sz w:val="16"/>
        </w:rPr>
        <w:t xml:space="preserve"> </w:t>
      </w:r>
      <w:r>
        <w:rPr>
          <w:sz w:val="16"/>
        </w:rPr>
        <w:t>sus</w:t>
      </w:r>
      <w:r>
        <w:rPr>
          <w:spacing w:val="-6"/>
          <w:sz w:val="16"/>
        </w:rPr>
        <w:t xml:space="preserve"> </w:t>
      </w:r>
      <w:r>
        <w:rPr>
          <w:sz w:val="16"/>
        </w:rPr>
        <w:t>cargos, salvo por conductas claramente reprochables, es decir, razones verdaderamente graves de</w:t>
      </w:r>
      <w:r>
        <w:rPr>
          <w:sz w:val="16"/>
        </w:rPr>
        <w:t xml:space="preserve"> mala conducta</w:t>
      </w:r>
      <w:r>
        <w:rPr>
          <w:spacing w:val="-38"/>
          <w:sz w:val="16"/>
        </w:rPr>
        <w:t xml:space="preserve"> </w:t>
      </w:r>
      <w:r>
        <w:rPr>
          <w:sz w:val="16"/>
        </w:rPr>
        <w:t>o incompetencia.</w:t>
      </w:r>
      <w:r>
        <w:rPr>
          <w:spacing w:val="-4"/>
          <w:sz w:val="16"/>
        </w:rPr>
        <w:t xml:space="preserve"> </w:t>
      </w:r>
      <w:r>
        <w:rPr>
          <w:sz w:val="16"/>
        </w:rPr>
        <w:t>Por</w:t>
      </w:r>
      <w:r>
        <w:rPr>
          <w:spacing w:val="-2"/>
          <w:sz w:val="16"/>
        </w:rPr>
        <w:t xml:space="preserve"> </w:t>
      </w:r>
      <w:r>
        <w:rPr>
          <w:sz w:val="16"/>
        </w:rPr>
        <w:t>tanto,</w:t>
      </w:r>
      <w:r>
        <w:rPr>
          <w:spacing w:val="-3"/>
          <w:sz w:val="16"/>
        </w:rPr>
        <w:t xml:space="preserve"> </w:t>
      </w:r>
      <w:r>
        <w:rPr>
          <w:sz w:val="16"/>
        </w:rPr>
        <w:t>la</w:t>
      </w:r>
      <w:r>
        <w:rPr>
          <w:spacing w:val="-6"/>
          <w:sz w:val="16"/>
        </w:rPr>
        <w:t xml:space="preserve"> </w:t>
      </w:r>
      <w:r>
        <w:rPr>
          <w:sz w:val="16"/>
        </w:rPr>
        <w:t>Corte</w:t>
      </w:r>
      <w:r>
        <w:rPr>
          <w:spacing w:val="-5"/>
          <w:sz w:val="16"/>
        </w:rPr>
        <w:t xml:space="preserve"> </w:t>
      </w:r>
      <w:r>
        <w:rPr>
          <w:sz w:val="16"/>
        </w:rPr>
        <w:t>considera</w:t>
      </w:r>
      <w:r>
        <w:rPr>
          <w:spacing w:val="-6"/>
          <w:sz w:val="16"/>
        </w:rPr>
        <w:t xml:space="preserve"> </w:t>
      </w:r>
      <w:r>
        <w:rPr>
          <w:sz w:val="16"/>
        </w:rPr>
        <w:t>que,</w:t>
      </w:r>
      <w:r>
        <w:rPr>
          <w:spacing w:val="-6"/>
          <w:sz w:val="16"/>
        </w:rPr>
        <w:t xml:space="preserve"> </w:t>
      </w:r>
      <w:r>
        <w:rPr>
          <w:sz w:val="16"/>
        </w:rPr>
        <w:t>en</w:t>
      </w:r>
      <w:r>
        <w:rPr>
          <w:spacing w:val="-3"/>
          <w:sz w:val="16"/>
        </w:rPr>
        <w:t xml:space="preserve"> </w:t>
      </w:r>
      <w:r>
        <w:rPr>
          <w:sz w:val="16"/>
        </w:rPr>
        <w:t>virtud</w:t>
      </w:r>
      <w:r>
        <w:rPr>
          <w:spacing w:val="-4"/>
          <w:sz w:val="16"/>
        </w:rPr>
        <w:t xml:space="preserve"> </w:t>
      </w:r>
      <w:r>
        <w:rPr>
          <w:sz w:val="16"/>
        </w:rPr>
        <w:t>de</w:t>
      </w:r>
      <w:r>
        <w:rPr>
          <w:spacing w:val="-3"/>
          <w:sz w:val="16"/>
        </w:rPr>
        <w:t xml:space="preserve"> </w:t>
      </w:r>
      <w:r>
        <w:rPr>
          <w:sz w:val="16"/>
        </w:rPr>
        <w:t>la</w:t>
      </w:r>
      <w:r>
        <w:rPr>
          <w:spacing w:val="-6"/>
          <w:sz w:val="16"/>
        </w:rPr>
        <w:t xml:space="preserve"> </w:t>
      </w:r>
      <w:r>
        <w:rPr>
          <w:sz w:val="16"/>
        </w:rPr>
        <w:t>garantía</w:t>
      </w:r>
      <w:r>
        <w:rPr>
          <w:spacing w:val="-3"/>
          <w:sz w:val="16"/>
        </w:rPr>
        <w:t xml:space="preserve"> </w:t>
      </w:r>
      <w:r>
        <w:rPr>
          <w:sz w:val="16"/>
        </w:rPr>
        <w:t>de</w:t>
      </w:r>
      <w:r>
        <w:rPr>
          <w:spacing w:val="-5"/>
          <w:sz w:val="16"/>
        </w:rPr>
        <w:t xml:space="preserve"> </w:t>
      </w:r>
      <w:r>
        <w:rPr>
          <w:sz w:val="16"/>
        </w:rPr>
        <w:t>estabilidad</w:t>
      </w:r>
      <w:r>
        <w:rPr>
          <w:spacing w:val="-2"/>
          <w:sz w:val="16"/>
        </w:rPr>
        <w:t xml:space="preserve"> </w:t>
      </w:r>
      <w:r>
        <w:rPr>
          <w:sz w:val="16"/>
        </w:rPr>
        <w:t>judicial,</w:t>
      </w:r>
      <w:r>
        <w:rPr>
          <w:spacing w:val="-3"/>
          <w:sz w:val="16"/>
        </w:rPr>
        <w:t xml:space="preserve"> </w:t>
      </w:r>
      <w:r>
        <w:rPr>
          <w:sz w:val="16"/>
        </w:rPr>
        <w:t>las</w:t>
      </w:r>
      <w:r>
        <w:rPr>
          <w:spacing w:val="-2"/>
          <w:sz w:val="16"/>
        </w:rPr>
        <w:t xml:space="preserve"> </w:t>
      </w:r>
      <w:r>
        <w:rPr>
          <w:sz w:val="16"/>
        </w:rPr>
        <w:t>razones por las cuales los jueces y juezas pueden ser removidos de sus cargos deben estar clara y legalmente establecidas […]. Asimismo, la posibilidad de destitución debe obedecer al principio de máxima gravedad expuesto</w:t>
      </w:r>
      <w:r>
        <w:rPr>
          <w:spacing w:val="-12"/>
          <w:sz w:val="16"/>
        </w:rPr>
        <w:t xml:space="preserve"> </w:t>
      </w:r>
      <w:r>
        <w:rPr>
          <w:sz w:val="16"/>
        </w:rPr>
        <w:t>previamente.</w:t>
      </w:r>
      <w:r>
        <w:rPr>
          <w:spacing w:val="-13"/>
          <w:sz w:val="16"/>
        </w:rPr>
        <w:t xml:space="preserve"> </w:t>
      </w:r>
      <w:r>
        <w:rPr>
          <w:sz w:val="16"/>
        </w:rPr>
        <w:t>En</w:t>
      </w:r>
      <w:r>
        <w:rPr>
          <w:spacing w:val="-11"/>
          <w:sz w:val="16"/>
        </w:rPr>
        <w:t xml:space="preserve"> </w:t>
      </w:r>
      <w:r>
        <w:rPr>
          <w:sz w:val="16"/>
        </w:rPr>
        <w:t>efecto,</w:t>
      </w:r>
      <w:r>
        <w:rPr>
          <w:spacing w:val="-11"/>
          <w:sz w:val="16"/>
        </w:rPr>
        <w:t xml:space="preserve"> </w:t>
      </w:r>
      <w:r>
        <w:rPr>
          <w:sz w:val="16"/>
        </w:rPr>
        <w:t>la</w:t>
      </w:r>
      <w:r>
        <w:rPr>
          <w:spacing w:val="-14"/>
          <w:sz w:val="16"/>
        </w:rPr>
        <w:t xml:space="preserve"> </w:t>
      </w:r>
      <w:r>
        <w:rPr>
          <w:sz w:val="16"/>
        </w:rPr>
        <w:t>protecc</w:t>
      </w:r>
      <w:r>
        <w:rPr>
          <w:sz w:val="16"/>
        </w:rPr>
        <w:t>ión</w:t>
      </w:r>
      <w:r>
        <w:rPr>
          <w:spacing w:val="-13"/>
          <w:sz w:val="16"/>
        </w:rPr>
        <w:t xml:space="preserve"> </w:t>
      </w:r>
      <w:r>
        <w:rPr>
          <w:sz w:val="16"/>
        </w:rPr>
        <w:t>de</w:t>
      </w:r>
      <w:r>
        <w:rPr>
          <w:spacing w:val="-10"/>
          <w:sz w:val="16"/>
        </w:rPr>
        <w:t xml:space="preserve"> </w:t>
      </w:r>
      <w:r>
        <w:rPr>
          <w:sz w:val="16"/>
        </w:rPr>
        <w:t>la</w:t>
      </w:r>
      <w:r>
        <w:rPr>
          <w:spacing w:val="-13"/>
          <w:sz w:val="16"/>
        </w:rPr>
        <w:t xml:space="preserve"> </w:t>
      </w:r>
      <w:r>
        <w:rPr>
          <w:sz w:val="16"/>
        </w:rPr>
        <w:t>independencia</w:t>
      </w:r>
      <w:r>
        <w:rPr>
          <w:spacing w:val="-11"/>
          <w:sz w:val="16"/>
        </w:rPr>
        <w:t xml:space="preserve"> </w:t>
      </w:r>
      <w:r>
        <w:rPr>
          <w:sz w:val="16"/>
        </w:rPr>
        <w:t>judicial</w:t>
      </w:r>
      <w:r>
        <w:rPr>
          <w:spacing w:val="-11"/>
          <w:sz w:val="16"/>
        </w:rPr>
        <w:t xml:space="preserve"> </w:t>
      </w:r>
      <w:r>
        <w:rPr>
          <w:sz w:val="16"/>
        </w:rPr>
        <w:t>exige</w:t>
      </w:r>
      <w:r>
        <w:rPr>
          <w:spacing w:val="-14"/>
          <w:sz w:val="16"/>
        </w:rPr>
        <w:t xml:space="preserve"> </w:t>
      </w:r>
      <w:r>
        <w:rPr>
          <w:sz w:val="16"/>
        </w:rPr>
        <w:t>que</w:t>
      </w:r>
      <w:r>
        <w:rPr>
          <w:spacing w:val="-10"/>
          <w:sz w:val="16"/>
        </w:rPr>
        <w:t xml:space="preserve"> </w:t>
      </w:r>
      <w:r>
        <w:rPr>
          <w:sz w:val="16"/>
        </w:rPr>
        <w:t>la</w:t>
      </w:r>
      <w:r>
        <w:rPr>
          <w:spacing w:val="-14"/>
          <w:sz w:val="16"/>
        </w:rPr>
        <w:t xml:space="preserve"> </w:t>
      </w:r>
      <w:r>
        <w:rPr>
          <w:sz w:val="16"/>
        </w:rPr>
        <w:t>destitución</w:t>
      </w:r>
      <w:r>
        <w:rPr>
          <w:spacing w:val="-11"/>
          <w:sz w:val="16"/>
        </w:rPr>
        <w:t xml:space="preserve"> </w:t>
      </w:r>
      <w:r>
        <w:rPr>
          <w:sz w:val="16"/>
        </w:rPr>
        <w:t>de</w:t>
      </w:r>
      <w:r>
        <w:rPr>
          <w:spacing w:val="-12"/>
          <w:sz w:val="16"/>
        </w:rPr>
        <w:t xml:space="preserve"> </w:t>
      </w:r>
      <w:r>
        <w:rPr>
          <w:sz w:val="16"/>
        </w:rPr>
        <w:t>jueces y</w:t>
      </w:r>
      <w:r>
        <w:rPr>
          <w:spacing w:val="-3"/>
          <w:sz w:val="16"/>
        </w:rPr>
        <w:t xml:space="preserve"> </w:t>
      </w:r>
      <w:r>
        <w:rPr>
          <w:sz w:val="16"/>
        </w:rPr>
        <w:t>juezas</w:t>
      </w:r>
      <w:r>
        <w:rPr>
          <w:spacing w:val="-5"/>
          <w:sz w:val="16"/>
        </w:rPr>
        <w:t xml:space="preserve"> </w:t>
      </w:r>
      <w:r>
        <w:rPr>
          <w:sz w:val="16"/>
        </w:rPr>
        <w:t>sea</w:t>
      </w:r>
      <w:r>
        <w:rPr>
          <w:spacing w:val="-7"/>
          <w:sz w:val="16"/>
        </w:rPr>
        <w:t xml:space="preserve"> </w:t>
      </w:r>
      <w:r>
        <w:rPr>
          <w:sz w:val="16"/>
        </w:rPr>
        <w:t>considerada</w:t>
      </w:r>
      <w:r>
        <w:rPr>
          <w:spacing w:val="-6"/>
          <w:sz w:val="16"/>
        </w:rPr>
        <w:t xml:space="preserve"> </w:t>
      </w:r>
      <w:r>
        <w:rPr>
          <w:sz w:val="16"/>
        </w:rPr>
        <w:t>como</w:t>
      </w:r>
      <w:r>
        <w:rPr>
          <w:spacing w:val="-2"/>
          <w:sz w:val="16"/>
        </w:rPr>
        <w:t xml:space="preserve"> </w:t>
      </w:r>
      <w:r>
        <w:rPr>
          <w:sz w:val="16"/>
        </w:rPr>
        <w:t>la</w:t>
      </w:r>
      <w:r>
        <w:rPr>
          <w:spacing w:val="-4"/>
          <w:sz w:val="16"/>
        </w:rPr>
        <w:t xml:space="preserve"> </w:t>
      </w:r>
      <w:r>
        <w:rPr>
          <w:i/>
          <w:sz w:val="16"/>
        </w:rPr>
        <w:t>ultima</w:t>
      </w:r>
      <w:r>
        <w:rPr>
          <w:i/>
          <w:spacing w:val="-3"/>
          <w:sz w:val="16"/>
        </w:rPr>
        <w:t xml:space="preserve"> </w:t>
      </w:r>
      <w:r>
        <w:rPr>
          <w:i/>
          <w:sz w:val="16"/>
        </w:rPr>
        <w:t>ratio</w:t>
      </w:r>
      <w:r>
        <w:rPr>
          <w:i/>
          <w:spacing w:val="-5"/>
          <w:sz w:val="16"/>
        </w:rPr>
        <w:t xml:space="preserve"> </w:t>
      </w:r>
      <w:r>
        <w:rPr>
          <w:sz w:val="16"/>
        </w:rPr>
        <w:t>en</w:t>
      </w:r>
      <w:r>
        <w:rPr>
          <w:spacing w:val="-3"/>
          <w:sz w:val="16"/>
        </w:rPr>
        <w:t xml:space="preserve"> </w:t>
      </w:r>
      <w:r>
        <w:rPr>
          <w:sz w:val="16"/>
        </w:rPr>
        <w:t>materia</w:t>
      </w:r>
      <w:r>
        <w:rPr>
          <w:spacing w:val="-4"/>
          <w:sz w:val="16"/>
        </w:rPr>
        <w:t xml:space="preserve"> </w:t>
      </w:r>
      <w:r>
        <w:rPr>
          <w:sz w:val="16"/>
        </w:rPr>
        <w:t>disciplinaria</w:t>
      </w:r>
      <w:r>
        <w:rPr>
          <w:spacing w:val="-3"/>
          <w:sz w:val="16"/>
        </w:rPr>
        <w:t xml:space="preserve"> </w:t>
      </w:r>
      <w:r>
        <w:rPr>
          <w:sz w:val="16"/>
        </w:rPr>
        <w:t>judicial.”.</w:t>
      </w:r>
      <w:r>
        <w:rPr>
          <w:spacing w:val="-3"/>
          <w:sz w:val="16"/>
        </w:rPr>
        <w:t xml:space="preserve"> </w:t>
      </w:r>
      <w:r>
        <w:rPr>
          <w:i/>
          <w:sz w:val="16"/>
        </w:rPr>
        <w:t>Caso</w:t>
      </w:r>
      <w:r>
        <w:rPr>
          <w:i/>
          <w:spacing w:val="-3"/>
          <w:sz w:val="16"/>
        </w:rPr>
        <w:t xml:space="preserve"> </w:t>
      </w:r>
      <w:r>
        <w:rPr>
          <w:i/>
          <w:sz w:val="16"/>
        </w:rPr>
        <w:t>López</w:t>
      </w:r>
      <w:r>
        <w:rPr>
          <w:i/>
          <w:spacing w:val="-3"/>
          <w:sz w:val="16"/>
        </w:rPr>
        <w:t xml:space="preserve"> </w:t>
      </w:r>
      <w:r>
        <w:rPr>
          <w:i/>
          <w:sz w:val="16"/>
        </w:rPr>
        <w:t>Lone</w:t>
      </w:r>
      <w:r>
        <w:rPr>
          <w:i/>
          <w:spacing w:val="-6"/>
          <w:sz w:val="16"/>
        </w:rPr>
        <w:t xml:space="preserve"> </w:t>
      </w:r>
      <w:r>
        <w:rPr>
          <w:i/>
          <w:sz w:val="16"/>
        </w:rPr>
        <w:t>y</w:t>
      </w:r>
      <w:r>
        <w:rPr>
          <w:i/>
          <w:spacing w:val="-4"/>
          <w:sz w:val="16"/>
        </w:rPr>
        <w:t xml:space="preserve"> </w:t>
      </w:r>
      <w:r>
        <w:rPr>
          <w:i/>
          <w:sz w:val="16"/>
        </w:rPr>
        <w:t>otros</w:t>
      </w:r>
      <w:r>
        <w:rPr>
          <w:i/>
          <w:spacing w:val="-5"/>
          <w:sz w:val="16"/>
        </w:rPr>
        <w:t xml:space="preserve"> </w:t>
      </w:r>
      <w:r>
        <w:rPr>
          <w:i/>
          <w:sz w:val="16"/>
        </w:rPr>
        <w:t xml:space="preserve">Vs. </w:t>
      </w:r>
      <w:r>
        <w:rPr>
          <w:i/>
          <w:sz w:val="16"/>
        </w:rPr>
        <w:t>Honduras. Excepción Preliminar, Fondo, Reparaciones y Costas</w:t>
      </w:r>
      <w:r>
        <w:rPr>
          <w:sz w:val="16"/>
        </w:rPr>
        <w:t>. Sentencia de 5 de octubre de 2015. Serie C No. 302, párr.</w:t>
      </w:r>
      <w:r>
        <w:rPr>
          <w:spacing w:val="-6"/>
          <w:sz w:val="16"/>
        </w:rPr>
        <w:t xml:space="preserve"> </w:t>
      </w:r>
      <w:r>
        <w:rPr>
          <w:sz w:val="16"/>
        </w:rPr>
        <w:t>259.</w:t>
      </w:r>
    </w:p>
    <w:p w14:paraId="46F4C97D" w14:textId="77777777" w:rsidR="00492688" w:rsidRDefault="00492688">
      <w:pPr>
        <w:pStyle w:val="Textoindependiente"/>
      </w:pPr>
    </w:p>
    <w:p w14:paraId="37E29EAC" w14:textId="77777777" w:rsidR="00492688" w:rsidRDefault="00492688">
      <w:pPr>
        <w:pStyle w:val="Textoindependiente"/>
        <w:spacing w:before="3"/>
        <w:rPr>
          <w:sz w:val="19"/>
        </w:rPr>
      </w:pPr>
    </w:p>
    <w:p w14:paraId="0BEDF34C" w14:textId="77777777" w:rsidR="00492688" w:rsidRDefault="00C9584B">
      <w:pPr>
        <w:spacing w:before="52"/>
        <w:ind w:right="111"/>
        <w:jc w:val="center"/>
        <w:rPr>
          <w:rFonts w:ascii="Calibri"/>
          <w:sz w:val="24"/>
        </w:rPr>
      </w:pPr>
      <w:r>
        <w:rPr>
          <w:rFonts w:ascii="Calibri"/>
          <w:sz w:val="24"/>
        </w:rPr>
        <w:t>7</w:t>
      </w:r>
    </w:p>
    <w:p w14:paraId="429B50AC"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5B72BAD0" w14:textId="77777777" w:rsidR="00492688" w:rsidRDefault="00C9584B">
      <w:pPr>
        <w:pStyle w:val="Textoindependiente"/>
        <w:spacing w:before="71"/>
        <w:ind w:left="121"/>
      </w:pPr>
      <w:r>
        <w:rPr>
          <w:spacing w:val="-3"/>
        </w:rPr>
        <w:lastRenderedPageBreak/>
        <w:t xml:space="preserve">que </w:t>
      </w:r>
      <w:r>
        <w:t xml:space="preserve">se </w:t>
      </w:r>
      <w:r>
        <w:rPr>
          <w:spacing w:val="-4"/>
        </w:rPr>
        <w:t xml:space="preserve">adopten deben </w:t>
      </w:r>
      <w:r>
        <w:rPr>
          <w:spacing w:val="-3"/>
        </w:rPr>
        <w:t xml:space="preserve">ser </w:t>
      </w:r>
      <w:r>
        <w:rPr>
          <w:spacing w:val="-4"/>
        </w:rPr>
        <w:t xml:space="preserve">proporcionales </w:t>
      </w:r>
      <w:r>
        <w:t xml:space="preserve">a la </w:t>
      </w:r>
      <w:r>
        <w:rPr>
          <w:spacing w:val="-4"/>
        </w:rPr>
        <w:t xml:space="preserve">gravedad </w:t>
      </w:r>
      <w:r>
        <w:t xml:space="preserve">de </w:t>
      </w:r>
      <w:r>
        <w:rPr>
          <w:spacing w:val="-3"/>
        </w:rPr>
        <w:t xml:space="preserve">la </w:t>
      </w:r>
      <w:r>
        <w:rPr>
          <w:spacing w:val="-4"/>
        </w:rPr>
        <w:t xml:space="preserve">infracción cometida </w:t>
      </w:r>
      <w:r>
        <w:rPr>
          <w:spacing w:val="-2"/>
        </w:rPr>
        <w:t xml:space="preserve">por </w:t>
      </w:r>
      <w:r>
        <w:rPr>
          <w:spacing w:val="-3"/>
        </w:rPr>
        <w:t xml:space="preserve">el </w:t>
      </w:r>
      <w:r>
        <w:t>juez”</w:t>
      </w:r>
      <w:hyperlink w:anchor="_bookmark166" w:history="1">
        <w:r>
          <w:rPr>
            <w:position w:val="7"/>
            <w:sz w:val="13"/>
          </w:rPr>
          <w:t>21</w:t>
        </w:r>
      </w:hyperlink>
      <w:r>
        <w:t>.</w:t>
      </w:r>
    </w:p>
    <w:p w14:paraId="5B759FB8" w14:textId="77777777" w:rsidR="00492688" w:rsidRDefault="00492688">
      <w:pPr>
        <w:pStyle w:val="Textoindependiente"/>
        <w:spacing w:before="1"/>
      </w:pPr>
    </w:p>
    <w:p w14:paraId="4A7D2DBC" w14:textId="77777777" w:rsidR="00492688" w:rsidRDefault="00C9584B">
      <w:pPr>
        <w:pStyle w:val="Prrafodelista"/>
        <w:numPr>
          <w:ilvl w:val="0"/>
          <w:numId w:val="3"/>
        </w:numPr>
        <w:tabs>
          <w:tab w:val="left" w:pos="830"/>
        </w:tabs>
        <w:ind w:right="227" w:firstLine="0"/>
        <w:jc w:val="both"/>
        <w:rPr>
          <w:sz w:val="20"/>
        </w:rPr>
      </w:pPr>
      <w:r>
        <w:rPr>
          <w:spacing w:val="-3"/>
          <w:sz w:val="20"/>
        </w:rPr>
        <w:t xml:space="preserve">Por lo </w:t>
      </w:r>
      <w:r>
        <w:rPr>
          <w:spacing w:val="-4"/>
          <w:sz w:val="20"/>
        </w:rPr>
        <w:t xml:space="preserve">anterior, respecto </w:t>
      </w:r>
      <w:r>
        <w:rPr>
          <w:spacing w:val="-3"/>
          <w:sz w:val="20"/>
        </w:rPr>
        <w:t xml:space="preserve">de </w:t>
      </w:r>
      <w:r>
        <w:rPr>
          <w:sz w:val="20"/>
        </w:rPr>
        <w:t xml:space="preserve">la </w:t>
      </w:r>
      <w:r>
        <w:rPr>
          <w:spacing w:val="-4"/>
          <w:sz w:val="20"/>
        </w:rPr>
        <w:t xml:space="preserve">amplitud </w:t>
      </w:r>
      <w:r>
        <w:rPr>
          <w:spacing w:val="-3"/>
          <w:sz w:val="20"/>
        </w:rPr>
        <w:t xml:space="preserve">del </w:t>
      </w:r>
      <w:r>
        <w:rPr>
          <w:spacing w:val="-4"/>
          <w:sz w:val="20"/>
        </w:rPr>
        <w:t xml:space="preserve">artículo 31.2 </w:t>
      </w:r>
      <w:r>
        <w:rPr>
          <w:sz w:val="20"/>
        </w:rPr>
        <w:t xml:space="preserve">de </w:t>
      </w:r>
      <w:r>
        <w:rPr>
          <w:spacing w:val="-3"/>
          <w:sz w:val="20"/>
        </w:rPr>
        <w:t xml:space="preserve">la LOC, </w:t>
      </w:r>
      <w:r>
        <w:rPr>
          <w:spacing w:val="-4"/>
          <w:sz w:val="20"/>
        </w:rPr>
        <w:t xml:space="preserve">estimo </w:t>
      </w:r>
      <w:r>
        <w:rPr>
          <w:spacing w:val="-3"/>
          <w:sz w:val="20"/>
        </w:rPr>
        <w:t xml:space="preserve">que el </w:t>
      </w:r>
      <w:r>
        <w:rPr>
          <w:spacing w:val="-4"/>
          <w:sz w:val="20"/>
        </w:rPr>
        <w:t xml:space="preserve">criterio mayoritario </w:t>
      </w:r>
      <w:r>
        <w:rPr>
          <w:spacing w:val="-3"/>
          <w:sz w:val="20"/>
        </w:rPr>
        <w:t xml:space="preserve">debió </w:t>
      </w:r>
      <w:r>
        <w:rPr>
          <w:spacing w:val="-4"/>
          <w:sz w:val="20"/>
        </w:rPr>
        <w:t xml:space="preserve">considerar </w:t>
      </w:r>
      <w:r>
        <w:rPr>
          <w:spacing w:val="-3"/>
          <w:sz w:val="20"/>
        </w:rPr>
        <w:t xml:space="preserve">que el CNM, al </w:t>
      </w:r>
      <w:r>
        <w:rPr>
          <w:spacing w:val="-4"/>
          <w:sz w:val="20"/>
        </w:rPr>
        <w:t xml:space="preserve">sancionar </w:t>
      </w:r>
      <w:r>
        <w:rPr>
          <w:spacing w:val="-3"/>
          <w:sz w:val="20"/>
        </w:rPr>
        <w:t xml:space="preserve">al señor </w:t>
      </w:r>
      <w:r>
        <w:rPr>
          <w:spacing w:val="-4"/>
          <w:sz w:val="20"/>
        </w:rPr>
        <w:t>Cordero Bernal utilizando</w:t>
      </w:r>
      <w:r>
        <w:rPr>
          <w:spacing w:val="-22"/>
          <w:sz w:val="20"/>
        </w:rPr>
        <w:t xml:space="preserve"> </w:t>
      </w:r>
      <w:r>
        <w:rPr>
          <w:spacing w:val="-3"/>
          <w:sz w:val="20"/>
        </w:rPr>
        <w:t>la</w:t>
      </w:r>
      <w:r>
        <w:rPr>
          <w:spacing w:val="-19"/>
          <w:sz w:val="20"/>
        </w:rPr>
        <w:t xml:space="preserve"> </w:t>
      </w:r>
      <w:r>
        <w:rPr>
          <w:spacing w:val="-4"/>
          <w:sz w:val="20"/>
        </w:rPr>
        <w:t>referida</w:t>
      </w:r>
      <w:r>
        <w:rPr>
          <w:spacing w:val="-18"/>
          <w:sz w:val="20"/>
        </w:rPr>
        <w:t xml:space="preserve"> </w:t>
      </w:r>
      <w:r>
        <w:rPr>
          <w:spacing w:val="-4"/>
          <w:sz w:val="20"/>
        </w:rPr>
        <w:t>disposición,</w:t>
      </w:r>
      <w:r>
        <w:rPr>
          <w:spacing w:val="-19"/>
          <w:sz w:val="20"/>
        </w:rPr>
        <w:t xml:space="preserve"> </w:t>
      </w:r>
      <w:r>
        <w:rPr>
          <w:spacing w:val="-4"/>
          <w:sz w:val="20"/>
        </w:rPr>
        <w:t>aplicó</w:t>
      </w:r>
      <w:r>
        <w:rPr>
          <w:spacing w:val="-21"/>
          <w:sz w:val="20"/>
        </w:rPr>
        <w:t xml:space="preserve"> </w:t>
      </w:r>
      <w:r>
        <w:rPr>
          <w:spacing w:val="-2"/>
          <w:sz w:val="20"/>
        </w:rPr>
        <w:t>una</w:t>
      </w:r>
      <w:r>
        <w:rPr>
          <w:spacing w:val="-21"/>
          <w:sz w:val="20"/>
        </w:rPr>
        <w:t xml:space="preserve"> </w:t>
      </w:r>
      <w:r>
        <w:rPr>
          <w:spacing w:val="-4"/>
          <w:sz w:val="20"/>
        </w:rPr>
        <w:t>norma</w:t>
      </w:r>
      <w:r>
        <w:rPr>
          <w:spacing w:val="-20"/>
          <w:sz w:val="20"/>
        </w:rPr>
        <w:t xml:space="preserve"> </w:t>
      </w:r>
      <w:r>
        <w:rPr>
          <w:spacing w:val="-3"/>
          <w:sz w:val="20"/>
        </w:rPr>
        <w:t>que</w:t>
      </w:r>
      <w:r>
        <w:rPr>
          <w:spacing w:val="-22"/>
          <w:sz w:val="20"/>
        </w:rPr>
        <w:t xml:space="preserve"> </w:t>
      </w:r>
      <w:r>
        <w:rPr>
          <w:sz w:val="20"/>
        </w:rPr>
        <w:t>no</w:t>
      </w:r>
      <w:r>
        <w:rPr>
          <w:spacing w:val="-20"/>
          <w:sz w:val="20"/>
        </w:rPr>
        <w:t xml:space="preserve"> </w:t>
      </w:r>
      <w:r>
        <w:rPr>
          <w:spacing w:val="-4"/>
          <w:sz w:val="20"/>
        </w:rPr>
        <w:t>estaba</w:t>
      </w:r>
      <w:r>
        <w:rPr>
          <w:spacing w:val="-18"/>
          <w:sz w:val="20"/>
        </w:rPr>
        <w:t xml:space="preserve"> </w:t>
      </w:r>
      <w:r>
        <w:rPr>
          <w:spacing w:val="-4"/>
          <w:sz w:val="20"/>
        </w:rPr>
        <w:t>suficientemente</w:t>
      </w:r>
      <w:r>
        <w:rPr>
          <w:spacing w:val="-22"/>
          <w:sz w:val="20"/>
        </w:rPr>
        <w:t xml:space="preserve"> </w:t>
      </w:r>
      <w:r>
        <w:rPr>
          <w:spacing w:val="-4"/>
          <w:sz w:val="20"/>
        </w:rPr>
        <w:t xml:space="preserve">definida, </w:t>
      </w:r>
      <w:r>
        <w:rPr>
          <w:spacing w:val="-3"/>
          <w:sz w:val="20"/>
        </w:rPr>
        <w:t xml:space="preserve">lo que </w:t>
      </w:r>
      <w:r>
        <w:rPr>
          <w:spacing w:val="-4"/>
          <w:sz w:val="20"/>
        </w:rPr>
        <w:t xml:space="preserve">constituye </w:t>
      </w:r>
      <w:r>
        <w:rPr>
          <w:spacing w:val="-2"/>
          <w:sz w:val="20"/>
        </w:rPr>
        <w:t xml:space="preserve">una </w:t>
      </w:r>
      <w:r>
        <w:rPr>
          <w:spacing w:val="-4"/>
          <w:sz w:val="20"/>
        </w:rPr>
        <w:t xml:space="preserve">violación </w:t>
      </w:r>
      <w:r>
        <w:rPr>
          <w:spacing w:val="-3"/>
          <w:sz w:val="20"/>
        </w:rPr>
        <w:t xml:space="preserve">del </w:t>
      </w:r>
      <w:r>
        <w:rPr>
          <w:spacing w:val="-4"/>
          <w:sz w:val="20"/>
        </w:rPr>
        <w:t xml:space="preserve">principio </w:t>
      </w:r>
      <w:r>
        <w:rPr>
          <w:sz w:val="20"/>
        </w:rPr>
        <w:t xml:space="preserve">de </w:t>
      </w:r>
      <w:r>
        <w:rPr>
          <w:spacing w:val="-4"/>
          <w:sz w:val="20"/>
        </w:rPr>
        <w:t xml:space="preserve">legalidad, </w:t>
      </w:r>
      <w:r>
        <w:rPr>
          <w:spacing w:val="-3"/>
          <w:sz w:val="20"/>
        </w:rPr>
        <w:t xml:space="preserve">teniendo </w:t>
      </w:r>
      <w:r>
        <w:rPr>
          <w:sz w:val="20"/>
        </w:rPr>
        <w:t xml:space="preserve">en </w:t>
      </w:r>
      <w:r>
        <w:rPr>
          <w:spacing w:val="-4"/>
          <w:sz w:val="20"/>
        </w:rPr>
        <w:t>consideración, además,</w:t>
      </w:r>
      <w:r>
        <w:rPr>
          <w:spacing w:val="-10"/>
          <w:sz w:val="20"/>
        </w:rPr>
        <w:t xml:space="preserve"> </w:t>
      </w:r>
      <w:r>
        <w:rPr>
          <w:spacing w:val="-3"/>
          <w:sz w:val="20"/>
        </w:rPr>
        <w:t>que</w:t>
      </w:r>
      <w:r>
        <w:rPr>
          <w:spacing w:val="-9"/>
          <w:sz w:val="20"/>
        </w:rPr>
        <w:t xml:space="preserve"> </w:t>
      </w:r>
      <w:r>
        <w:rPr>
          <w:spacing w:val="-3"/>
          <w:sz w:val="20"/>
        </w:rPr>
        <w:t>en</w:t>
      </w:r>
      <w:r>
        <w:rPr>
          <w:spacing w:val="-8"/>
          <w:sz w:val="20"/>
        </w:rPr>
        <w:t xml:space="preserve"> </w:t>
      </w:r>
      <w:r>
        <w:rPr>
          <w:sz w:val="20"/>
        </w:rPr>
        <w:t>la</w:t>
      </w:r>
      <w:r>
        <w:rPr>
          <w:spacing w:val="-8"/>
          <w:sz w:val="20"/>
        </w:rPr>
        <w:t xml:space="preserve"> </w:t>
      </w:r>
      <w:r>
        <w:rPr>
          <w:spacing w:val="-4"/>
          <w:sz w:val="20"/>
        </w:rPr>
        <w:t>decisión</w:t>
      </w:r>
      <w:r>
        <w:rPr>
          <w:spacing w:val="-8"/>
          <w:sz w:val="20"/>
        </w:rPr>
        <w:t xml:space="preserve"> </w:t>
      </w:r>
      <w:r>
        <w:rPr>
          <w:sz w:val="20"/>
        </w:rPr>
        <w:t>no</w:t>
      </w:r>
      <w:r>
        <w:rPr>
          <w:spacing w:val="-9"/>
          <w:sz w:val="20"/>
        </w:rPr>
        <w:t xml:space="preserve"> </w:t>
      </w:r>
      <w:r>
        <w:rPr>
          <w:sz w:val="20"/>
        </w:rPr>
        <w:t>se</w:t>
      </w:r>
      <w:r>
        <w:rPr>
          <w:spacing w:val="-9"/>
          <w:sz w:val="20"/>
        </w:rPr>
        <w:t xml:space="preserve"> </w:t>
      </w:r>
      <w:r>
        <w:rPr>
          <w:spacing w:val="-4"/>
          <w:sz w:val="20"/>
        </w:rPr>
        <w:t>precisan</w:t>
      </w:r>
      <w:r>
        <w:rPr>
          <w:spacing w:val="-8"/>
          <w:sz w:val="20"/>
        </w:rPr>
        <w:t xml:space="preserve"> </w:t>
      </w:r>
      <w:r>
        <w:rPr>
          <w:spacing w:val="-3"/>
          <w:sz w:val="20"/>
        </w:rPr>
        <w:t>los</w:t>
      </w:r>
      <w:r>
        <w:rPr>
          <w:spacing w:val="-7"/>
          <w:sz w:val="20"/>
        </w:rPr>
        <w:t xml:space="preserve"> </w:t>
      </w:r>
      <w:r>
        <w:rPr>
          <w:spacing w:val="-4"/>
          <w:sz w:val="20"/>
        </w:rPr>
        <w:t>criterios</w:t>
      </w:r>
      <w:r>
        <w:rPr>
          <w:spacing w:val="-10"/>
          <w:sz w:val="20"/>
        </w:rPr>
        <w:t xml:space="preserve"> </w:t>
      </w:r>
      <w:r>
        <w:rPr>
          <w:spacing w:val="-4"/>
          <w:sz w:val="20"/>
        </w:rPr>
        <w:t>interpretativos</w:t>
      </w:r>
      <w:r>
        <w:rPr>
          <w:spacing w:val="-9"/>
          <w:sz w:val="20"/>
        </w:rPr>
        <w:t xml:space="preserve"> </w:t>
      </w:r>
      <w:r>
        <w:rPr>
          <w:spacing w:val="-4"/>
          <w:sz w:val="20"/>
        </w:rPr>
        <w:t>utilizados.</w:t>
      </w:r>
    </w:p>
    <w:p w14:paraId="3F50619C" w14:textId="77777777" w:rsidR="00492688" w:rsidRDefault="00492688">
      <w:pPr>
        <w:pStyle w:val="Textoindependiente"/>
        <w:spacing w:before="10"/>
        <w:rPr>
          <w:sz w:val="19"/>
        </w:rPr>
      </w:pPr>
    </w:p>
    <w:p w14:paraId="09BD6F1F" w14:textId="77777777" w:rsidR="00492688" w:rsidRDefault="00C9584B">
      <w:pPr>
        <w:pStyle w:val="Prrafodelista"/>
        <w:numPr>
          <w:ilvl w:val="0"/>
          <w:numId w:val="3"/>
        </w:numPr>
        <w:tabs>
          <w:tab w:val="left" w:pos="830"/>
        </w:tabs>
        <w:spacing w:before="1"/>
        <w:ind w:right="226" w:firstLine="0"/>
        <w:jc w:val="both"/>
        <w:rPr>
          <w:sz w:val="20"/>
        </w:rPr>
      </w:pPr>
      <w:r>
        <w:rPr>
          <w:spacing w:val="-4"/>
          <w:sz w:val="20"/>
        </w:rPr>
        <w:t>Desafortunadamente,</w:t>
      </w:r>
      <w:r>
        <w:rPr>
          <w:spacing w:val="-8"/>
          <w:sz w:val="20"/>
        </w:rPr>
        <w:t xml:space="preserve"> </w:t>
      </w:r>
      <w:r>
        <w:rPr>
          <w:spacing w:val="-3"/>
          <w:sz w:val="20"/>
        </w:rPr>
        <w:t>en</w:t>
      </w:r>
      <w:r>
        <w:rPr>
          <w:spacing w:val="-6"/>
          <w:sz w:val="20"/>
        </w:rPr>
        <w:t xml:space="preserve"> </w:t>
      </w:r>
      <w:r>
        <w:rPr>
          <w:spacing w:val="-3"/>
          <w:sz w:val="20"/>
        </w:rPr>
        <w:t>este</w:t>
      </w:r>
      <w:r>
        <w:rPr>
          <w:spacing w:val="-8"/>
          <w:sz w:val="20"/>
        </w:rPr>
        <w:t xml:space="preserve"> </w:t>
      </w:r>
      <w:r>
        <w:rPr>
          <w:spacing w:val="-4"/>
          <w:sz w:val="20"/>
        </w:rPr>
        <w:t>fallo,</w:t>
      </w:r>
      <w:r>
        <w:rPr>
          <w:spacing w:val="-8"/>
          <w:sz w:val="20"/>
        </w:rPr>
        <w:t xml:space="preserve"> </w:t>
      </w:r>
      <w:r>
        <w:rPr>
          <w:spacing w:val="-4"/>
          <w:sz w:val="20"/>
        </w:rPr>
        <w:t>partiendo</w:t>
      </w:r>
      <w:r>
        <w:rPr>
          <w:spacing w:val="-10"/>
          <w:sz w:val="20"/>
        </w:rPr>
        <w:t xml:space="preserve"> </w:t>
      </w:r>
      <w:r>
        <w:rPr>
          <w:sz w:val="20"/>
        </w:rPr>
        <w:t>de</w:t>
      </w:r>
      <w:r>
        <w:rPr>
          <w:spacing w:val="-8"/>
          <w:sz w:val="20"/>
        </w:rPr>
        <w:t xml:space="preserve"> </w:t>
      </w:r>
      <w:r>
        <w:rPr>
          <w:sz w:val="20"/>
        </w:rPr>
        <w:t>lo</w:t>
      </w:r>
      <w:r>
        <w:rPr>
          <w:spacing w:val="-10"/>
          <w:sz w:val="20"/>
        </w:rPr>
        <w:t xml:space="preserve"> </w:t>
      </w:r>
      <w:r>
        <w:rPr>
          <w:spacing w:val="-4"/>
          <w:sz w:val="20"/>
        </w:rPr>
        <w:t>indicad</w:t>
      </w:r>
      <w:r>
        <w:rPr>
          <w:spacing w:val="-4"/>
          <w:sz w:val="20"/>
        </w:rPr>
        <w:t>o</w:t>
      </w:r>
      <w:r>
        <w:rPr>
          <w:spacing w:val="-8"/>
          <w:sz w:val="20"/>
        </w:rPr>
        <w:t xml:space="preserve"> </w:t>
      </w:r>
      <w:r>
        <w:rPr>
          <w:spacing w:val="-3"/>
          <w:sz w:val="20"/>
        </w:rPr>
        <w:t>en el</w:t>
      </w:r>
      <w:r>
        <w:rPr>
          <w:spacing w:val="-7"/>
          <w:sz w:val="20"/>
        </w:rPr>
        <w:t xml:space="preserve"> </w:t>
      </w:r>
      <w:r>
        <w:rPr>
          <w:spacing w:val="-3"/>
          <w:sz w:val="20"/>
        </w:rPr>
        <w:t>caso</w:t>
      </w:r>
      <w:r>
        <w:rPr>
          <w:spacing w:val="-8"/>
          <w:sz w:val="20"/>
        </w:rPr>
        <w:t xml:space="preserve"> </w:t>
      </w:r>
      <w:r>
        <w:rPr>
          <w:i/>
          <w:spacing w:val="-4"/>
          <w:sz w:val="20"/>
        </w:rPr>
        <w:t>López</w:t>
      </w:r>
      <w:r>
        <w:rPr>
          <w:i/>
          <w:spacing w:val="-6"/>
          <w:sz w:val="20"/>
        </w:rPr>
        <w:t xml:space="preserve"> </w:t>
      </w:r>
      <w:r>
        <w:rPr>
          <w:i/>
          <w:spacing w:val="-3"/>
          <w:sz w:val="20"/>
        </w:rPr>
        <w:t xml:space="preserve">Lone </w:t>
      </w:r>
      <w:r>
        <w:rPr>
          <w:i/>
          <w:sz w:val="20"/>
        </w:rPr>
        <w:t xml:space="preserve">y </w:t>
      </w:r>
      <w:r>
        <w:rPr>
          <w:i/>
          <w:spacing w:val="-4"/>
          <w:sz w:val="20"/>
        </w:rPr>
        <w:t>otros</w:t>
      </w:r>
      <w:r>
        <w:rPr>
          <w:spacing w:val="-4"/>
          <w:sz w:val="20"/>
        </w:rPr>
        <w:t xml:space="preserve">, </w:t>
      </w:r>
      <w:r>
        <w:rPr>
          <w:sz w:val="20"/>
        </w:rPr>
        <w:t xml:space="preserve">se </w:t>
      </w:r>
      <w:r>
        <w:rPr>
          <w:spacing w:val="-4"/>
          <w:sz w:val="20"/>
        </w:rPr>
        <w:t xml:space="preserve">consideró </w:t>
      </w:r>
      <w:r>
        <w:rPr>
          <w:spacing w:val="-3"/>
          <w:sz w:val="20"/>
        </w:rPr>
        <w:t xml:space="preserve">que “la </w:t>
      </w:r>
      <w:r>
        <w:rPr>
          <w:spacing w:val="-4"/>
          <w:sz w:val="20"/>
        </w:rPr>
        <w:t xml:space="preserve">precisión </w:t>
      </w:r>
      <w:r>
        <w:rPr>
          <w:sz w:val="20"/>
        </w:rPr>
        <w:t xml:space="preserve">de </w:t>
      </w:r>
      <w:r>
        <w:rPr>
          <w:spacing w:val="-2"/>
          <w:sz w:val="20"/>
        </w:rPr>
        <w:t xml:space="preserve">una </w:t>
      </w:r>
      <w:r>
        <w:rPr>
          <w:spacing w:val="-4"/>
          <w:sz w:val="20"/>
        </w:rPr>
        <w:t xml:space="preserve">norma sancionatoria </w:t>
      </w:r>
      <w:r>
        <w:rPr>
          <w:sz w:val="20"/>
        </w:rPr>
        <w:t xml:space="preserve">de </w:t>
      </w:r>
      <w:r>
        <w:rPr>
          <w:spacing w:val="-4"/>
          <w:sz w:val="20"/>
        </w:rPr>
        <w:t xml:space="preserve">naturaleza disciplinaria </w:t>
      </w:r>
      <w:r>
        <w:rPr>
          <w:spacing w:val="-3"/>
          <w:sz w:val="20"/>
        </w:rPr>
        <w:t xml:space="preserve">puede ser </w:t>
      </w:r>
      <w:r>
        <w:rPr>
          <w:spacing w:val="-4"/>
          <w:sz w:val="20"/>
        </w:rPr>
        <w:t xml:space="preserve">diferente </w:t>
      </w:r>
      <w:r>
        <w:rPr>
          <w:sz w:val="20"/>
        </w:rPr>
        <w:t xml:space="preserve">a </w:t>
      </w:r>
      <w:r>
        <w:rPr>
          <w:spacing w:val="-3"/>
          <w:sz w:val="20"/>
        </w:rPr>
        <w:t xml:space="preserve">la </w:t>
      </w:r>
      <w:r>
        <w:rPr>
          <w:spacing w:val="-4"/>
          <w:sz w:val="20"/>
        </w:rPr>
        <w:t xml:space="preserve">requerida </w:t>
      </w:r>
      <w:r>
        <w:rPr>
          <w:spacing w:val="-2"/>
          <w:sz w:val="20"/>
        </w:rPr>
        <w:t xml:space="preserve">por </w:t>
      </w:r>
      <w:r>
        <w:rPr>
          <w:spacing w:val="-3"/>
          <w:sz w:val="20"/>
        </w:rPr>
        <w:t xml:space="preserve">el </w:t>
      </w:r>
      <w:r>
        <w:rPr>
          <w:spacing w:val="-4"/>
          <w:sz w:val="20"/>
        </w:rPr>
        <w:t xml:space="preserve">principio </w:t>
      </w:r>
      <w:r>
        <w:rPr>
          <w:sz w:val="20"/>
        </w:rPr>
        <w:t xml:space="preserve">de </w:t>
      </w:r>
      <w:r>
        <w:rPr>
          <w:spacing w:val="-4"/>
          <w:sz w:val="20"/>
        </w:rPr>
        <w:t xml:space="preserve">legalidad </w:t>
      </w:r>
      <w:r>
        <w:rPr>
          <w:spacing w:val="-3"/>
          <w:sz w:val="20"/>
        </w:rPr>
        <w:t xml:space="preserve">en </w:t>
      </w:r>
      <w:r>
        <w:rPr>
          <w:spacing w:val="-5"/>
          <w:sz w:val="20"/>
        </w:rPr>
        <w:t xml:space="preserve">materia </w:t>
      </w:r>
      <w:r>
        <w:rPr>
          <w:spacing w:val="-4"/>
          <w:sz w:val="20"/>
        </w:rPr>
        <w:t xml:space="preserve">penal, </w:t>
      </w:r>
      <w:r>
        <w:rPr>
          <w:spacing w:val="-2"/>
          <w:sz w:val="20"/>
        </w:rPr>
        <w:t xml:space="preserve">por </w:t>
      </w:r>
      <w:r>
        <w:rPr>
          <w:sz w:val="20"/>
        </w:rPr>
        <w:t xml:space="preserve">la </w:t>
      </w:r>
      <w:r>
        <w:rPr>
          <w:spacing w:val="-4"/>
          <w:sz w:val="20"/>
        </w:rPr>
        <w:t xml:space="preserve">naturaleza </w:t>
      </w:r>
      <w:r>
        <w:rPr>
          <w:spacing w:val="-3"/>
          <w:sz w:val="20"/>
        </w:rPr>
        <w:t xml:space="preserve">de los </w:t>
      </w:r>
      <w:r>
        <w:rPr>
          <w:spacing w:val="-4"/>
          <w:sz w:val="20"/>
        </w:rPr>
        <w:t xml:space="preserve">conflictos </w:t>
      </w:r>
      <w:r>
        <w:rPr>
          <w:spacing w:val="-3"/>
          <w:sz w:val="20"/>
        </w:rPr>
        <w:t xml:space="preserve">que cada una está </w:t>
      </w:r>
      <w:r>
        <w:rPr>
          <w:spacing w:val="-4"/>
          <w:sz w:val="20"/>
        </w:rPr>
        <w:t xml:space="preserve">llamada </w:t>
      </w:r>
      <w:r>
        <w:rPr>
          <w:sz w:val="20"/>
        </w:rPr>
        <w:t xml:space="preserve">a </w:t>
      </w:r>
      <w:r>
        <w:rPr>
          <w:spacing w:val="-4"/>
          <w:sz w:val="20"/>
        </w:rPr>
        <w:t xml:space="preserve">resolver” </w:t>
      </w:r>
      <w:r>
        <w:rPr>
          <w:sz w:val="20"/>
        </w:rPr>
        <w:t xml:space="preserve">de </w:t>
      </w:r>
      <w:r>
        <w:rPr>
          <w:spacing w:val="-3"/>
          <w:sz w:val="20"/>
        </w:rPr>
        <w:t>modo que</w:t>
      </w:r>
      <w:r>
        <w:rPr>
          <w:spacing w:val="-10"/>
          <w:sz w:val="20"/>
        </w:rPr>
        <w:t xml:space="preserve"> </w:t>
      </w:r>
      <w:r>
        <w:rPr>
          <w:spacing w:val="-3"/>
          <w:sz w:val="20"/>
        </w:rPr>
        <w:t>“los</w:t>
      </w:r>
      <w:r>
        <w:rPr>
          <w:spacing w:val="-9"/>
          <w:sz w:val="20"/>
        </w:rPr>
        <w:t xml:space="preserve"> </w:t>
      </w:r>
      <w:r>
        <w:rPr>
          <w:spacing w:val="-4"/>
          <w:sz w:val="20"/>
        </w:rPr>
        <w:t>problemas</w:t>
      </w:r>
      <w:r>
        <w:rPr>
          <w:spacing w:val="-9"/>
          <w:sz w:val="20"/>
        </w:rPr>
        <w:t xml:space="preserve"> </w:t>
      </w:r>
      <w:r>
        <w:rPr>
          <w:sz w:val="20"/>
        </w:rPr>
        <w:t>de</w:t>
      </w:r>
      <w:r>
        <w:rPr>
          <w:spacing w:val="-12"/>
          <w:sz w:val="20"/>
        </w:rPr>
        <w:t xml:space="preserve"> </w:t>
      </w:r>
      <w:r>
        <w:rPr>
          <w:spacing w:val="-4"/>
          <w:sz w:val="20"/>
        </w:rPr>
        <w:t>indeterminación</w:t>
      </w:r>
      <w:r>
        <w:rPr>
          <w:spacing w:val="-7"/>
          <w:sz w:val="20"/>
        </w:rPr>
        <w:t xml:space="preserve"> </w:t>
      </w:r>
      <w:r>
        <w:rPr>
          <w:sz w:val="20"/>
        </w:rPr>
        <w:t>de</w:t>
      </w:r>
      <w:r>
        <w:rPr>
          <w:spacing w:val="-12"/>
          <w:sz w:val="20"/>
        </w:rPr>
        <w:t xml:space="preserve"> </w:t>
      </w:r>
      <w:r>
        <w:rPr>
          <w:sz w:val="20"/>
        </w:rPr>
        <w:t>un</w:t>
      </w:r>
      <w:r>
        <w:rPr>
          <w:spacing w:val="-7"/>
          <w:sz w:val="20"/>
        </w:rPr>
        <w:t xml:space="preserve"> </w:t>
      </w:r>
      <w:r>
        <w:rPr>
          <w:spacing w:val="-3"/>
          <w:sz w:val="20"/>
        </w:rPr>
        <w:t>tipo</w:t>
      </w:r>
      <w:r>
        <w:rPr>
          <w:spacing w:val="-9"/>
          <w:sz w:val="20"/>
        </w:rPr>
        <w:t xml:space="preserve"> </w:t>
      </w:r>
      <w:r>
        <w:rPr>
          <w:spacing w:val="-4"/>
          <w:sz w:val="20"/>
        </w:rPr>
        <w:t>disciplinario</w:t>
      </w:r>
      <w:r>
        <w:rPr>
          <w:spacing w:val="-12"/>
          <w:sz w:val="20"/>
        </w:rPr>
        <w:t xml:space="preserve"> </w:t>
      </w:r>
      <w:r>
        <w:rPr>
          <w:sz w:val="20"/>
        </w:rPr>
        <w:t>no</w:t>
      </w:r>
      <w:r>
        <w:rPr>
          <w:spacing w:val="-11"/>
          <w:sz w:val="20"/>
        </w:rPr>
        <w:t xml:space="preserve"> </w:t>
      </w:r>
      <w:r>
        <w:rPr>
          <w:spacing w:val="-3"/>
          <w:sz w:val="20"/>
        </w:rPr>
        <w:t>pueden</w:t>
      </w:r>
      <w:r>
        <w:rPr>
          <w:spacing w:val="-7"/>
          <w:sz w:val="20"/>
        </w:rPr>
        <w:t xml:space="preserve"> </w:t>
      </w:r>
      <w:r>
        <w:rPr>
          <w:spacing w:val="-3"/>
          <w:sz w:val="20"/>
        </w:rPr>
        <w:t>ser</w:t>
      </w:r>
      <w:r>
        <w:rPr>
          <w:spacing w:val="-9"/>
          <w:sz w:val="20"/>
        </w:rPr>
        <w:t xml:space="preserve"> </w:t>
      </w:r>
      <w:r>
        <w:rPr>
          <w:spacing w:val="-4"/>
          <w:sz w:val="20"/>
        </w:rPr>
        <w:t xml:space="preserve">examinados </w:t>
      </w:r>
      <w:r>
        <w:rPr>
          <w:spacing w:val="-3"/>
          <w:sz w:val="20"/>
        </w:rPr>
        <w:t xml:space="preserve">en </w:t>
      </w:r>
      <w:r>
        <w:rPr>
          <w:spacing w:val="-4"/>
          <w:sz w:val="20"/>
        </w:rPr>
        <w:t xml:space="preserve">abstracto, sino </w:t>
      </w:r>
      <w:r>
        <w:rPr>
          <w:sz w:val="20"/>
        </w:rPr>
        <w:t xml:space="preserve">a la </w:t>
      </w:r>
      <w:r>
        <w:rPr>
          <w:spacing w:val="-3"/>
          <w:sz w:val="20"/>
        </w:rPr>
        <w:t xml:space="preserve">luz </w:t>
      </w:r>
      <w:r>
        <w:rPr>
          <w:sz w:val="20"/>
        </w:rPr>
        <w:t xml:space="preserve">de la </w:t>
      </w:r>
      <w:r>
        <w:rPr>
          <w:spacing w:val="-4"/>
          <w:sz w:val="20"/>
        </w:rPr>
        <w:t xml:space="preserve">motivación </w:t>
      </w:r>
      <w:r>
        <w:rPr>
          <w:spacing w:val="-2"/>
          <w:sz w:val="20"/>
        </w:rPr>
        <w:t xml:space="preserve">del </w:t>
      </w:r>
      <w:r>
        <w:rPr>
          <w:spacing w:val="-3"/>
          <w:sz w:val="20"/>
        </w:rPr>
        <w:t xml:space="preserve">juzgador al </w:t>
      </w:r>
      <w:r>
        <w:rPr>
          <w:spacing w:val="-4"/>
          <w:sz w:val="20"/>
        </w:rPr>
        <w:t xml:space="preserve">momento </w:t>
      </w:r>
      <w:r>
        <w:rPr>
          <w:sz w:val="20"/>
        </w:rPr>
        <w:t xml:space="preserve">de su </w:t>
      </w:r>
      <w:r>
        <w:rPr>
          <w:spacing w:val="-3"/>
          <w:sz w:val="20"/>
        </w:rPr>
        <w:t>aplicación”</w:t>
      </w:r>
      <w:hyperlink w:anchor="_bookmark167" w:history="1">
        <w:r>
          <w:rPr>
            <w:spacing w:val="-3"/>
            <w:position w:val="7"/>
            <w:sz w:val="13"/>
          </w:rPr>
          <w:t>22</w:t>
        </w:r>
      </w:hyperlink>
      <w:r>
        <w:rPr>
          <w:spacing w:val="-3"/>
          <w:sz w:val="20"/>
        </w:rPr>
        <w:t xml:space="preserve">. </w:t>
      </w:r>
      <w:r>
        <w:rPr>
          <w:spacing w:val="-4"/>
          <w:sz w:val="20"/>
        </w:rPr>
        <w:t xml:space="preserve">Para ello, estimó </w:t>
      </w:r>
      <w:r>
        <w:rPr>
          <w:spacing w:val="-3"/>
          <w:sz w:val="20"/>
        </w:rPr>
        <w:t xml:space="preserve">que “le </w:t>
      </w:r>
      <w:r>
        <w:rPr>
          <w:spacing w:val="-4"/>
          <w:sz w:val="20"/>
        </w:rPr>
        <w:t xml:space="preserve">corresponde </w:t>
      </w:r>
      <w:r>
        <w:rPr>
          <w:sz w:val="20"/>
        </w:rPr>
        <w:t xml:space="preserve">a la </w:t>
      </w:r>
      <w:r>
        <w:rPr>
          <w:spacing w:val="-3"/>
          <w:sz w:val="20"/>
        </w:rPr>
        <w:t xml:space="preserve">Corte </w:t>
      </w:r>
      <w:r>
        <w:rPr>
          <w:spacing w:val="-4"/>
          <w:sz w:val="20"/>
        </w:rPr>
        <w:t xml:space="preserve">establecer </w:t>
      </w:r>
      <w:r>
        <w:rPr>
          <w:spacing w:val="-3"/>
          <w:sz w:val="20"/>
        </w:rPr>
        <w:t xml:space="preserve">si la </w:t>
      </w:r>
      <w:r>
        <w:rPr>
          <w:spacing w:val="-4"/>
          <w:sz w:val="20"/>
        </w:rPr>
        <w:t xml:space="preserve">decisión </w:t>
      </w:r>
      <w:r>
        <w:rPr>
          <w:spacing w:val="-3"/>
          <w:sz w:val="20"/>
        </w:rPr>
        <w:t xml:space="preserve">que impuso </w:t>
      </w:r>
      <w:r>
        <w:rPr>
          <w:sz w:val="20"/>
        </w:rPr>
        <w:t xml:space="preserve">la </w:t>
      </w:r>
      <w:r>
        <w:rPr>
          <w:spacing w:val="-4"/>
          <w:sz w:val="20"/>
        </w:rPr>
        <w:t>sanción</w:t>
      </w:r>
      <w:r>
        <w:rPr>
          <w:spacing w:val="-13"/>
          <w:sz w:val="20"/>
        </w:rPr>
        <w:t xml:space="preserve"> </w:t>
      </w:r>
      <w:r>
        <w:rPr>
          <w:sz w:val="20"/>
        </w:rPr>
        <w:t>de</w:t>
      </w:r>
      <w:r>
        <w:rPr>
          <w:spacing w:val="-15"/>
          <w:sz w:val="20"/>
        </w:rPr>
        <w:t xml:space="preserve"> </w:t>
      </w:r>
      <w:r>
        <w:rPr>
          <w:spacing w:val="-4"/>
          <w:sz w:val="20"/>
        </w:rPr>
        <w:t>destitución</w:t>
      </w:r>
      <w:r>
        <w:rPr>
          <w:spacing w:val="-13"/>
          <w:sz w:val="20"/>
        </w:rPr>
        <w:t xml:space="preserve"> </w:t>
      </w:r>
      <w:r>
        <w:rPr>
          <w:spacing w:val="-3"/>
          <w:sz w:val="20"/>
        </w:rPr>
        <w:t>al</w:t>
      </w:r>
      <w:r>
        <w:rPr>
          <w:spacing w:val="-11"/>
          <w:sz w:val="20"/>
        </w:rPr>
        <w:t xml:space="preserve"> </w:t>
      </w:r>
      <w:r>
        <w:rPr>
          <w:spacing w:val="-3"/>
          <w:sz w:val="20"/>
        </w:rPr>
        <w:t>señor</w:t>
      </w:r>
      <w:r>
        <w:rPr>
          <w:spacing w:val="-15"/>
          <w:sz w:val="20"/>
        </w:rPr>
        <w:t xml:space="preserve"> </w:t>
      </w:r>
      <w:r>
        <w:rPr>
          <w:spacing w:val="-4"/>
          <w:sz w:val="20"/>
        </w:rPr>
        <w:t>Cordero</w:t>
      </w:r>
      <w:r>
        <w:rPr>
          <w:spacing w:val="-17"/>
          <w:sz w:val="20"/>
        </w:rPr>
        <w:t xml:space="preserve"> </w:t>
      </w:r>
      <w:r>
        <w:rPr>
          <w:spacing w:val="-4"/>
          <w:sz w:val="20"/>
        </w:rPr>
        <w:t>Bernal</w:t>
      </w:r>
      <w:r>
        <w:rPr>
          <w:spacing w:val="-14"/>
          <w:sz w:val="20"/>
        </w:rPr>
        <w:t xml:space="preserve"> </w:t>
      </w:r>
      <w:r>
        <w:rPr>
          <w:spacing w:val="-3"/>
          <w:sz w:val="20"/>
        </w:rPr>
        <w:t>tuvo</w:t>
      </w:r>
      <w:r>
        <w:rPr>
          <w:spacing w:val="-18"/>
          <w:sz w:val="20"/>
        </w:rPr>
        <w:t xml:space="preserve"> </w:t>
      </w:r>
      <w:r>
        <w:rPr>
          <w:spacing w:val="-2"/>
          <w:sz w:val="20"/>
        </w:rPr>
        <w:t>una</w:t>
      </w:r>
      <w:r>
        <w:rPr>
          <w:spacing w:val="-14"/>
          <w:sz w:val="20"/>
        </w:rPr>
        <w:t xml:space="preserve"> </w:t>
      </w:r>
      <w:r>
        <w:rPr>
          <w:spacing w:val="-4"/>
          <w:sz w:val="20"/>
        </w:rPr>
        <w:t>motivación</w:t>
      </w:r>
      <w:r>
        <w:rPr>
          <w:spacing w:val="-12"/>
          <w:sz w:val="20"/>
        </w:rPr>
        <w:t xml:space="preserve"> </w:t>
      </w:r>
      <w:r>
        <w:rPr>
          <w:spacing w:val="-4"/>
          <w:sz w:val="20"/>
        </w:rPr>
        <w:t>adecuada”</w:t>
      </w:r>
      <w:r>
        <w:rPr>
          <w:spacing w:val="-14"/>
          <w:sz w:val="20"/>
        </w:rPr>
        <w:t xml:space="preserve"> </w:t>
      </w:r>
      <w:r>
        <w:rPr>
          <w:sz w:val="20"/>
        </w:rPr>
        <w:t>y</w:t>
      </w:r>
      <w:r>
        <w:rPr>
          <w:spacing w:val="-14"/>
          <w:sz w:val="20"/>
        </w:rPr>
        <w:t xml:space="preserve"> </w:t>
      </w:r>
      <w:r>
        <w:rPr>
          <w:spacing w:val="-4"/>
          <w:sz w:val="20"/>
        </w:rPr>
        <w:t>“definir</w:t>
      </w:r>
      <w:r>
        <w:rPr>
          <w:spacing w:val="-15"/>
          <w:sz w:val="20"/>
        </w:rPr>
        <w:t xml:space="preserve"> </w:t>
      </w:r>
      <w:r>
        <w:rPr>
          <w:spacing w:val="-3"/>
          <w:sz w:val="20"/>
        </w:rPr>
        <w:t xml:space="preserve">si los </w:t>
      </w:r>
      <w:r>
        <w:rPr>
          <w:spacing w:val="-4"/>
          <w:sz w:val="20"/>
        </w:rPr>
        <w:t xml:space="preserve">argumentos expuestos </w:t>
      </w:r>
      <w:r>
        <w:rPr>
          <w:spacing w:val="-3"/>
          <w:sz w:val="20"/>
        </w:rPr>
        <w:t xml:space="preserve">por el </w:t>
      </w:r>
      <w:r>
        <w:rPr>
          <w:spacing w:val="-4"/>
          <w:sz w:val="20"/>
        </w:rPr>
        <w:t>Consejo Na</w:t>
      </w:r>
      <w:r>
        <w:rPr>
          <w:spacing w:val="-4"/>
          <w:sz w:val="20"/>
        </w:rPr>
        <w:t xml:space="preserve">cional </w:t>
      </w:r>
      <w:r>
        <w:rPr>
          <w:sz w:val="20"/>
        </w:rPr>
        <w:t xml:space="preserve">de la </w:t>
      </w:r>
      <w:r>
        <w:rPr>
          <w:spacing w:val="-4"/>
          <w:sz w:val="20"/>
        </w:rPr>
        <w:t xml:space="preserve">Magistratura permiten llenar </w:t>
      </w:r>
      <w:r>
        <w:rPr>
          <w:sz w:val="20"/>
        </w:rPr>
        <w:t xml:space="preserve">de </w:t>
      </w:r>
      <w:r>
        <w:rPr>
          <w:spacing w:val="-4"/>
          <w:sz w:val="20"/>
        </w:rPr>
        <w:t xml:space="preserve">contenido </w:t>
      </w:r>
      <w:r>
        <w:rPr>
          <w:spacing w:val="-3"/>
          <w:sz w:val="20"/>
        </w:rPr>
        <w:t xml:space="preserve">la norma </w:t>
      </w:r>
      <w:r>
        <w:rPr>
          <w:spacing w:val="-4"/>
          <w:sz w:val="20"/>
        </w:rPr>
        <w:t xml:space="preserve">aplicada”, </w:t>
      </w:r>
      <w:r>
        <w:rPr>
          <w:spacing w:val="-3"/>
          <w:sz w:val="20"/>
        </w:rPr>
        <w:t xml:space="preserve">“si la </w:t>
      </w:r>
      <w:r>
        <w:rPr>
          <w:spacing w:val="-4"/>
          <w:sz w:val="20"/>
        </w:rPr>
        <w:t xml:space="preserve">decisión tuvo </w:t>
      </w:r>
      <w:r>
        <w:rPr>
          <w:spacing w:val="-3"/>
          <w:sz w:val="20"/>
        </w:rPr>
        <w:t xml:space="preserve">en </w:t>
      </w:r>
      <w:r>
        <w:rPr>
          <w:spacing w:val="-4"/>
          <w:sz w:val="20"/>
        </w:rPr>
        <w:t xml:space="preserve">cuenta </w:t>
      </w:r>
      <w:r>
        <w:rPr>
          <w:sz w:val="20"/>
        </w:rPr>
        <w:t xml:space="preserve">la </w:t>
      </w:r>
      <w:r>
        <w:rPr>
          <w:spacing w:val="-4"/>
          <w:sz w:val="20"/>
        </w:rPr>
        <w:t xml:space="preserve">afectación </w:t>
      </w:r>
      <w:r>
        <w:rPr>
          <w:spacing w:val="-3"/>
          <w:sz w:val="20"/>
        </w:rPr>
        <w:t xml:space="preserve">que la </w:t>
      </w:r>
      <w:r>
        <w:rPr>
          <w:spacing w:val="-5"/>
          <w:sz w:val="20"/>
        </w:rPr>
        <w:t xml:space="preserve">conducta </w:t>
      </w:r>
      <w:r>
        <w:rPr>
          <w:spacing w:val="-4"/>
          <w:sz w:val="20"/>
        </w:rPr>
        <w:t xml:space="preserve">examinada </w:t>
      </w:r>
      <w:r>
        <w:rPr>
          <w:spacing w:val="-3"/>
          <w:sz w:val="20"/>
        </w:rPr>
        <w:t xml:space="preserve">podía tener en el </w:t>
      </w:r>
      <w:r>
        <w:rPr>
          <w:spacing w:val="-4"/>
          <w:sz w:val="20"/>
        </w:rPr>
        <w:t xml:space="preserve">ejercicio </w:t>
      </w:r>
      <w:r>
        <w:rPr>
          <w:sz w:val="20"/>
        </w:rPr>
        <w:t xml:space="preserve">de </w:t>
      </w:r>
      <w:r>
        <w:rPr>
          <w:spacing w:val="-3"/>
          <w:sz w:val="20"/>
        </w:rPr>
        <w:t xml:space="preserve">la </w:t>
      </w:r>
      <w:r>
        <w:rPr>
          <w:spacing w:val="-4"/>
          <w:sz w:val="20"/>
        </w:rPr>
        <w:t xml:space="preserve">función judicial, </w:t>
      </w:r>
      <w:r>
        <w:rPr>
          <w:sz w:val="20"/>
        </w:rPr>
        <w:t xml:space="preserve">a </w:t>
      </w:r>
      <w:r>
        <w:rPr>
          <w:spacing w:val="-4"/>
          <w:sz w:val="20"/>
        </w:rPr>
        <w:t xml:space="preserve">través </w:t>
      </w:r>
      <w:r>
        <w:rPr>
          <w:sz w:val="20"/>
        </w:rPr>
        <w:t xml:space="preserve">de un </w:t>
      </w:r>
      <w:r>
        <w:rPr>
          <w:spacing w:val="-4"/>
          <w:sz w:val="20"/>
        </w:rPr>
        <w:t xml:space="preserve">adecuado razonamiento </w:t>
      </w:r>
      <w:r>
        <w:rPr>
          <w:sz w:val="20"/>
        </w:rPr>
        <w:t xml:space="preserve">e </w:t>
      </w:r>
      <w:r>
        <w:rPr>
          <w:spacing w:val="-4"/>
          <w:sz w:val="20"/>
        </w:rPr>
        <w:t xml:space="preserve">interpretación” </w:t>
      </w:r>
      <w:r>
        <w:rPr>
          <w:sz w:val="20"/>
        </w:rPr>
        <w:t xml:space="preserve">y </w:t>
      </w:r>
      <w:r>
        <w:rPr>
          <w:spacing w:val="-3"/>
          <w:sz w:val="20"/>
        </w:rPr>
        <w:t xml:space="preserve">“la </w:t>
      </w:r>
      <w:r>
        <w:rPr>
          <w:spacing w:val="-4"/>
          <w:sz w:val="20"/>
        </w:rPr>
        <w:t xml:space="preserve">gravedad </w:t>
      </w:r>
      <w:r>
        <w:rPr>
          <w:sz w:val="20"/>
        </w:rPr>
        <w:t xml:space="preserve">de </w:t>
      </w:r>
      <w:r>
        <w:rPr>
          <w:spacing w:val="-3"/>
          <w:sz w:val="20"/>
        </w:rPr>
        <w:t xml:space="preserve">la </w:t>
      </w:r>
      <w:r>
        <w:rPr>
          <w:spacing w:val="-4"/>
          <w:sz w:val="20"/>
        </w:rPr>
        <w:t xml:space="preserve">conducta </w:t>
      </w:r>
      <w:r>
        <w:rPr>
          <w:sz w:val="20"/>
        </w:rPr>
        <w:t xml:space="preserve">y </w:t>
      </w:r>
      <w:r>
        <w:rPr>
          <w:spacing w:val="-3"/>
          <w:sz w:val="20"/>
        </w:rPr>
        <w:t xml:space="preserve">la </w:t>
      </w:r>
      <w:r>
        <w:rPr>
          <w:spacing w:val="-4"/>
          <w:sz w:val="20"/>
        </w:rPr>
        <w:t xml:space="preserve">proporcionalidad </w:t>
      </w:r>
      <w:r>
        <w:rPr>
          <w:sz w:val="20"/>
        </w:rPr>
        <w:t xml:space="preserve">de la </w:t>
      </w:r>
      <w:r>
        <w:rPr>
          <w:spacing w:val="-3"/>
          <w:sz w:val="20"/>
        </w:rPr>
        <w:t>sanción”</w:t>
      </w:r>
      <w:hyperlink w:anchor="_bookmark168" w:history="1">
        <w:r>
          <w:rPr>
            <w:spacing w:val="-3"/>
            <w:position w:val="7"/>
            <w:sz w:val="13"/>
          </w:rPr>
          <w:t>23</w:t>
        </w:r>
      </w:hyperlink>
      <w:r>
        <w:rPr>
          <w:spacing w:val="-3"/>
          <w:sz w:val="20"/>
        </w:rPr>
        <w:t>.</w:t>
      </w:r>
    </w:p>
    <w:p w14:paraId="435CBCBF" w14:textId="77777777" w:rsidR="00492688" w:rsidRDefault="00492688">
      <w:pPr>
        <w:pStyle w:val="Textoindependiente"/>
      </w:pPr>
    </w:p>
    <w:p w14:paraId="57C1C5F9" w14:textId="77777777" w:rsidR="00492688" w:rsidRDefault="00C9584B">
      <w:pPr>
        <w:pStyle w:val="Prrafodelista"/>
        <w:numPr>
          <w:ilvl w:val="0"/>
          <w:numId w:val="3"/>
        </w:numPr>
        <w:tabs>
          <w:tab w:val="left" w:pos="830"/>
        </w:tabs>
        <w:ind w:right="226" w:firstLine="0"/>
        <w:jc w:val="both"/>
        <w:rPr>
          <w:sz w:val="20"/>
        </w:rPr>
      </w:pPr>
      <w:r>
        <w:rPr>
          <w:spacing w:val="-4"/>
          <w:sz w:val="20"/>
        </w:rPr>
        <w:t xml:space="preserve">Así, </w:t>
      </w:r>
      <w:r>
        <w:rPr>
          <w:spacing w:val="-3"/>
          <w:sz w:val="20"/>
        </w:rPr>
        <w:t xml:space="preserve">el </w:t>
      </w:r>
      <w:r>
        <w:rPr>
          <w:spacing w:val="-4"/>
          <w:sz w:val="20"/>
        </w:rPr>
        <w:t xml:space="preserve">criterio mayoritario estimó </w:t>
      </w:r>
      <w:r>
        <w:rPr>
          <w:spacing w:val="-3"/>
          <w:sz w:val="20"/>
        </w:rPr>
        <w:t xml:space="preserve">que “la </w:t>
      </w:r>
      <w:r>
        <w:rPr>
          <w:spacing w:val="-4"/>
          <w:sz w:val="20"/>
        </w:rPr>
        <w:t xml:space="preserve">decisión </w:t>
      </w:r>
      <w:r>
        <w:rPr>
          <w:spacing w:val="-3"/>
          <w:sz w:val="20"/>
        </w:rPr>
        <w:t xml:space="preserve">del </w:t>
      </w:r>
      <w:r>
        <w:rPr>
          <w:spacing w:val="-4"/>
          <w:sz w:val="20"/>
        </w:rPr>
        <w:t xml:space="preserve">[Consejo Nacional </w:t>
      </w:r>
      <w:r>
        <w:rPr>
          <w:sz w:val="20"/>
        </w:rPr>
        <w:t xml:space="preserve">de </w:t>
      </w:r>
      <w:r>
        <w:rPr>
          <w:spacing w:val="-3"/>
          <w:sz w:val="20"/>
        </w:rPr>
        <w:t xml:space="preserve">la </w:t>
      </w:r>
      <w:r>
        <w:rPr>
          <w:spacing w:val="-4"/>
          <w:sz w:val="20"/>
        </w:rPr>
        <w:t>Magistratura</w:t>
      </w:r>
      <w:r>
        <w:rPr>
          <w:spacing w:val="-15"/>
          <w:sz w:val="20"/>
        </w:rPr>
        <w:t xml:space="preserve"> </w:t>
      </w:r>
      <w:r>
        <w:rPr>
          <w:spacing w:val="-3"/>
          <w:sz w:val="20"/>
        </w:rPr>
        <w:t>[…]</w:t>
      </w:r>
      <w:r>
        <w:rPr>
          <w:spacing w:val="-12"/>
          <w:sz w:val="20"/>
        </w:rPr>
        <w:t xml:space="preserve"> </w:t>
      </w:r>
      <w:r>
        <w:rPr>
          <w:spacing w:val="-4"/>
          <w:sz w:val="20"/>
        </w:rPr>
        <w:t>esta[ba]</w:t>
      </w:r>
      <w:r>
        <w:rPr>
          <w:spacing w:val="-14"/>
          <w:sz w:val="20"/>
        </w:rPr>
        <w:t xml:space="preserve"> </w:t>
      </w:r>
      <w:r>
        <w:rPr>
          <w:spacing w:val="-4"/>
          <w:sz w:val="20"/>
        </w:rPr>
        <w:t>debidamente</w:t>
      </w:r>
      <w:r>
        <w:rPr>
          <w:spacing w:val="-14"/>
          <w:sz w:val="20"/>
        </w:rPr>
        <w:t xml:space="preserve"> </w:t>
      </w:r>
      <w:r>
        <w:rPr>
          <w:spacing w:val="-4"/>
          <w:sz w:val="20"/>
        </w:rPr>
        <w:t>motivada</w:t>
      </w:r>
      <w:r>
        <w:rPr>
          <w:spacing w:val="-12"/>
          <w:sz w:val="20"/>
        </w:rPr>
        <w:t xml:space="preserve"> </w:t>
      </w:r>
      <w:r>
        <w:rPr>
          <w:sz w:val="20"/>
        </w:rPr>
        <w:t>y</w:t>
      </w:r>
      <w:r>
        <w:rPr>
          <w:spacing w:val="-15"/>
          <w:sz w:val="20"/>
        </w:rPr>
        <w:t xml:space="preserve"> </w:t>
      </w:r>
      <w:r>
        <w:rPr>
          <w:sz w:val="20"/>
        </w:rPr>
        <w:t>no</w:t>
      </w:r>
      <w:r>
        <w:rPr>
          <w:spacing w:val="-16"/>
          <w:sz w:val="20"/>
        </w:rPr>
        <w:t xml:space="preserve"> </w:t>
      </w:r>
      <w:r>
        <w:rPr>
          <w:spacing w:val="-3"/>
          <w:sz w:val="20"/>
        </w:rPr>
        <w:t>[era]</w:t>
      </w:r>
      <w:r>
        <w:rPr>
          <w:spacing w:val="-14"/>
          <w:sz w:val="20"/>
        </w:rPr>
        <w:t xml:space="preserve"> </w:t>
      </w:r>
      <w:r>
        <w:rPr>
          <w:spacing w:val="-4"/>
          <w:sz w:val="20"/>
        </w:rPr>
        <w:t>arbitraria</w:t>
      </w:r>
      <w:r>
        <w:rPr>
          <w:spacing w:val="-12"/>
          <w:sz w:val="20"/>
        </w:rPr>
        <w:t xml:space="preserve"> </w:t>
      </w:r>
      <w:r>
        <w:rPr>
          <w:sz w:val="20"/>
        </w:rPr>
        <w:t>y,</w:t>
      </w:r>
      <w:r>
        <w:rPr>
          <w:spacing w:val="-13"/>
          <w:sz w:val="20"/>
        </w:rPr>
        <w:t xml:space="preserve"> </w:t>
      </w:r>
      <w:r>
        <w:rPr>
          <w:sz w:val="20"/>
        </w:rPr>
        <w:t>en</w:t>
      </w:r>
      <w:r>
        <w:rPr>
          <w:spacing w:val="-14"/>
          <w:sz w:val="20"/>
        </w:rPr>
        <w:t xml:space="preserve"> </w:t>
      </w:r>
      <w:r>
        <w:rPr>
          <w:spacing w:val="-4"/>
          <w:sz w:val="20"/>
        </w:rPr>
        <w:t xml:space="preserve">consecuencia, </w:t>
      </w:r>
      <w:r>
        <w:rPr>
          <w:sz w:val="20"/>
        </w:rPr>
        <w:t>no</w:t>
      </w:r>
      <w:r>
        <w:rPr>
          <w:spacing w:val="-11"/>
          <w:sz w:val="20"/>
        </w:rPr>
        <w:t xml:space="preserve"> </w:t>
      </w:r>
      <w:r>
        <w:rPr>
          <w:sz w:val="20"/>
        </w:rPr>
        <w:t>se</w:t>
      </w:r>
      <w:r>
        <w:rPr>
          <w:spacing w:val="-11"/>
          <w:sz w:val="20"/>
        </w:rPr>
        <w:t xml:space="preserve"> </w:t>
      </w:r>
      <w:r>
        <w:rPr>
          <w:spacing w:val="-4"/>
          <w:sz w:val="20"/>
        </w:rPr>
        <w:t>vulneraron</w:t>
      </w:r>
      <w:r>
        <w:rPr>
          <w:spacing w:val="-11"/>
          <w:sz w:val="20"/>
        </w:rPr>
        <w:t xml:space="preserve"> </w:t>
      </w:r>
      <w:r>
        <w:rPr>
          <w:sz w:val="20"/>
        </w:rPr>
        <w:t>las</w:t>
      </w:r>
      <w:r>
        <w:rPr>
          <w:spacing w:val="-13"/>
          <w:sz w:val="20"/>
        </w:rPr>
        <w:t xml:space="preserve"> </w:t>
      </w:r>
      <w:r>
        <w:rPr>
          <w:spacing w:val="-4"/>
          <w:sz w:val="20"/>
        </w:rPr>
        <w:t>garantías</w:t>
      </w:r>
      <w:r>
        <w:rPr>
          <w:spacing w:val="-10"/>
          <w:sz w:val="20"/>
        </w:rPr>
        <w:t xml:space="preserve"> </w:t>
      </w:r>
      <w:r>
        <w:rPr>
          <w:spacing w:val="-3"/>
          <w:sz w:val="20"/>
        </w:rPr>
        <w:t>al</w:t>
      </w:r>
      <w:r>
        <w:rPr>
          <w:spacing w:val="-10"/>
          <w:sz w:val="20"/>
        </w:rPr>
        <w:t xml:space="preserve"> </w:t>
      </w:r>
      <w:r>
        <w:rPr>
          <w:spacing w:val="-4"/>
          <w:sz w:val="20"/>
        </w:rPr>
        <w:t>debido</w:t>
      </w:r>
      <w:r>
        <w:rPr>
          <w:spacing w:val="-10"/>
          <w:sz w:val="20"/>
        </w:rPr>
        <w:t xml:space="preserve"> </w:t>
      </w:r>
      <w:r>
        <w:rPr>
          <w:spacing w:val="-4"/>
          <w:sz w:val="20"/>
        </w:rPr>
        <w:t>proceso</w:t>
      </w:r>
      <w:r>
        <w:rPr>
          <w:spacing w:val="-9"/>
          <w:sz w:val="20"/>
        </w:rPr>
        <w:t xml:space="preserve"> </w:t>
      </w:r>
      <w:r>
        <w:rPr>
          <w:sz w:val="20"/>
        </w:rPr>
        <w:t>ni</w:t>
      </w:r>
      <w:r>
        <w:rPr>
          <w:spacing w:val="-9"/>
          <w:sz w:val="20"/>
        </w:rPr>
        <w:t xml:space="preserve"> </w:t>
      </w:r>
      <w:r>
        <w:rPr>
          <w:spacing w:val="-3"/>
          <w:sz w:val="20"/>
        </w:rPr>
        <w:t>el</w:t>
      </w:r>
      <w:r>
        <w:rPr>
          <w:spacing w:val="-10"/>
          <w:sz w:val="20"/>
        </w:rPr>
        <w:t xml:space="preserve"> </w:t>
      </w:r>
      <w:r>
        <w:rPr>
          <w:spacing w:val="-4"/>
          <w:sz w:val="20"/>
        </w:rPr>
        <w:t>principio</w:t>
      </w:r>
      <w:r>
        <w:rPr>
          <w:spacing w:val="-10"/>
          <w:sz w:val="20"/>
        </w:rPr>
        <w:t xml:space="preserve"> </w:t>
      </w:r>
      <w:r>
        <w:rPr>
          <w:sz w:val="20"/>
        </w:rPr>
        <w:t>de</w:t>
      </w:r>
      <w:r>
        <w:rPr>
          <w:spacing w:val="-11"/>
          <w:sz w:val="20"/>
        </w:rPr>
        <w:t xml:space="preserve"> </w:t>
      </w:r>
      <w:r>
        <w:rPr>
          <w:spacing w:val="-4"/>
          <w:sz w:val="20"/>
        </w:rPr>
        <w:t>legalidad</w:t>
      </w:r>
      <w:r>
        <w:rPr>
          <w:spacing w:val="-9"/>
          <w:sz w:val="20"/>
        </w:rPr>
        <w:t xml:space="preserve"> </w:t>
      </w:r>
      <w:r>
        <w:rPr>
          <w:spacing w:val="-4"/>
          <w:sz w:val="20"/>
        </w:rPr>
        <w:t>establecido</w:t>
      </w:r>
      <w:r>
        <w:rPr>
          <w:spacing w:val="-11"/>
          <w:sz w:val="20"/>
        </w:rPr>
        <w:t xml:space="preserve"> </w:t>
      </w:r>
      <w:r>
        <w:rPr>
          <w:spacing w:val="-3"/>
          <w:sz w:val="20"/>
        </w:rPr>
        <w:t xml:space="preserve">en la </w:t>
      </w:r>
      <w:r>
        <w:rPr>
          <w:spacing w:val="-4"/>
          <w:sz w:val="20"/>
        </w:rPr>
        <w:t>Convención</w:t>
      </w:r>
      <w:r>
        <w:rPr>
          <w:spacing w:val="-13"/>
          <w:sz w:val="20"/>
        </w:rPr>
        <w:t xml:space="preserve"> </w:t>
      </w:r>
      <w:r>
        <w:rPr>
          <w:spacing w:val="-3"/>
          <w:sz w:val="20"/>
        </w:rPr>
        <w:t>[Americana]”</w:t>
      </w:r>
      <w:hyperlink w:anchor="_bookmark169" w:history="1">
        <w:r>
          <w:rPr>
            <w:spacing w:val="-3"/>
            <w:position w:val="7"/>
            <w:sz w:val="13"/>
          </w:rPr>
          <w:t>24</w:t>
        </w:r>
      </w:hyperlink>
      <w:r>
        <w:rPr>
          <w:spacing w:val="-3"/>
          <w:sz w:val="20"/>
        </w:rPr>
        <w:t>.</w:t>
      </w:r>
    </w:p>
    <w:p w14:paraId="3FD4D273" w14:textId="77777777" w:rsidR="00492688" w:rsidRDefault="00492688">
      <w:pPr>
        <w:pStyle w:val="Textoindependiente"/>
        <w:spacing w:before="1"/>
      </w:pPr>
    </w:p>
    <w:p w14:paraId="629A5C51" w14:textId="77777777" w:rsidR="00492688" w:rsidRDefault="00C9584B">
      <w:pPr>
        <w:pStyle w:val="Prrafodelista"/>
        <w:numPr>
          <w:ilvl w:val="0"/>
          <w:numId w:val="3"/>
        </w:numPr>
        <w:tabs>
          <w:tab w:val="left" w:pos="830"/>
        </w:tabs>
        <w:ind w:right="225" w:firstLine="0"/>
        <w:jc w:val="both"/>
        <w:rPr>
          <w:sz w:val="20"/>
        </w:rPr>
      </w:pPr>
      <w:r>
        <w:rPr>
          <w:spacing w:val="-4"/>
          <w:sz w:val="20"/>
        </w:rPr>
        <w:t xml:space="preserve">Para arribar </w:t>
      </w:r>
      <w:r>
        <w:rPr>
          <w:sz w:val="20"/>
        </w:rPr>
        <w:t xml:space="preserve">a </w:t>
      </w:r>
      <w:r>
        <w:rPr>
          <w:spacing w:val="-3"/>
          <w:sz w:val="20"/>
        </w:rPr>
        <w:t xml:space="preserve">la </w:t>
      </w:r>
      <w:r>
        <w:rPr>
          <w:spacing w:val="-4"/>
          <w:sz w:val="20"/>
        </w:rPr>
        <w:t xml:space="preserve">referida conclusión, </w:t>
      </w:r>
      <w:r>
        <w:rPr>
          <w:sz w:val="20"/>
        </w:rPr>
        <w:t xml:space="preserve">el </w:t>
      </w:r>
      <w:r>
        <w:rPr>
          <w:spacing w:val="-4"/>
          <w:sz w:val="20"/>
        </w:rPr>
        <w:t xml:space="preserve">criterio mayoritario valoró diversas cuestiones </w:t>
      </w:r>
      <w:r>
        <w:rPr>
          <w:spacing w:val="-3"/>
          <w:sz w:val="20"/>
        </w:rPr>
        <w:t xml:space="preserve">que </w:t>
      </w:r>
      <w:r>
        <w:rPr>
          <w:spacing w:val="-4"/>
          <w:sz w:val="20"/>
        </w:rPr>
        <w:t xml:space="preserve">dieron cuenta </w:t>
      </w:r>
      <w:r>
        <w:rPr>
          <w:sz w:val="20"/>
        </w:rPr>
        <w:t xml:space="preserve">de las </w:t>
      </w:r>
      <w:r>
        <w:rPr>
          <w:spacing w:val="-4"/>
          <w:sz w:val="20"/>
        </w:rPr>
        <w:t xml:space="preserve">irregularidades </w:t>
      </w:r>
      <w:r>
        <w:rPr>
          <w:spacing w:val="-3"/>
          <w:sz w:val="20"/>
        </w:rPr>
        <w:t xml:space="preserve">en las </w:t>
      </w:r>
      <w:r>
        <w:rPr>
          <w:spacing w:val="-4"/>
          <w:sz w:val="20"/>
        </w:rPr>
        <w:t xml:space="preserve">cuales </w:t>
      </w:r>
      <w:r>
        <w:rPr>
          <w:spacing w:val="-3"/>
          <w:sz w:val="20"/>
        </w:rPr>
        <w:t xml:space="preserve">el señor </w:t>
      </w:r>
      <w:r>
        <w:rPr>
          <w:spacing w:val="-4"/>
          <w:sz w:val="20"/>
        </w:rPr>
        <w:t>Cordero Bernal incurrió</w:t>
      </w:r>
      <w:r>
        <w:rPr>
          <w:spacing w:val="-15"/>
          <w:sz w:val="20"/>
        </w:rPr>
        <w:t xml:space="preserve"> </w:t>
      </w:r>
      <w:r>
        <w:rPr>
          <w:spacing w:val="-4"/>
          <w:sz w:val="20"/>
        </w:rPr>
        <w:t>cuando</w:t>
      </w:r>
      <w:r>
        <w:rPr>
          <w:spacing w:val="-15"/>
          <w:sz w:val="20"/>
        </w:rPr>
        <w:t xml:space="preserve"> </w:t>
      </w:r>
      <w:r>
        <w:rPr>
          <w:spacing w:val="-4"/>
          <w:sz w:val="20"/>
        </w:rPr>
        <w:t>adoptó</w:t>
      </w:r>
      <w:r>
        <w:rPr>
          <w:spacing w:val="-15"/>
          <w:sz w:val="20"/>
        </w:rPr>
        <w:t xml:space="preserve"> </w:t>
      </w:r>
      <w:r>
        <w:rPr>
          <w:spacing w:val="-2"/>
          <w:sz w:val="20"/>
        </w:rPr>
        <w:t>una</w:t>
      </w:r>
      <w:r>
        <w:rPr>
          <w:spacing w:val="-16"/>
          <w:sz w:val="20"/>
        </w:rPr>
        <w:t xml:space="preserve"> </w:t>
      </w:r>
      <w:r>
        <w:rPr>
          <w:spacing w:val="-4"/>
          <w:sz w:val="20"/>
        </w:rPr>
        <w:t>decisión</w:t>
      </w:r>
      <w:r>
        <w:rPr>
          <w:spacing w:val="-13"/>
          <w:sz w:val="20"/>
        </w:rPr>
        <w:t xml:space="preserve"> </w:t>
      </w:r>
      <w:r>
        <w:rPr>
          <w:sz w:val="20"/>
        </w:rPr>
        <w:t>de</w:t>
      </w:r>
      <w:r>
        <w:rPr>
          <w:spacing w:val="-18"/>
          <w:sz w:val="20"/>
        </w:rPr>
        <w:t xml:space="preserve"> </w:t>
      </w:r>
      <w:r>
        <w:rPr>
          <w:spacing w:val="-4"/>
          <w:sz w:val="20"/>
        </w:rPr>
        <w:t>naturaleza</w:t>
      </w:r>
      <w:r>
        <w:rPr>
          <w:spacing w:val="-14"/>
          <w:sz w:val="20"/>
        </w:rPr>
        <w:t xml:space="preserve"> </w:t>
      </w:r>
      <w:r>
        <w:rPr>
          <w:spacing w:val="-3"/>
          <w:sz w:val="20"/>
        </w:rPr>
        <w:t>jurisdiccional</w:t>
      </w:r>
      <w:hyperlink w:anchor="_bookmark170" w:history="1">
        <w:r>
          <w:rPr>
            <w:spacing w:val="-3"/>
            <w:position w:val="7"/>
            <w:sz w:val="13"/>
          </w:rPr>
          <w:t>25</w:t>
        </w:r>
        <w:r>
          <w:rPr>
            <w:spacing w:val="14"/>
            <w:position w:val="7"/>
            <w:sz w:val="13"/>
          </w:rPr>
          <w:t xml:space="preserve"> </w:t>
        </w:r>
      </w:hyperlink>
      <w:r>
        <w:rPr>
          <w:sz w:val="20"/>
        </w:rPr>
        <w:t>y</w:t>
      </w:r>
      <w:r>
        <w:rPr>
          <w:spacing w:val="-14"/>
          <w:sz w:val="20"/>
        </w:rPr>
        <w:t xml:space="preserve"> </w:t>
      </w:r>
      <w:r>
        <w:rPr>
          <w:spacing w:val="-3"/>
          <w:sz w:val="20"/>
        </w:rPr>
        <w:t>en</w:t>
      </w:r>
      <w:r>
        <w:rPr>
          <w:spacing w:val="-13"/>
          <w:sz w:val="20"/>
        </w:rPr>
        <w:t xml:space="preserve"> </w:t>
      </w:r>
      <w:r>
        <w:rPr>
          <w:spacing w:val="-3"/>
          <w:sz w:val="20"/>
        </w:rPr>
        <w:t>l</w:t>
      </w:r>
      <w:r>
        <w:rPr>
          <w:spacing w:val="-3"/>
          <w:sz w:val="20"/>
        </w:rPr>
        <w:t>a</w:t>
      </w:r>
      <w:r>
        <w:rPr>
          <w:spacing w:val="-14"/>
          <w:sz w:val="20"/>
        </w:rPr>
        <w:t xml:space="preserve"> </w:t>
      </w:r>
      <w:r>
        <w:rPr>
          <w:spacing w:val="-3"/>
          <w:sz w:val="20"/>
        </w:rPr>
        <w:t>que</w:t>
      </w:r>
      <w:r>
        <w:rPr>
          <w:spacing w:val="-15"/>
          <w:sz w:val="20"/>
        </w:rPr>
        <w:t xml:space="preserve"> </w:t>
      </w:r>
      <w:r>
        <w:rPr>
          <w:sz w:val="20"/>
        </w:rPr>
        <w:t>en</w:t>
      </w:r>
      <w:r>
        <w:rPr>
          <w:spacing w:val="-13"/>
          <w:sz w:val="20"/>
        </w:rPr>
        <w:t xml:space="preserve"> </w:t>
      </w:r>
      <w:r>
        <w:rPr>
          <w:spacing w:val="-3"/>
          <w:sz w:val="20"/>
        </w:rPr>
        <w:t>el</w:t>
      </w:r>
      <w:r>
        <w:rPr>
          <w:spacing w:val="-14"/>
          <w:sz w:val="20"/>
        </w:rPr>
        <w:t xml:space="preserve"> </w:t>
      </w:r>
      <w:r>
        <w:rPr>
          <w:spacing w:val="-3"/>
          <w:sz w:val="20"/>
        </w:rPr>
        <w:t>fallo</w:t>
      </w:r>
      <w:r>
        <w:rPr>
          <w:spacing w:val="-15"/>
          <w:sz w:val="20"/>
        </w:rPr>
        <w:t xml:space="preserve"> </w:t>
      </w:r>
      <w:r>
        <w:rPr>
          <w:sz w:val="20"/>
        </w:rPr>
        <w:t>se</w:t>
      </w:r>
    </w:p>
    <w:p w14:paraId="56D487C2" w14:textId="77777777" w:rsidR="00492688" w:rsidRDefault="00492688">
      <w:pPr>
        <w:pStyle w:val="Textoindependiente"/>
      </w:pPr>
    </w:p>
    <w:p w14:paraId="326912BE" w14:textId="77777777" w:rsidR="00492688" w:rsidRDefault="00492688">
      <w:pPr>
        <w:pStyle w:val="Textoindependiente"/>
      </w:pPr>
    </w:p>
    <w:p w14:paraId="0400C0C5" w14:textId="1CBDD600" w:rsidR="00492688" w:rsidRDefault="00C9584B">
      <w:pPr>
        <w:pStyle w:val="Textoindependiente"/>
        <w:spacing w:before="5"/>
        <w:rPr>
          <w:sz w:val="17"/>
        </w:rPr>
      </w:pPr>
      <w:r>
        <w:rPr>
          <w:noProof/>
        </w:rPr>
        <mc:AlternateContent>
          <mc:Choice Requires="wps">
            <w:drawing>
              <wp:anchor distT="0" distB="0" distL="0" distR="0" simplePos="0" relativeHeight="251693056" behindDoc="1" locked="0" layoutInCell="1" allowOverlap="1" wp14:anchorId="50378954" wp14:editId="452E4FF2">
                <wp:simplePos x="0" y="0"/>
                <wp:positionH relativeFrom="page">
                  <wp:posOffset>1080770</wp:posOffset>
                </wp:positionH>
                <wp:positionV relativeFrom="paragraph">
                  <wp:posOffset>163195</wp:posOffset>
                </wp:positionV>
                <wp:extent cx="1828800" cy="1270"/>
                <wp:effectExtent l="0" t="0" r="0" b="0"/>
                <wp:wrapTopAndBottom/>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F1A9F" id="Freeform 8" o:spid="_x0000_s1026" style="position:absolute;margin-left:85.1pt;margin-top:12.85pt;width:2in;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" path="m,l2880,e" filled="f" strokeweight=".21131mm">
                <v:path arrowok="t" o:connecttype="custom" o:connectlocs="0,0;1828800,0" o:connectangles="0,0"/>
                <w10:wrap type="topAndBottom" anchorx="page"/>
              </v:shape>
            </w:pict>
          </mc:Fallback>
        </mc:AlternateContent>
      </w:r>
    </w:p>
    <w:p w14:paraId="2BEFEC75" w14:textId="77777777" w:rsidR="00492688" w:rsidRDefault="00492688">
      <w:pPr>
        <w:pStyle w:val="Textoindependiente"/>
        <w:spacing w:before="1"/>
        <w:rPr>
          <w:sz w:val="6"/>
        </w:rPr>
      </w:pPr>
    </w:p>
    <w:p w14:paraId="2E4F0265" w14:textId="77777777" w:rsidR="00492688" w:rsidRDefault="00C9584B">
      <w:pPr>
        <w:tabs>
          <w:tab w:val="left" w:pos="829"/>
        </w:tabs>
        <w:spacing w:before="101"/>
        <w:ind w:left="121" w:right="230"/>
        <w:jc w:val="both"/>
        <w:rPr>
          <w:sz w:val="16"/>
        </w:rPr>
      </w:pPr>
      <w:bookmarkStart w:id="198" w:name="_bookmark166"/>
      <w:bookmarkEnd w:id="198"/>
      <w:r>
        <w:rPr>
          <w:position w:val="6"/>
          <w:sz w:val="10"/>
        </w:rPr>
        <w:t>21</w:t>
      </w:r>
      <w:r>
        <w:rPr>
          <w:position w:val="6"/>
          <w:sz w:val="10"/>
        </w:rPr>
        <w:tab/>
      </w:r>
      <w:r>
        <w:rPr>
          <w:i/>
          <w:sz w:val="16"/>
        </w:rPr>
        <w:t xml:space="preserve">Cfr. </w:t>
      </w:r>
      <w:r>
        <w:rPr>
          <w:sz w:val="16"/>
        </w:rPr>
        <w:t>Consejo de Derechos Humanos. Informe del Relator Especial sobre la independencia de los magistrados y abogados, Leandro Despouy. Doc. UN. A/HRC/11/41, párr.</w:t>
      </w:r>
      <w:r>
        <w:rPr>
          <w:spacing w:val="-19"/>
          <w:sz w:val="16"/>
        </w:rPr>
        <w:t xml:space="preserve"> </w:t>
      </w:r>
      <w:r>
        <w:rPr>
          <w:sz w:val="16"/>
        </w:rPr>
        <w:t>58.</w:t>
      </w:r>
    </w:p>
    <w:p w14:paraId="281BB7E2" w14:textId="77777777" w:rsidR="00492688" w:rsidRDefault="00C9584B">
      <w:pPr>
        <w:tabs>
          <w:tab w:val="left" w:pos="829"/>
        </w:tabs>
        <w:spacing w:before="100"/>
        <w:ind w:left="121" w:right="229" w:hanging="1"/>
        <w:jc w:val="both"/>
        <w:rPr>
          <w:sz w:val="16"/>
        </w:rPr>
      </w:pPr>
      <w:bookmarkStart w:id="199" w:name="_bookmark167"/>
      <w:bookmarkEnd w:id="199"/>
      <w:r>
        <w:rPr>
          <w:position w:val="6"/>
          <w:sz w:val="10"/>
        </w:rPr>
        <w:t>22</w:t>
      </w:r>
      <w:r>
        <w:rPr>
          <w:position w:val="6"/>
          <w:sz w:val="10"/>
        </w:rPr>
        <w:tab/>
      </w:r>
      <w:r>
        <w:rPr>
          <w:i/>
          <w:sz w:val="16"/>
        </w:rPr>
        <w:t xml:space="preserve">Cfr. Caso Cordero Bernal Vs. Perú. Excepción Preliminar y Fondo. </w:t>
      </w:r>
      <w:r>
        <w:rPr>
          <w:sz w:val="16"/>
        </w:rPr>
        <w:t xml:space="preserve">Sentencia de 16 de febrero </w:t>
      </w:r>
      <w:r>
        <w:rPr>
          <w:sz w:val="16"/>
        </w:rPr>
        <w:t>de 2021. Serie C No. 421, párr.</w:t>
      </w:r>
      <w:r>
        <w:rPr>
          <w:spacing w:val="-13"/>
          <w:sz w:val="16"/>
        </w:rPr>
        <w:t xml:space="preserve"> </w:t>
      </w:r>
      <w:r>
        <w:rPr>
          <w:sz w:val="16"/>
        </w:rPr>
        <w:t>77.</w:t>
      </w:r>
    </w:p>
    <w:p w14:paraId="4A6A0EC0" w14:textId="77777777" w:rsidR="00492688" w:rsidRDefault="00C9584B">
      <w:pPr>
        <w:tabs>
          <w:tab w:val="left" w:pos="829"/>
        </w:tabs>
        <w:spacing w:before="99"/>
        <w:ind w:left="121" w:right="229" w:hanging="1"/>
        <w:jc w:val="both"/>
        <w:rPr>
          <w:sz w:val="16"/>
        </w:rPr>
      </w:pPr>
      <w:bookmarkStart w:id="200" w:name="_bookmark168"/>
      <w:bookmarkEnd w:id="200"/>
      <w:r>
        <w:rPr>
          <w:position w:val="6"/>
          <w:sz w:val="10"/>
        </w:rPr>
        <w:t>23</w:t>
      </w:r>
      <w:r>
        <w:rPr>
          <w:position w:val="6"/>
          <w:sz w:val="10"/>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82.</w:t>
      </w:r>
    </w:p>
    <w:p w14:paraId="61C4B7AF" w14:textId="77777777" w:rsidR="00492688" w:rsidRDefault="00C9584B">
      <w:pPr>
        <w:tabs>
          <w:tab w:val="left" w:pos="829"/>
        </w:tabs>
        <w:spacing w:before="100"/>
        <w:ind w:left="121" w:right="229" w:hanging="1"/>
        <w:jc w:val="both"/>
        <w:rPr>
          <w:sz w:val="16"/>
        </w:rPr>
      </w:pPr>
      <w:bookmarkStart w:id="201" w:name="_bookmark169"/>
      <w:bookmarkEnd w:id="201"/>
      <w:r>
        <w:rPr>
          <w:position w:val="6"/>
          <w:sz w:val="10"/>
        </w:rPr>
        <w:t>24</w:t>
      </w:r>
      <w:r>
        <w:rPr>
          <w:position w:val="6"/>
          <w:sz w:val="10"/>
        </w:rPr>
        <w:tab/>
      </w:r>
      <w:r>
        <w:rPr>
          <w:i/>
          <w:sz w:val="16"/>
        </w:rPr>
        <w:t xml:space="preserve">Cfr. Caso Cordero Bernal Vs. Perú. Excepción Preliminar y Fondo. </w:t>
      </w:r>
      <w:r>
        <w:rPr>
          <w:sz w:val="16"/>
        </w:rPr>
        <w:t>Sentencia de 16 de fe</w:t>
      </w:r>
      <w:r>
        <w:rPr>
          <w:sz w:val="16"/>
        </w:rPr>
        <w:t>brero de 2021. Serie C No. 421, párr.</w:t>
      </w:r>
      <w:r>
        <w:rPr>
          <w:spacing w:val="-13"/>
          <w:sz w:val="16"/>
        </w:rPr>
        <w:t xml:space="preserve"> </w:t>
      </w:r>
      <w:r>
        <w:rPr>
          <w:sz w:val="16"/>
        </w:rPr>
        <w:t>89.</w:t>
      </w:r>
    </w:p>
    <w:p w14:paraId="52C7AFE8" w14:textId="77777777" w:rsidR="00492688" w:rsidRDefault="00C9584B">
      <w:pPr>
        <w:tabs>
          <w:tab w:val="left" w:pos="829"/>
        </w:tabs>
        <w:spacing w:before="101"/>
        <w:ind w:left="121" w:right="227"/>
        <w:jc w:val="both"/>
        <w:rPr>
          <w:sz w:val="16"/>
        </w:rPr>
      </w:pPr>
      <w:bookmarkStart w:id="202" w:name="_bookmark170"/>
      <w:bookmarkEnd w:id="202"/>
      <w:r>
        <w:rPr>
          <w:position w:val="6"/>
          <w:sz w:val="10"/>
        </w:rPr>
        <w:t>25</w:t>
      </w:r>
      <w:r>
        <w:rPr>
          <w:position w:val="6"/>
          <w:sz w:val="10"/>
        </w:rPr>
        <w:tab/>
      </w:r>
      <w:r>
        <w:rPr>
          <w:sz w:val="16"/>
        </w:rPr>
        <w:t>En particular: i) Consejo Nacional de la Magistratura “h[izo] un análisis detallado de los hechos</w:t>
      </w:r>
      <w:r>
        <w:rPr>
          <w:spacing w:val="-37"/>
          <w:sz w:val="16"/>
        </w:rPr>
        <w:t xml:space="preserve"> </w:t>
      </w:r>
      <w:r>
        <w:rPr>
          <w:sz w:val="16"/>
        </w:rPr>
        <w:t>que dieron</w:t>
      </w:r>
      <w:r>
        <w:rPr>
          <w:spacing w:val="-7"/>
          <w:sz w:val="16"/>
        </w:rPr>
        <w:t xml:space="preserve"> </w:t>
      </w:r>
      <w:r>
        <w:rPr>
          <w:sz w:val="16"/>
        </w:rPr>
        <w:t>lugar</w:t>
      </w:r>
      <w:r>
        <w:rPr>
          <w:spacing w:val="-6"/>
          <w:sz w:val="16"/>
        </w:rPr>
        <w:t xml:space="preserve"> </w:t>
      </w:r>
      <w:r>
        <w:rPr>
          <w:sz w:val="16"/>
        </w:rPr>
        <w:t>a</w:t>
      </w:r>
      <w:r>
        <w:rPr>
          <w:spacing w:val="-6"/>
          <w:sz w:val="16"/>
        </w:rPr>
        <w:t xml:space="preserve"> </w:t>
      </w:r>
      <w:r>
        <w:rPr>
          <w:sz w:val="16"/>
        </w:rPr>
        <w:t>la</w:t>
      </w:r>
      <w:r>
        <w:rPr>
          <w:spacing w:val="-6"/>
          <w:sz w:val="16"/>
        </w:rPr>
        <w:t xml:space="preserve"> </w:t>
      </w:r>
      <w:r>
        <w:rPr>
          <w:sz w:val="16"/>
        </w:rPr>
        <w:t>decisión</w:t>
      </w:r>
      <w:r>
        <w:rPr>
          <w:spacing w:val="-8"/>
          <w:sz w:val="16"/>
        </w:rPr>
        <w:t xml:space="preserve"> </w:t>
      </w:r>
      <w:r>
        <w:rPr>
          <w:sz w:val="16"/>
        </w:rPr>
        <w:t>de</w:t>
      </w:r>
      <w:r>
        <w:rPr>
          <w:spacing w:val="-7"/>
          <w:sz w:val="16"/>
        </w:rPr>
        <w:t xml:space="preserve"> </w:t>
      </w:r>
      <w:r>
        <w:rPr>
          <w:sz w:val="16"/>
        </w:rPr>
        <w:t>destitución</w:t>
      </w:r>
      <w:r>
        <w:rPr>
          <w:spacing w:val="-7"/>
          <w:sz w:val="16"/>
        </w:rPr>
        <w:t xml:space="preserve"> </w:t>
      </w:r>
      <w:r>
        <w:rPr>
          <w:sz w:val="16"/>
        </w:rPr>
        <w:t>y</w:t>
      </w:r>
      <w:r>
        <w:rPr>
          <w:spacing w:val="-6"/>
          <w:sz w:val="16"/>
        </w:rPr>
        <w:t xml:space="preserve"> </w:t>
      </w:r>
      <w:r>
        <w:rPr>
          <w:sz w:val="16"/>
        </w:rPr>
        <w:t>de</w:t>
      </w:r>
      <w:r>
        <w:rPr>
          <w:spacing w:val="-5"/>
          <w:sz w:val="16"/>
        </w:rPr>
        <w:t xml:space="preserve"> </w:t>
      </w:r>
      <w:r>
        <w:rPr>
          <w:sz w:val="16"/>
        </w:rPr>
        <w:t>las</w:t>
      </w:r>
      <w:r>
        <w:rPr>
          <w:spacing w:val="-7"/>
          <w:sz w:val="16"/>
        </w:rPr>
        <w:t xml:space="preserve"> </w:t>
      </w:r>
      <w:r>
        <w:rPr>
          <w:sz w:val="16"/>
        </w:rPr>
        <w:t>razones</w:t>
      </w:r>
      <w:r>
        <w:rPr>
          <w:spacing w:val="-7"/>
          <w:sz w:val="16"/>
        </w:rPr>
        <w:t xml:space="preserve"> </w:t>
      </w:r>
      <w:r>
        <w:rPr>
          <w:sz w:val="16"/>
        </w:rPr>
        <w:t>que</w:t>
      </w:r>
      <w:r>
        <w:rPr>
          <w:spacing w:val="-6"/>
          <w:sz w:val="16"/>
        </w:rPr>
        <w:t xml:space="preserve"> </w:t>
      </w:r>
      <w:r>
        <w:rPr>
          <w:sz w:val="16"/>
        </w:rPr>
        <w:t>permiten</w:t>
      </w:r>
      <w:r>
        <w:rPr>
          <w:spacing w:val="-6"/>
          <w:sz w:val="16"/>
        </w:rPr>
        <w:t xml:space="preserve"> </w:t>
      </w:r>
      <w:r>
        <w:rPr>
          <w:sz w:val="16"/>
        </w:rPr>
        <w:t>calificar</w:t>
      </w:r>
      <w:r>
        <w:rPr>
          <w:spacing w:val="-4"/>
          <w:sz w:val="16"/>
        </w:rPr>
        <w:t xml:space="preserve"> </w:t>
      </w:r>
      <w:r>
        <w:rPr>
          <w:sz w:val="16"/>
        </w:rPr>
        <w:t>esta</w:t>
      </w:r>
      <w:r>
        <w:rPr>
          <w:spacing w:val="-6"/>
          <w:sz w:val="16"/>
        </w:rPr>
        <w:t xml:space="preserve"> </w:t>
      </w:r>
      <w:r>
        <w:rPr>
          <w:sz w:val="16"/>
        </w:rPr>
        <w:t>conducta</w:t>
      </w:r>
      <w:r>
        <w:rPr>
          <w:spacing w:val="-6"/>
          <w:sz w:val="16"/>
        </w:rPr>
        <w:t xml:space="preserve"> </w:t>
      </w:r>
      <w:r>
        <w:rPr>
          <w:sz w:val="16"/>
        </w:rPr>
        <w:t>como</w:t>
      </w:r>
      <w:r>
        <w:rPr>
          <w:spacing w:val="-4"/>
          <w:sz w:val="16"/>
        </w:rPr>
        <w:t xml:space="preserve"> </w:t>
      </w:r>
      <w:r>
        <w:rPr>
          <w:sz w:val="16"/>
        </w:rPr>
        <w:t>una</w:t>
      </w:r>
      <w:r>
        <w:rPr>
          <w:spacing w:val="-9"/>
          <w:sz w:val="16"/>
        </w:rPr>
        <w:t xml:space="preserve"> </w:t>
      </w:r>
      <w:r>
        <w:rPr>
          <w:sz w:val="16"/>
        </w:rPr>
        <w:t>falta disciplinaria grave” , ii) que el informe de investigación, y las resoluciones de la OCMA y el CNM dan cuenta pormenorizada de las irregularidades en que el señor Cordero Bernal habría incurrido al adoptar la decisión mediante la cual concedió la lib</w:t>
      </w:r>
      <w:r>
        <w:rPr>
          <w:sz w:val="16"/>
        </w:rPr>
        <w:t>ertad incondicional a […] dos procesados , iii) que “según los órganos disciplinarios dicha resolución no se ajustaba al supuesto normativo previsto en la legislación peruana para otorgar</w:t>
      </w:r>
      <w:r>
        <w:rPr>
          <w:spacing w:val="-5"/>
          <w:sz w:val="16"/>
        </w:rPr>
        <w:t xml:space="preserve"> </w:t>
      </w:r>
      <w:r>
        <w:rPr>
          <w:sz w:val="16"/>
        </w:rPr>
        <w:t>tal</w:t>
      </w:r>
      <w:r>
        <w:rPr>
          <w:spacing w:val="-3"/>
          <w:sz w:val="16"/>
        </w:rPr>
        <w:t xml:space="preserve"> </w:t>
      </w:r>
      <w:r>
        <w:rPr>
          <w:sz w:val="16"/>
        </w:rPr>
        <w:t>beneficio”</w:t>
      </w:r>
      <w:r>
        <w:rPr>
          <w:spacing w:val="-2"/>
          <w:sz w:val="16"/>
        </w:rPr>
        <w:t xml:space="preserve"> </w:t>
      </w:r>
      <w:r>
        <w:rPr>
          <w:sz w:val="16"/>
        </w:rPr>
        <w:t>,</w:t>
      </w:r>
      <w:r>
        <w:rPr>
          <w:spacing w:val="-3"/>
          <w:sz w:val="16"/>
        </w:rPr>
        <w:t xml:space="preserve"> </w:t>
      </w:r>
      <w:r>
        <w:rPr>
          <w:sz w:val="16"/>
        </w:rPr>
        <w:t>iv)</w:t>
      </w:r>
      <w:r>
        <w:rPr>
          <w:spacing w:val="-6"/>
          <w:sz w:val="16"/>
        </w:rPr>
        <w:t xml:space="preserve"> </w:t>
      </w:r>
      <w:r>
        <w:rPr>
          <w:sz w:val="16"/>
        </w:rPr>
        <w:t>que</w:t>
      </w:r>
      <w:r>
        <w:rPr>
          <w:spacing w:val="-5"/>
          <w:sz w:val="16"/>
        </w:rPr>
        <w:t xml:space="preserve"> </w:t>
      </w:r>
      <w:r>
        <w:rPr>
          <w:sz w:val="16"/>
        </w:rPr>
        <w:t>al</w:t>
      </w:r>
      <w:r>
        <w:rPr>
          <w:spacing w:val="-3"/>
          <w:sz w:val="16"/>
        </w:rPr>
        <w:t xml:space="preserve"> </w:t>
      </w:r>
      <w:r>
        <w:rPr>
          <w:sz w:val="16"/>
        </w:rPr>
        <w:t>“no</w:t>
      </w:r>
      <w:r>
        <w:rPr>
          <w:spacing w:val="-5"/>
          <w:sz w:val="16"/>
        </w:rPr>
        <w:t xml:space="preserve"> </w:t>
      </w:r>
      <w:r>
        <w:rPr>
          <w:sz w:val="16"/>
        </w:rPr>
        <w:t>hab[er]</w:t>
      </w:r>
      <w:r>
        <w:rPr>
          <w:spacing w:val="-4"/>
          <w:sz w:val="16"/>
        </w:rPr>
        <w:t xml:space="preserve"> </w:t>
      </w:r>
      <w:r>
        <w:rPr>
          <w:sz w:val="16"/>
        </w:rPr>
        <w:t>llevado</w:t>
      </w:r>
      <w:r>
        <w:rPr>
          <w:spacing w:val="-2"/>
          <w:sz w:val="16"/>
        </w:rPr>
        <w:t xml:space="preserve"> </w:t>
      </w:r>
      <w:r>
        <w:rPr>
          <w:sz w:val="16"/>
        </w:rPr>
        <w:t>a</w:t>
      </w:r>
      <w:r>
        <w:rPr>
          <w:spacing w:val="-6"/>
          <w:sz w:val="16"/>
        </w:rPr>
        <w:t xml:space="preserve"> </w:t>
      </w:r>
      <w:r>
        <w:rPr>
          <w:sz w:val="16"/>
        </w:rPr>
        <w:t>cabo</w:t>
      </w:r>
      <w:r>
        <w:rPr>
          <w:spacing w:val="-4"/>
          <w:sz w:val="16"/>
        </w:rPr>
        <w:t xml:space="preserve"> </w:t>
      </w:r>
      <w:r>
        <w:rPr>
          <w:sz w:val="16"/>
        </w:rPr>
        <w:t>ninguna</w:t>
      </w:r>
      <w:r>
        <w:rPr>
          <w:spacing w:val="-3"/>
          <w:sz w:val="16"/>
        </w:rPr>
        <w:t xml:space="preserve"> </w:t>
      </w:r>
      <w:r>
        <w:rPr>
          <w:sz w:val="16"/>
        </w:rPr>
        <w:t>dilig</w:t>
      </w:r>
      <w:r>
        <w:rPr>
          <w:sz w:val="16"/>
        </w:rPr>
        <w:t>encia</w:t>
      </w:r>
      <w:r>
        <w:rPr>
          <w:spacing w:val="-3"/>
          <w:sz w:val="16"/>
        </w:rPr>
        <w:t xml:space="preserve"> </w:t>
      </w:r>
      <w:r>
        <w:rPr>
          <w:sz w:val="16"/>
        </w:rPr>
        <w:t>de</w:t>
      </w:r>
      <w:r>
        <w:rPr>
          <w:spacing w:val="-5"/>
          <w:sz w:val="16"/>
        </w:rPr>
        <w:t xml:space="preserve"> </w:t>
      </w:r>
      <w:r>
        <w:rPr>
          <w:sz w:val="16"/>
        </w:rPr>
        <w:t>carácter</w:t>
      </w:r>
      <w:r>
        <w:rPr>
          <w:spacing w:val="-5"/>
          <w:sz w:val="16"/>
        </w:rPr>
        <w:t xml:space="preserve"> </w:t>
      </w:r>
      <w:r>
        <w:rPr>
          <w:sz w:val="16"/>
        </w:rPr>
        <w:t>sustantivo</w:t>
      </w:r>
      <w:r>
        <w:rPr>
          <w:spacing w:val="-4"/>
          <w:sz w:val="16"/>
        </w:rPr>
        <w:t xml:space="preserve"> </w:t>
      </w:r>
      <w:r>
        <w:rPr>
          <w:sz w:val="16"/>
        </w:rPr>
        <w:t>dentro del proceso; tom[ar] la decisión de conceder la libertad incondicional sin que se hubiese cumplido el plazo previsto para ello y no hab[er] apreciado el conjunto de la prueba” darían cuenta de la inconducta del juez, sie</w:t>
      </w:r>
      <w:r>
        <w:rPr>
          <w:sz w:val="16"/>
        </w:rPr>
        <w:t>ndo</w:t>
      </w:r>
      <w:r>
        <w:rPr>
          <w:spacing w:val="-5"/>
          <w:sz w:val="16"/>
        </w:rPr>
        <w:t xml:space="preserve"> </w:t>
      </w:r>
      <w:r>
        <w:rPr>
          <w:sz w:val="16"/>
        </w:rPr>
        <w:t>consideradas</w:t>
      </w:r>
      <w:r>
        <w:rPr>
          <w:spacing w:val="-5"/>
          <w:sz w:val="16"/>
        </w:rPr>
        <w:t xml:space="preserve"> </w:t>
      </w:r>
      <w:r>
        <w:rPr>
          <w:sz w:val="16"/>
        </w:rPr>
        <w:t>como</w:t>
      </w:r>
      <w:r>
        <w:rPr>
          <w:spacing w:val="-2"/>
          <w:sz w:val="16"/>
        </w:rPr>
        <w:t xml:space="preserve"> </w:t>
      </w:r>
      <w:r>
        <w:rPr>
          <w:sz w:val="16"/>
        </w:rPr>
        <w:t>irregularidades,</w:t>
      </w:r>
      <w:r>
        <w:rPr>
          <w:spacing w:val="-4"/>
          <w:sz w:val="16"/>
        </w:rPr>
        <w:t xml:space="preserve"> </w:t>
      </w:r>
      <w:r>
        <w:rPr>
          <w:sz w:val="16"/>
        </w:rPr>
        <w:t>y</w:t>
      </w:r>
      <w:r>
        <w:rPr>
          <w:spacing w:val="-4"/>
          <w:sz w:val="16"/>
        </w:rPr>
        <w:t xml:space="preserve"> </w:t>
      </w:r>
      <w:r>
        <w:rPr>
          <w:sz w:val="16"/>
        </w:rPr>
        <w:t>v)</w:t>
      </w:r>
      <w:r>
        <w:rPr>
          <w:spacing w:val="-7"/>
          <w:sz w:val="16"/>
        </w:rPr>
        <w:t xml:space="preserve"> </w:t>
      </w:r>
      <w:r>
        <w:rPr>
          <w:sz w:val="16"/>
        </w:rPr>
        <w:t>a</w:t>
      </w:r>
      <w:r>
        <w:rPr>
          <w:spacing w:val="-3"/>
          <w:sz w:val="16"/>
        </w:rPr>
        <w:t xml:space="preserve"> </w:t>
      </w:r>
      <w:r>
        <w:rPr>
          <w:sz w:val="16"/>
        </w:rPr>
        <w:t>criterio</w:t>
      </w:r>
      <w:r>
        <w:rPr>
          <w:spacing w:val="-4"/>
          <w:sz w:val="16"/>
        </w:rPr>
        <w:t xml:space="preserve"> </w:t>
      </w:r>
      <w:r>
        <w:rPr>
          <w:sz w:val="16"/>
        </w:rPr>
        <w:t>del</w:t>
      </w:r>
      <w:r>
        <w:rPr>
          <w:spacing w:val="-3"/>
          <w:sz w:val="16"/>
        </w:rPr>
        <w:t xml:space="preserve"> </w:t>
      </w:r>
      <w:r>
        <w:rPr>
          <w:sz w:val="16"/>
        </w:rPr>
        <w:t>CNM</w:t>
      </w:r>
      <w:r>
        <w:rPr>
          <w:spacing w:val="-4"/>
          <w:sz w:val="16"/>
        </w:rPr>
        <w:t xml:space="preserve"> </w:t>
      </w:r>
      <w:r>
        <w:rPr>
          <w:sz w:val="16"/>
        </w:rPr>
        <w:t>esa</w:t>
      </w:r>
      <w:r>
        <w:rPr>
          <w:spacing w:val="-6"/>
          <w:sz w:val="16"/>
        </w:rPr>
        <w:t xml:space="preserve"> </w:t>
      </w:r>
      <w:r>
        <w:rPr>
          <w:sz w:val="16"/>
        </w:rPr>
        <w:t>conducta</w:t>
      </w:r>
      <w:r>
        <w:rPr>
          <w:spacing w:val="-7"/>
          <w:sz w:val="16"/>
        </w:rPr>
        <w:t xml:space="preserve"> </w:t>
      </w:r>
      <w:r>
        <w:rPr>
          <w:sz w:val="16"/>
        </w:rPr>
        <w:t>“fue</w:t>
      </w:r>
      <w:r>
        <w:rPr>
          <w:spacing w:val="-5"/>
          <w:sz w:val="16"/>
        </w:rPr>
        <w:t xml:space="preserve"> </w:t>
      </w:r>
      <w:r>
        <w:rPr>
          <w:sz w:val="16"/>
        </w:rPr>
        <w:t>grave</w:t>
      </w:r>
      <w:r>
        <w:rPr>
          <w:spacing w:val="-5"/>
          <w:sz w:val="16"/>
        </w:rPr>
        <w:t xml:space="preserve"> </w:t>
      </w:r>
      <w:r>
        <w:rPr>
          <w:sz w:val="16"/>
        </w:rPr>
        <w:t>y</w:t>
      </w:r>
      <w:r>
        <w:rPr>
          <w:spacing w:val="-4"/>
          <w:sz w:val="16"/>
        </w:rPr>
        <w:t xml:space="preserve"> </w:t>
      </w:r>
      <w:r>
        <w:rPr>
          <w:sz w:val="16"/>
        </w:rPr>
        <w:t>comprometió</w:t>
      </w:r>
      <w:r>
        <w:rPr>
          <w:spacing w:val="-4"/>
          <w:sz w:val="16"/>
        </w:rPr>
        <w:t xml:space="preserve"> </w:t>
      </w:r>
      <w:r>
        <w:rPr>
          <w:sz w:val="16"/>
        </w:rPr>
        <w:t xml:space="preserve">la dignidad del cargo, porque no tuvo sustento jurídico racional”. </w:t>
      </w:r>
      <w:r>
        <w:rPr>
          <w:i/>
          <w:sz w:val="16"/>
        </w:rPr>
        <w:t>Cfr. Caso Cordero Bernal Vs. Perú. Excepciones</w:t>
      </w:r>
      <w:r>
        <w:rPr>
          <w:i/>
          <w:spacing w:val="-5"/>
          <w:sz w:val="16"/>
        </w:rPr>
        <w:t xml:space="preserve"> </w:t>
      </w:r>
      <w:r>
        <w:rPr>
          <w:i/>
          <w:sz w:val="16"/>
        </w:rPr>
        <w:t>Preliminares</w:t>
      </w:r>
      <w:r>
        <w:rPr>
          <w:i/>
          <w:spacing w:val="-4"/>
          <w:sz w:val="16"/>
        </w:rPr>
        <w:t xml:space="preserve"> </w:t>
      </w:r>
      <w:r>
        <w:rPr>
          <w:i/>
          <w:sz w:val="16"/>
        </w:rPr>
        <w:t>y</w:t>
      </w:r>
      <w:r>
        <w:rPr>
          <w:i/>
          <w:spacing w:val="-3"/>
          <w:sz w:val="16"/>
        </w:rPr>
        <w:t xml:space="preserve"> </w:t>
      </w:r>
      <w:r>
        <w:rPr>
          <w:i/>
          <w:sz w:val="16"/>
        </w:rPr>
        <w:t>Fondo.</w:t>
      </w:r>
      <w:r>
        <w:rPr>
          <w:i/>
          <w:spacing w:val="-3"/>
          <w:sz w:val="16"/>
        </w:rPr>
        <w:t xml:space="preserve"> </w:t>
      </w:r>
      <w:r>
        <w:rPr>
          <w:sz w:val="16"/>
        </w:rPr>
        <w:t>Sentencia</w:t>
      </w:r>
      <w:r>
        <w:rPr>
          <w:spacing w:val="-2"/>
          <w:sz w:val="16"/>
        </w:rPr>
        <w:t xml:space="preserve"> </w:t>
      </w:r>
      <w:r>
        <w:rPr>
          <w:sz w:val="16"/>
        </w:rPr>
        <w:t>de</w:t>
      </w:r>
      <w:r>
        <w:rPr>
          <w:spacing w:val="-4"/>
          <w:sz w:val="16"/>
        </w:rPr>
        <w:t xml:space="preserve"> </w:t>
      </w:r>
      <w:r>
        <w:rPr>
          <w:sz w:val="16"/>
        </w:rPr>
        <w:t>16</w:t>
      </w:r>
      <w:r>
        <w:rPr>
          <w:spacing w:val="-2"/>
          <w:sz w:val="16"/>
        </w:rPr>
        <w:t xml:space="preserve"> </w:t>
      </w:r>
      <w:r>
        <w:rPr>
          <w:sz w:val="16"/>
        </w:rPr>
        <w:t>de</w:t>
      </w:r>
      <w:r>
        <w:rPr>
          <w:spacing w:val="-4"/>
          <w:sz w:val="16"/>
        </w:rPr>
        <w:t xml:space="preserve"> </w:t>
      </w:r>
      <w:r>
        <w:rPr>
          <w:sz w:val="16"/>
        </w:rPr>
        <w:t>febrero</w:t>
      </w:r>
      <w:r>
        <w:rPr>
          <w:spacing w:val="-3"/>
          <w:sz w:val="16"/>
        </w:rPr>
        <w:t xml:space="preserve"> </w:t>
      </w:r>
      <w:r>
        <w:rPr>
          <w:sz w:val="16"/>
        </w:rPr>
        <w:t>de</w:t>
      </w:r>
      <w:r>
        <w:rPr>
          <w:spacing w:val="-5"/>
          <w:sz w:val="16"/>
        </w:rPr>
        <w:t xml:space="preserve"> </w:t>
      </w:r>
      <w:r>
        <w:rPr>
          <w:sz w:val="16"/>
        </w:rPr>
        <w:t>2021.</w:t>
      </w:r>
      <w:r>
        <w:rPr>
          <w:spacing w:val="-2"/>
          <w:sz w:val="16"/>
        </w:rPr>
        <w:t xml:space="preserve"> </w:t>
      </w:r>
      <w:r>
        <w:rPr>
          <w:sz w:val="16"/>
        </w:rPr>
        <w:t>Serie</w:t>
      </w:r>
      <w:r>
        <w:rPr>
          <w:spacing w:val="-4"/>
          <w:sz w:val="16"/>
        </w:rPr>
        <w:t xml:space="preserve"> </w:t>
      </w:r>
      <w:r>
        <w:rPr>
          <w:sz w:val="16"/>
        </w:rPr>
        <w:t>C</w:t>
      </w:r>
      <w:r>
        <w:rPr>
          <w:spacing w:val="-2"/>
          <w:sz w:val="16"/>
        </w:rPr>
        <w:t xml:space="preserve"> </w:t>
      </w:r>
      <w:r>
        <w:rPr>
          <w:sz w:val="16"/>
        </w:rPr>
        <w:t>No.</w:t>
      </w:r>
      <w:r>
        <w:rPr>
          <w:spacing w:val="-5"/>
          <w:sz w:val="16"/>
        </w:rPr>
        <w:t xml:space="preserve"> </w:t>
      </w:r>
      <w:r>
        <w:rPr>
          <w:sz w:val="16"/>
        </w:rPr>
        <w:t>421,</w:t>
      </w:r>
      <w:r>
        <w:rPr>
          <w:spacing w:val="-5"/>
          <w:sz w:val="16"/>
        </w:rPr>
        <w:t xml:space="preserve"> </w:t>
      </w:r>
      <w:r>
        <w:rPr>
          <w:sz w:val="16"/>
        </w:rPr>
        <w:t>párrs.</w:t>
      </w:r>
      <w:r>
        <w:rPr>
          <w:spacing w:val="-3"/>
          <w:sz w:val="16"/>
        </w:rPr>
        <w:t xml:space="preserve"> </w:t>
      </w:r>
      <w:r>
        <w:rPr>
          <w:sz w:val="16"/>
        </w:rPr>
        <w:t>84,</w:t>
      </w:r>
      <w:r>
        <w:rPr>
          <w:spacing w:val="-5"/>
          <w:sz w:val="16"/>
        </w:rPr>
        <w:t xml:space="preserve"> </w:t>
      </w:r>
      <w:r>
        <w:rPr>
          <w:sz w:val="16"/>
        </w:rPr>
        <w:t>85</w:t>
      </w:r>
      <w:r>
        <w:rPr>
          <w:spacing w:val="-3"/>
          <w:sz w:val="16"/>
        </w:rPr>
        <w:t xml:space="preserve"> </w:t>
      </w:r>
      <w:r>
        <w:rPr>
          <w:sz w:val="16"/>
        </w:rPr>
        <w:t>y</w:t>
      </w:r>
      <w:r>
        <w:rPr>
          <w:spacing w:val="-4"/>
          <w:sz w:val="16"/>
        </w:rPr>
        <w:t xml:space="preserve"> </w:t>
      </w:r>
      <w:r>
        <w:rPr>
          <w:sz w:val="16"/>
        </w:rPr>
        <w:t>86.</w:t>
      </w:r>
    </w:p>
    <w:p w14:paraId="51B4305F" w14:textId="77777777" w:rsidR="00492688" w:rsidRDefault="00492688">
      <w:pPr>
        <w:pStyle w:val="Textoindependiente"/>
      </w:pPr>
    </w:p>
    <w:p w14:paraId="08B0853B" w14:textId="77777777" w:rsidR="00492688" w:rsidRDefault="00492688">
      <w:pPr>
        <w:pStyle w:val="Textoindependiente"/>
        <w:spacing w:before="4"/>
        <w:rPr>
          <w:sz w:val="19"/>
        </w:rPr>
      </w:pPr>
    </w:p>
    <w:p w14:paraId="76F3DE4E" w14:textId="77777777" w:rsidR="00492688" w:rsidRDefault="00C9584B">
      <w:pPr>
        <w:spacing w:before="51"/>
        <w:ind w:right="111"/>
        <w:jc w:val="center"/>
        <w:rPr>
          <w:rFonts w:ascii="Calibri"/>
          <w:sz w:val="24"/>
        </w:rPr>
      </w:pPr>
      <w:r>
        <w:rPr>
          <w:rFonts w:ascii="Calibri"/>
          <w:sz w:val="24"/>
        </w:rPr>
        <w:t>8</w:t>
      </w:r>
    </w:p>
    <w:p w14:paraId="04A4472F"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2D4B7878" w14:textId="77777777" w:rsidR="00492688" w:rsidRDefault="00C9584B">
      <w:pPr>
        <w:pStyle w:val="Textoindependiente"/>
        <w:spacing w:before="71"/>
        <w:ind w:left="121" w:right="228"/>
        <w:jc w:val="both"/>
      </w:pPr>
      <w:r>
        <w:rPr>
          <w:spacing w:val="-4"/>
        </w:rPr>
        <w:lastRenderedPageBreak/>
        <w:t xml:space="preserve">externó </w:t>
      </w:r>
      <w:r>
        <w:rPr>
          <w:spacing w:val="-3"/>
        </w:rPr>
        <w:t xml:space="preserve">que “no </w:t>
      </w:r>
      <w:r>
        <w:rPr>
          <w:spacing w:val="-4"/>
        </w:rPr>
        <w:t xml:space="preserve">carec[ía] totalmente </w:t>
      </w:r>
      <w:r>
        <w:t xml:space="preserve">de </w:t>
      </w:r>
      <w:r>
        <w:rPr>
          <w:spacing w:val="-3"/>
        </w:rPr>
        <w:t>fundamentación”</w:t>
      </w:r>
      <w:hyperlink w:anchor="_bookmark171" w:history="1">
        <w:r>
          <w:rPr>
            <w:spacing w:val="-3"/>
            <w:position w:val="7"/>
            <w:sz w:val="13"/>
          </w:rPr>
          <w:t>26</w:t>
        </w:r>
      </w:hyperlink>
      <w:r>
        <w:rPr>
          <w:spacing w:val="-3"/>
        </w:rPr>
        <w:t xml:space="preserve">. </w:t>
      </w:r>
      <w:r>
        <w:t xml:space="preserve">De </w:t>
      </w:r>
      <w:r>
        <w:rPr>
          <w:spacing w:val="-3"/>
        </w:rPr>
        <w:t xml:space="preserve">este modo, </w:t>
      </w:r>
      <w:r>
        <w:t xml:space="preserve">se </w:t>
      </w:r>
      <w:r>
        <w:rPr>
          <w:spacing w:val="-4"/>
        </w:rPr>
        <w:t xml:space="preserve">concluyó </w:t>
      </w:r>
      <w:r>
        <w:rPr>
          <w:spacing w:val="-3"/>
        </w:rPr>
        <w:t xml:space="preserve">que “el </w:t>
      </w:r>
      <w:r>
        <w:t xml:space="preserve">CNM </w:t>
      </w:r>
      <w:r>
        <w:rPr>
          <w:spacing w:val="-4"/>
        </w:rPr>
        <w:t xml:space="preserve">valoró </w:t>
      </w:r>
      <w:r>
        <w:rPr>
          <w:spacing w:val="-3"/>
        </w:rPr>
        <w:t xml:space="preserve">la </w:t>
      </w:r>
      <w:r>
        <w:rPr>
          <w:spacing w:val="-4"/>
        </w:rPr>
        <w:t xml:space="preserve">gravedad </w:t>
      </w:r>
      <w:r>
        <w:rPr>
          <w:spacing w:val="-3"/>
        </w:rPr>
        <w:t xml:space="preserve">de </w:t>
      </w:r>
      <w:r>
        <w:t xml:space="preserve">la </w:t>
      </w:r>
      <w:r>
        <w:rPr>
          <w:spacing w:val="-4"/>
        </w:rPr>
        <w:t xml:space="preserve">conducta del </w:t>
      </w:r>
      <w:r>
        <w:rPr>
          <w:spacing w:val="-3"/>
        </w:rPr>
        <w:t xml:space="preserve">juez, esto es, </w:t>
      </w:r>
      <w:r>
        <w:rPr>
          <w:spacing w:val="-4"/>
        </w:rPr>
        <w:t xml:space="preserve">adoptar </w:t>
      </w:r>
      <w:r>
        <w:rPr>
          <w:spacing w:val="-3"/>
        </w:rPr>
        <w:t xml:space="preserve">una </w:t>
      </w:r>
      <w:r>
        <w:rPr>
          <w:spacing w:val="-4"/>
        </w:rPr>
        <w:t xml:space="preserve">decisión irrazonable, </w:t>
      </w:r>
      <w:r>
        <w:rPr>
          <w:spacing w:val="-3"/>
        </w:rPr>
        <w:t xml:space="preserve">así como </w:t>
      </w:r>
      <w:r>
        <w:t xml:space="preserve">su </w:t>
      </w:r>
      <w:r>
        <w:rPr>
          <w:spacing w:val="-4"/>
        </w:rPr>
        <w:t xml:space="preserve">impacto </w:t>
      </w:r>
      <w:r>
        <w:rPr>
          <w:spacing w:val="-3"/>
        </w:rPr>
        <w:t xml:space="preserve">en </w:t>
      </w:r>
      <w:r>
        <w:t xml:space="preserve">la </w:t>
      </w:r>
      <w:r>
        <w:rPr>
          <w:spacing w:val="-4"/>
        </w:rPr>
        <w:t xml:space="preserve">función judicial. </w:t>
      </w:r>
      <w:r>
        <w:rPr>
          <w:spacing w:val="-3"/>
        </w:rPr>
        <w:t xml:space="preserve">Por </w:t>
      </w:r>
      <w:r>
        <w:rPr>
          <w:spacing w:val="-4"/>
        </w:rPr>
        <w:t xml:space="preserve">cuenta </w:t>
      </w:r>
      <w:r>
        <w:t xml:space="preserve">de </w:t>
      </w:r>
      <w:r>
        <w:rPr>
          <w:spacing w:val="-4"/>
        </w:rPr>
        <w:t xml:space="preserve">tal valoración, procedió </w:t>
      </w:r>
      <w:r>
        <w:t xml:space="preserve">a </w:t>
      </w:r>
      <w:r>
        <w:rPr>
          <w:spacing w:val="-4"/>
        </w:rPr>
        <w:t xml:space="preserve">adoptar </w:t>
      </w:r>
      <w:r>
        <w:t xml:space="preserve">la </w:t>
      </w:r>
      <w:r>
        <w:rPr>
          <w:spacing w:val="-4"/>
        </w:rPr>
        <w:t xml:space="preserve">decisión </w:t>
      </w:r>
      <w:r>
        <w:t xml:space="preserve">de </w:t>
      </w:r>
      <w:r>
        <w:rPr>
          <w:spacing w:val="-3"/>
        </w:rPr>
        <w:t>destitución”</w:t>
      </w:r>
      <w:hyperlink w:anchor="_bookmark172" w:history="1">
        <w:r>
          <w:rPr>
            <w:spacing w:val="-3"/>
            <w:position w:val="7"/>
            <w:sz w:val="13"/>
          </w:rPr>
          <w:t>27</w:t>
        </w:r>
      </w:hyperlink>
      <w:r>
        <w:rPr>
          <w:spacing w:val="-3"/>
          <w:position w:val="7"/>
          <w:sz w:val="13"/>
        </w:rPr>
        <w:t xml:space="preserve"> </w:t>
      </w:r>
      <w:r>
        <w:t xml:space="preserve">y </w:t>
      </w:r>
      <w:r>
        <w:rPr>
          <w:spacing w:val="-2"/>
        </w:rPr>
        <w:t xml:space="preserve">que </w:t>
      </w:r>
      <w:r>
        <w:rPr>
          <w:spacing w:val="-4"/>
        </w:rPr>
        <w:t xml:space="preserve">“del estudio hecho </w:t>
      </w:r>
      <w:r>
        <w:rPr>
          <w:spacing w:val="-2"/>
        </w:rPr>
        <w:t xml:space="preserve">por </w:t>
      </w:r>
      <w:r>
        <w:t xml:space="preserve">la </w:t>
      </w:r>
      <w:r>
        <w:rPr>
          <w:spacing w:val="-4"/>
        </w:rPr>
        <w:t xml:space="preserve">autoridad disciplinaria </w:t>
      </w:r>
      <w:r>
        <w:t xml:space="preserve">se </w:t>
      </w:r>
      <w:r>
        <w:rPr>
          <w:spacing w:val="-4"/>
        </w:rPr>
        <w:t xml:space="preserve">desprenden </w:t>
      </w:r>
      <w:r>
        <w:rPr>
          <w:spacing w:val="-3"/>
        </w:rPr>
        <w:t xml:space="preserve">las </w:t>
      </w:r>
      <w:r>
        <w:rPr>
          <w:spacing w:val="-4"/>
        </w:rPr>
        <w:t xml:space="preserve">razones </w:t>
      </w:r>
      <w:r>
        <w:rPr>
          <w:spacing w:val="-3"/>
        </w:rPr>
        <w:t xml:space="preserve">que </w:t>
      </w:r>
      <w:r>
        <w:rPr>
          <w:spacing w:val="-4"/>
        </w:rPr>
        <w:t xml:space="preserve">llevaron </w:t>
      </w:r>
      <w:r>
        <w:rPr>
          <w:spacing w:val="-3"/>
        </w:rPr>
        <w:t xml:space="preserve">al CNM </w:t>
      </w:r>
      <w:r>
        <w:t xml:space="preserve">a </w:t>
      </w:r>
      <w:r>
        <w:rPr>
          <w:spacing w:val="-4"/>
        </w:rPr>
        <w:t xml:space="preserve">determinar </w:t>
      </w:r>
      <w:r>
        <w:rPr>
          <w:spacing w:val="-3"/>
        </w:rPr>
        <w:t xml:space="preserve">que </w:t>
      </w:r>
      <w:r>
        <w:t>la</w:t>
      </w:r>
      <w:r>
        <w:rPr>
          <w:spacing w:val="-50"/>
        </w:rPr>
        <w:t xml:space="preserve"> </w:t>
      </w:r>
      <w:r>
        <w:rPr>
          <w:spacing w:val="-4"/>
        </w:rPr>
        <w:t>conducta del</w:t>
      </w:r>
      <w:r>
        <w:rPr>
          <w:spacing w:val="-9"/>
        </w:rPr>
        <w:t xml:space="preserve"> </w:t>
      </w:r>
      <w:r>
        <w:rPr>
          <w:spacing w:val="-3"/>
        </w:rPr>
        <w:t>señor</w:t>
      </w:r>
      <w:r>
        <w:rPr>
          <w:spacing w:val="-10"/>
        </w:rPr>
        <w:t xml:space="preserve"> </w:t>
      </w:r>
      <w:r>
        <w:rPr>
          <w:spacing w:val="-4"/>
        </w:rPr>
        <w:t>Cordero</w:t>
      </w:r>
      <w:r>
        <w:rPr>
          <w:spacing w:val="-13"/>
        </w:rPr>
        <w:t xml:space="preserve"> </w:t>
      </w:r>
      <w:r>
        <w:rPr>
          <w:spacing w:val="-4"/>
        </w:rPr>
        <w:t>Bernal</w:t>
      </w:r>
      <w:r>
        <w:rPr>
          <w:spacing w:val="-10"/>
        </w:rPr>
        <w:t xml:space="preserve"> </w:t>
      </w:r>
      <w:r>
        <w:t>no</w:t>
      </w:r>
      <w:r>
        <w:rPr>
          <w:spacing w:val="-10"/>
        </w:rPr>
        <w:t xml:space="preserve"> </w:t>
      </w:r>
      <w:r>
        <w:rPr>
          <w:spacing w:val="-3"/>
        </w:rPr>
        <w:t>solo</w:t>
      </w:r>
      <w:r>
        <w:rPr>
          <w:spacing w:val="-13"/>
        </w:rPr>
        <w:t xml:space="preserve"> </w:t>
      </w:r>
      <w:r>
        <w:t>fue</w:t>
      </w:r>
      <w:r>
        <w:rPr>
          <w:spacing w:val="-12"/>
        </w:rPr>
        <w:t xml:space="preserve"> </w:t>
      </w:r>
      <w:r>
        <w:rPr>
          <w:spacing w:val="-4"/>
        </w:rPr>
        <w:t>grave,</w:t>
      </w:r>
      <w:r>
        <w:rPr>
          <w:spacing w:val="-10"/>
        </w:rPr>
        <w:t xml:space="preserve"> </w:t>
      </w:r>
      <w:r>
        <w:rPr>
          <w:spacing w:val="-4"/>
        </w:rPr>
        <w:t>sino</w:t>
      </w:r>
      <w:r>
        <w:rPr>
          <w:spacing w:val="-10"/>
        </w:rPr>
        <w:t xml:space="preserve"> </w:t>
      </w:r>
      <w:r>
        <w:rPr>
          <w:spacing w:val="-2"/>
        </w:rPr>
        <w:t>que</w:t>
      </w:r>
      <w:r>
        <w:rPr>
          <w:spacing w:val="-13"/>
        </w:rPr>
        <w:t xml:space="preserve"> </w:t>
      </w:r>
      <w:r>
        <w:rPr>
          <w:spacing w:val="-4"/>
        </w:rPr>
        <w:t>además</w:t>
      </w:r>
      <w:r>
        <w:rPr>
          <w:spacing w:val="-9"/>
        </w:rPr>
        <w:t xml:space="preserve"> </w:t>
      </w:r>
      <w:r>
        <w:rPr>
          <w:spacing w:val="-4"/>
        </w:rPr>
        <w:t>comprometía</w:t>
      </w:r>
      <w:r>
        <w:rPr>
          <w:spacing w:val="-11"/>
        </w:rPr>
        <w:t xml:space="preserve"> </w:t>
      </w:r>
      <w:r>
        <w:t>la</w:t>
      </w:r>
      <w:r>
        <w:rPr>
          <w:spacing w:val="-11"/>
        </w:rPr>
        <w:t xml:space="preserve"> </w:t>
      </w:r>
      <w:r>
        <w:rPr>
          <w:spacing w:val="-4"/>
        </w:rPr>
        <w:t>dignidad</w:t>
      </w:r>
      <w:r>
        <w:rPr>
          <w:spacing w:val="-10"/>
        </w:rPr>
        <w:t xml:space="preserve"> </w:t>
      </w:r>
      <w:r>
        <w:rPr>
          <w:spacing w:val="-4"/>
        </w:rPr>
        <w:t xml:space="preserve">del cargo </w:t>
      </w:r>
      <w:r>
        <w:t xml:space="preserve">y lo </w:t>
      </w:r>
      <w:r>
        <w:rPr>
          <w:spacing w:val="-4"/>
        </w:rPr>
        <w:t xml:space="preserve">desmerecía </w:t>
      </w:r>
      <w:r>
        <w:t xml:space="preserve">en </w:t>
      </w:r>
      <w:r>
        <w:rPr>
          <w:spacing w:val="-3"/>
        </w:rPr>
        <w:t xml:space="preserve">el </w:t>
      </w:r>
      <w:r>
        <w:rPr>
          <w:spacing w:val="-4"/>
        </w:rPr>
        <w:t xml:space="preserve">concepto público, </w:t>
      </w:r>
      <w:r>
        <w:rPr>
          <w:spacing w:val="-2"/>
        </w:rPr>
        <w:t xml:space="preserve">por </w:t>
      </w:r>
      <w:r>
        <w:rPr>
          <w:spacing w:val="-4"/>
        </w:rPr>
        <w:t xml:space="preserve">cuenta </w:t>
      </w:r>
      <w:r>
        <w:t xml:space="preserve">de </w:t>
      </w:r>
      <w:r>
        <w:rPr>
          <w:spacing w:val="-3"/>
        </w:rPr>
        <w:t xml:space="preserve">su </w:t>
      </w:r>
      <w:r>
        <w:rPr>
          <w:spacing w:val="-4"/>
        </w:rPr>
        <w:t>irrazo</w:t>
      </w:r>
      <w:r>
        <w:rPr>
          <w:spacing w:val="-4"/>
        </w:rPr>
        <w:t xml:space="preserve">nabilidad </w:t>
      </w:r>
      <w:r>
        <w:t xml:space="preserve">e </w:t>
      </w:r>
      <w:r>
        <w:rPr>
          <w:spacing w:val="-4"/>
        </w:rPr>
        <w:t xml:space="preserve">impacto </w:t>
      </w:r>
      <w:r>
        <w:rPr>
          <w:spacing w:val="-3"/>
        </w:rPr>
        <w:t>público”</w:t>
      </w:r>
      <w:hyperlink w:anchor="_bookmark173" w:history="1">
        <w:r>
          <w:rPr>
            <w:spacing w:val="-3"/>
            <w:position w:val="7"/>
            <w:sz w:val="13"/>
          </w:rPr>
          <w:t>28</w:t>
        </w:r>
      </w:hyperlink>
      <w:r>
        <w:rPr>
          <w:spacing w:val="-3"/>
        </w:rPr>
        <w:t>.</w:t>
      </w:r>
    </w:p>
    <w:p w14:paraId="43595562" w14:textId="77777777" w:rsidR="00492688" w:rsidRDefault="00492688">
      <w:pPr>
        <w:pStyle w:val="Textoindependiente"/>
        <w:spacing w:before="11"/>
        <w:rPr>
          <w:sz w:val="19"/>
        </w:rPr>
      </w:pPr>
    </w:p>
    <w:p w14:paraId="552D5682" w14:textId="77777777" w:rsidR="00492688" w:rsidRDefault="00C9584B">
      <w:pPr>
        <w:pStyle w:val="Prrafodelista"/>
        <w:numPr>
          <w:ilvl w:val="0"/>
          <w:numId w:val="3"/>
        </w:numPr>
        <w:tabs>
          <w:tab w:val="left" w:pos="830"/>
        </w:tabs>
        <w:ind w:right="224" w:firstLine="0"/>
        <w:jc w:val="both"/>
        <w:rPr>
          <w:sz w:val="20"/>
        </w:rPr>
      </w:pPr>
      <w:r>
        <w:rPr>
          <w:sz w:val="20"/>
        </w:rPr>
        <w:t>En</w:t>
      </w:r>
      <w:r>
        <w:rPr>
          <w:spacing w:val="-18"/>
          <w:sz w:val="20"/>
        </w:rPr>
        <w:t xml:space="preserve"> </w:t>
      </w:r>
      <w:r>
        <w:rPr>
          <w:spacing w:val="-3"/>
          <w:sz w:val="20"/>
        </w:rPr>
        <w:t>este</w:t>
      </w:r>
      <w:r>
        <w:rPr>
          <w:spacing w:val="-19"/>
          <w:sz w:val="20"/>
        </w:rPr>
        <w:t xml:space="preserve"> </w:t>
      </w:r>
      <w:r>
        <w:rPr>
          <w:spacing w:val="-3"/>
          <w:sz w:val="20"/>
        </w:rPr>
        <w:t>punto</w:t>
      </w:r>
      <w:r>
        <w:rPr>
          <w:spacing w:val="-18"/>
          <w:sz w:val="20"/>
        </w:rPr>
        <w:t xml:space="preserve"> </w:t>
      </w:r>
      <w:r>
        <w:rPr>
          <w:spacing w:val="-4"/>
          <w:sz w:val="20"/>
        </w:rPr>
        <w:t>cabe</w:t>
      </w:r>
      <w:r>
        <w:rPr>
          <w:spacing w:val="-17"/>
          <w:sz w:val="20"/>
        </w:rPr>
        <w:t xml:space="preserve"> </w:t>
      </w:r>
      <w:r>
        <w:rPr>
          <w:spacing w:val="-4"/>
          <w:sz w:val="20"/>
        </w:rPr>
        <w:t>recordar</w:t>
      </w:r>
      <w:r>
        <w:rPr>
          <w:spacing w:val="-20"/>
          <w:sz w:val="20"/>
        </w:rPr>
        <w:t xml:space="preserve"> </w:t>
      </w:r>
      <w:r>
        <w:rPr>
          <w:spacing w:val="-3"/>
          <w:sz w:val="20"/>
        </w:rPr>
        <w:t>lo</w:t>
      </w:r>
      <w:r>
        <w:rPr>
          <w:spacing w:val="-19"/>
          <w:sz w:val="20"/>
        </w:rPr>
        <w:t xml:space="preserve"> </w:t>
      </w:r>
      <w:r>
        <w:rPr>
          <w:spacing w:val="-4"/>
          <w:sz w:val="20"/>
        </w:rPr>
        <w:t>indicado</w:t>
      </w:r>
      <w:r>
        <w:rPr>
          <w:spacing w:val="-18"/>
          <w:sz w:val="20"/>
        </w:rPr>
        <w:t xml:space="preserve"> </w:t>
      </w:r>
      <w:r>
        <w:rPr>
          <w:spacing w:val="-3"/>
          <w:sz w:val="20"/>
        </w:rPr>
        <w:t>en</w:t>
      </w:r>
      <w:r>
        <w:rPr>
          <w:spacing w:val="-14"/>
          <w:sz w:val="20"/>
        </w:rPr>
        <w:t xml:space="preserve"> </w:t>
      </w:r>
      <w:r>
        <w:rPr>
          <w:spacing w:val="-3"/>
          <w:sz w:val="20"/>
        </w:rPr>
        <w:t>el</w:t>
      </w:r>
      <w:r>
        <w:rPr>
          <w:spacing w:val="-16"/>
          <w:sz w:val="20"/>
        </w:rPr>
        <w:t xml:space="preserve"> </w:t>
      </w:r>
      <w:r>
        <w:rPr>
          <w:spacing w:val="-3"/>
          <w:sz w:val="20"/>
        </w:rPr>
        <w:t>caso</w:t>
      </w:r>
      <w:r>
        <w:rPr>
          <w:spacing w:val="-17"/>
          <w:sz w:val="20"/>
        </w:rPr>
        <w:t xml:space="preserve"> </w:t>
      </w:r>
      <w:r>
        <w:rPr>
          <w:i/>
          <w:spacing w:val="-4"/>
          <w:sz w:val="20"/>
        </w:rPr>
        <w:t>López</w:t>
      </w:r>
      <w:r>
        <w:rPr>
          <w:i/>
          <w:spacing w:val="-18"/>
          <w:sz w:val="20"/>
        </w:rPr>
        <w:t xml:space="preserve"> </w:t>
      </w:r>
      <w:r>
        <w:rPr>
          <w:i/>
          <w:spacing w:val="-3"/>
          <w:sz w:val="20"/>
        </w:rPr>
        <w:t>Lone</w:t>
      </w:r>
      <w:r>
        <w:rPr>
          <w:i/>
          <w:spacing w:val="-17"/>
          <w:sz w:val="20"/>
        </w:rPr>
        <w:t xml:space="preserve"> </w:t>
      </w:r>
      <w:r>
        <w:rPr>
          <w:i/>
          <w:sz w:val="20"/>
        </w:rPr>
        <w:t>y</w:t>
      </w:r>
      <w:r>
        <w:rPr>
          <w:i/>
          <w:spacing w:val="-19"/>
          <w:sz w:val="20"/>
        </w:rPr>
        <w:t xml:space="preserve"> </w:t>
      </w:r>
      <w:r>
        <w:rPr>
          <w:i/>
          <w:spacing w:val="-4"/>
          <w:sz w:val="20"/>
        </w:rPr>
        <w:t>otros</w:t>
      </w:r>
      <w:r>
        <w:rPr>
          <w:i/>
          <w:spacing w:val="-16"/>
          <w:sz w:val="20"/>
        </w:rPr>
        <w:t xml:space="preserve"> </w:t>
      </w:r>
      <w:r>
        <w:rPr>
          <w:spacing w:val="-4"/>
          <w:sz w:val="20"/>
        </w:rPr>
        <w:t>respecto</w:t>
      </w:r>
      <w:r>
        <w:rPr>
          <w:spacing w:val="-20"/>
          <w:sz w:val="20"/>
        </w:rPr>
        <w:t xml:space="preserve"> </w:t>
      </w:r>
      <w:r>
        <w:rPr>
          <w:spacing w:val="-3"/>
          <w:sz w:val="20"/>
        </w:rPr>
        <w:t xml:space="preserve">que, ante </w:t>
      </w:r>
      <w:r>
        <w:rPr>
          <w:sz w:val="20"/>
        </w:rPr>
        <w:t xml:space="preserve">la </w:t>
      </w:r>
      <w:r>
        <w:rPr>
          <w:spacing w:val="-4"/>
          <w:sz w:val="20"/>
        </w:rPr>
        <w:t xml:space="preserve">presencia </w:t>
      </w:r>
      <w:r>
        <w:rPr>
          <w:sz w:val="20"/>
        </w:rPr>
        <w:t xml:space="preserve">de </w:t>
      </w:r>
      <w:r>
        <w:rPr>
          <w:spacing w:val="-4"/>
          <w:sz w:val="20"/>
        </w:rPr>
        <w:t xml:space="preserve">tipos sancionatorios indeterminados </w:t>
      </w:r>
      <w:r>
        <w:rPr>
          <w:sz w:val="20"/>
        </w:rPr>
        <w:t xml:space="preserve">y </w:t>
      </w:r>
      <w:r>
        <w:rPr>
          <w:spacing w:val="-3"/>
          <w:sz w:val="20"/>
        </w:rPr>
        <w:t xml:space="preserve">ante la </w:t>
      </w:r>
      <w:r>
        <w:rPr>
          <w:spacing w:val="-4"/>
          <w:sz w:val="20"/>
        </w:rPr>
        <w:t xml:space="preserve">ausencia </w:t>
      </w:r>
      <w:r>
        <w:rPr>
          <w:sz w:val="20"/>
        </w:rPr>
        <w:t xml:space="preserve">de </w:t>
      </w:r>
      <w:r>
        <w:rPr>
          <w:spacing w:val="-4"/>
          <w:sz w:val="20"/>
        </w:rPr>
        <w:t xml:space="preserve">normativa </w:t>
      </w:r>
      <w:r>
        <w:rPr>
          <w:spacing w:val="-3"/>
          <w:sz w:val="20"/>
        </w:rPr>
        <w:t xml:space="preserve">que </w:t>
      </w:r>
      <w:r>
        <w:rPr>
          <w:spacing w:val="-4"/>
          <w:sz w:val="20"/>
        </w:rPr>
        <w:t xml:space="preserve">desarrolle </w:t>
      </w:r>
      <w:r>
        <w:rPr>
          <w:spacing w:val="-2"/>
          <w:sz w:val="20"/>
        </w:rPr>
        <w:t xml:space="preserve">los </w:t>
      </w:r>
      <w:r>
        <w:rPr>
          <w:spacing w:val="-4"/>
          <w:sz w:val="20"/>
        </w:rPr>
        <w:t xml:space="preserve">criterios objetivos, </w:t>
      </w:r>
      <w:r>
        <w:rPr>
          <w:spacing w:val="-3"/>
          <w:sz w:val="20"/>
        </w:rPr>
        <w:t xml:space="preserve">la </w:t>
      </w:r>
      <w:r>
        <w:rPr>
          <w:spacing w:val="-4"/>
          <w:sz w:val="20"/>
        </w:rPr>
        <w:t xml:space="preserve">motivación </w:t>
      </w:r>
      <w:r>
        <w:rPr>
          <w:spacing w:val="-3"/>
          <w:sz w:val="20"/>
        </w:rPr>
        <w:t xml:space="preserve">—que desde mi </w:t>
      </w:r>
      <w:r>
        <w:rPr>
          <w:spacing w:val="-4"/>
          <w:sz w:val="20"/>
        </w:rPr>
        <w:t xml:space="preserve">perspectiva </w:t>
      </w:r>
      <w:r>
        <w:rPr>
          <w:sz w:val="20"/>
        </w:rPr>
        <w:t xml:space="preserve">se ve </w:t>
      </w:r>
      <w:r>
        <w:rPr>
          <w:spacing w:val="-4"/>
          <w:sz w:val="20"/>
        </w:rPr>
        <w:t xml:space="preserve">reflejada </w:t>
      </w:r>
      <w:r>
        <w:rPr>
          <w:spacing w:val="-3"/>
          <w:sz w:val="20"/>
        </w:rPr>
        <w:t xml:space="preserve">en la </w:t>
      </w:r>
      <w:r>
        <w:rPr>
          <w:spacing w:val="-4"/>
          <w:sz w:val="20"/>
        </w:rPr>
        <w:t xml:space="preserve">argumentación </w:t>
      </w:r>
      <w:r>
        <w:rPr>
          <w:sz w:val="20"/>
        </w:rPr>
        <w:t xml:space="preserve">y </w:t>
      </w:r>
      <w:r>
        <w:rPr>
          <w:spacing w:val="-4"/>
          <w:sz w:val="20"/>
        </w:rPr>
        <w:t xml:space="preserve">razonamientos claros </w:t>
      </w:r>
      <w:r>
        <w:rPr>
          <w:sz w:val="20"/>
        </w:rPr>
        <w:t xml:space="preserve">y </w:t>
      </w:r>
      <w:r>
        <w:rPr>
          <w:spacing w:val="-4"/>
          <w:sz w:val="20"/>
        </w:rPr>
        <w:t xml:space="preserve">detallados— cobra </w:t>
      </w:r>
      <w:r>
        <w:rPr>
          <w:spacing w:val="-3"/>
          <w:sz w:val="20"/>
        </w:rPr>
        <w:t xml:space="preserve">una </w:t>
      </w:r>
      <w:r>
        <w:rPr>
          <w:spacing w:val="-4"/>
          <w:sz w:val="20"/>
        </w:rPr>
        <w:t>especial</w:t>
      </w:r>
      <w:r>
        <w:rPr>
          <w:spacing w:val="62"/>
          <w:sz w:val="20"/>
        </w:rPr>
        <w:t xml:space="preserve"> </w:t>
      </w:r>
      <w:r>
        <w:rPr>
          <w:spacing w:val="-4"/>
          <w:sz w:val="20"/>
        </w:rPr>
        <w:t xml:space="preserve">relevancia </w:t>
      </w:r>
      <w:r>
        <w:rPr>
          <w:spacing w:val="-3"/>
          <w:sz w:val="20"/>
        </w:rPr>
        <w:t xml:space="preserve">en la </w:t>
      </w:r>
      <w:r>
        <w:rPr>
          <w:spacing w:val="-4"/>
          <w:sz w:val="20"/>
        </w:rPr>
        <w:t xml:space="preserve">obligación </w:t>
      </w:r>
      <w:r>
        <w:rPr>
          <w:spacing w:val="-3"/>
          <w:sz w:val="20"/>
        </w:rPr>
        <w:t xml:space="preserve">del </w:t>
      </w:r>
      <w:r>
        <w:rPr>
          <w:spacing w:val="-4"/>
          <w:sz w:val="20"/>
        </w:rPr>
        <w:t xml:space="preserve">órgano disciplinario </w:t>
      </w:r>
      <w:r>
        <w:rPr>
          <w:sz w:val="20"/>
        </w:rPr>
        <w:t xml:space="preserve">de </w:t>
      </w:r>
      <w:r>
        <w:rPr>
          <w:spacing w:val="-4"/>
          <w:sz w:val="20"/>
        </w:rPr>
        <w:t xml:space="preserve">indicar </w:t>
      </w:r>
      <w:r>
        <w:rPr>
          <w:spacing w:val="-3"/>
          <w:sz w:val="20"/>
        </w:rPr>
        <w:t xml:space="preserve">cómo la </w:t>
      </w:r>
      <w:r>
        <w:rPr>
          <w:spacing w:val="-4"/>
          <w:sz w:val="20"/>
        </w:rPr>
        <w:t xml:space="preserve">conducta </w:t>
      </w:r>
      <w:r>
        <w:rPr>
          <w:spacing w:val="-5"/>
          <w:sz w:val="20"/>
        </w:rPr>
        <w:t xml:space="preserve">realizada </w:t>
      </w:r>
      <w:r>
        <w:rPr>
          <w:spacing w:val="-4"/>
          <w:sz w:val="20"/>
        </w:rPr>
        <w:t xml:space="preserve">encaja </w:t>
      </w:r>
      <w:r>
        <w:rPr>
          <w:sz w:val="20"/>
        </w:rPr>
        <w:t xml:space="preserve">o se </w:t>
      </w:r>
      <w:r>
        <w:rPr>
          <w:spacing w:val="-4"/>
          <w:sz w:val="20"/>
        </w:rPr>
        <w:t xml:space="preserve">circunscribe </w:t>
      </w:r>
      <w:r>
        <w:rPr>
          <w:spacing w:val="-3"/>
          <w:sz w:val="20"/>
        </w:rPr>
        <w:t xml:space="preserve">dentro </w:t>
      </w:r>
      <w:r>
        <w:rPr>
          <w:sz w:val="20"/>
        </w:rPr>
        <w:t xml:space="preserve">de </w:t>
      </w:r>
      <w:r>
        <w:rPr>
          <w:spacing w:val="-2"/>
          <w:sz w:val="20"/>
        </w:rPr>
        <w:t xml:space="preserve">los </w:t>
      </w:r>
      <w:r>
        <w:rPr>
          <w:spacing w:val="-4"/>
          <w:sz w:val="20"/>
        </w:rPr>
        <w:t xml:space="preserve">elementos indeterminados </w:t>
      </w:r>
      <w:r>
        <w:rPr>
          <w:spacing w:val="-2"/>
          <w:sz w:val="20"/>
        </w:rPr>
        <w:t xml:space="preserve">que </w:t>
      </w:r>
      <w:r>
        <w:rPr>
          <w:spacing w:val="-4"/>
          <w:sz w:val="20"/>
        </w:rPr>
        <w:t xml:space="preserve">contempla </w:t>
      </w:r>
      <w:r>
        <w:rPr>
          <w:spacing w:val="-3"/>
          <w:sz w:val="20"/>
        </w:rPr>
        <w:t xml:space="preserve">el tipo </w:t>
      </w:r>
      <w:r>
        <w:rPr>
          <w:spacing w:val="-4"/>
          <w:sz w:val="20"/>
        </w:rPr>
        <w:t>sancionatorio</w:t>
      </w:r>
      <w:r>
        <w:rPr>
          <w:spacing w:val="-21"/>
          <w:sz w:val="20"/>
        </w:rPr>
        <w:t xml:space="preserve"> </w:t>
      </w:r>
      <w:r>
        <w:rPr>
          <w:sz w:val="20"/>
        </w:rPr>
        <w:t>de</w:t>
      </w:r>
      <w:r>
        <w:rPr>
          <w:spacing w:val="-20"/>
          <w:sz w:val="20"/>
        </w:rPr>
        <w:t xml:space="preserve"> </w:t>
      </w:r>
      <w:r>
        <w:rPr>
          <w:spacing w:val="-4"/>
          <w:sz w:val="20"/>
        </w:rPr>
        <w:t>carácter</w:t>
      </w:r>
      <w:r>
        <w:rPr>
          <w:spacing w:val="-20"/>
          <w:sz w:val="20"/>
        </w:rPr>
        <w:t xml:space="preserve"> </w:t>
      </w:r>
      <w:r>
        <w:rPr>
          <w:spacing w:val="-3"/>
          <w:sz w:val="20"/>
        </w:rPr>
        <w:t>abierto</w:t>
      </w:r>
      <w:r>
        <w:rPr>
          <w:spacing w:val="-20"/>
          <w:sz w:val="20"/>
        </w:rPr>
        <w:t xml:space="preserve"> </w:t>
      </w:r>
      <w:r>
        <w:rPr>
          <w:spacing w:val="-3"/>
          <w:sz w:val="20"/>
        </w:rPr>
        <w:t>(que</w:t>
      </w:r>
      <w:r>
        <w:rPr>
          <w:spacing w:val="-18"/>
          <w:sz w:val="20"/>
        </w:rPr>
        <w:t xml:space="preserve"> </w:t>
      </w:r>
      <w:r>
        <w:rPr>
          <w:spacing w:val="-3"/>
          <w:sz w:val="20"/>
        </w:rPr>
        <w:t>en</w:t>
      </w:r>
      <w:r>
        <w:rPr>
          <w:spacing w:val="-15"/>
          <w:sz w:val="20"/>
        </w:rPr>
        <w:t xml:space="preserve"> </w:t>
      </w:r>
      <w:r>
        <w:rPr>
          <w:spacing w:val="-4"/>
          <w:sz w:val="20"/>
        </w:rPr>
        <w:t>este</w:t>
      </w:r>
      <w:r>
        <w:rPr>
          <w:spacing w:val="-18"/>
          <w:sz w:val="20"/>
        </w:rPr>
        <w:t xml:space="preserve"> </w:t>
      </w:r>
      <w:r>
        <w:rPr>
          <w:spacing w:val="-4"/>
          <w:sz w:val="20"/>
        </w:rPr>
        <w:t>caso,</w:t>
      </w:r>
      <w:r>
        <w:rPr>
          <w:spacing w:val="-19"/>
          <w:sz w:val="20"/>
        </w:rPr>
        <w:t xml:space="preserve"> </w:t>
      </w:r>
      <w:r>
        <w:rPr>
          <w:spacing w:val="-3"/>
          <w:sz w:val="20"/>
        </w:rPr>
        <w:t>son</w:t>
      </w:r>
      <w:r>
        <w:rPr>
          <w:spacing w:val="-18"/>
          <w:sz w:val="20"/>
        </w:rPr>
        <w:t xml:space="preserve"> </w:t>
      </w:r>
      <w:r>
        <w:rPr>
          <w:spacing w:val="-3"/>
          <w:sz w:val="20"/>
        </w:rPr>
        <w:t>tres</w:t>
      </w:r>
      <w:r>
        <w:rPr>
          <w:spacing w:val="-20"/>
          <w:sz w:val="20"/>
        </w:rPr>
        <w:t xml:space="preserve"> </w:t>
      </w:r>
      <w:r>
        <w:rPr>
          <w:spacing w:val="-3"/>
          <w:sz w:val="20"/>
        </w:rPr>
        <w:t>los</w:t>
      </w:r>
      <w:r>
        <w:rPr>
          <w:spacing w:val="-20"/>
          <w:sz w:val="20"/>
        </w:rPr>
        <w:t xml:space="preserve"> </w:t>
      </w:r>
      <w:r>
        <w:rPr>
          <w:sz w:val="20"/>
        </w:rPr>
        <w:t>que</w:t>
      </w:r>
      <w:r>
        <w:rPr>
          <w:spacing w:val="-20"/>
          <w:sz w:val="20"/>
        </w:rPr>
        <w:t xml:space="preserve"> </w:t>
      </w:r>
      <w:r>
        <w:rPr>
          <w:spacing w:val="-4"/>
          <w:sz w:val="20"/>
        </w:rPr>
        <w:t>contempla</w:t>
      </w:r>
      <w:r>
        <w:rPr>
          <w:spacing w:val="-16"/>
          <w:sz w:val="20"/>
        </w:rPr>
        <w:t xml:space="preserve"> </w:t>
      </w:r>
      <w:r>
        <w:rPr>
          <w:spacing w:val="-3"/>
          <w:sz w:val="20"/>
        </w:rPr>
        <w:t>el</w:t>
      </w:r>
      <w:r>
        <w:rPr>
          <w:spacing w:val="-18"/>
          <w:sz w:val="20"/>
        </w:rPr>
        <w:t xml:space="preserve"> </w:t>
      </w:r>
      <w:r>
        <w:rPr>
          <w:spacing w:val="-3"/>
          <w:sz w:val="20"/>
        </w:rPr>
        <w:t>art.</w:t>
      </w:r>
      <w:r>
        <w:rPr>
          <w:spacing w:val="-19"/>
          <w:sz w:val="20"/>
        </w:rPr>
        <w:t xml:space="preserve"> </w:t>
      </w:r>
      <w:r>
        <w:rPr>
          <w:spacing w:val="-3"/>
          <w:sz w:val="20"/>
        </w:rPr>
        <w:t xml:space="preserve">31.2 de la LOC, </w:t>
      </w:r>
      <w:r>
        <w:rPr>
          <w:i/>
          <w:spacing w:val="-4"/>
          <w:sz w:val="20"/>
        </w:rPr>
        <w:t xml:space="preserve">supra </w:t>
      </w:r>
      <w:r>
        <w:rPr>
          <w:spacing w:val="-4"/>
          <w:sz w:val="20"/>
        </w:rPr>
        <w:t xml:space="preserve">párr. </w:t>
      </w:r>
      <w:r>
        <w:rPr>
          <w:spacing w:val="-3"/>
          <w:sz w:val="20"/>
        </w:rPr>
        <w:t xml:space="preserve">24); </w:t>
      </w:r>
      <w:r>
        <w:rPr>
          <w:spacing w:val="-4"/>
          <w:sz w:val="20"/>
        </w:rPr>
        <w:t xml:space="preserve">siendo </w:t>
      </w:r>
      <w:r>
        <w:rPr>
          <w:spacing w:val="-3"/>
          <w:sz w:val="20"/>
        </w:rPr>
        <w:t xml:space="preserve">que, </w:t>
      </w:r>
      <w:r>
        <w:rPr>
          <w:spacing w:val="-4"/>
          <w:sz w:val="20"/>
        </w:rPr>
        <w:t xml:space="preserve">además </w:t>
      </w:r>
      <w:r>
        <w:rPr>
          <w:spacing w:val="-3"/>
          <w:sz w:val="20"/>
        </w:rPr>
        <w:t xml:space="preserve">de que </w:t>
      </w:r>
      <w:r>
        <w:rPr>
          <w:spacing w:val="-4"/>
          <w:sz w:val="20"/>
        </w:rPr>
        <w:t>dich</w:t>
      </w:r>
      <w:r>
        <w:rPr>
          <w:spacing w:val="-4"/>
          <w:sz w:val="20"/>
        </w:rPr>
        <w:t xml:space="preserve">os elementos indeterminados debían </w:t>
      </w:r>
      <w:r>
        <w:rPr>
          <w:spacing w:val="-3"/>
          <w:sz w:val="20"/>
        </w:rPr>
        <w:t xml:space="preserve">haber </w:t>
      </w:r>
      <w:r>
        <w:rPr>
          <w:spacing w:val="-4"/>
          <w:sz w:val="20"/>
        </w:rPr>
        <w:t xml:space="preserve">sido previamente desarrollados </w:t>
      </w:r>
      <w:r>
        <w:rPr>
          <w:spacing w:val="-2"/>
          <w:sz w:val="20"/>
        </w:rPr>
        <w:t xml:space="preserve">por </w:t>
      </w:r>
      <w:r>
        <w:rPr>
          <w:spacing w:val="-3"/>
          <w:sz w:val="20"/>
        </w:rPr>
        <w:t xml:space="preserve">vía </w:t>
      </w:r>
      <w:r>
        <w:rPr>
          <w:spacing w:val="-4"/>
          <w:sz w:val="20"/>
        </w:rPr>
        <w:t xml:space="preserve">normativa </w:t>
      </w:r>
      <w:r>
        <w:rPr>
          <w:sz w:val="20"/>
        </w:rPr>
        <w:t xml:space="preserve">o </w:t>
      </w:r>
      <w:r>
        <w:rPr>
          <w:spacing w:val="-4"/>
          <w:sz w:val="20"/>
        </w:rPr>
        <w:t xml:space="preserve">interpretativa, </w:t>
      </w:r>
      <w:r>
        <w:rPr>
          <w:spacing w:val="-3"/>
          <w:sz w:val="20"/>
        </w:rPr>
        <w:t xml:space="preserve">ese </w:t>
      </w:r>
      <w:r>
        <w:rPr>
          <w:spacing w:val="-4"/>
          <w:sz w:val="20"/>
        </w:rPr>
        <w:t xml:space="preserve">desarrollo normativo </w:t>
      </w:r>
      <w:r>
        <w:rPr>
          <w:sz w:val="20"/>
        </w:rPr>
        <w:t xml:space="preserve">o </w:t>
      </w:r>
      <w:r>
        <w:rPr>
          <w:spacing w:val="-4"/>
          <w:sz w:val="20"/>
        </w:rPr>
        <w:t xml:space="preserve">interpretativo </w:t>
      </w:r>
      <w:r>
        <w:rPr>
          <w:spacing w:val="-3"/>
          <w:sz w:val="20"/>
        </w:rPr>
        <w:t xml:space="preserve">debe </w:t>
      </w:r>
      <w:r>
        <w:rPr>
          <w:spacing w:val="-4"/>
          <w:sz w:val="20"/>
        </w:rPr>
        <w:t xml:space="preserve">estar presente </w:t>
      </w:r>
      <w:r>
        <w:rPr>
          <w:spacing w:val="-3"/>
          <w:sz w:val="20"/>
        </w:rPr>
        <w:t xml:space="preserve">en </w:t>
      </w:r>
      <w:r>
        <w:rPr>
          <w:sz w:val="20"/>
        </w:rPr>
        <w:t xml:space="preserve">la </w:t>
      </w:r>
      <w:r>
        <w:rPr>
          <w:spacing w:val="-4"/>
          <w:sz w:val="20"/>
        </w:rPr>
        <w:t xml:space="preserve">motivación </w:t>
      </w:r>
      <w:r>
        <w:rPr>
          <w:spacing w:val="-2"/>
          <w:sz w:val="20"/>
        </w:rPr>
        <w:t xml:space="preserve">del </w:t>
      </w:r>
      <w:r>
        <w:rPr>
          <w:spacing w:val="-4"/>
          <w:sz w:val="20"/>
        </w:rPr>
        <w:t>órgano</w:t>
      </w:r>
      <w:r>
        <w:rPr>
          <w:spacing w:val="62"/>
          <w:sz w:val="20"/>
        </w:rPr>
        <w:t xml:space="preserve"> </w:t>
      </w:r>
      <w:r>
        <w:rPr>
          <w:spacing w:val="-5"/>
          <w:sz w:val="20"/>
        </w:rPr>
        <w:t>sancionador.</w:t>
      </w:r>
    </w:p>
    <w:p w14:paraId="475CA520" w14:textId="77777777" w:rsidR="00492688" w:rsidRDefault="00492688">
      <w:pPr>
        <w:pStyle w:val="Textoindependiente"/>
        <w:spacing w:before="2"/>
      </w:pPr>
    </w:p>
    <w:p w14:paraId="483785AE" w14:textId="77777777" w:rsidR="00492688" w:rsidRDefault="00C9584B">
      <w:pPr>
        <w:pStyle w:val="Prrafodelista"/>
        <w:numPr>
          <w:ilvl w:val="0"/>
          <w:numId w:val="3"/>
        </w:numPr>
        <w:tabs>
          <w:tab w:val="left" w:pos="830"/>
        </w:tabs>
        <w:ind w:right="226" w:firstLine="0"/>
        <w:jc w:val="both"/>
        <w:rPr>
          <w:sz w:val="20"/>
        </w:rPr>
      </w:pPr>
      <w:r>
        <w:rPr>
          <w:sz w:val="20"/>
        </w:rPr>
        <w:t xml:space="preserve">De </w:t>
      </w:r>
      <w:r>
        <w:rPr>
          <w:spacing w:val="-4"/>
          <w:sz w:val="20"/>
        </w:rPr>
        <w:t xml:space="preserve">acuerdo </w:t>
      </w:r>
      <w:r>
        <w:rPr>
          <w:spacing w:val="-3"/>
          <w:sz w:val="20"/>
        </w:rPr>
        <w:t xml:space="preserve">con el </w:t>
      </w:r>
      <w:r>
        <w:rPr>
          <w:spacing w:val="-4"/>
          <w:sz w:val="20"/>
        </w:rPr>
        <w:t xml:space="preserve">criterio mayoritario, “el Informe </w:t>
      </w:r>
      <w:r>
        <w:rPr>
          <w:sz w:val="20"/>
        </w:rPr>
        <w:t xml:space="preserve">de </w:t>
      </w:r>
      <w:r>
        <w:rPr>
          <w:spacing w:val="-4"/>
          <w:sz w:val="20"/>
        </w:rPr>
        <w:t xml:space="preserve">Investigación, </w:t>
      </w:r>
      <w:r>
        <w:rPr>
          <w:sz w:val="20"/>
        </w:rPr>
        <w:t xml:space="preserve">y </w:t>
      </w:r>
      <w:r>
        <w:rPr>
          <w:spacing w:val="-3"/>
          <w:sz w:val="20"/>
        </w:rPr>
        <w:t xml:space="preserve">las </w:t>
      </w:r>
      <w:r>
        <w:rPr>
          <w:spacing w:val="-4"/>
          <w:sz w:val="20"/>
        </w:rPr>
        <w:t>resoluciones</w:t>
      </w:r>
      <w:r>
        <w:rPr>
          <w:spacing w:val="-16"/>
          <w:sz w:val="20"/>
        </w:rPr>
        <w:t xml:space="preserve"> </w:t>
      </w:r>
      <w:r>
        <w:rPr>
          <w:sz w:val="20"/>
        </w:rPr>
        <w:t>de</w:t>
      </w:r>
      <w:r>
        <w:rPr>
          <w:spacing w:val="-20"/>
          <w:sz w:val="20"/>
        </w:rPr>
        <w:t xml:space="preserve"> </w:t>
      </w:r>
      <w:r>
        <w:rPr>
          <w:sz w:val="20"/>
        </w:rPr>
        <w:t>la</w:t>
      </w:r>
      <w:r>
        <w:rPr>
          <w:spacing w:val="-15"/>
          <w:sz w:val="20"/>
        </w:rPr>
        <w:t xml:space="preserve"> </w:t>
      </w:r>
      <w:r>
        <w:rPr>
          <w:spacing w:val="-4"/>
          <w:sz w:val="20"/>
        </w:rPr>
        <w:t>Oficina</w:t>
      </w:r>
      <w:r>
        <w:rPr>
          <w:spacing w:val="-16"/>
          <w:sz w:val="20"/>
        </w:rPr>
        <w:t xml:space="preserve"> </w:t>
      </w:r>
      <w:r>
        <w:rPr>
          <w:sz w:val="20"/>
        </w:rPr>
        <w:t>de</w:t>
      </w:r>
      <w:r>
        <w:rPr>
          <w:spacing w:val="-19"/>
          <w:sz w:val="20"/>
        </w:rPr>
        <w:t xml:space="preserve"> </w:t>
      </w:r>
      <w:r>
        <w:rPr>
          <w:spacing w:val="-4"/>
          <w:sz w:val="20"/>
        </w:rPr>
        <w:t>Control</w:t>
      </w:r>
      <w:r>
        <w:rPr>
          <w:spacing w:val="-16"/>
          <w:sz w:val="20"/>
        </w:rPr>
        <w:t xml:space="preserve"> </w:t>
      </w:r>
      <w:r>
        <w:rPr>
          <w:sz w:val="20"/>
        </w:rPr>
        <w:t>de</w:t>
      </w:r>
      <w:r>
        <w:rPr>
          <w:spacing w:val="-18"/>
          <w:sz w:val="20"/>
        </w:rPr>
        <w:t xml:space="preserve"> </w:t>
      </w:r>
      <w:r>
        <w:rPr>
          <w:sz w:val="20"/>
        </w:rPr>
        <w:t>la</w:t>
      </w:r>
      <w:r>
        <w:rPr>
          <w:spacing w:val="-17"/>
          <w:sz w:val="20"/>
        </w:rPr>
        <w:t xml:space="preserve"> </w:t>
      </w:r>
      <w:r>
        <w:rPr>
          <w:spacing w:val="-4"/>
          <w:sz w:val="20"/>
        </w:rPr>
        <w:t>Magistratura</w:t>
      </w:r>
      <w:r>
        <w:rPr>
          <w:spacing w:val="-16"/>
          <w:sz w:val="20"/>
        </w:rPr>
        <w:t xml:space="preserve"> </w:t>
      </w:r>
      <w:r>
        <w:rPr>
          <w:spacing w:val="-3"/>
          <w:sz w:val="20"/>
        </w:rPr>
        <w:t>(en</w:t>
      </w:r>
      <w:r>
        <w:rPr>
          <w:spacing w:val="-16"/>
          <w:sz w:val="20"/>
        </w:rPr>
        <w:t xml:space="preserve"> </w:t>
      </w:r>
      <w:r>
        <w:rPr>
          <w:spacing w:val="-4"/>
          <w:sz w:val="20"/>
        </w:rPr>
        <w:t>adelante</w:t>
      </w:r>
      <w:r>
        <w:rPr>
          <w:spacing w:val="-18"/>
          <w:sz w:val="20"/>
        </w:rPr>
        <w:t xml:space="preserve"> </w:t>
      </w:r>
      <w:r>
        <w:rPr>
          <w:spacing w:val="-3"/>
          <w:sz w:val="20"/>
        </w:rPr>
        <w:t>“la</w:t>
      </w:r>
      <w:r>
        <w:rPr>
          <w:spacing w:val="-15"/>
          <w:sz w:val="20"/>
        </w:rPr>
        <w:t xml:space="preserve"> </w:t>
      </w:r>
      <w:r>
        <w:rPr>
          <w:spacing w:val="-4"/>
          <w:sz w:val="20"/>
        </w:rPr>
        <w:t>OCMA”)</w:t>
      </w:r>
      <w:r>
        <w:rPr>
          <w:spacing w:val="-16"/>
          <w:sz w:val="20"/>
        </w:rPr>
        <w:t xml:space="preserve"> </w:t>
      </w:r>
      <w:r>
        <w:rPr>
          <w:sz w:val="20"/>
        </w:rPr>
        <w:t>y</w:t>
      </w:r>
      <w:r>
        <w:rPr>
          <w:spacing w:val="-17"/>
          <w:sz w:val="20"/>
        </w:rPr>
        <w:t xml:space="preserve"> </w:t>
      </w:r>
      <w:r>
        <w:rPr>
          <w:spacing w:val="-3"/>
          <w:sz w:val="20"/>
        </w:rPr>
        <w:t>del</w:t>
      </w:r>
      <w:r>
        <w:rPr>
          <w:spacing w:val="-15"/>
          <w:sz w:val="20"/>
        </w:rPr>
        <w:t xml:space="preserve"> </w:t>
      </w:r>
      <w:r>
        <w:rPr>
          <w:spacing w:val="-4"/>
          <w:sz w:val="20"/>
        </w:rPr>
        <w:t xml:space="preserve">CNM dan cuenta pormenorizada </w:t>
      </w:r>
      <w:r>
        <w:rPr>
          <w:sz w:val="20"/>
        </w:rPr>
        <w:t xml:space="preserve">de </w:t>
      </w:r>
      <w:r>
        <w:rPr>
          <w:spacing w:val="-3"/>
          <w:sz w:val="20"/>
        </w:rPr>
        <w:t xml:space="preserve">las </w:t>
      </w:r>
      <w:r>
        <w:rPr>
          <w:spacing w:val="-4"/>
          <w:sz w:val="20"/>
        </w:rPr>
        <w:t xml:space="preserve">irregularidades </w:t>
      </w:r>
      <w:r>
        <w:rPr>
          <w:sz w:val="20"/>
        </w:rPr>
        <w:t xml:space="preserve">en </w:t>
      </w:r>
      <w:r>
        <w:rPr>
          <w:spacing w:val="-3"/>
          <w:sz w:val="20"/>
        </w:rPr>
        <w:t xml:space="preserve">que el señor </w:t>
      </w:r>
      <w:r>
        <w:rPr>
          <w:spacing w:val="-4"/>
          <w:sz w:val="20"/>
        </w:rPr>
        <w:t>Cordero Bernal habría</w:t>
      </w:r>
      <w:r>
        <w:rPr>
          <w:spacing w:val="62"/>
          <w:sz w:val="20"/>
        </w:rPr>
        <w:t xml:space="preserve"> </w:t>
      </w:r>
      <w:r>
        <w:rPr>
          <w:spacing w:val="-3"/>
          <w:sz w:val="20"/>
        </w:rPr>
        <w:t>incurrido”</w:t>
      </w:r>
      <w:hyperlink w:anchor="_bookmark174" w:history="1">
        <w:r>
          <w:rPr>
            <w:spacing w:val="-3"/>
            <w:position w:val="7"/>
            <w:sz w:val="13"/>
          </w:rPr>
          <w:t>29</w:t>
        </w:r>
      </w:hyperlink>
      <w:r>
        <w:rPr>
          <w:spacing w:val="-3"/>
          <w:sz w:val="20"/>
        </w:rPr>
        <w:t xml:space="preserve">, </w:t>
      </w:r>
      <w:r>
        <w:rPr>
          <w:sz w:val="20"/>
        </w:rPr>
        <w:t xml:space="preserve">y </w:t>
      </w:r>
      <w:r>
        <w:rPr>
          <w:spacing w:val="-2"/>
          <w:sz w:val="20"/>
        </w:rPr>
        <w:t xml:space="preserve">por </w:t>
      </w:r>
      <w:r>
        <w:rPr>
          <w:spacing w:val="-3"/>
          <w:sz w:val="20"/>
        </w:rPr>
        <w:t xml:space="preserve">ello </w:t>
      </w:r>
      <w:r>
        <w:rPr>
          <w:spacing w:val="-4"/>
          <w:sz w:val="20"/>
        </w:rPr>
        <w:t xml:space="preserve">“la decisión </w:t>
      </w:r>
      <w:r>
        <w:rPr>
          <w:spacing w:val="-3"/>
          <w:sz w:val="20"/>
        </w:rPr>
        <w:t xml:space="preserve">del CNM </w:t>
      </w:r>
      <w:r>
        <w:rPr>
          <w:spacing w:val="-4"/>
          <w:sz w:val="20"/>
        </w:rPr>
        <w:t xml:space="preserve">está debidamente motivada </w:t>
      </w:r>
      <w:r>
        <w:rPr>
          <w:sz w:val="20"/>
        </w:rPr>
        <w:t xml:space="preserve">y no es </w:t>
      </w:r>
      <w:r>
        <w:rPr>
          <w:spacing w:val="-3"/>
          <w:sz w:val="20"/>
        </w:rPr>
        <w:t>arbitraria”</w:t>
      </w:r>
      <w:hyperlink w:anchor="_bookmark175" w:history="1">
        <w:r>
          <w:rPr>
            <w:spacing w:val="-3"/>
            <w:position w:val="7"/>
            <w:sz w:val="13"/>
          </w:rPr>
          <w:t>30</w:t>
        </w:r>
      </w:hyperlink>
      <w:r>
        <w:rPr>
          <w:spacing w:val="-3"/>
          <w:sz w:val="20"/>
        </w:rPr>
        <w:t>.</w:t>
      </w:r>
      <w:r>
        <w:rPr>
          <w:spacing w:val="-12"/>
          <w:sz w:val="20"/>
        </w:rPr>
        <w:t xml:space="preserve"> </w:t>
      </w:r>
      <w:r>
        <w:rPr>
          <w:spacing w:val="-4"/>
          <w:sz w:val="20"/>
        </w:rPr>
        <w:t>Sin</w:t>
      </w:r>
      <w:r>
        <w:rPr>
          <w:spacing w:val="-6"/>
          <w:sz w:val="20"/>
        </w:rPr>
        <w:t xml:space="preserve"> </w:t>
      </w:r>
      <w:r>
        <w:rPr>
          <w:spacing w:val="-4"/>
          <w:sz w:val="20"/>
        </w:rPr>
        <w:t>embargo,</w:t>
      </w:r>
      <w:r>
        <w:rPr>
          <w:spacing w:val="-10"/>
          <w:sz w:val="20"/>
        </w:rPr>
        <w:t xml:space="preserve"> </w:t>
      </w:r>
      <w:r>
        <w:rPr>
          <w:spacing w:val="-3"/>
          <w:sz w:val="20"/>
        </w:rPr>
        <w:t>debo</w:t>
      </w:r>
      <w:r>
        <w:rPr>
          <w:spacing w:val="-13"/>
          <w:sz w:val="20"/>
        </w:rPr>
        <w:t xml:space="preserve"> </w:t>
      </w:r>
      <w:r>
        <w:rPr>
          <w:spacing w:val="-4"/>
          <w:sz w:val="20"/>
        </w:rPr>
        <w:t>destacar</w:t>
      </w:r>
      <w:r>
        <w:rPr>
          <w:spacing w:val="-13"/>
          <w:sz w:val="20"/>
        </w:rPr>
        <w:t xml:space="preserve"> </w:t>
      </w:r>
      <w:r>
        <w:rPr>
          <w:spacing w:val="-3"/>
          <w:sz w:val="20"/>
        </w:rPr>
        <w:t>que</w:t>
      </w:r>
      <w:r>
        <w:rPr>
          <w:spacing w:val="-8"/>
          <w:sz w:val="20"/>
        </w:rPr>
        <w:t xml:space="preserve"> </w:t>
      </w:r>
      <w:r>
        <w:rPr>
          <w:spacing w:val="-3"/>
          <w:sz w:val="20"/>
        </w:rPr>
        <w:t>si</w:t>
      </w:r>
      <w:r>
        <w:rPr>
          <w:spacing w:val="-11"/>
          <w:sz w:val="20"/>
        </w:rPr>
        <w:t xml:space="preserve"> </w:t>
      </w:r>
      <w:r>
        <w:rPr>
          <w:sz w:val="20"/>
        </w:rPr>
        <w:t>bien</w:t>
      </w:r>
      <w:r>
        <w:rPr>
          <w:spacing w:val="-11"/>
          <w:sz w:val="20"/>
        </w:rPr>
        <w:t xml:space="preserve"> </w:t>
      </w:r>
      <w:r>
        <w:rPr>
          <w:sz w:val="20"/>
        </w:rPr>
        <w:t>el</w:t>
      </w:r>
      <w:r>
        <w:rPr>
          <w:spacing w:val="-10"/>
          <w:sz w:val="20"/>
        </w:rPr>
        <w:t xml:space="preserve"> </w:t>
      </w:r>
      <w:r>
        <w:rPr>
          <w:spacing w:val="-4"/>
          <w:sz w:val="20"/>
        </w:rPr>
        <w:t>informe</w:t>
      </w:r>
      <w:r>
        <w:rPr>
          <w:spacing w:val="-10"/>
          <w:sz w:val="20"/>
        </w:rPr>
        <w:t xml:space="preserve"> </w:t>
      </w:r>
      <w:r>
        <w:rPr>
          <w:sz w:val="20"/>
        </w:rPr>
        <w:t>de</w:t>
      </w:r>
      <w:r>
        <w:rPr>
          <w:spacing w:val="-12"/>
          <w:sz w:val="20"/>
        </w:rPr>
        <w:t xml:space="preserve"> </w:t>
      </w:r>
      <w:r>
        <w:rPr>
          <w:spacing w:val="-4"/>
          <w:sz w:val="20"/>
        </w:rPr>
        <w:t>investigación</w:t>
      </w:r>
      <w:r>
        <w:rPr>
          <w:spacing w:val="-8"/>
          <w:sz w:val="20"/>
        </w:rPr>
        <w:t xml:space="preserve"> </w:t>
      </w:r>
      <w:r>
        <w:rPr>
          <w:spacing w:val="-3"/>
          <w:sz w:val="20"/>
        </w:rPr>
        <w:t>así</w:t>
      </w:r>
      <w:r>
        <w:rPr>
          <w:spacing w:val="-9"/>
          <w:sz w:val="20"/>
        </w:rPr>
        <w:t xml:space="preserve"> </w:t>
      </w:r>
      <w:r>
        <w:rPr>
          <w:spacing w:val="-4"/>
          <w:sz w:val="20"/>
        </w:rPr>
        <w:t xml:space="preserve">como las resoluciones </w:t>
      </w:r>
      <w:r>
        <w:rPr>
          <w:sz w:val="20"/>
        </w:rPr>
        <w:t xml:space="preserve">de </w:t>
      </w:r>
      <w:r>
        <w:rPr>
          <w:spacing w:val="-3"/>
          <w:sz w:val="20"/>
        </w:rPr>
        <w:t xml:space="preserve">la </w:t>
      </w:r>
      <w:r>
        <w:rPr>
          <w:spacing w:val="-4"/>
          <w:sz w:val="20"/>
        </w:rPr>
        <w:t xml:space="preserve">OCMA </w:t>
      </w:r>
      <w:r>
        <w:rPr>
          <w:sz w:val="20"/>
        </w:rPr>
        <w:t xml:space="preserve">y </w:t>
      </w:r>
      <w:r>
        <w:rPr>
          <w:spacing w:val="-3"/>
          <w:sz w:val="20"/>
        </w:rPr>
        <w:t xml:space="preserve">del CNM </w:t>
      </w:r>
      <w:r>
        <w:rPr>
          <w:spacing w:val="-4"/>
          <w:sz w:val="20"/>
        </w:rPr>
        <w:t xml:space="preserve">describen </w:t>
      </w:r>
      <w:r>
        <w:rPr>
          <w:spacing w:val="-3"/>
          <w:sz w:val="20"/>
        </w:rPr>
        <w:t xml:space="preserve">las </w:t>
      </w:r>
      <w:r>
        <w:rPr>
          <w:spacing w:val="-4"/>
          <w:sz w:val="20"/>
        </w:rPr>
        <w:t xml:space="preserve">acciones </w:t>
      </w:r>
      <w:r>
        <w:rPr>
          <w:sz w:val="20"/>
        </w:rPr>
        <w:t xml:space="preserve">y </w:t>
      </w:r>
      <w:r>
        <w:rPr>
          <w:spacing w:val="-4"/>
          <w:sz w:val="20"/>
        </w:rPr>
        <w:t xml:space="preserve">omisiones </w:t>
      </w:r>
      <w:r>
        <w:rPr>
          <w:spacing w:val="-3"/>
          <w:sz w:val="20"/>
        </w:rPr>
        <w:t xml:space="preserve">del señor </w:t>
      </w:r>
      <w:r>
        <w:rPr>
          <w:spacing w:val="-4"/>
          <w:sz w:val="20"/>
        </w:rPr>
        <w:t xml:space="preserve">Cordero Bernal </w:t>
      </w:r>
      <w:r>
        <w:rPr>
          <w:spacing w:val="-3"/>
          <w:sz w:val="20"/>
        </w:rPr>
        <w:t xml:space="preserve">al </w:t>
      </w:r>
      <w:r>
        <w:rPr>
          <w:spacing w:val="-4"/>
          <w:sz w:val="20"/>
        </w:rPr>
        <w:t xml:space="preserve">adoptar </w:t>
      </w:r>
      <w:r>
        <w:rPr>
          <w:spacing w:val="-3"/>
          <w:sz w:val="20"/>
        </w:rPr>
        <w:t xml:space="preserve">la </w:t>
      </w:r>
      <w:r>
        <w:rPr>
          <w:spacing w:val="-4"/>
          <w:sz w:val="20"/>
        </w:rPr>
        <w:t xml:space="preserve">decisión </w:t>
      </w:r>
      <w:r>
        <w:rPr>
          <w:sz w:val="20"/>
        </w:rPr>
        <w:t xml:space="preserve">y se </w:t>
      </w:r>
      <w:r>
        <w:rPr>
          <w:spacing w:val="-4"/>
          <w:sz w:val="20"/>
        </w:rPr>
        <w:t xml:space="preserve">calificaron </w:t>
      </w:r>
      <w:r>
        <w:rPr>
          <w:spacing w:val="-3"/>
          <w:sz w:val="20"/>
        </w:rPr>
        <w:t xml:space="preserve">“como </w:t>
      </w:r>
      <w:r>
        <w:rPr>
          <w:spacing w:val="-4"/>
          <w:sz w:val="20"/>
        </w:rPr>
        <w:t xml:space="preserve">graves”, </w:t>
      </w:r>
      <w:r>
        <w:rPr>
          <w:sz w:val="20"/>
        </w:rPr>
        <w:t xml:space="preserve">no </w:t>
      </w:r>
      <w:r>
        <w:rPr>
          <w:spacing w:val="-3"/>
          <w:sz w:val="20"/>
        </w:rPr>
        <w:t xml:space="preserve">debe </w:t>
      </w:r>
      <w:r>
        <w:rPr>
          <w:spacing w:val="-4"/>
          <w:sz w:val="20"/>
        </w:rPr>
        <w:t xml:space="preserve">pasar inadvertido </w:t>
      </w:r>
      <w:r>
        <w:rPr>
          <w:spacing w:val="-3"/>
          <w:sz w:val="20"/>
        </w:rPr>
        <w:t xml:space="preserve">que en </w:t>
      </w:r>
      <w:r>
        <w:rPr>
          <w:sz w:val="20"/>
        </w:rPr>
        <w:t xml:space="preserve">las </w:t>
      </w:r>
      <w:r>
        <w:rPr>
          <w:spacing w:val="-3"/>
          <w:sz w:val="20"/>
        </w:rPr>
        <w:t xml:space="preserve">tres </w:t>
      </w:r>
      <w:r>
        <w:rPr>
          <w:spacing w:val="-4"/>
          <w:sz w:val="20"/>
        </w:rPr>
        <w:t xml:space="preserve">decisiones </w:t>
      </w:r>
      <w:r>
        <w:rPr>
          <w:sz w:val="20"/>
        </w:rPr>
        <w:t xml:space="preserve">se </w:t>
      </w:r>
      <w:r>
        <w:rPr>
          <w:spacing w:val="-3"/>
          <w:sz w:val="20"/>
        </w:rPr>
        <w:t xml:space="preserve">hace </w:t>
      </w:r>
      <w:r>
        <w:rPr>
          <w:spacing w:val="-4"/>
          <w:sz w:val="20"/>
        </w:rPr>
        <w:t xml:space="preserve">únicamente </w:t>
      </w:r>
      <w:r>
        <w:rPr>
          <w:sz w:val="20"/>
        </w:rPr>
        <w:t xml:space="preserve">un </w:t>
      </w:r>
      <w:r>
        <w:rPr>
          <w:spacing w:val="-4"/>
          <w:sz w:val="20"/>
        </w:rPr>
        <w:t xml:space="preserve">recuento </w:t>
      </w:r>
      <w:r>
        <w:rPr>
          <w:sz w:val="20"/>
        </w:rPr>
        <w:t xml:space="preserve">de </w:t>
      </w:r>
      <w:r>
        <w:rPr>
          <w:spacing w:val="-3"/>
          <w:sz w:val="20"/>
        </w:rPr>
        <w:t xml:space="preserve">hechos que </w:t>
      </w:r>
      <w:r>
        <w:rPr>
          <w:spacing w:val="-4"/>
          <w:sz w:val="20"/>
        </w:rPr>
        <w:t>dieron</w:t>
      </w:r>
      <w:r>
        <w:rPr>
          <w:spacing w:val="-5"/>
          <w:sz w:val="20"/>
        </w:rPr>
        <w:t xml:space="preserve"> </w:t>
      </w:r>
      <w:r>
        <w:rPr>
          <w:spacing w:val="-4"/>
          <w:sz w:val="20"/>
        </w:rPr>
        <w:t>origen</w:t>
      </w:r>
      <w:r>
        <w:rPr>
          <w:spacing w:val="-7"/>
          <w:sz w:val="20"/>
        </w:rPr>
        <w:t xml:space="preserve"> </w:t>
      </w:r>
      <w:r>
        <w:rPr>
          <w:sz w:val="20"/>
        </w:rPr>
        <w:t>a</w:t>
      </w:r>
      <w:r>
        <w:rPr>
          <w:spacing w:val="-8"/>
          <w:sz w:val="20"/>
        </w:rPr>
        <w:t xml:space="preserve"> </w:t>
      </w:r>
      <w:r>
        <w:rPr>
          <w:spacing w:val="-3"/>
          <w:sz w:val="20"/>
        </w:rPr>
        <w:t>la</w:t>
      </w:r>
      <w:r>
        <w:rPr>
          <w:spacing w:val="-8"/>
          <w:sz w:val="20"/>
        </w:rPr>
        <w:t xml:space="preserve"> </w:t>
      </w:r>
      <w:r>
        <w:rPr>
          <w:spacing w:val="-4"/>
          <w:sz w:val="20"/>
        </w:rPr>
        <w:t>decisión</w:t>
      </w:r>
      <w:r>
        <w:rPr>
          <w:spacing w:val="-10"/>
          <w:sz w:val="20"/>
        </w:rPr>
        <w:t xml:space="preserve"> </w:t>
      </w:r>
      <w:r>
        <w:rPr>
          <w:spacing w:val="-3"/>
          <w:sz w:val="20"/>
        </w:rPr>
        <w:t>del</w:t>
      </w:r>
      <w:r>
        <w:rPr>
          <w:spacing w:val="-8"/>
          <w:sz w:val="20"/>
        </w:rPr>
        <w:t xml:space="preserve"> </w:t>
      </w:r>
      <w:r>
        <w:rPr>
          <w:spacing w:val="-4"/>
          <w:sz w:val="20"/>
        </w:rPr>
        <w:t>Juez</w:t>
      </w:r>
      <w:r>
        <w:rPr>
          <w:spacing w:val="-7"/>
          <w:sz w:val="20"/>
        </w:rPr>
        <w:t xml:space="preserve"> </w:t>
      </w:r>
      <w:r>
        <w:rPr>
          <w:spacing w:val="-4"/>
          <w:sz w:val="20"/>
        </w:rPr>
        <w:t>Cordero</w:t>
      </w:r>
      <w:r>
        <w:rPr>
          <w:spacing w:val="-9"/>
          <w:sz w:val="20"/>
        </w:rPr>
        <w:t xml:space="preserve"> </w:t>
      </w:r>
      <w:r>
        <w:rPr>
          <w:spacing w:val="-4"/>
          <w:sz w:val="20"/>
        </w:rPr>
        <w:t>Bernal</w:t>
      </w:r>
      <w:r>
        <w:rPr>
          <w:spacing w:val="-10"/>
          <w:sz w:val="20"/>
        </w:rPr>
        <w:t xml:space="preserve"> </w:t>
      </w:r>
      <w:r>
        <w:rPr>
          <w:i/>
          <w:spacing w:val="-3"/>
          <w:sz w:val="20"/>
        </w:rPr>
        <w:t>sin</w:t>
      </w:r>
      <w:r>
        <w:rPr>
          <w:i/>
          <w:spacing w:val="-7"/>
          <w:sz w:val="20"/>
        </w:rPr>
        <w:t xml:space="preserve"> </w:t>
      </w:r>
      <w:r>
        <w:rPr>
          <w:i/>
          <w:spacing w:val="-4"/>
          <w:sz w:val="20"/>
        </w:rPr>
        <w:t>explicar</w:t>
      </w:r>
      <w:r>
        <w:rPr>
          <w:i/>
          <w:spacing w:val="-12"/>
          <w:sz w:val="20"/>
        </w:rPr>
        <w:t xml:space="preserve"> </w:t>
      </w:r>
      <w:r>
        <w:rPr>
          <w:i/>
          <w:spacing w:val="-4"/>
          <w:sz w:val="20"/>
        </w:rPr>
        <w:t>adecuadamente</w:t>
      </w:r>
      <w:r>
        <w:rPr>
          <w:i/>
          <w:spacing w:val="-9"/>
          <w:sz w:val="20"/>
        </w:rPr>
        <w:t xml:space="preserve"> </w:t>
      </w:r>
      <w:r>
        <w:rPr>
          <w:i/>
          <w:spacing w:val="-3"/>
          <w:sz w:val="20"/>
        </w:rPr>
        <w:t>la</w:t>
      </w:r>
      <w:r>
        <w:rPr>
          <w:i/>
          <w:spacing w:val="-6"/>
          <w:sz w:val="20"/>
        </w:rPr>
        <w:t xml:space="preserve"> </w:t>
      </w:r>
      <w:r>
        <w:rPr>
          <w:i/>
          <w:spacing w:val="-4"/>
          <w:sz w:val="20"/>
        </w:rPr>
        <w:t>relación entre</w:t>
      </w:r>
      <w:r>
        <w:rPr>
          <w:i/>
          <w:spacing w:val="-8"/>
          <w:sz w:val="20"/>
        </w:rPr>
        <w:t xml:space="preserve"> </w:t>
      </w:r>
      <w:r>
        <w:rPr>
          <w:i/>
          <w:spacing w:val="-2"/>
          <w:sz w:val="20"/>
        </w:rPr>
        <w:t>los</w:t>
      </w:r>
      <w:r>
        <w:rPr>
          <w:i/>
          <w:spacing w:val="-8"/>
          <w:sz w:val="20"/>
        </w:rPr>
        <w:t xml:space="preserve"> </w:t>
      </w:r>
      <w:r>
        <w:rPr>
          <w:i/>
          <w:spacing w:val="-4"/>
          <w:sz w:val="20"/>
        </w:rPr>
        <w:t>hechos</w:t>
      </w:r>
      <w:r>
        <w:rPr>
          <w:i/>
          <w:spacing w:val="-7"/>
          <w:sz w:val="20"/>
        </w:rPr>
        <w:t xml:space="preserve"> </w:t>
      </w:r>
      <w:r>
        <w:rPr>
          <w:i/>
          <w:sz w:val="20"/>
        </w:rPr>
        <w:t>y</w:t>
      </w:r>
      <w:r>
        <w:rPr>
          <w:i/>
          <w:spacing w:val="-7"/>
          <w:sz w:val="20"/>
        </w:rPr>
        <w:t xml:space="preserve"> </w:t>
      </w:r>
      <w:r>
        <w:rPr>
          <w:i/>
          <w:sz w:val="20"/>
        </w:rPr>
        <w:t>la</w:t>
      </w:r>
      <w:r>
        <w:rPr>
          <w:i/>
          <w:spacing w:val="-6"/>
          <w:sz w:val="20"/>
        </w:rPr>
        <w:t xml:space="preserve"> </w:t>
      </w:r>
      <w:r>
        <w:rPr>
          <w:i/>
          <w:spacing w:val="-4"/>
          <w:sz w:val="20"/>
        </w:rPr>
        <w:t>norma</w:t>
      </w:r>
      <w:r>
        <w:rPr>
          <w:i/>
          <w:spacing w:val="-7"/>
          <w:sz w:val="20"/>
        </w:rPr>
        <w:t xml:space="preserve"> </w:t>
      </w:r>
      <w:r>
        <w:rPr>
          <w:i/>
          <w:spacing w:val="-4"/>
          <w:sz w:val="20"/>
        </w:rPr>
        <w:t>señalada</w:t>
      </w:r>
      <w:r>
        <w:rPr>
          <w:i/>
          <w:spacing w:val="-6"/>
          <w:sz w:val="20"/>
        </w:rPr>
        <w:t xml:space="preserve"> </w:t>
      </w:r>
      <w:r>
        <w:rPr>
          <w:spacing w:val="-3"/>
          <w:sz w:val="20"/>
        </w:rPr>
        <w:t>(en</w:t>
      </w:r>
      <w:r>
        <w:rPr>
          <w:spacing w:val="-6"/>
          <w:sz w:val="20"/>
        </w:rPr>
        <w:t xml:space="preserve"> </w:t>
      </w:r>
      <w:r>
        <w:rPr>
          <w:spacing w:val="-4"/>
          <w:sz w:val="20"/>
        </w:rPr>
        <w:t>particular</w:t>
      </w:r>
      <w:r>
        <w:rPr>
          <w:spacing w:val="-8"/>
          <w:sz w:val="20"/>
        </w:rPr>
        <w:t xml:space="preserve"> </w:t>
      </w:r>
      <w:r>
        <w:rPr>
          <w:sz w:val="20"/>
        </w:rPr>
        <w:t>la</w:t>
      </w:r>
      <w:r>
        <w:rPr>
          <w:spacing w:val="-6"/>
          <w:sz w:val="20"/>
        </w:rPr>
        <w:t xml:space="preserve"> </w:t>
      </w:r>
      <w:r>
        <w:rPr>
          <w:spacing w:val="-4"/>
          <w:sz w:val="20"/>
        </w:rPr>
        <w:t>decisión</w:t>
      </w:r>
      <w:r>
        <w:rPr>
          <w:spacing w:val="-6"/>
          <w:sz w:val="20"/>
        </w:rPr>
        <w:t xml:space="preserve"> </w:t>
      </w:r>
      <w:r>
        <w:rPr>
          <w:spacing w:val="-3"/>
          <w:sz w:val="20"/>
        </w:rPr>
        <w:t>del</w:t>
      </w:r>
      <w:r>
        <w:rPr>
          <w:spacing w:val="-6"/>
          <w:sz w:val="20"/>
        </w:rPr>
        <w:t xml:space="preserve"> </w:t>
      </w:r>
      <w:r>
        <w:rPr>
          <w:spacing w:val="-4"/>
          <w:sz w:val="20"/>
        </w:rPr>
        <w:t>Consejo</w:t>
      </w:r>
      <w:r>
        <w:rPr>
          <w:spacing w:val="-8"/>
          <w:sz w:val="20"/>
        </w:rPr>
        <w:t xml:space="preserve"> </w:t>
      </w:r>
      <w:r>
        <w:rPr>
          <w:spacing w:val="-4"/>
          <w:sz w:val="20"/>
        </w:rPr>
        <w:t>Nacional</w:t>
      </w:r>
      <w:r>
        <w:rPr>
          <w:spacing w:val="-6"/>
          <w:sz w:val="20"/>
        </w:rPr>
        <w:t xml:space="preserve"> </w:t>
      </w:r>
      <w:r>
        <w:rPr>
          <w:sz w:val="20"/>
        </w:rPr>
        <w:t>de</w:t>
      </w:r>
      <w:r>
        <w:rPr>
          <w:spacing w:val="-8"/>
          <w:sz w:val="20"/>
        </w:rPr>
        <w:t xml:space="preserve"> </w:t>
      </w:r>
      <w:r>
        <w:rPr>
          <w:sz w:val="20"/>
        </w:rPr>
        <w:t xml:space="preserve">la </w:t>
      </w:r>
      <w:r>
        <w:rPr>
          <w:spacing w:val="-4"/>
          <w:sz w:val="20"/>
        </w:rPr>
        <w:t>Magistratura</w:t>
      </w:r>
      <w:r>
        <w:rPr>
          <w:spacing w:val="-16"/>
          <w:sz w:val="20"/>
        </w:rPr>
        <w:t xml:space="preserve"> </w:t>
      </w:r>
      <w:r>
        <w:rPr>
          <w:spacing w:val="-3"/>
          <w:sz w:val="20"/>
        </w:rPr>
        <w:t>en</w:t>
      </w:r>
      <w:r>
        <w:rPr>
          <w:spacing w:val="-17"/>
          <w:sz w:val="20"/>
        </w:rPr>
        <w:t xml:space="preserve"> </w:t>
      </w:r>
      <w:r>
        <w:rPr>
          <w:spacing w:val="-3"/>
          <w:sz w:val="20"/>
        </w:rPr>
        <w:t>su</w:t>
      </w:r>
      <w:r>
        <w:rPr>
          <w:spacing w:val="-15"/>
          <w:sz w:val="20"/>
        </w:rPr>
        <w:t xml:space="preserve"> </w:t>
      </w:r>
      <w:r>
        <w:rPr>
          <w:spacing w:val="-4"/>
          <w:sz w:val="20"/>
        </w:rPr>
        <w:t>considerando</w:t>
      </w:r>
      <w:r>
        <w:rPr>
          <w:spacing w:val="-19"/>
          <w:sz w:val="20"/>
        </w:rPr>
        <w:t xml:space="preserve"> </w:t>
      </w:r>
      <w:r>
        <w:rPr>
          <w:sz w:val="20"/>
        </w:rPr>
        <w:t>Décimo)</w:t>
      </w:r>
      <w:hyperlink w:anchor="_bookmark176" w:history="1">
        <w:r>
          <w:rPr>
            <w:position w:val="7"/>
            <w:sz w:val="13"/>
          </w:rPr>
          <w:t>31</w:t>
        </w:r>
      </w:hyperlink>
      <w:r>
        <w:rPr>
          <w:sz w:val="20"/>
        </w:rPr>
        <w:t>.</w:t>
      </w:r>
      <w:r>
        <w:rPr>
          <w:spacing w:val="-19"/>
          <w:sz w:val="20"/>
        </w:rPr>
        <w:t xml:space="preserve"> </w:t>
      </w:r>
      <w:r>
        <w:rPr>
          <w:spacing w:val="-4"/>
          <w:sz w:val="20"/>
        </w:rPr>
        <w:t>Para</w:t>
      </w:r>
      <w:r>
        <w:rPr>
          <w:spacing w:val="-15"/>
          <w:sz w:val="20"/>
        </w:rPr>
        <w:t xml:space="preserve"> </w:t>
      </w:r>
      <w:r>
        <w:rPr>
          <w:spacing w:val="-4"/>
          <w:sz w:val="20"/>
        </w:rPr>
        <w:t>ello,</w:t>
      </w:r>
      <w:r>
        <w:rPr>
          <w:spacing w:val="-19"/>
          <w:sz w:val="20"/>
        </w:rPr>
        <w:t xml:space="preserve"> </w:t>
      </w:r>
      <w:r>
        <w:rPr>
          <w:sz w:val="20"/>
        </w:rPr>
        <w:t>se</w:t>
      </w:r>
      <w:r>
        <w:rPr>
          <w:spacing w:val="-19"/>
          <w:sz w:val="20"/>
        </w:rPr>
        <w:t xml:space="preserve"> </w:t>
      </w:r>
      <w:r>
        <w:rPr>
          <w:spacing w:val="-4"/>
          <w:sz w:val="20"/>
        </w:rPr>
        <w:t>transcriben</w:t>
      </w:r>
      <w:r>
        <w:rPr>
          <w:spacing w:val="-15"/>
          <w:sz w:val="20"/>
        </w:rPr>
        <w:t xml:space="preserve"> </w:t>
      </w:r>
      <w:r>
        <w:rPr>
          <w:spacing w:val="-4"/>
          <w:sz w:val="20"/>
        </w:rPr>
        <w:t>algunas</w:t>
      </w:r>
      <w:r>
        <w:rPr>
          <w:spacing w:val="-19"/>
          <w:sz w:val="20"/>
        </w:rPr>
        <w:t xml:space="preserve"> </w:t>
      </w:r>
      <w:r>
        <w:rPr>
          <w:sz w:val="20"/>
        </w:rPr>
        <w:t>de</w:t>
      </w:r>
      <w:r>
        <w:rPr>
          <w:spacing w:val="-19"/>
          <w:sz w:val="20"/>
        </w:rPr>
        <w:t xml:space="preserve"> </w:t>
      </w:r>
      <w:r>
        <w:rPr>
          <w:spacing w:val="-3"/>
          <w:sz w:val="20"/>
        </w:rPr>
        <w:t>las</w:t>
      </w:r>
      <w:r>
        <w:rPr>
          <w:spacing w:val="-19"/>
          <w:sz w:val="20"/>
        </w:rPr>
        <w:t xml:space="preserve"> </w:t>
      </w:r>
      <w:r>
        <w:rPr>
          <w:spacing w:val="-4"/>
          <w:sz w:val="20"/>
        </w:rPr>
        <w:t xml:space="preserve">partes pertinentes </w:t>
      </w:r>
      <w:r>
        <w:rPr>
          <w:spacing w:val="-3"/>
          <w:sz w:val="20"/>
        </w:rPr>
        <w:t xml:space="preserve">del </w:t>
      </w:r>
      <w:r>
        <w:rPr>
          <w:spacing w:val="-4"/>
          <w:sz w:val="20"/>
        </w:rPr>
        <w:t xml:space="preserve">informe investigativo </w:t>
      </w:r>
      <w:r>
        <w:rPr>
          <w:sz w:val="20"/>
        </w:rPr>
        <w:t xml:space="preserve">y de </w:t>
      </w:r>
      <w:r>
        <w:rPr>
          <w:spacing w:val="-3"/>
          <w:sz w:val="20"/>
        </w:rPr>
        <w:t xml:space="preserve">las </w:t>
      </w:r>
      <w:r>
        <w:rPr>
          <w:spacing w:val="-2"/>
          <w:sz w:val="20"/>
        </w:rPr>
        <w:t xml:space="preserve">dos </w:t>
      </w:r>
      <w:r>
        <w:rPr>
          <w:spacing w:val="-4"/>
          <w:sz w:val="20"/>
        </w:rPr>
        <w:t xml:space="preserve">resoluciones </w:t>
      </w:r>
      <w:r>
        <w:rPr>
          <w:sz w:val="20"/>
        </w:rPr>
        <w:t xml:space="preserve">en </w:t>
      </w:r>
      <w:r>
        <w:rPr>
          <w:spacing w:val="-3"/>
          <w:sz w:val="20"/>
        </w:rPr>
        <w:t xml:space="preserve">el proceso </w:t>
      </w:r>
      <w:r>
        <w:rPr>
          <w:spacing w:val="-4"/>
          <w:sz w:val="20"/>
        </w:rPr>
        <w:t xml:space="preserve">sancionador </w:t>
      </w:r>
      <w:r>
        <w:rPr>
          <w:spacing w:val="-3"/>
          <w:sz w:val="20"/>
        </w:rPr>
        <w:t xml:space="preserve">en </w:t>
      </w:r>
      <w:r>
        <w:rPr>
          <w:spacing w:val="-4"/>
          <w:sz w:val="20"/>
        </w:rPr>
        <w:t xml:space="preserve">contra </w:t>
      </w:r>
      <w:r>
        <w:rPr>
          <w:spacing w:val="-3"/>
          <w:sz w:val="20"/>
        </w:rPr>
        <w:t xml:space="preserve">del señor </w:t>
      </w:r>
      <w:r>
        <w:rPr>
          <w:spacing w:val="-4"/>
          <w:sz w:val="20"/>
        </w:rPr>
        <w:t>Cordero</w:t>
      </w:r>
      <w:r>
        <w:rPr>
          <w:spacing w:val="-28"/>
          <w:sz w:val="20"/>
        </w:rPr>
        <w:t xml:space="preserve"> </w:t>
      </w:r>
      <w:r>
        <w:rPr>
          <w:spacing w:val="-4"/>
          <w:sz w:val="20"/>
        </w:rPr>
        <w:t>Bernal.</w:t>
      </w:r>
    </w:p>
    <w:p w14:paraId="151041E0" w14:textId="77777777" w:rsidR="00492688" w:rsidRDefault="00492688">
      <w:pPr>
        <w:pStyle w:val="Textoindependiente"/>
      </w:pPr>
    </w:p>
    <w:p w14:paraId="2BBBE3CD" w14:textId="77777777" w:rsidR="00492688" w:rsidRDefault="00C9584B">
      <w:pPr>
        <w:pStyle w:val="Prrafodelista"/>
        <w:numPr>
          <w:ilvl w:val="0"/>
          <w:numId w:val="3"/>
        </w:numPr>
        <w:tabs>
          <w:tab w:val="left" w:pos="830"/>
        </w:tabs>
        <w:ind w:left="829" w:hanging="709"/>
        <w:jc w:val="both"/>
        <w:rPr>
          <w:sz w:val="20"/>
        </w:rPr>
      </w:pPr>
      <w:r>
        <w:rPr>
          <w:sz w:val="20"/>
        </w:rPr>
        <w:t>En</w:t>
      </w:r>
      <w:r>
        <w:rPr>
          <w:spacing w:val="-11"/>
          <w:sz w:val="20"/>
        </w:rPr>
        <w:t xml:space="preserve"> </w:t>
      </w:r>
      <w:r>
        <w:rPr>
          <w:spacing w:val="-4"/>
          <w:sz w:val="20"/>
        </w:rPr>
        <w:t>primer</w:t>
      </w:r>
      <w:r>
        <w:rPr>
          <w:spacing w:val="-10"/>
          <w:sz w:val="20"/>
        </w:rPr>
        <w:t xml:space="preserve"> </w:t>
      </w:r>
      <w:r>
        <w:rPr>
          <w:spacing w:val="-4"/>
          <w:sz w:val="20"/>
        </w:rPr>
        <w:t>lugar,</w:t>
      </w:r>
      <w:r>
        <w:rPr>
          <w:spacing w:val="-7"/>
          <w:sz w:val="20"/>
        </w:rPr>
        <w:t xml:space="preserve"> </w:t>
      </w:r>
      <w:r>
        <w:rPr>
          <w:spacing w:val="-3"/>
          <w:sz w:val="20"/>
        </w:rPr>
        <w:t>el</w:t>
      </w:r>
      <w:r>
        <w:rPr>
          <w:spacing w:val="-9"/>
          <w:sz w:val="20"/>
        </w:rPr>
        <w:t xml:space="preserve"> </w:t>
      </w:r>
      <w:r>
        <w:rPr>
          <w:spacing w:val="-4"/>
          <w:sz w:val="20"/>
        </w:rPr>
        <w:t>Informe</w:t>
      </w:r>
      <w:r>
        <w:rPr>
          <w:spacing w:val="-10"/>
          <w:sz w:val="20"/>
        </w:rPr>
        <w:t xml:space="preserve"> </w:t>
      </w:r>
      <w:r>
        <w:rPr>
          <w:sz w:val="20"/>
        </w:rPr>
        <w:t>de</w:t>
      </w:r>
      <w:r>
        <w:rPr>
          <w:spacing w:val="-11"/>
          <w:sz w:val="20"/>
        </w:rPr>
        <w:t xml:space="preserve"> </w:t>
      </w:r>
      <w:r>
        <w:rPr>
          <w:spacing w:val="-4"/>
          <w:sz w:val="20"/>
        </w:rPr>
        <w:t>Investigación</w:t>
      </w:r>
      <w:r>
        <w:rPr>
          <w:spacing w:val="-8"/>
          <w:sz w:val="20"/>
        </w:rPr>
        <w:t xml:space="preserve"> </w:t>
      </w:r>
      <w:r>
        <w:rPr>
          <w:sz w:val="20"/>
        </w:rPr>
        <w:t>de</w:t>
      </w:r>
      <w:r>
        <w:rPr>
          <w:spacing w:val="-11"/>
          <w:sz w:val="20"/>
        </w:rPr>
        <w:t xml:space="preserve"> </w:t>
      </w:r>
      <w:r>
        <w:rPr>
          <w:sz w:val="20"/>
        </w:rPr>
        <w:t>21</w:t>
      </w:r>
      <w:r>
        <w:rPr>
          <w:spacing w:val="-11"/>
          <w:sz w:val="20"/>
        </w:rPr>
        <w:t xml:space="preserve"> </w:t>
      </w:r>
      <w:r>
        <w:rPr>
          <w:sz w:val="20"/>
        </w:rPr>
        <w:t>de</w:t>
      </w:r>
      <w:r>
        <w:rPr>
          <w:spacing w:val="-11"/>
          <w:sz w:val="20"/>
        </w:rPr>
        <w:t xml:space="preserve"> </w:t>
      </w:r>
      <w:r>
        <w:rPr>
          <w:spacing w:val="-3"/>
          <w:sz w:val="20"/>
        </w:rPr>
        <w:t>julio</w:t>
      </w:r>
      <w:r>
        <w:rPr>
          <w:spacing w:val="-10"/>
          <w:sz w:val="20"/>
        </w:rPr>
        <w:t xml:space="preserve"> </w:t>
      </w:r>
      <w:r>
        <w:rPr>
          <w:sz w:val="20"/>
        </w:rPr>
        <w:t>de</w:t>
      </w:r>
      <w:r>
        <w:rPr>
          <w:spacing w:val="-11"/>
          <w:sz w:val="20"/>
        </w:rPr>
        <w:t xml:space="preserve"> </w:t>
      </w:r>
      <w:r>
        <w:rPr>
          <w:spacing w:val="-3"/>
          <w:sz w:val="20"/>
        </w:rPr>
        <w:t>1995</w:t>
      </w:r>
      <w:r>
        <w:rPr>
          <w:spacing w:val="-9"/>
          <w:sz w:val="20"/>
        </w:rPr>
        <w:t xml:space="preserve"> </w:t>
      </w:r>
      <w:r>
        <w:rPr>
          <w:spacing w:val="-4"/>
          <w:sz w:val="20"/>
        </w:rPr>
        <w:t>considera:</w:t>
      </w:r>
    </w:p>
    <w:p w14:paraId="621EF681" w14:textId="77777777" w:rsidR="00492688" w:rsidRDefault="00492688">
      <w:pPr>
        <w:pStyle w:val="Textoindependiente"/>
        <w:spacing w:before="10"/>
        <w:rPr>
          <w:sz w:val="19"/>
        </w:rPr>
      </w:pPr>
    </w:p>
    <w:p w14:paraId="58E39432" w14:textId="77777777" w:rsidR="00492688" w:rsidRDefault="00C9584B">
      <w:pPr>
        <w:ind w:left="829" w:right="733"/>
        <w:rPr>
          <w:sz w:val="16"/>
        </w:rPr>
      </w:pPr>
      <w:r>
        <w:rPr>
          <w:sz w:val="16"/>
        </w:rPr>
        <w:t xml:space="preserve">I) […] se concluye válidamente que el Dr. Héctor Cordero Bernal al otorgar irregularmente la libertad incondicional de los narcotraficantes […] </w:t>
      </w:r>
      <w:r>
        <w:rPr>
          <w:sz w:val="16"/>
          <w:u w:val="single"/>
        </w:rPr>
        <w:t>no solo ha atentado gravemente</w:t>
      </w:r>
      <w:r>
        <w:rPr>
          <w:sz w:val="16"/>
        </w:rPr>
        <w:t xml:space="preserve"> contra la</w:t>
      </w:r>
    </w:p>
    <w:p w14:paraId="2DB91A22" w14:textId="5EDD52FE" w:rsidR="00492688" w:rsidRDefault="00C9584B">
      <w:pPr>
        <w:pStyle w:val="Textoindependiente"/>
        <w:spacing w:before="4"/>
        <w:rPr>
          <w:sz w:val="21"/>
        </w:rPr>
      </w:pPr>
      <w:r>
        <w:rPr>
          <w:noProof/>
        </w:rPr>
        <mc:AlternateContent>
          <mc:Choice Requires="wps">
            <w:drawing>
              <wp:anchor distT="0" distB="0" distL="0" distR="0" simplePos="0" relativeHeight="251694080" behindDoc="1" locked="0" layoutInCell="1" allowOverlap="1" wp14:anchorId="7D9C4161" wp14:editId="38C7AA4E">
                <wp:simplePos x="0" y="0"/>
                <wp:positionH relativeFrom="page">
                  <wp:posOffset>1080770</wp:posOffset>
                </wp:positionH>
                <wp:positionV relativeFrom="paragraph">
                  <wp:posOffset>193040</wp:posOffset>
                </wp:positionV>
                <wp:extent cx="182880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A2C76" id="Freeform 7" o:spid="_x0000_s1026" style="position:absolute;margin-left:85.1pt;margin-top:15.2pt;width:2in;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" path="m,l2880,e" filled="f" strokeweight=".6pt">
                <v:path arrowok="t" o:connecttype="custom" o:connectlocs="0,0;1828800,0" o:connectangles="0,0"/>
                <w10:wrap type="topAndBottom" anchorx="page"/>
              </v:shape>
            </w:pict>
          </mc:Fallback>
        </mc:AlternateContent>
      </w:r>
    </w:p>
    <w:p w14:paraId="312C4745" w14:textId="77777777" w:rsidR="00492688" w:rsidRDefault="00492688">
      <w:pPr>
        <w:pStyle w:val="Textoindependiente"/>
        <w:rPr>
          <w:sz w:val="8"/>
        </w:rPr>
      </w:pPr>
    </w:p>
    <w:p w14:paraId="0AB6EF65" w14:textId="77777777" w:rsidR="00492688" w:rsidRDefault="00C9584B">
      <w:pPr>
        <w:tabs>
          <w:tab w:val="left" w:pos="829"/>
        </w:tabs>
        <w:spacing w:before="73" w:line="266" w:lineRule="auto"/>
        <w:ind w:left="121" w:right="229" w:hanging="1"/>
        <w:rPr>
          <w:sz w:val="16"/>
        </w:rPr>
      </w:pPr>
      <w:bookmarkStart w:id="203" w:name="_bookmark171"/>
      <w:bookmarkEnd w:id="203"/>
      <w:r>
        <w:rPr>
          <w:rFonts w:ascii="Calibri" w:hAnsi="Calibri"/>
          <w:position w:val="7"/>
          <w:sz w:val="13"/>
        </w:rPr>
        <w:t>26</w:t>
      </w:r>
      <w:r>
        <w:rPr>
          <w:rFonts w:ascii="Calibri" w:hAnsi="Calibri"/>
          <w:position w:val="7"/>
          <w:sz w:val="13"/>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88.</w:t>
      </w:r>
    </w:p>
    <w:p w14:paraId="270ABA8D" w14:textId="77777777" w:rsidR="00492688" w:rsidRDefault="00C9584B">
      <w:pPr>
        <w:tabs>
          <w:tab w:val="left" w:pos="829"/>
        </w:tabs>
        <w:spacing w:before="77"/>
        <w:ind w:left="121" w:right="229" w:hanging="1"/>
        <w:rPr>
          <w:sz w:val="16"/>
        </w:rPr>
      </w:pPr>
      <w:bookmarkStart w:id="204" w:name="_bookmark172"/>
      <w:bookmarkEnd w:id="204"/>
      <w:r>
        <w:rPr>
          <w:position w:val="6"/>
          <w:sz w:val="10"/>
        </w:rPr>
        <w:t>27</w:t>
      </w:r>
      <w:r>
        <w:rPr>
          <w:position w:val="6"/>
          <w:sz w:val="10"/>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8</w:t>
      </w:r>
      <w:r>
        <w:rPr>
          <w:sz w:val="16"/>
        </w:rPr>
        <w:t>6.</w:t>
      </w:r>
    </w:p>
    <w:p w14:paraId="61A38A4A" w14:textId="77777777" w:rsidR="00492688" w:rsidRDefault="00C9584B">
      <w:pPr>
        <w:tabs>
          <w:tab w:val="left" w:pos="829"/>
        </w:tabs>
        <w:spacing w:before="101"/>
        <w:ind w:left="121" w:right="229" w:hanging="1"/>
        <w:rPr>
          <w:sz w:val="16"/>
        </w:rPr>
      </w:pPr>
      <w:bookmarkStart w:id="205" w:name="_bookmark173"/>
      <w:bookmarkEnd w:id="205"/>
      <w:r>
        <w:rPr>
          <w:position w:val="6"/>
          <w:sz w:val="10"/>
        </w:rPr>
        <w:t>28</w:t>
      </w:r>
      <w:r>
        <w:rPr>
          <w:position w:val="6"/>
          <w:sz w:val="10"/>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87.</w:t>
      </w:r>
    </w:p>
    <w:p w14:paraId="59FD1545" w14:textId="77777777" w:rsidR="00492688" w:rsidRDefault="00C9584B">
      <w:pPr>
        <w:tabs>
          <w:tab w:val="left" w:pos="829"/>
        </w:tabs>
        <w:spacing w:before="101"/>
        <w:ind w:left="121" w:right="229" w:hanging="1"/>
        <w:rPr>
          <w:sz w:val="16"/>
        </w:rPr>
      </w:pPr>
      <w:bookmarkStart w:id="206" w:name="_bookmark174"/>
      <w:bookmarkEnd w:id="206"/>
      <w:r>
        <w:rPr>
          <w:position w:val="6"/>
          <w:sz w:val="10"/>
        </w:rPr>
        <w:t>29</w:t>
      </w:r>
      <w:r>
        <w:rPr>
          <w:position w:val="6"/>
          <w:sz w:val="10"/>
        </w:rPr>
        <w:tab/>
      </w:r>
      <w:r>
        <w:rPr>
          <w:i/>
          <w:sz w:val="16"/>
        </w:rPr>
        <w:t xml:space="preserve">Cfr. Caso Cordero Bernal Vs. Perú. Excepción Preliminar y Fondo. </w:t>
      </w:r>
      <w:r>
        <w:rPr>
          <w:sz w:val="16"/>
        </w:rPr>
        <w:t>Sentencia de 16 de febrero de 2021. Serie C No. 421, p</w:t>
      </w:r>
      <w:r>
        <w:rPr>
          <w:sz w:val="16"/>
        </w:rPr>
        <w:t>árr.</w:t>
      </w:r>
      <w:r>
        <w:rPr>
          <w:spacing w:val="-13"/>
          <w:sz w:val="16"/>
        </w:rPr>
        <w:t xml:space="preserve"> </w:t>
      </w:r>
      <w:r>
        <w:rPr>
          <w:sz w:val="16"/>
        </w:rPr>
        <w:t>86.</w:t>
      </w:r>
    </w:p>
    <w:p w14:paraId="5D25D07B" w14:textId="77777777" w:rsidR="00492688" w:rsidRDefault="00C9584B">
      <w:pPr>
        <w:tabs>
          <w:tab w:val="left" w:pos="829"/>
        </w:tabs>
        <w:spacing w:before="98"/>
        <w:ind w:left="121" w:right="229" w:hanging="1"/>
        <w:rPr>
          <w:sz w:val="16"/>
        </w:rPr>
      </w:pPr>
      <w:bookmarkStart w:id="207" w:name="_bookmark175"/>
      <w:bookmarkEnd w:id="207"/>
      <w:r>
        <w:rPr>
          <w:position w:val="6"/>
          <w:sz w:val="10"/>
        </w:rPr>
        <w:t>30</w:t>
      </w:r>
      <w:r>
        <w:rPr>
          <w:position w:val="6"/>
          <w:sz w:val="10"/>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89.</w:t>
      </w:r>
    </w:p>
    <w:p w14:paraId="0EBBE56A" w14:textId="77777777" w:rsidR="00492688" w:rsidRDefault="00C9584B">
      <w:pPr>
        <w:tabs>
          <w:tab w:val="left" w:pos="829"/>
        </w:tabs>
        <w:spacing w:before="101"/>
        <w:ind w:left="121" w:right="733"/>
        <w:rPr>
          <w:sz w:val="16"/>
        </w:rPr>
      </w:pPr>
      <w:bookmarkStart w:id="208" w:name="_bookmark176"/>
      <w:bookmarkEnd w:id="208"/>
      <w:r>
        <w:rPr>
          <w:position w:val="6"/>
          <w:sz w:val="10"/>
        </w:rPr>
        <w:t>31</w:t>
      </w:r>
      <w:r>
        <w:rPr>
          <w:position w:val="6"/>
          <w:sz w:val="10"/>
        </w:rPr>
        <w:tab/>
      </w:r>
      <w:r>
        <w:rPr>
          <w:i/>
          <w:sz w:val="16"/>
        </w:rPr>
        <w:t>Cfr. Mutatis mutandis, Caso López Lone y otros Vs. Honduras. Excepción Preliminar, Fondo, Reparaciones y Costas</w:t>
      </w:r>
      <w:r>
        <w:rPr>
          <w:sz w:val="16"/>
        </w:rPr>
        <w:t xml:space="preserve">. </w:t>
      </w:r>
      <w:r>
        <w:rPr>
          <w:sz w:val="16"/>
        </w:rPr>
        <w:t>Sentencia de 5 de octubre de 2015. Serie C No. 302, párr.</w:t>
      </w:r>
      <w:r>
        <w:rPr>
          <w:spacing w:val="-18"/>
          <w:sz w:val="16"/>
        </w:rPr>
        <w:t xml:space="preserve"> </w:t>
      </w:r>
      <w:r>
        <w:rPr>
          <w:sz w:val="16"/>
        </w:rPr>
        <w:t>265.</w:t>
      </w:r>
    </w:p>
    <w:p w14:paraId="595CC81B" w14:textId="77777777" w:rsidR="00492688" w:rsidRDefault="00492688">
      <w:pPr>
        <w:pStyle w:val="Textoindependiente"/>
      </w:pPr>
    </w:p>
    <w:p w14:paraId="5775A147" w14:textId="77777777" w:rsidR="00492688" w:rsidRDefault="00492688">
      <w:pPr>
        <w:pStyle w:val="Textoindependiente"/>
        <w:spacing w:before="4"/>
        <w:rPr>
          <w:sz w:val="19"/>
        </w:rPr>
      </w:pPr>
    </w:p>
    <w:p w14:paraId="56B90918" w14:textId="77777777" w:rsidR="00492688" w:rsidRDefault="00C9584B">
      <w:pPr>
        <w:spacing w:before="52"/>
        <w:ind w:right="111"/>
        <w:jc w:val="center"/>
        <w:rPr>
          <w:rFonts w:ascii="Calibri"/>
          <w:sz w:val="24"/>
        </w:rPr>
      </w:pPr>
      <w:r>
        <w:rPr>
          <w:rFonts w:ascii="Calibri"/>
          <w:sz w:val="24"/>
        </w:rPr>
        <w:t>9</w:t>
      </w:r>
    </w:p>
    <w:p w14:paraId="139EB191"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4A0EC4F8" w14:textId="77777777" w:rsidR="00492688" w:rsidRDefault="00C9584B">
      <w:pPr>
        <w:spacing w:before="71"/>
        <w:ind w:left="829" w:right="794"/>
        <w:jc w:val="both"/>
        <w:rPr>
          <w:sz w:val="16"/>
        </w:rPr>
      </w:pPr>
      <w:r>
        <w:rPr>
          <w:sz w:val="16"/>
          <w:u w:val="single"/>
        </w:rPr>
        <w:lastRenderedPageBreak/>
        <w:t>respetabilidad del Poder Judicial, sino que ha comprometido la dignidad del cargo</w:t>
      </w:r>
      <w:r>
        <w:rPr>
          <w:sz w:val="16"/>
        </w:rPr>
        <w:t xml:space="preserve"> </w:t>
      </w:r>
      <w:r>
        <w:rPr>
          <w:sz w:val="16"/>
          <w:u w:val="single"/>
        </w:rPr>
        <w:t>desmereciéndolo […] el concepto público</w:t>
      </w:r>
      <w:r>
        <w:rPr>
          <w:sz w:val="16"/>
        </w:rPr>
        <w:t xml:space="preserve"> por lo que debe ser destituido en su cargo […]</w:t>
      </w:r>
      <w:hyperlink w:anchor="_bookmark177" w:history="1">
        <w:r>
          <w:rPr>
            <w:position w:val="6"/>
            <w:sz w:val="10"/>
          </w:rPr>
          <w:t>32</w:t>
        </w:r>
      </w:hyperlink>
      <w:r>
        <w:rPr>
          <w:position w:val="6"/>
          <w:sz w:val="10"/>
        </w:rPr>
        <w:t xml:space="preserve"> </w:t>
      </w:r>
      <w:r>
        <w:rPr>
          <w:sz w:val="16"/>
        </w:rPr>
        <w:t>[énfasis añadido].</w:t>
      </w:r>
    </w:p>
    <w:p w14:paraId="33A727E6" w14:textId="77777777" w:rsidR="00492688" w:rsidRDefault="00492688">
      <w:pPr>
        <w:pStyle w:val="Textoindependiente"/>
        <w:spacing w:before="12"/>
        <w:rPr>
          <w:sz w:val="19"/>
        </w:rPr>
      </w:pPr>
    </w:p>
    <w:p w14:paraId="2EB2792C" w14:textId="77777777" w:rsidR="00492688" w:rsidRDefault="00C9584B">
      <w:pPr>
        <w:pStyle w:val="Prrafodelista"/>
        <w:numPr>
          <w:ilvl w:val="0"/>
          <w:numId w:val="3"/>
        </w:numPr>
        <w:tabs>
          <w:tab w:val="left" w:pos="829"/>
          <w:tab w:val="left" w:pos="830"/>
        </w:tabs>
        <w:ind w:left="829" w:hanging="709"/>
        <w:rPr>
          <w:sz w:val="20"/>
        </w:rPr>
      </w:pPr>
      <w:r>
        <w:rPr>
          <w:spacing w:val="-3"/>
          <w:sz w:val="20"/>
        </w:rPr>
        <w:t>La</w:t>
      </w:r>
      <w:r>
        <w:rPr>
          <w:spacing w:val="-7"/>
          <w:sz w:val="20"/>
        </w:rPr>
        <w:t xml:space="preserve"> </w:t>
      </w:r>
      <w:r>
        <w:rPr>
          <w:spacing w:val="-4"/>
          <w:sz w:val="20"/>
        </w:rPr>
        <w:t>resolución</w:t>
      </w:r>
      <w:r>
        <w:rPr>
          <w:spacing w:val="-10"/>
          <w:sz w:val="20"/>
        </w:rPr>
        <w:t xml:space="preserve"> </w:t>
      </w:r>
      <w:r>
        <w:rPr>
          <w:sz w:val="20"/>
        </w:rPr>
        <w:t>de</w:t>
      </w:r>
      <w:r>
        <w:rPr>
          <w:spacing w:val="-10"/>
          <w:sz w:val="20"/>
        </w:rPr>
        <w:t xml:space="preserve"> </w:t>
      </w:r>
      <w:r>
        <w:rPr>
          <w:sz w:val="20"/>
        </w:rPr>
        <w:t>la</w:t>
      </w:r>
      <w:r>
        <w:rPr>
          <w:spacing w:val="-9"/>
          <w:sz w:val="20"/>
        </w:rPr>
        <w:t xml:space="preserve"> </w:t>
      </w:r>
      <w:r>
        <w:rPr>
          <w:spacing w:val="-3"/>
          <w:sz w:val="20"/>
        </w:rPr>
        <w:t>OCMA</w:t>
      </w:r>
      <w:r>
        <w:rPr>
          <w:spacing w:val="-10"/>
          <w:sz w:val="20"/>
        </w:rPr>
        <w:t xml:space="preserve"> </w:t>
      </w:r>
      <w:r>
        <w:rPr>
          <w:sz w:val="20"/>
        </w:rPr>
        <w:t>de</w:t>
      </w:r>
      <w:r>
        <w:rPr>
          <w:spacing w:val="-10"/>
          <w:sz w:val="20"/>
        </w:rPr>
        <w:t xml:space="preserve"> </w:t>
      </w:r>
      <w:r>
        <w:rPr>
          <w:sz w:val="20"/>
        </w:rPr>
        <w:t>3</w:t>
      </w:r>
      <w:r>
        <w:rPr>
          <w:spacing w:val="-9"/>
          <w:sz w:val="20"/>
        </w:rPr>
        <w:t xml:space="preserve"> </w:t>
      </w:r>
      <w:r>
        <w:rPr>
          <w:sz w:val="20"/>
        </w:rPr>
        <w:t>de</w:t>
      </w:r>
      <w:r>
        <w:rPr>
          <w:spacing w:val="-10"/>
          <w:sz w:val="20"/>
        </w:rPr>
        <w:t xml:space="preserve"> </w:t>
      </w:r>
      <w:r>
        <w:rPr>
          <w:spacing w:val="-4"/>
          <w:sz w:val="20"/>
        </w:rPr>
        <w:t>agosto</w:t>
      </w:r>
      <w:r>
        <w:rPr>
          <w:spacing w:val="-9"/>
          <w:sz w:val="20"/>
        </w:rPr>
        <w:t xml:space="preserve"> </w:t>
      </w:r>
      <w:r>
        <w:rPr>
          <w:sz w:val="20"/>
        </w:rPr>
        <w:t>de</w:t>
      </w:r>
      <w:r>
        <w:rPr>
          <w:spacing w:val="-11"/>
          <w:sz w:val="20"/>
        </w:rPr>
        <w:t xml:space="preserve"> </w:t>
      </w:r>
      <w:r>
        <w:rPr>
          <w:spacing w:val="-3"/>
          <w:sz w:val="20"/>
        </w:rPr>
        <w:t>1995</w:t>
      </w:r>
      <w:r>
        <w:rPr>
          <w:spacing w:val="-10"/>
          <w:sz w:val="20"/>
        </w:rPr>
        <w:t xml:space="preserve"> </w:t>
      </w:r>
      <w:r>
        <w:rPr>
          <w:spacing w:val="-4"/>
          <w:sz w:val="20"/>
        </w:rPr>
        <w:t>indica:</w:t>
      </w:r>
    </w:p>
    <w:p w14:paraId="0FDF65ED" w14:textId="77777777" w:rsidR="00492688" w:rsidRDefault="00492688">
      <w:pPr>
        <w:pStyle w:val="Textoindependiente"/>
      </w:pPr>
    </w:p>
    <w:p w14:paraId="0855FFE1" w14:textId="77777777" w:rsidR="00492688" w:rsidRDefault="00C9584B">
      <w:pPr>
        <w:ind w:left="829" w:right="794"/>
        <w:jc w:val="both"/>
        <w:rPr>
          <w:sz w:val="16"/>
        </w:rPr>
      </w:pPr>
      <w:r>
        <w:rPr>
          <w:sz w:val="16"/>
        </w:rPr>
        <w:t>CONCLUSIÓN. […] el doctor Héctor Fidel Cordero Bernal Juez encargado del Primer Juzgado Penal de Huánuco, con el único propósito de beneficiar con la libertad incondicional a los inculpados en el proceso penal de su referencia, hecho que se ve sumamente ag</w:t>
      </w:r>
      <w:r>
        <w:rPr>
          <w:sz w:val="16"/>
        </w:rPr>
        <w:t xml:space="preserve">ravado por tratarse de un delito de Tráfico Ilícito de Drogas a nivel internacional: </w:t>
      </w:r>
      <w:r>
        <w:rPr>
          <w:sz w:val="16"/>
          <w:u w:val="single"/>
        </w:rPr>
        <w:t>Que, este tipo de</w:t>
      </w:r>
      <w:r>
        <w:rPr>
          <w:sz w:val="16"/>
        </w:rPr>
        <w:t xml:space="preserve"> </w:t>
      </w:r>
      <w:r>
        <w:rPr>
          <w:sz w:val="16"/>
          <w:u w:val="single"/>
        </w:rPr>
        <w:t>conductas que lindan con el dolo atentan gravemente contra la Majestad del Poder Judicial,</w:t>
      </w:r>
      <w:r>
        <w:rPr>
          <w:sz w:val="16"/>
        </w:rPr>
        <w:t xml:space="preserve"> </w:t>
      </w:r>
      <w:r>
        <w:rPr>
          <w:sz w:val="16"/>
          <w:u w:val="single"/>
        </w:rPr>
        <w:t>la</w:t>
      </w:r>
      <w:r>
        <w:rPr>
          <w:spacing w:val="-11"/>
          <w:sz w:val="16"/>
          <w:u w:val="single"/>
        </w:rPr>
        <w:t xml:space="preserve"> </w:t>
      </w:r>
      <w:r>
        <w:rPr>
          <w:sz w:val="16"/>
          <w:u w:val="single"/>
        </w:rPr>
        <w:t>imagen</w:t>
      </w:r>
      <w:r>
        <w:rPr>
          <w:spacing w:val="-13"/>
          <w:sz w:val="16"/>
          <w:u w:val="single"/>
        </w:rPr>
        <w:t xml:space="preserve"> </w:t>
      </w:r>
      <w:r>
        <w:rPr>
          <w:sz w:val="16"/>
          <w:u w:val="single"/>
        </w:rPr>
        <w:t>de</w:t>
      </w:r>
      <w:r>
        <w:rPr>
          <w:spacing w:val="-13"/>
          <w:sz w:val="16"/>
          <w:u w:val="single"/>
        </w:rPr>
        <w:t xml:space="preserve"> </w:t>
      </w:r>
      <w:r>
        <w:rPr>
          <w:sz w:val="16"/>
          <w:u w:val="single"/>
        </w:rPr>
        <w:t>nuestra</w:t>
      </w:r>
      <w:r>
        <w:rPr>
          <w:spacing w:val="-13"/>
          <w:sz w:val="16"/>
          <w:u w:val="single"/>
        </w:rPr>
        <w:t xml:space="preserve"> </w:t>
      </w:r>
      <w:r>
        <w:rPr>
          <w:sz w:val="16"/>
          <w:u w:val="single"/>
        </w:rPr>
        <w:t>institución</w:t>
      </w:r>
      <w:r>
        <w:rPr>
          <w:spacing w:val="-11"/>
          <w:sz w:val="16"/>
          <w:u w:val="single"/>
        </w:rPr>
        <w:t xml:space="preserve"> </w:t>
      </w:r>
      <w:r>
        <w:rPr>
          <w:sz w:val="16"/>
          <w:u w:val="single"/>
        </w:rPr>
        <w:t>y</w:t>
      </w:r>
      <w:r>
        <w:rPr>
          <w:spacing w:val="-12"/>
          <w:sz w:val="16"/>
          <w:u w:val="single"/>
        </w:rPr>
        <w:t xml:space="preserve"> </w:t>
      </w:r>
      <w:r>
        <w:rPr>
          <w:sz w:val="16"/>
          <w:u w:val="single"/>
        </w:rPr>
        <w:t>la</w:t>
      </w:r>
      <w:r>
        <w:rPr>
          <w:spacing w:val="-10"/>
          <w:sz w:val="16"/>
          <w:u w:val="single"/>
        </w:rPr>
        <w:t xml:space="preserve"> </w:t>
      </w:r>
      <w:r>
        <w:rPr>
          <w:sz w:val="16"/>
          <w:u w:val="single"/>
        </w:rPr>
        <w:t>dignidad</w:t>
      </w:r>
      <w:r>
        <w:rPr>
          <w:spacing w:val="-13"/>
          <w:sz w:val="16"/>
          <w:u w:val="single"/>
        </w:rPr>
        <w:t xml:space="preserve"> </w:t>
      </w:r>
      <w:r>
        <w:rPr>
          <w:sz w:val="16"/>
          <w:u w:val="single"/>
        </w:rPr>
        <w:t>de</w:t>
      </w:r>
      <w:r>
        <w:rPr>
          <w:spacing w:val="-12"/>
          <w:sz w:val="16"/>
          <w:u w:val="single"/>
        </w:rPr>
        <w:t xml:space="preserve"> </w:t>
      </w:r>
      <w:r>
        <w:rPr>
          <w:sz w:val="16"/>
          <w:u w:val="single"/>
        </w:rPr>
        <w:t>sus</w:t>
      </w:r>
      <w:r>
        <w:rPr>
          <w:spacing w:val="-12"/>
          <w:sz w:val="16"/>
          <w:u w:val="single"/>
        </w:rPr>
        <w:t xml:space="preserve"> </w:t>
      </w:r>
      <w:r>
        <w:rPr>
          <w:sz w:val="16"/>
          <w:u w:val="single"/>
        </w:rPr>
        <w:t>miembros</w:t>
      </w:r>
      <w:r>
        <w:rPr>
          <w:sz w:val="16"/>
          <w:u w:val="single"/>
        </w:rPr>
        <w:t>,</w:t>
      </w:r>
      <w:r>
        <w:rPr>
          <w:spacing w:val="-14"/>
          <w:sz w:val="16"/>
        </w:rPr>
        <w:t xml:space="preserve"> </w:t>
      </w:r>
      <w:r>
        <w:rPr>
          <w:sz w:val="16"/>
        </w:rPr>
        <w:t>por</w:t>
      </w:r>
      <w:r>
        <w:rPr>
          <w:spacing w:val="-9"/>
          <w:sz w:val="16"/>
        </w:rPr>
        <w:t xml:space="preserve"> </w:t>
      </w:r>
      <w:r>
        <w:rPr>
          <w:sz w:val="16"/>
        </w:rPr>
        <w:t>lo</w:t>
      </w:r>
      <w:r>
        <w:rPr>
          <w:spacing w:val="-12"/>
          <w:sz w:val="16"/>
        </w:rPr>
        <w:t xml:space="preserve"> </w:t>
      </w:r>
      <w:r>
        <w:rPr>
          <w:sz w:val="16"/>
        </w:rPr>
        <w:t>que</w:t>
      </w:r>
      <w:r>
        <w:rPr>
          <w:spacing w:val="-12"/>
          <w:sz w:val="16"/>
        </w:rPr>
        <w:t xml:space="preserve"> </w:t>
      </w:r>
      <w:r>
        <w:rPr>
          <w:sz w:val="16"/>
        </w:rPr>
        <w:t>debe</w:t>
      </w:r>
      <w:r>
        <w:rPr>
          <w:spacing w:val="-13"/>
          <w:sz w:val="16"/>
        </w:rPr>
        <w:t xml:space="preserve"> </w:t>
      </w:r>
      <w:r>
        <w:rPr>
          <w:sz w:val="16"/>
        </w:rPr>
        <w:t>imponérseles una sanción disciplinaria proporcional a la gravedad de sus actos: Que, debe tomarse conciencia que el Poder Judicial no es una Institución donde se pueda adquirir derechos, a través de los malos funcionarios y servidores, si</w:t>
      </w:r>
      <w:r>
        <w:rPr>
          <w:sz w:val="16"/>
        </w:rPr>
        <w:t xml:space="preserve">no que, el poder judicial es un Poder del Estado, a quien le esta confiada la Vida, el Honor y el Patrimonio de las Personas, confianza que debe ser reafirmada en la ciudadanía otorgando siempre a casa cual lo que por derecho le corresponde, debiendo toda </w:t>
      </w:r>
      <w:r>
        <w:rPr>
          <w:sz w:val="16"/>
        </w:rPr>
        <w:t>conducta contraria ser sancionada</w:t>
      </w:r>
      <w:hyperlink w:anchor="_bookmark178" w:history="1">
        <w:r>
          <w:rPr>
            <w:position w:val="6"/>
            <w:sz w:val="10"/>
          </w:rPr>
          <w:t>33</w:t>
        </w:r>
      </w:hyperlink>
      <w:r>
        <w:rPr>
          <w:position w:val="6"/>
          <w:sz w:val="10"/>
        </w:rPr>
        <w:t xml:space="preserve"> </w:t>
      </w:r>
      <w:r>
        <w:rPr>
          <w:sz w:val="16"/>
        </w:rPr>
        <w:t>[énfasis</w:t>
      </w:r>
      <w:r>
        <w:rPr>
          <w:spacing w:val="-20"/>
          <w:sz w:val="16"/>
        </w:rPr>
        <w:t xml:space="preserve"> </w:t>
      </w:r>
      <w:r>
        <w:rPr>
          <w:sz w:val="16"/>
        </w:rPr>
        <w:t>añadido].</w:t>
      </w:r>
    </w:p>
    <w:p w14:paraId="664618DA" w14:textId="77777777" w:rsidR="00492688" w:rsidRDefault="00492688">
      <w:pPr>
        <w:pStyle w:val="Textoindependiente"/>
        <w:rPr>
          <w:sz w:val="16"/>
        </w:rPr>
      </w:pPr>
    </w:p>
    <w:p w14:paraId="2A34534A" w14:textId="77777777" w:rsidR="00492688" w:rsidRDefault="00C9584B">
      <w:pPr>
        <w:pStyle w:val="Prrafodelista"/>
        <w:numPr>
          <w:ilvl w:val="0"/>
          <w:numId w:val="3"/>
        </w:numPr>
        <w:tabs>
          <w:tab w:val="left" w:pos="829"/>
          <w:tab w:val="left" w:pos="830"/>
        </w:tabs>
        <w:ind w:left="829" w:hanging="709"/>
        <w:rPr>
          <w:sz w:val="20"/>
        </w:rPr>
      </w:pPr>
      <w:r>
        <w:rPr>
          <w:spacing w:val="-4"/>
          <w:sz w:val="20"/>
        </w:rPr>
        <w:t>Finalmente,</w:t>
      </w:r>
      <w:r>
        <w:rPr>
          <w:spacing w:val="-10"/>
          <w:sz w:val="20"/>
        </w:rPr>
        <w:t xml:space="preserve"> </w:t>
      </w:r>
      <w:r>
        <w:rPr>
          <w:sz w:val="20"/>
        </w:rPr>
        <w:t>la</w:t>
      </w:r>
      <w:r>
        <w:rPr>
          <w:spacing w:val="-8"/>
          <w:sz w:val="20"/>
        </w:rPr>
        <w:t xml:space="preserve"> </w:t>
      </w:r>
      <w:r>
        <w:rPr>
          <w:spacing w:val="-4"/>
          <w:sz w:val="20"/>
        </w:rPr>
        <w:t>resolución</w:t>
      </w:r>
      <w:r>
        <w:rPr>
          <w:spacing w:val="-8"/>
          <w:sz w:val="20"/>
        </w:rPr>
        <w:t xml:space="preserve"> </w:t>
      </w:r>
      <w:r>
        <w:rPr>
          <w:sz w:val="20"/>
        </w:rPr>
        <w:t>de</w:t>
      </w:r>
      <w:r>
        <w:rPr>
          <w:spacing w:val="-9"/>
          <w:sz w:val="20"/>
        </w:rPr>
        <w:t xml:space="preserve"> </w:t>
      </w:r>
      <w:r>
        <w:rPr>
          <w:spacing w:val="-3"/>
          <w:sz w:val="20"/>
        </w:rPr>
        <w:t>CNM</w:t>
      </w:r>
      <w:r>
        <w:rPr>
          <w:spacing w:val="-8"/>
          <w:sz w:val="20"/>
        </w:rPr>
        <w:t xml:space="preserve"> </w:t>
      </w:r>
      <w:r>
        <w:rPr>
          <w:sz w:val="20"/>
        </w:rPr>
        <w:t>de</w:t>
      </w:r>
      <w:r>
        <w:rPr>
          <w:spacing w:val="-10"/>
          <w:sz w:val="20"/>
        </w:rPr>
        <w:t xml:space="preserve"> </w:t>
      </w:r>
      <w:r>
        <w:rPr>
          <w:spacing w:val="-3"/>
          <w:sz w:val="20"/>
        </w:rPr>
        <w:t>14</w:t>
      </w:r>
      <w:r>
        <w:rPr>
          <w:spacing w:val="-8"/>
          <w:sz w:val="20"/>
        </w:rPr>
        <w:t xml:space="preserve"> </w:t>
      </w:r>
      <w:r>
        <w:rPr>
          <w:sz w:val="20"/>
        </w:rPr>
        <w:t>de</w:t>
      </w:r>
      <w:r>
        <w:rPr>
          <w:spacing w:val="-9"/>
          <w:sz w:val="20"/>
        </w:rPr>
        <w:t xml:space="preserve"> </w:t>
      </w:r>
      <w:r>
        <w:rPr>
          <w:spacing w:val="-4"/>
          <w:sz w:val="20"/>
        </w:rPr>
        <w:t>agosto</w:t>
      </w:r>
      <w:r>
        <w:rPr>
          <w:spacing w:val="-10"/>
          <w:sz w:val="20"/>
        </w:rPr>
        <w:t xml:space="preserve"> </w:t>
      </w:r>
      <w:r>
        <w:rPr>
          <w:sz w:val="20"/>
        </w:rPr>
        <w:t>de</w:t>
      </w:r>
      <w:r>
        <w:rPr>
          <w:spacing w:val="-9"/>
          <w:sz w:val="20"/>
        </w:rPr>
        <w:t xml:space="preserve"> </w:t>
      </w:r>
      <w:r>
        <w:rPr>
          <w:spacing w:val="-4"/>
          <w:sz w:val="20"/>
        </w:rPr>
        <w:t>1996:</w:t>
      </w:r>
    </w:p>
    <w:p w14:paraId="346C0D88" w14:textId="77777777" w:rsidR="00492688" w:rsidRDefault="00492688">
      <w:pPr>
        <w:pStyle w:val="Textoindependiente"/>
      </w:pPr>
    </w:p>
    <w:p w14:paraId="304FF778" w14:textId="77777777" w:rsidR="00492688" w:rsidRDefault="00C9584B">
      <w:pPr>
        <w:spacing w:before="1"/>
        <w:ind w:left="829" w:right="796"/>
        <w:jc w:val="both"/>
        <w:rPr>
          <w:sz w:val="16"/>
        </w:rPr>
      </w:pPr>
      <w:r>
        <w:rPr>
          <w:sz w:val="16"/>
        </w:rPr>
        <w:t>DÉCIMO.- Que en consecuencia, el Consejo Nacional de la Magistratura, habiendo</w:t>
      </w:r>
      <w:r>
        <w:rPr>
          <w:spacing w:val="-38"/>
          <w:sz w:val="16"/>
        </w:rPr>
        <w:t xml:space="preserve"> </w:t>
      </w:r>
      <w:r>
        <w:rPr>
          <w:sz w:val="16"/>
        </w:rPr>
        <w:t>concedido al magistrado sometido a proceso, la garantía del ejercicio de su derecho de defensa, la recepción de su declaración y la presentación de documentos y del expediente p</w:t>
      </w:r>
      <w:r>
        <w:rPr>
          <w:sz w:val="16"/>
        </w:rPr>
        <w:t>enal pertinente, es decir, respetando los principios del debido proceso, llega a la convicción de que</w:t>
      </w:r>
      <w:r>
        <w:rPr>
          <w:spacing w:val="-6"/>
          <w:sz w:val="16"/>
        </w:rPr>
        <w:t xml:space="preserve"> </w:t>
      </w:r>
      <w:r>
        <w:rPr>
          <w:sz w:val="16"/>
        </w:rPr>
        <w:t>la</w:t>
      </w:r>
      <w:r>
        <w:rPr>
          <w:spacing w:val="-6"/>
          <w:sz w:val="16"/>
        </w:rPr>
        <w:t xml:space="preserve"> </w:t>
      </w:r>
      <w:r>
        <w:rPr>
          <w:sz w:val="16"/>
        </w:rPr>
        <w:t>conducta</w:t>
      </w:r>
      <w:r>
        <w:rPr>
          <w:spacing w:val="-8"/>
          <w:sz w:val="16"/>
        </w:rPr>
        <w:t xml:space="preserve"> </w:t>
      </w:r>
      <w:r>
        <w:rPr>
          <w:sz w:val="16"/>
        </w:rPr>
        <w:t>del</w:t>
      </w:r>
      <w:r>
        <w:rPr>
          <w:spacing w:val="-6"/>
          <w:sz w:val="16"/>
        </w:rPr>
        <w:t xml:space="preserve"> </w:t>
      </w:r>
      <w:r>
        <w:rPr>
          <w:sz w:val="16"/>
        </w:rPr>
        <w:t>magistrado</w:t>
      </w:r>
      <w:r>
        <w:rPr>
          <w:spacing w:val="-4"/>
          <w:sz w:val="16"/>
        </w:rPr>
        <w:t xml:space="preserve"> </w:t>
      </w:r>
      <w:r>
        <w:rPr>
          <w:sz w:val="16"/>
        </w:rPr>
        <w:t>procesado</w:t>
      </w:r>
      <w:r>
        <w:rPr>
          <w:spacing w:val="-7"/>
          <w:sz w:val="16"/>
        </w:rPr>
        <w:t xml:space="preserve"> </w:t>
      </w:r>
      <w:r>
        <w:rPr>
          <w:sz w:val="16"/>
        </w:rPr>
        <w:t>es</w:t>
      </w:r>
      <w:r>
        <w:rPr>
          <w:spacing w:val="-7"/>
          <w:sz w:val="16"/>
        </w:rPr>
        <w:t xml:space="preserve"> </w:t>
      </w:r>
      <w:r>
        <w:rPr>
          <w:sz w:val="16"/>
        </w:rPr>
        <w:t>pasible</w:t>
      </w:r>
      <w:r>
        <w:rPr>
          <w:spacing w:val="-7"/>
          <w:sz w:val="16"/>
        </w:rPr>
        <w:t xml:space="preserve"> </w:t>
      </w:r>
      <w:r>
        <w:rPr>
          <w:sz w:val="16"/>
        </w:rPr>
        <w:t>de</w:t>
      </w:r>
      <w:r>
        <w:rPr>
          <w:spacing w:val="-8"/>
          <w:sz w:val="16"/>
        </w:rPr>
        <w:t xml:space="preserve"> </w:t>
      </w:r>
      <w:r>
        <w:rPr>
          <w:sz w:val="16"/>
        </w:rPr>
        <w:t>sanción</w:t>
      </w:r>
      <w:r>
        <w:rPr>
          <w:spacing w:val="-6"/>
          <w:sz w:val="16"/>
        </w:rPr>
        <w:t xml:space="preserve"> </w:t>
      </w:r>
      <w:r>
        <w:rPr>
          <w:sz w:val="16"/>
        </w:rPr>
        <w:t>disciplinaria</w:t>
      </w:r>
      <w:r>
        <w:rPr>
          <w:spacing w:val="-6"/>
          <w:sz w:val="16"/>
        </w:rPr>
        <w:t xml:space="preserve"> </w:t>
      </w:r>
      <w:r>
        <w:rPr>
          <w:sz w:val="16"/>
        </w:rPr>
        <w:t>por</w:t>
      </w:r>
      <w:r>
        <w:rPr>
          <w:spacing w:val="-6"/>
          <w:sz w:val="16"/>
        </w:rPr>
        <w:t xml:space="preserve"> </w:t>
      </w:r>
      <w:r>
        <w:rPr>
          <w:sz w:val="16"/>
        </w:rPr>
        <w:t>que</w:t>
      </w:r>
      <w:r>
        <w:rPr>
          <w:spacing w:val="-5"/>
          <w:sz w:val="16"/>
        </w:rPr>
        <w:t xml:space="preserve"> </w:t>
      </w:r>
      <w:r>
        <w:rPr>
          <w:sz w:val="16"/>
        </w:rPr>
        <w:t>(sic)</w:t>
      </w:r>
      <w:r>
        <w:rPr>
          <w:spacing w:val="-11"/>
          <w:sz w:val="16"/>
        </w:rPr>
        <w:t xml:space="preserve"> </w:t>
      </w:r>
      <w:r>
        <w:rPr>
          <w:sz w:val="16"/>
        </w:rPr>
        <w:t xml:space="preserve">en la concesión prematura de la libertad incondicional que otorgó, </w:t>
      </w:r>
      <w:r>
        <w:rPr>
          <w:sz w:val="16"/>
        </w:rPr>
        <w:t xml:space="preserve">no se encuentra sustento racional alguno y esa conducta es típica y, además, grave y por ello coincidente con el supuesto del artículo [31, inciso 2) de la LOC], </w:t>
      </w:r>
      <w:r>
        <w:rPr>
          <w:sz w:val="16"/>
          <w:u w:val="single"/>
        </w:rPr>
        <w:t>es decir, un hecho grave que sin ser delito</w:t>
      </w:r>
      <w:r>
        <w:rPr>
          <w:sz w:val="16"/>
        </w:rPr>
        <w:t xml:space="preserve"> </w:t>
      </w:r>
      <w:r>
        <w:rPr>
          <w:sz w:val="16"/>
          <w:u w:val="single"/>
        </w:rPr>
        <w:t>compromete</w:t>
      </w:r>
      <w:r>
        <w:rPr>
          <w:spacing w:val="-7"/>
          <w:sz w:val="16"/>
          <w:u w:val="single"/>
        </w:rPr>
        <w:t xml:space="preserve"> </w:t>
      </w:r>
      <w:r>
        <w:rPr>
          <w:sz w:val="16"/>
          <w:u w:val="single"/>
        </w:rPr>
        <w:t>la</w:t>
      </w:r>
      <w:r>
        <w:rPr>
          <w:spacing w:val="-6"/>
          <w:sz w:val="16"/>
          <w:u w:val="single"/>
        </w:rPr>
        <w:t xml:space="preserve"> </w:t>
      </w:r>
      <w:r>
        <w:rPr>
          <w:sz w:val="16"/>
          <w:u w:val="single"/>
        </w:rPr>
        <w:t>dignidad</w:t>
      </w:r>
      <w:r>
        <w:rPr>
          <w:spacing w:val="-7"/>
          <w:sz w:val="16"/>
          <w:u w:val="single"/>
        </w:rPr>
        <w:t xml:space="preserve"> </w:t>
      </w:r>
      <w:r>
        <w:rPr>
          <w:sz w:val="16"/>
          <w:u w:val="single"/>
        </w:rPr>
        <w:t>del</w:t>
      </w:r>
      <w:r>
        <w:rPr>
          <w:spacing w:val="-7"/>
          <w:sz w:val="16"/>
          <w:u w:val="single"/>
        </w:rPr>
        <w:t xml:space="preserve"> </w:t>
      </w:r>
      <w:r>
        <w:rPr>
          <w:sz w:val="16"/>
          <w:u w:val="single"/>
        </w:rPr>
        <w:t>cargo</w:t>
      </w:r>
      <w:r>
        <w:rPr>
          <w:spacing w:val="-9"/>
          <w:sz w:val="16"/>
          <w:u w:val="single"/>
        </w:rPr>
        <w:t xml:space="preserve"> </w:t>
      </w:r>
      <w:r>
        <w:rPr>
          <w:sz w:val="16"/>
          <w:u w:val="single"/>
        </w:rPr>
        <w:t>y</w:t>
      </w:r>
      <w:r>
        <w:rPr>
          <w:spacing w:val="-4"/>
          <w:sz w:val="16"/>
          <w:u w:val="single"/>
        </w:rPr>
        <w:t xml:space="preserve"> </w:t>
      </w:r>
      <w:r>
        <w:rPr>
          <w:sz w:val="16"/>
          <w:u w:val="single"/>
        </w:rPr>
        <w:t>la</w:t>
      </w:r>
      <w:r>
        <w:rPr>
          <w:spacing w:val="-7"/>
          <w:sz w:val="16"/>
          <w:u w:val="single"/>
        </w:rPr>
        <w:t xml:space="preserve"> </w:t>
      </w:r>
      <w:r>
        <w:rPr>
          <w:sz w:val="16"/>
          <w:u w:val="single"/>
        </w:rPr>
        <w:t>desmerece</w:t>
      </w:r>
      <w:r>
        <w:rPr>
          <w:spacing w:val="-7"/>
          <w:sz w:val="16"/>
          <w:u w:val="single"/>
        </w:rPr>
        <w:t xml:space="preserve"> </w:t>
      </w:r>
      <w:r>
        <w:rPr>
          <w:sz w:val="16"/>
          <w:u w:val="single"/>
        </w:rPr>
        <w:t>en</w:t>
      </w:r>
      <w:r>
        <w:rPr>
          <w:spacing w:val="-8"/>
          <w:sz w:val="16"/>
          <w:u w:val="single"/>
        </w:rPr>
        <w:t xml:space="preserve"> </w:t>
      </w:r>
      <w:r>
        <w:rPr>
          <w:sz w:val="16"/>
          <w:u w:val="single"/>
        </w:rPr>
        <w:t>el</w:t>
      </w:r>
      <w:r>
        <w:rPr>
          <w:spacing w:val="-8"/>
          <w:sz w:val="16"/>
          <w:u w:val="single"/>
        </w:rPr>
        <w:t xml:space="preserve"> </w:t>
      </w:r>
      <w:r>
        <w:rPr>
          <w:sz w:val="16"/>
          <w:u w:val="single"/>
        </w:rPr>
        <w:t>concepto</w:t>
      </w:r>
      <w:r>
        <w:rPr>
          <w:spacing w:val="-6"/>
          <w:sz w:val="16"/>
          <w:u w:val="single"/>
        </w:rPr>
        <w:t xml:space="preserve"> </w:t>
      </w:r>
      <w:r>
        <w:rPr>
          <w:sz w:val="16"/>
          <w:u w:val="single"/>
        </w:rPr>
        <w:t>público</w:t>
      </w:r>
      <w:hyperlink w:anchor="_bookmark179" w:history="1">
        <w:r>
          <w:rPr>
            <w:position w:val="6"/>
            <w:sz w:val="10"/>
          </w:rPr>
          <w:t>34</w:t>
        </w:r>
      </w:hyperlink>
      <w:r>
        <w:rPr>
          <w:spacing w:val="17"/>
          <w:position w:val="6"/>
          <w:sz w:val="10"/>
        </w:rPr>
        <w:t xml:space="preserve"> </w:t>
      </w:r>
      <w:r>
        <w:rPr>
          <w:sz w:val="16"/>
        </w:rPr>
        <w:t>[énfasis</w:t>
      </w:r>
      <w:r>
        <w:rPr>
          <w:spacing w:val="-5"/>
          <w:sz w:val="16"/>
        </w:rPr>
        <w:t xml:space="preserve"> </w:t>
      </w:r>
      <w:r>
        <w:rPr>
          <w:sz w:val="16"/>
        </w:rPr>
        <w:t>añadido].</w:t>
      </w:r>
    </w:p>
    <w:p w14:paraId="06D58100" w14:textId="77777777" w:rsidR="00492688" w:rsidRDefault="00492688">
      <w:pPr>
        <w:pStyle w:val="Textoindependiente"/>
        <w:spacing w:before="9"/>
        <w:rPr>
          <w:sz w:val="11"/>
        </w:rPr>
      </w:pPr>
    </w:p>
    <w:p w14:paraId="47C29EA3" w14:textId="77777777" w:rsidR="00492688" w:rsidRDefault="00C9584B">
      <w:pPr>
        <w:pStyle w:val="Prrafodelista"/>
        <w:numPr>
          <w:ilvl w:val="0"/>
          <w:numId w:val="3"/>
        </w:numPr>
        <w:tabs>
          <w:tab w:val="left" w:pos="830"/>
        </w:tabs>
        <w:spacing w:before="99"/>
        <w:ind w:right="226" w:firstLine="0"/>
        <w:jc w:val="both"/>
        <w:rPr>
          <w:i/>
          <w:sz w:val="20"/>
        </w:rPr>
      </w:pPr>
      <w:r>
        <w:rPr>
          <w:spacing w:val="-3"/>
          <w:sz w:val="20"/>
        </w:rPr>
        <w:t xml:space="preserve">Aun </w:t>
      </w:r>
      <w:r>
        <w:rPr>
          <w:spacing w:val="-4"/>
          <w:sz w:val="20"/>
        </w:rPr>
        <w:t xml:space="preserve">cuando, </w:t>
      </w:r>
      <w:r>
        <w:rPr>
          <w:spacing w:val="-3"/>
          <w:sz w:val="20"/>
        </w:rPr>
        <w:t xml:space="preserve">tanto el </w:t>
      </w:r>
      <w:r>
        <w:rPr>
          <w:spacing w:val="-4"/>
          <w:sz w:val="20"/>
        </w:rPr>
        <w:t xml:space="preserve">informe </w:t>
      </w:r>
      <w:r>
        <w:rPr>
          <w:sz w:val="20"/>
        </w:rPr>
        <w:t xml:space="preserve">de </w:t>
      </w:r>
      <w:r>
        <w:rPr>
          <w:spacing w:val="-4"/>
          <w:sz w:val="20"/>
        </w:rPr>
        <w:t xml:space="preserve">investigación </w:t>
      </w:r>
      <w:r>
        <w:rPr>
          <w:spacing w:val="-3"/>
          <w:sz w:val="20"/>
        </w:rPr>
        <w:t xml:space="preserve">como la </w:t>
      </w:r>
      <w:r>
        <w:rPr>
          <w:spacing w:val="-4"/>
          <w:sz w:val="20"/>
        </w:rPr>
        <w:t xml:space="preserve">resolución </w:t>
      </w:r>
      <w:r>
        <w:rPr>
          <w:sz w:val="20"/>
        </w:rPr>
        <w:t xml:space="preserve">de la </w:t>
      </w:r>
      <w:r>
        <w:rPr>
          <w:spacing w:val="-4"/>
          <w:sz w:val="20"/>
        </w:rPr>
        <w:t>OCMA,</w:t>
      </w:r>
      <w:r>
        <w:rPr>
          <w:spacing w:val="62"/>
          <w:sz w:val="20"/>
        </w:rPr>
        <w:t xml:space="preserve"> </w:t>
      </w:r>
      <w:r>
        <w:rPr>
          <w:spacing w:val="-4"/>
          <w:sz w:val="20"/>
        </w:rPr>
        <w:t>“califican”</w:t>
      </w:r>
      <w:r>
        <w:rPr>
          <w:spacing w:val="-12"/>
          <w:sz w:val="20"/>
        </w:rPr>
        <w:t xml:space="preserve"> </w:t>
      </w:r>
      <w:r>
        <w:rPr>
          <w:spacing w:val="-3"/>
          <w:sz w:val="20"/>
        </w:rPr>
        <w:t>como</w:t>
      </w:r>
      <w:r>
        <w:rPr>
          <w:spacing w:val="-15"/>
          <w:sz w:val="20"/>
        </w:rPr>
        <w:t xml:space="preserve"> </w:t>
      </w:r>
      <w:r>
        <w:rPr>
          <w:spacing w:val="-3"/>
          <w:sz w:val="20"/>
        </w:rPr>
        <w:t>grave</w:t>
      </w:r>
      <w:r>
        <w:rPr>
          <w:spacing w:val="-13"/>
          <w:sz w:val="20"/>
        </w:rPr>
        <w:t xml:space="preserve"> </w:t>
      </w:r>
      <w:r>
        <w:rPr>
          <w:spacing w:val="-3"/>
          <w:sz w:val="20"/>
        </w:rPr>
        <w:t>la</w:t>
      </w:r>
      <w:r>
        <w:rPr>
          <w:spacing w:val="-10"/>
          <w:sz w:val="20"/>
        </w:rPr>
        <w:t xml:space="preserve"> </w:t>
      </w:r>
      <w:r>
        <w:rPr>
          <w:spacing w:val="-4"/>
          <w:sz w:val="20"/>
        </w:rPr>
        <w:t>actuación</w:t>
      </w:r>
      <w:r>
        <w:rPr>
          <w:spacing w:val="-13"/>
          <w:sz w:val="20"/>
        </w:rPr>
        <w:t xml:space="preserve"> </w:t>
      </w:r>
      <w:r>
        <w:rPr>
          <w:spacing w:val="-3"/>
          <w:sz w:val="20"/>
        </w:rPr>
        <w:t>del</w:t>
      </w:r>
      <w:r>
        <w:rPr>
          <w:spacing w:val="-11"/>
          <w:sz w:val="20"/>
        </w:rPr>
        <w:t xml:space="preserve"> </w:t>
      </w:r>
      <w:r>
        <w:rPr>
          <w:spacing w:val="-4"/>
          <w:sz w:val="20"/>
        </w:rPr>
        <w:t>Juez</w:t>
      </w:r>
      <w:r>
        <w:rPr>
          <w:spacing w:val="-11"/>
          <w:sz w:val="20"/>
        </w:rPr>
        <w:t xml:space="preserve"> </w:t>
      </w:r>
      <w:r>
        <w:rPr>
          <w:spacing w:val="-4"/>
          <w:sz w:val="20"/>
        </w:rPr>
        <w:t>Cordero</w:t>
      </w:r>
      <w:r>
        <w:rPr>
          <w:spacing w:val="-14"/>
          <w:sz w:val="20"/>
        </w:rPr>
        <w:t xml:space="preserve"> </w:t>
      </w:r>
      <w:r>
        <w:rPr>
          <w:spacing w:val="-4"/>
          <w:sz w:val="20"/>
        </w:rPr>
        <w:t>Bernal,</w:t>
      </w:r>
      <w:r>
        <w:rPr>
          <w:spacing w:val="-12"/>
          <w:sz w:val="20"/>
        </w:rPr>
        <w:t xml:space="preserve"> </w:t>
      </w:r>
      <w:r>
        <w:rPr>
          <w:spacing w:val="-4"/>
          <w:sz w:val="20"/>
        </w:rPr>
        <w:t>cuestión</w:t>
      </w:r>
      <w:r>
        <w:rPr>
          <w:spacing w:val="-13"/>
          <w:sz w:val="20"/>
        </w:rPr>
        <w:t xml:space="preserve"> </w:t>
      </w:r>
      <w:r>
        <w:rPr>
          <w:spacing w:val="-3"/>
          <w:sz w:val="20"/>
        </w:rPr>
        <w:t>que</w:t>
      </w:r>
      <w:r>
        <w:rPr>
          <w:spacing w:val="-12"/>
          <w:sz w:val="20"/>
        </w:rPr>
        <w:t xml:space="preserve"> </w:t>
      </w:r>
      <w:r>
        <w:rPr>
          <w:sz w:val="20"/>
        </w:rPr>
        <w:t>es</w:t>
      </w:r>
      <w:r>
        <w:rPr>
          <w:spacing w:val="-12"/>
          <w:sz w:val="20"/>
        </w:rPr>
        <w:t xml:space="preserve"> </w:t>
      </w:r>
      <w:r>
        <w:rPr>
          <w:spacing w:val="-4"/>
          <w:sz w:val="20"/>
        </w:rPr>
        <w:t>retomada</w:t>
      </w:r>
      <w:r>
        <w:rPr>
          <w:spacing w:val="-11"/>
          <w:sz w:val="20"/>
        </w:rPr>
        <w:t xml:space="preserve"> </w:t>
      </w:r>
      <w:r>
        <w:rPr>
          <w:spacing w:val="-2"/>
          <w:sz w:val="20"/>
        </w:rPr>
        <w:t xml:space="preserve">por </w:t>
      </w:r>
      <w:r>
        <w:rPr>
          <w:spacing w:val="-3"/>
          <w:sz w:val="20"/>
        </w:rPr>
        <w:t>la</w:t>
      </w:r>
      <w:r>
        <w:rPr>
          <w:spacing w:val="-15"/>
          <w:sz w:val="20"/>
        </w:rPr>
        <w:t xml:space="preserve"> </w:t>
      </w:r>
      <w:r>
        <w:rPr>
          <w:spacing w:val="-4"/>
          <w:sz w:val="20"/>
        </w:rPr>
        <w:t>resolución</w:t>
      </w:r>
      <w:r>
        <w:rPr>
          <w:spacing w:val="-15"/>
          <w:sz w:val="20"/>
        </w:rPr>
        <w:t xml:space="preserve"> </w:t>
      </w:r>
      <w:r>
        <w:rPr>
          <w:spacing w:val="-3"/>
          <w:sz w:val="20"/>
        </w:rPr>
        <w:t>del</w:t>
      </w:r>
      <w:r>
        <w:rPr>
          <w:spacing w:val="-14"/>
          <w:sz w:val="20"/>
        </w:rPr>
        <w:t xml:space="preserve"> </w:t>
      </w:r>
      <w:r>
        <w:rPr>
          <w:spacing w:val="-3"/>
          <w:sz w:val="20"/>
        </w:rPr>
        <w:t>CNM,</w:t>
      </w:r>
      <w:r>
        <w:rPr>
          <w:spacing w:val="-18"/>
          <w:sz w:val="20"/>
        </w:rPr>
        <w:t xml:space="preserve"> </w:t>
      </w:r>
      <w:r>
        <w:rPr>
          <w:i/>
          <w:spacing w:val="-3"/>
          <w:sz w:val="20"/>
        </w:rPr>
        <w:t>ninguna</w:t>
      </w:r>
      <w:r>
        <w:rPr>
          <w:i/>
          <w:spacing w:val="-16"/>
          <w:sz w:val="20"/>
        </w:rPr>
        <w:t xml:space="preserve"> </w:t>
      </w:r>
      <w:r>
        <w:rPr>
          <w:i/>
          <w:sz w:val="20"/>
        </w:rPr>
        <w:t>de</w:t>
      </w:r>
      <w:r>
        <w:rPr>
          <w:i/>
          <w:spacing w:val="-15"/>
          <w:sz w:val="20"/>
        </w:rPr>
        <w:t xml:space="preserve"> </w:t>
      </w:r>
      <w:r>
        <w:rPr>
          <w:i/>
          <w:spacing w:val="-3"/>
          <w:sz w:val="20"/>
        </w:rPr>
        <w:t>las</w:t>
      </w:r>
      <w:r>
        <w:rPr>
          <w:i/>
          <w:spacing w:val="-18"/>
          <w:sz w:val="20"/>
        </w:rPr>
        <w:t xml:space="preserve"> </w:t>
      </w:r>
      <w:r>
        <w:rPr>
          <w:i/>
          <w:spacing w:val="-3"/>
          <w:sz w:val="20"/>
        </w:rPr>
        <w:t>tres</w:t>
      </w:r>
      <w:r>
        <w:rPr>
          <w:i/>
          <w:spacing w:val="-15"/>
          <w:sz w:val="20"/>
        </w:rPr>
        <w:t xml:space="preserve"> </w:t>
      </w:r>
      <w:r>
        <w:rPr>
          <w:i/>
          <w:sz w:val="20"/>
        </w:rPr>
        <w:t>se</w:t>
      </w:r>
      <w:r>
        <w:rPr>
          <w:i/>
          <w:spacing w:val="-15"/>
          <w:sz w:val="20"/>
        </w:rPr>
        <w:t xml:space="preserve"> </w:t>
      </w:r>
      <w:r>
        <w:rPr>
          <w:i/>
          <w:spacing w:val="-4"/>
          <w:sz w:val="20"/>
        </w:rPr>
        <w:t>ocupa</w:t>
      </w:r>
      <w:r>
        <w:rPr>
          <w:i/>
          <w:spacing w:val="-17"/>
          <w:sz w:val="20"/>
        </w:rPr>
        <w:t xml:space="preserve"> </w:t>
      </w:r>
      <w:r>
        <w:rPr>
          <w:i/>
          <w:sz w:val="20"/>
        </w:rPr>
        <w:t>de</w:t>
      </w:r>
      <w:r>
        <w:rPr>
          <w:i/>
          <w:spacing w:val="-15"/>
          <w:sz w:val="20"/>
        </w:rPr>
        <w:t xml:space="preserve"> </w:t>
      </w:r>
      <w:r>
        <w:rPr>
          <w:i/>
          <w:spacing w:val="-4"/>
          <w:sz w:val="20"/>
        </w:rPr>
        <w:t>manera</w:t>
      </w:r>
      <w:r>
        <w:rPr>
          <w:i/>
          <w:spacing w:val="-16"/>
          <w:sz w:val="20"/>
        </w:rPr>
        <w:t xml:space="preserve"> </w:t>
      </w:r>
      <w:r>
        <w:rPr>
          <w:i/>
          <w:spacing w:val="-4"/>
          <w:sz w:val="20"/>
        </w:rPr>
        <w:t>pormenorizada</w:t>
      </w:r>
      <w:r>
        <w:rPr>
          <w:i/>
          <w:spacing w:val="-14"/>
          <w:sz w:val="20"/>
        </w:rPr>
        <w:t xml:space="preserve"> </w:t>
      </w:r>
      <w:r>
        <w:rPr>
          <w:i/>
          <w:sz w:val="20"/>
        </w:rPr>
        <w:t>de</w:t>
      </w:r>
      <w:r>
        <w:rPr>
          <w:i/>
          <w:spacing w:val="-19"/>
          <w:sz w:val="20"/>
        </w:rPr>
        <w:t xml:space="preserve"> </w:t>
      </w:r>
      <w:r>
        <w:rPr>
          <w:i/>
          <w:spacing w:val="-2"/>
          <w:sz w:val="20"/>
        </w:rPr>
        <w:t>los</w:t>
      </w:r>
      <w:r>
        <w:rPr>
          <w:i/>
          <w:spacing w:val="-15"/>
          <w:sz w:val="20"/>
        </w:rPr>
        <w:t xml:space="preserve"> </w:t>
      </w:r>
      <w:r>
        <w:rPr>
          <w:i/>
          <w:spacing w:val="-4"/>
          <w:sz w:val="20"/>
        </w:rPr>
        <w:t xml:space="preserve">otros </w:t>
      </w:r>
      <w:r>
        <w:rPr>
          <w:i/>
          <w:spacing w:val="-3"/>
          <w:sz w:val="20"/>
        </w:rPr>
        <w:t>dos</w:t>
      </w:r>
      <w:r>
        <w:rPr>
          <w:i/>
          <w:spacing w:val="19"/>
          <w:sz w:val="20"/>
        </w:rPr>
        <w:t xml:space="preserve"> </w:t>
      </w:r>
      <w:r>
        <w:rPr>
          <w:i/>
          <w:spacing w:val="-4"/>
          <w:sz w:val="20"/>
        </w:rPr>
        <w:t>elementos</w:t>
      </w:r>
      <w:r>
        <w:rPr>
          <w:i/>
          <w:spacing w:val="16"/>
          <w:sz w:val="20"/>
        </w:rPr>
        <w:t xml:space="preserve"> </w:t>
      </w:r>
      <w:r>
        <w:rPr>
          <w:i/>
          <w:sz w:val="20"/>
        </w:rPr>
        <w:t>que</w:t>
      </w:r>
      <w:r>
        <w:rPr>
          <w:i/>
          <w:spacing w:val="16"/>
          <w:sz w:val="20"/>
        </w:rPr>
        <w:t xml:space="preserve"> </w:t>
      </w:r>
      <w:r>
        <w:rPr>
          <w:i/>
          <w:spacing w:val="-4"/>
          <w:sz w:val="20"/>
        </w:rPr>
        <w:t>también</w:t>
      </w:r>
      <w:r>
        <w:rPr>
          <w:i/>
          <w:spacing w:val="21"/>
          <w:sz w:val="20"/>
        </w:rPr>
        <w:t xml:space="preserve"> </w:t>
      </w:r>
      <w:r>
        <w:rPr>
          <w:i/>
          <w:sz w:val="20"/>
        </w:rPr>
        <w:t>se</w:t>
      </w:r>
      <w:r>
        <w:rPr>
          <w:i/>
          <w:spacing w:val="18"/>
          <w:sz w:val="20"/>
        </w:rPr>
        <w:t xml:space="preserve"> </w:t>
      </w:r>
      <w:r>
        <w:rPr>
          <w:i/>
          <w:spacing w:val="-4"/>
          <w:sz w:val="20"/>
        </w:rPr>
        <w:t>encuentran</w:t>
      </w:r>
      <w:r>
        <w:rPr>
          <w:i/>
          <w:spacing w:val="18"/>
          <w:sz w:val="20"/>
        </w:rPr>
        <w:t xml:space="preserve"> </w:t>
      </w:r>
      <w:r>
        <w:rPr>
          <w:i/>
          <w:spacing w:val="-4"/>
          <w:sz w:val="20"/>
        </w:rPr>
        <w:t>presentes</w:t>
      </w:r>
      <w:r>
        <w:rPr>
          <w:i/>
          <w:spacing w:val="19"/>
          <w:sz w:val="20"/>
        </w:rPr>
        <w:t xml:space="preserve"> </w:t>
      </w:r>
      <w:r>
        <w:rPr>
          <w:i/>
          <w:sz w:val="20"/>
        </w:rPr>
        <w:t>–e</w:t>
      </w:r>
      <w:r>
        <w:rPr>
          <w:i/>
          <w:spacing w:val="16"/>
          <w:sz w:val="20"/>
        </w:rPr>
        <w:t xml:space="preserve"> </w:t>
      </w:r>
      <w:r>
        <w:rPr>
          <w:i/>
          <w:spacing w:val="-4"/>
          <w:sz w:val="20"/>
        </w:rPr>
        <w:t>indeterminados-</w:t>
      </w:r>
      <w:r>
        <w:rPr>
          <w:i/>
          <w:spacing w:val="20"/>
          <w:sz w:val="20"/>
        </w:rPr>
        <w:t xml:space="preserve"> </w:t>
      </w:r>
      <w:r>
        <w:rPr>
          <w:i/>
          <w:spacing w:val="-3"/>
          <w:sz w:val="20"/>
        </w:rPr>
        <w:t>en</w:t>
      </w:r>
      <w:r>
        <w:rPr>
          <w:i/>
          <w:spacing w:val="21"/>
          <w:sz w:val="20"/>
        </w:rPr>
        <w:t xml:space="preserve"> </w:t>
      </w:r>
      <w:r>
        <w:rPr>
          <w:i/>
          <w:spacing w:val="-3"/>
          <w:sz w:val="20"/>
        </w:rPr>
        <w:t>el</w:t>
      </w:r>
      <w:r>
        <w:rPr>
          <w:i/>
          <w:spacing w:val="20"/>
          <w:sz w:val="20"/>
        </w:rPr>
        <w:t xml:space="preserve"> </w:t>
      </w:r>
      <w:r>
        <w:rPr>
          <w:i/>
          <w:spacing w:val="-4"/>
          <w:sz w:val="20"/>
        </w:rPr>
        <w:t>artículo</w:t>
      </w:r>
    </w:p>
    <w:p w14:paraId="104CB18E" w14:textId="77777777" w:rsidR="00492688" w:rsidRDefault="00C9584B">
      <w:pPr>
        <w:ind w:left="121" w:right="224" w:hanging="1"/>
        <w:jc w:val="both"/>
        <w:rPr>
          <w:sz w:val="20"/>
        </w:rPr>
      </w:pPr>
      <w:r>
        <w:rPr>
          <w:i/>
          <w:spacing w:val="-4"/>
          <w:sz w:val="20"/>
        </w:rPr>
        <w:t xml:space="preserve">31.2 </w:t>
      </w:r>
      <w:r>
        <w:rPr>
          <w:i/>
          <w:sz w:val="20"/>
        </w:rPr>
        <w:t xml:space="preserve">de </w:t>
      </w:r>
      <w:r>
        <w:rPr>
          <w:i/>
          <w:spacing w:val="-3"/>
          <w:sz w:val="20"/>
        </w:rPr>
        <w:t xml:space="preserve">la LOC que </w:t>
      </w:r>
      <w:r>
        <w:rPr>
          <w:i/>
          <w:sz w:val="20"/>
        </w:rPr>
        <w:t xml:space="preserve">se </w:t>
      </w:r>
      <w:r>
        <w:rPr>
          <w:i/>
          <w:spacing w:val="-4"/>
          <w:sz w:val="20"/>
        </w:rPr>
        <w:t xml:space="preserve">refieren </w:t>
      </w:r>
      <w:r>
        <w:rPr>
          <w:i/>
          <w:sz w:val="20"/>
        </w:rPr>
        <w:t xml:space="preserve">a </w:t>
      </w:r>
      <w:r>
        <w:rPr>
          <w:i/>
          <w:spacing w:val="-3"/>
          <w:sz w:val="20"/>
        </w:rPr>
        <w:t xml:space="preserve">que </w:t>
      </w:r>
      <w:r>
        <w:rPr>
          <w:i/>
          <w:sz w:val="20"/>
        </w:rPr>
        <w:t xml:space="preserve">la </w:t>
      </w:r>
      <w:r>
        <w:rPr>
          <w:i/>
          <w:spacing w:val="-4"/>
          <w:sz w:val="20"/>
        </w:rPr>
        <w:t xml:space="preserve">conducta “comprometa </w:t>
      </w:r>
      <w:r>
        <w:rPr>
          <w:i/>
          <w:sz w:val="20"/>
        </w:rPr>
        <w:t xml:space="preserve">la </w:t>
      </w:r>
      <w:r>
        <w:rPr>
          <w:i/>
          <w:spacing w:val="-4"/>
          <w:sz w:val="20"/>
        </w:rPr>
        <w:t xml:space="preserve">dignidad </w:t>
      </w:r>
      <w:r>
        <w:rPr>
          <w:i/>
          <w:spacing w:val="-2"/>
          <w:sz w:val="20"/>
        </w:rPr>
        <w:t xml:space="preserve">del </w:t>
      </w:r>
      <w:r>
        <w:rPr>
          <w:i/>
          <w:spacing w:val="-4"/>
          <w:sz w:val="20"/>
        </w:rPr>
        <w:t xml:space="preserve">cargo” </w:t>
      </w:r>
      <w:r>
        <w:rPr>
          <w:i/>
          <w:sz w:val="20"/>
        </w:rPr>
        <w:t xml:space="preserve">y </w:t>
      </w:r>
      <w:r>
        <w:rPr>
          <w:i/>
          <w:spacing w:val="-4"/>
          <w:sz w:val="20"/>
        </w:rPr>
        <w:t xml:space="preserve">“desmerezca </w:t>
      </w:r>
      <w:r>
        <w:rPr>
          <w:i/>
          <w:spacing w:val="-3"/>
          <w:sz w:val="20"/>
        </w:rPr>
        <w:t xml:space="preserve">en </w:t>
      </w:r>
      <w:r>
        <w:rPr>
          <w:i/>
          <w:sz w:val="20"/>
        </w:rPr>
        <w:t xml:space="preserve">el </w:t>
      </w:r>
      <w:r>
        <w:rPr>
          <w:i/>
          <w:spacing w:val="-4"/>
          <w:sz w:val="20"/>
        </w:rPr>
        <w:t xml:space="preserve">concepto público”. </w:t>
      </w:r>
      <w:r>
        <w:rPr>
          <w:spacing w:val="-3"/>
          <w:sz w:val="20"/>
        </w:rPr>
        <w:t xml:space="preserve">Por </w:t>
      </w:r>
      <w:r>
        <w:rPr>
          <w:sz w:val="20"/>
        </w:rPr>
        <w:t xml:space="preserve">el </w:t>
      </w:r>
      <w:r>
        <w:rPr>
          <w:spacing w:val="-4"/>
          <w:sz w:val="20"/>
        </w:rPr>
        <w:t xml:space="preserve">contrario, </w:t>
      </w:r>
      <w:r>
        <w:rPr>
          <w:spacing w:val="-3"/>
          <w:sz w:val="20"/>
        </w:rPr>
        <w:t xml:space="preserve">el </w:t>
      </w:r>
      <w:r>
        <w:rPr>
          <w:spacing w:val="-4"/>
          <w:sz w:val="20"/>
        </w:rPr>
        <w:t xml:space="preserve">informe </w:t>
      </w:r>
      <w:r>
        <w:rPr>
          <w:sz w:val="20"/>
        </w:rPr>
        <w:t xml:space="preserve">de </w:t>
      </w:r>
      <w:r>
        <w:rPr>
          <w:spacing w:val="-4"/>
          <w:sz w:val="20"/>
        </w:rPr>
        <w:t xml:space="preserve">investigación reitera, </w:t>
      </w:r>
      <w:r>
        <w:rPr>
          <w:spacing w:val="-3"/>
          <w:sz w:val="20"/>
        </w:rPr>
        <w:t>en</w:t>
      </w:r>
      <w:r>
        <w:rPr>
          <w:spacing w:val="-15"/>
          <w:sz w:val="20"/>
        </w:rPr>
        <w:t xml:space="preserve"> </w:t>
      </w:r>
      <w:r>
        <w:rPr>
          <w:spacing w:val="-4"/>
          <w:sz w:val="20"/>
        </w:rPr>
        <w:t>términos</w:t>
      </w:r>
      <w:r>
        <w:rPr>
          <w:spacing w:val="-20"/>
          <w:sz w:val="20"/>
        </w:rPr>
        <w:t xml:space="preserve"> </w:t>
      </w:r>
      <w:r>
        <w:rPr>
          <w:spacing w:val="-4"/>
          <w:sz w:val="20"/>
        </w:rPr>
        <w:t>generales,</w:t>
      </w:r>
      <w:r>
        <w:rPr>
          <w:spacing w:val="-17"/>
          <w:sz w:val="20"/>
        </w:rPr>
        <w:t xml:space="preserve"> </w:t>
      </w:r>
      <w:r>
        <w:rPr>
          <w:spacing w:val="-2"/>
          <w:sz w:val="20"/>
        </w:rPr>
        <w:t>que</w:t>
      </w:r>
      <w:r>
        <w:rPr>
          <w:spacing w:val="-20"/>
          <w:sz w:val="20"/>
        </w:rPr>
        <w:t xml:space="preserve"> </w:t>
      </w:r>
      <w:r>
        <w:rPr>
          <w:sz w:val="20"/>
        </w:rPr>
        <w:t>ha</w:t>
      </w:r>
      <w:r>
        <w:rPr>
          <w:spacing w:val="-16"/>
          <w:sz w:val="20"/>
        </w:rPr>
        <w:t xml:space="preserve"> </w:t>
      </w:r>
      <w:r>
        <w:rPr>
          <w:spacing w:val="-4"/>
          <w:sz w:val="20"/>
        </w:rPr>
        <w:t>comprometido</w:t>
      </w:r>
      <w:r>
        <w:rPr>
          <w:spacing w:val="-17"/>
          <w:sz w:val="20"/>
        </w:rPr>
        <w:t xml:space="preserve"> </w:t>
      </w:r>
      <w:r>
        <w:rPr>
          <w:spacing w:val="-3"/>
          <w:sz w:val="20"/>
        </w:rPr>
        <w:t>la</w:t>
      </w:r>
      <w:r>
        <w:rPr>
          <w:spacing w:val="-16"/>
          <w:sz w:val="20"/>
        </w:rPr>
        <w:t xml:space="preserve"> </w:t>
      </w:r>
      <w:r>
        <w:rPr>
          <w:spacing w:val="-4"/>
          <w:sz w:val="20"/>
        </w:rPr>
        <w:t>dignidad</w:t>
      </w:r>
      <w:r>
        <w:rPr>
          <w:spacing w:val="-16"/>
          <w:sz w:val="20"/>
        </w:rPr>
        <w:t xml:space="preserve"> </w:t>
      </w:r>
      <w:r>
        <w:rPr>
          <w:spacing w:val="-3"/>
          <w:sz w:val="20"/>
        </w:rPr>
        <w:t>del</w:t>
      </w:r>
      <w:r>
        <w:rPr>
          <w:spacing w:val="-16"/>
          <w:sz w:val="20"/>
        </w:rPr>
        <w:t xml:space="preserve"> </w:t>
      </w:r>
      <w:r>
        <w:rPr>
          <w:spacing w:val="-3"/>
          <w:sz w:val="20"/>
        </w:rPr>
        <w:t>cargo</w:t>
      </w:r>
      <w:r>
        <w:rPr>
          <w:spacing w:val="-20"/>
          <w:sz w:val="20"/>
        </w:rPr>
        <w:t xml:space="preserve"> </w:t>
      </w:r>
      <w:r>
        <w:rPr>
          <w:spacing w:val="-4"/>
          <w:sz w:val="20"/>
        </w:rPr>
        <w:t>desmereciéndolo</w:t>
      </w:r>
      <w:r>
        <w:rPr>
          <w:spacing w:val="-15"/>
          <w:sz w:val="20"/>
        </w:rPr>
        <w:t xml:space="preserve"> </w:t>
      </w:r>
      <w:r>
        <w:rPr>
          <w:spacing w:val="-4"/>
          <w:sz w:val="20"/>
        </w:rPr>
        <w:t>“[d]el concepto</w:t>
      </w:r>
      <w:r>
        <w:rPr>
          <w:spacing w:val="-14"/>
          <w:sz w:val="20"/>
        </w:rPr>
        <w:t xml:space="preserve"> </w:t>
      </w:r>
      <w:r>
        <w:rPr>
          <w:spacing w:val="-4"/>
          <w:sz w:val="20"/>
        </w:rPr>
        <w:t>público”</w:t>
      </w:r>
      <w:r>
        <w:rPr>
          <w:spacing w:val="-13"/>
          <w:sz w:val="20"/>
        </w:rPr>
        <w:t xml:space="preserve"> </w:t>
      </w:r>
      <w:r>
        <w:rPr>
          <w:spacing w:val="-4"/>
          <w:sz w:val="20"/>
        </w:rPr>
        <w:t>sin</w:t>
      </w:r>
      <w:r>
        <w:rPr>
          <w:spacing w:val="-12"/>
          <w:sz w:val="20"/>
        </w:rPr>
        <w:t xml:space="preserve"> </w:t>
      </w:r>
      <w:r>
        <w:rPr>
          <w:spacing w:val="-4"/>
          <w:sz w:val="20"/>
        </w:rPr>
        <w:t>indicar</w:t>
      </w:r>
      <w:r>
        <w:rPr>
          <w:spacing w:val="-14"/>
          <w:sz w:val="20"/>
        </w:rPr>
        <w:t xml:space="preserve"> </w:t>
      </w:r>
      <w:r>
        <w:rPr>
          <w:spacing w:val="-3"/>
          <w:sz w:val="20"/>
        </w:rPr>
        <w:t>cómo</w:t>
      </w:r>
      <w:r>
        <w:rPr>
          <w:spacing w:val="-14"/>
          <w:sz w:val="20"/>
        </w:rPr>
        <w:t xml:space="preserve"> </w:t>
      </w:r>
      <w:r>
        <w:rPr>
          <w:spacing w:val="-3"/>
          <w:sz w:val="20"/>
        </w:rPr>
        <w:t>fue</w:t>
      </w:r>
      <w:r>
        <w:rPr>
          <w:spacing w:val="-14"/>
          <w:sz w:val="20"/>
        </w:rPr>
        <w:t xml:space="preserve"> </w:t>
      </w:r>
      <w:r>
        <w:rPr>
          <w:spacing w:val="-4"/>
          <w:sz w:val="20"/>
        </w:rPr>
        <w:t>comprometida</w:t>
      </w:r>
      <w:r>
        <w:rPr>
          <w:spacing w:val="-12"/>
          <w:sz w:val="20"/>
        </w:rPr>
        <w:t xml:space="preserve"> </w:t>
      </w:r>
      <w:r>
        <w:rPr>
          <w:spacing w:val="-3"/>
          <w:sz w:val="20"/>
        </w:rPr>
        <w:t>la</w:t>
      </w:r>
      <w:r>
        <w:rPr>
          <w:spacing w:val="-13"/>
          <w:sz w:val="20"/>
        </w:rPr>
        <w:t xml:space="preserve"> </w:t>
      </w:r>
      <w:r>
        <w:rPr>
          <w:spacing w:val="-4"/>
          <w:sz w:val="20"/>
        </w:rPr>
        <w:t>dignidad</w:t>
      </w:r>
      <w:r>
        <w:rPr>
          <w:spacing w:val="-15"/>
          <w:sz w:val="20"/>
        </w:rPr>
        <w:t xml:space="preserve"> </w:t>
      </w:r>
      <w:r>
        <w:rPr>
          <w:spacing w:val="-2"/>
          <w:sz w:val="20"/>
        </w:rPr>
        <w:t>del</w:t>
      </w:r>
      <w:r>
        <w:rPr>
          <w:spacing w:val="-13"/>
          <w:sz w:val="20"/>
        </w:rPr>
        <w:t xml:space="preserve"> </w:t>
      </w:r>
      <w:r>
        <w:rPr>
          <w:spacing w:val="-4"/>
          <w:sz w:val="20"/>
        </w:rPr>
        <w:t>cargo</w:t>
      </w:r>
      <w:r>
        <w:rPr>
          <w:spacing w:val="-11"/>
          <w:sz w:val="20"/>
        </w:rPr>
        <w:t xml:space="preserve"> </w:t>
      </w:r>
      <w:r>
        <w:rPr>
          <w:sz w:val="20"/>
        </w:rPr>
        <w:t>y</w:t>
      </w:r>
      <w:r>
        <w:rPr>
          <w:spacing w:val="-13"/>
          <w:sz w:val="20"/>
        </w:rPr>
        <w:t xml:space="preserve"> </w:t>
      </w:r>
      <w:r>
        <w:rPr>
          <w:spacing w:val="-3"/>
          <w:sz w:val="20"/>
        </w:rPr>
        <w:t>más</w:t>
      </w:r>
      <w:r>
        <w:rPr>
          <w:spacing w:val="-14"/>
          <w:sz w:val="20"/>
        </w:rPr>
        <w:t xml:space="preserve"> </w:t>
      </w:r>
      <w:r>
        <w:rPr>
          <w:spacing w:val="-3"/>
          <w:sz w:val="20"/>
        </w:rPr>
        <w:t>aún</w:t>
      </w:r>
      <w:r>
        <w:rPr>
          <w:spacing w:val="-12"/>
          <w:sz w:val="20"/>
        </w:rPr>
        <w:t xml:space="preserve"> </w:t>
      </w:r>
      <w:r>
        <w:rPr>
          <w:spacing w:val="-4"/>
          <w:sz w:val="20"/>
        </w:rPr>
        <w:t xml:space="preserve">cuál </w:t>
      </w:r>
      <w:r>
        <w:rPr>
          <w:sz w:val="20"/>
        </w:rPr>
        <w:t xml:space="preserve">es </w:t>
      </w:r>
      <w:r>
        <w:rPr>
          <w:spacing w:val="-3"/>
          <w:sz w:val="20"/>
        </w:rPr>
        <w:t xml:space="preserve">el </w:t>
      </w:r>
      <w:r>
        <w:rPr>
          <w:spacing w:val="-4"/>
          <w:sz w:val="20"/>
        </w:rPr>
        <w:t xml:space="preserve">alcance </w:t>
      </w:r>
      <w:r>
        <w:rPr>
          <w:spacing w:val="-3"/>
          <w:sz w:val="20"/>
        </w:rPr>
        <w:t xml:space="preserve">del </w:t>
      </w:r>
      <w:r>
        <w:rPr>
          <w:spacing w:val="-4"/>
          <w:sz w:val="20"/>
        </w:rPr>
        <w:t xml:space="preserve">“desmerecimiento público” </w:t>
      </w:r>
      <w:r>
        <w:rPr>
          <w:spacing w:val="-3"/>
          <w:sz w:val="20"/>
        </w:rPr>
        <w:t xml:space="preserve">en </w:t>
      </w:r>
      <w:r>
        <w:rPr>
          <w:sz w:val="20"/>
        </w:rPr>
        <w:t xml:space="preserve">las </w:t>
      </w:r>
      <w:r>
        <w:rPr>
          <w:spacing w:val="-4"/>
          <w:sz w:val="20"/>
        </w:rPr>
        <w:t xml:space="preserve">actuaciones jurisdiccionales. </w:t>
      </w:r>
      <w:r>
        <w:rPr>
          <w:sz w:val="20"/>
        </w:rPr>
        <w:t xml:space="preserve">En </w:t>
      </w:r>
      <w:r>
        <w:rPr>
          <w:spacing w:val="-4"/>
          <w:sz w:val="20"/>
        </w:rPr>
        <w:t>términos</w:t>
      </w:r>
      <w:r>
        <w:rPr>
          <w:spacing w:val="-8"/>
          <w:sz w:val="20"/>
        </w:rPr>
        <w:t xml:space="preserve"> </w:t>
      </w:r>
      <w:r>
        <w:rPr>
          <w:spacing w:val="-4"/>
          <w:sz w:val="20"/>
        </w:rPr>
        <w:t>similares</w:t>
      </w:r>
      <w:r>
        <w:rPr>
          <w:spacing w:val="-9"/>
          <w:sz w:val="20"/>
        </w:rPr>
        <w:t xml:space="preserve"> </w:t>
      </w:r>
      <w:r>
        <w:rPr>
          <w:sz w:val="20"/>
        </w:rPr>
        <w:t>es</w:t>
      </w:r>
      <w:r>
        <w:rPr>
          <w:spacing w:val="-9"/>
          <w:sz w:val="20"/>
        </w:rPr>
        <w:t xml:space="preserve"> </w:t>
      </w:r>
      <w:r>
        <w:rPr>
          <w:sz w:val="20"/>
        </w:rPr>
        <w:t>lo</w:t>
      </w:r>
      <w:r>
        <w:rPr>
          <w:spacing w:val="-10"/>
          <w:sz w:val="20"/>
        </w:rPr>
        <w:t xml:space="preserve"> </w:t>
      </w:r>
      <w:r>
        <w:rPr>
          <w:spacing w:val="-4"/>
          <w:sz w:val="20"/>
        </w:rPr>
        <w:t>indicado</w:t>
      </w:r>
      <w:r>
        <w:rPr>
          <w:spacing w:val="-9"/>
          <w:sz w:val="20"/>
        </w:rPr>
        <w:t xml:space="preserve"> </w:t>
      </w:r>
      <w:r>
        <w:rPr>
          <w:spacing w:val="-2"/>
          <w:sz w:val="20"/>
        </w:rPr>
        <w:t>por</w:t>
      </w:r>
      <w:r>
        <w:rPr>
          <w:spacing w:val="-12"/>
          <w:sz w:val="20"/>
        </w:rPr>
        <w:t xml:space="preserve"> </w:t>
      </w:r>
      <w:r>
        <w:rPr>
          <w:sz w:val="20"/>
        </w:rPr>
        <w:t>la</w:t>
      </w:r>
      <w:r>
        <w:rPr>
          <w:spacing w:val="-8"/>
          <w:sz w:val="20"/>
        </w:rPr>
        <w:t xml:space="preserve"> </w:t>
      </w:r>
      <w:r>
        <w:rPr>
          <w:spacing w:val="-4"/>
          <w:sz w:val="20"/>
        </w:rPr>
        <w:t>resolución</w:t>
      </w:r>
      <w:r>
        <w:rPr>
          <w:spacing w:val="-8"/>
          <w:sz w:val="20"/>
        </w:rPr>
        <w:t xml:space="preserve"> </w:t>
      </w:r>
      <w:r>
        <w:rPr>
          <w:spacing w:val="-3"/>
          <w:sz w:val="20"/>
        </w:rPr>
        <w:t>del</w:t>
      </w:r>
      <w:r>
        <w:rPr>
          <w:spacing w:val="-8"/>
          <w:sz w:val="20"/>
        </w:rPr>
        <w:t xml:space="preserve"> </w:t>
      </w:r>
      <w:r>
        <w:rPr>
          <w:spacing w:val="-3"/>
          <w:sz w:val="20"/>
        </w:rPr>
        <w:t>CNM.</w:t>
      </w:r>
    </w:p>
    <w:p w14:paraId="69443BFF" w14:textId="77777777" w:rsidR="00492688" w:rsidRDefault="00492688">
      <w:pPr>
        <w:pStyle w:val="Textoindependiente"/>
      </w:pPr>
    </w:p>
    <w:p w14:paraId="79BE944D" w14:textId="77777777" w:rsidR="00492688" w:rsidRDefault="00C9584B">
      <w:pPr>
        <w:pStyle w:val="Prrafodelista"/>
        <w:numPr>
          <w:ilvl w:val="0"/>
          <w:numId w:val="3"/>
        </w:numPr>
        <w:tabs>
          <w:tab w:val="left" w:pos="830"/>
        </w:tabs>
        <w:spacing w:before="1"/>
        <w:ind w:right="225" w:firstLine="0"/>
        <w:jc w:val="both"/>
        <w:rPr>
          <w:sz w:val="20"/>
        </w:rPr>
      </w:pPr>
      <w:r>
        <w:rPr>
          <w:spacing w:val="-3"/>
          <w:sz w:val="20"/>
        </w:rPr>
        <w:t xml:space="preserve">Por </w:t>
      </w:r>
      <w:r>
        <w:rPr>
          <w:spacing w:val="-4"/>
          <w:sz w:val="20"/>
        </w:rPr>
        <w:t xml:space="preserve">otro lado, cabe destacar </w:t>
      </w:r>
      <w:r>
        <w:rPr>
          <w:spacing w:val="-3"/>
          <w:sz w:val="20"/>
        </w:rPr>
        <w:t xml:space="preserve">la </w:t>
      </w:r>
      <w:r>
        <w:rPr>
          <w:spacing w:val="-4"/>
          <w:sz w:val="20"/>
        </w:rPr>
        <w:t>expresión i</w:t>
      </w:r>
      <w:r>
        <w:rPr>
          <w:spacing w:val="-4"/>
          <w:sz w:val="20"/>
        </w:rPr>
        <w:t xml:space="preserve">ndicada </w:t>
      </w:r>
      <w:r>
        <w:rPr>
          <w:spacing w:val="-2"/>
          <w:sz w:val="20"/>
        </w:rPr>
        <w:t xml:space="preserve">por </w:t>
      </w:r>
      <w:r>
        <w:rPr>
          <w:spacing w:val="-3"/>
          <w:sz w:val="20"/>
        </w:rPr>
        <w:t xml:space="preserve">el CNM al </w:t>
      </w:r>
      <w:r>
        <w:rPr>
          <w:spacing w:val="-4"/>
          <w:sz w:val="20"/>
        </w:rPr>
        <w:t xml:space="preserve">señalar </w:t>
      </w:r>
      <w:r>
        <w:rPr>
          <w:spacing w:val="-3"/>
          <w:sz w:val="20"/>
        </w:rPr>
        <w:t xml:space="preserve">que </w:t>
      </w:r>
      <w:r>
        <w:rPr>
          <w:spacing w:val="-6"/>
          <w:sz w:val="20"/>
        </w:rPr>
        <w:t xml:space="preserve">“la </w:t>
      </w:r>
      <w:r>
        <w:rPr>
          <w:spacing w:val="-4"/>
          <w:sz w:val="20"/>
        </w:rPr>
        <w:t xml:space="preserve">conducta </w:t>
      </w:r>
      <w:r>
        <w:rPr>
          <w:spacing w:val="-3"/>
          <w:sz w:val="20"/>
        </w:rPr>
        <w:t xml:space="preserve">del </w:t>
      </w:r>
      <w:r>
        <w:rPr>
          <w:spacing w:val="-4"/>
          <w:sz w:val="20"/>
        </w:rPr>
        <w:t xml:space="preserve">magistrado procesado </w:t>
      </w:r>
      <w:r>
        <w:rPr>
          <w:spacing w:val="-3"/>
          <w:sz w:val="20"/>
        </w:rPr>
        <w:t xml:space="preserve">[…] </w:t>
      </w:r>
      <w:r>
        <w:rPr>
          <w:sz w:val="20"/>
        </w:rPr>
        <w:t xml:space="preserve">es </w:t>
      </w:r>
      <w:r>
        <w:rPr>
          <w:spacing w:val="-4"/>
          <w:sz w:val="20"/>
        </w:rPr>
        <w:t xml:space="preserve">típica </w:t>
      </w:r>
      <w:r>
        <w:rPr>
          <w:spacing w:val="-3"/>
          <w:sz w:val="20"/>
        </w:rPr>
        <w:t xml:space="preserve">y, </w:t>
      </w:r>
      <w:r>
        <w:rPr>
          <w:spacing w:val="-4"/>
          <w:sz w:val="20"/>
        </w:rPr>
        <w:t xml:space="preserve">además, </w:t>
      </w:r>
      <w:r>
        <w:rPr>
          <w:spacing w:val="-3"/>
          <w:sz w:val="20"/>
        </w:rPr>
        <w:t xml:space="preserve">grave </w:t>
      </w:r>
      <w:r>
        <w:rPr>
          <w:sz w:val="20"/>
        </w:rPr>
        <w:t xml:space="preserve">y </w:t>
      </w:r>
      <w:r>
        <w:rPr>
          <w:spacing w:val="-2"/>
          <w:sz w:val="20"/>
        </w:rPr>
        <w:t xml:space="preserve">por </w:t>
      </w:r>
      <w:r>
        <w:rPr>
          <w:spacing w:val="-4"/>
          <w:sz w:val="20"/>
        </w:rPr>
        <w:t xml:space="preserve">ello coincidente </w:t>
      </w:r>
      <w:r>
        <w:rPr>
          <w:spacing w:val="-3"/>
          <w:sz w:val="20"/>
        </w:rPr>
        <w:t xml:space="preserve">con el </w:t>
      </w:r>
      <w:r>
        <w:rPr>
          <w:spacing w:val="-4"/>
          <w:sz w:val="20"/>
        </w:rPr>
        <w:t xml:space="preserve">supuesto </w:t>
      </w:r>
      <w:r>
        <w:rPr>
          <w:spacing w:val="-3"/>
          <w:sz w:val="20"/>
        </w:rPr>
        <w:t xml:space="preserve">del </w:t>
      </w:r>
      <w:r>
        <w:rPr>
          <w:spacing w:val="-4"/>
          <w:sz w:val="20"/>
        </w:rPr>
        <w:t xml:space="preserve">artículo </w:t>
      </w:r>
      <w:r>
        <w:rPr>
          <w:spacing w:val="-3"/>
          <w:sz w:val="20"/>
        </w:rPr>
        <w:t xml:space="preserve">[31.2 </w:t>
      </w:r>
      <w:r>
        <w:rPr>
          <w:sz w:val="20"/>
        </w:rPr>
        <w:t xml:space="preserve">de </w:t>
      </w:r>
      <w:r>
        <w:rPr>
          <w:spacing w:val="-3"/>
          <w:sz w:val="20"/>
        </w:rPr>
        <w:t xml:space="preserve">la </w:t>
      </w:r>
      <w:r>
        <w:rPr>
          <w:spacing w:val="-4"/>
          <w:sz w:val="20"/>
        </w:rPr>
        <w:t xml:space="preserve">LOC]”. </w:t>
      </w:r>
      <w:r>
        <w:rPr>
          <w:spacing w:val="-3"/>
          <w:sz w:val="20"/>
        </w:rPr>
        <w:t xml:space="preserve">Sobre este </w:t>
      </w:r>
      <w:r>
        <w:rPr>
          <w:spacing w:val="-4"/>
          <w:sz w:val="20"/>
        </w:rPr>
        <w:t xml:space="preserve">aspecto, estimo </w:t>
      </w:r>
      <w:r>
        <w:rPr>
          <w:spacing w:val="-3"/>
          <w:sz w:val="20"/>
        </w:rPr>
        <w:t xml:space="preserve">que el </w:t>
      </w:r>
      <w:r>
        <w:rPr>
          <w:spacing w:val="-4"/>
          <w:sz w:val="20"/>
        </w:rPr>
        <w:t>criterio mayoritario</w:t>
      </w:r>
      <w:r>
        <w:rPr>
          <w:spacing w:val="-23"/>
          <w:sz w:val="20"/>
        </w:rPr>
        <w:t xml:space="preserve"> </w:t>
      </w:r>
      <w:r>
        <w:rPr>
          <w:spacing w:val="-3"/>
          <w:sz w:val="20"/>
        </w:rPr>
        <w:t>debió</w:t>
      </w:r>
      <w:r>
        <w:rPr>
          <w:spacing w:val="-21"/>
          <w:sz w:val="20"/>
        </w:rPr>
        <w:t xml:space="preserve"> </w:t>
      </w:r>
      <w:r>
        <w:rPr>
          <w:spacing w:val="-4"/>
          <w:sz w:val="20"/>
        </w:rPr>
        <w:t>considerar</w:t>
      </w:r>
      <w:r>
        <w:rPr>
          <w:spacing w:val="-20"/>
          <w:sz w:val="20"/>
        </w:rPr>
        <w:t xml:space="preserve"> </w:t>
      </w:r>
      <w:r>
        <w:rPr>
          <w:sz w:val="20"/>
        </w:rPr>
        <w:t>y</w:t>
      </w:r>
      <w:r>
        <w:rPr>
          <w:spacing w:val="-23"/>
          <w:sz w:val="20"/>
        </w:rPr>
        <w:t xml:space="preserve"> </w:t>
      </w:r>
      <w:r>
        <w:rPr>
          <w:spacing w:val="-4"/>
          <w:sz w:val="20"/>
        </w:rPr>
        <w:t>analizar</w:t>
      </w:r>
      <w:r>
        <w:rPr>
          <w:spacing w:val="-23"/>
          <w:sz w:val="20"/>
        </w:rPr>
        <w:t xml:space="preserve"> </w:t>
      </w:r>
      <w:r>
        <w:rPr>
          <w:sz w:val="20"/>
        </w:rPr>
        <w:t>si</w:t>
      </w:r>
      <w:r>
        <w:rPr>
          <w:spacing w:val="-21"/>
          <w:sz w:val="20"/>
        </w:rPr>
        <w:t xml:space="preserve"> </w:t>
      </w:r>
      <w:r>
        <w:rPr>
          <w:spacing w:val="-3"/>
          <w:sz w:val="20"/>
        </w:rPr>
        <w:t>en</w:t>
      </w:r>
      <w:r>
        <w:rPr>
          <w:spacing w:val="-19"/>
          <w:sz w:val="20"/>
        </w:rPr>
        <w:t xml:space="preserve"> </w:t>
      </w:r>
      <w:r>
        <w:rPr>
          <w:spacing w:val="-3"/>
          <w:sz w:val="20"/>
        </w:rPr>
        <w:t>el</w:t>
      </w:r>
      <w:r>
        <w:rPr>
          <w:spacing w:val="-19"/>
          <w:sz w:val="20"/>
        </w:rPr>
        <w:t xml:space="preserve"> </w:t>
      </w:r>
      <w:r>
        <w:rPr>
          <w:spacing w:val="-3"/>
          <w:sz w:val="20"/>
        </w:rPr>
        <w:t>caso</w:t>
      </w:r>
      <w:r>
        <w:rPr>
          <w:spacing w:val="-22"/>
          <w:sz w:val="20"/>
        </w:rPr>
        <w:t xml:space="preserve"> </w:t>
      </w:r>
      <w:r>
        <w:rPr>
          <w:spacing w:val="-4"/>
          <w:sz w:val="20"/>
        </w:rPr>
        <w:t>existían</w:t>
      </w:r>
      <w:r>
        <w:rPr>
          <w:spacing w:val="-21"/>
          <w:sz w:val="20"/>
        </w:rPr>
        <w:t xml:space="preserve"> </w:t>
      </w:r>
      <w:r>
        <w:rPr>
          <w:spacing w:val="-4"/>
          <w:sz w:val="20"/>
        </w:rPr>
        <w:t>suficientes</w:t>
      </w:r>
      <w:r>
        <w:rPr>
          <w:spacing w:val="-21"/>
          <w:sz w:val="20"/>
        </w:rPr>
        <w:t xml:space="preserve"> </w:t>
      </w:r>
      <w:r>
        <w:rPr>
          <w:spacing w:val="-4"/>
          <w:sz w:val="20"/>
        </w:rPr>
        <w:t xml:space="preserve">elementos/criterios objetivos previos </w:t>
      </w:r>
      <w:r>
        <w:rPr>
          <w:spacing w:val="-3"/>
          <w:sz w:val="20"/>
        </w:rPr>
        <w:t xml:space="preserve">en </w:t>
      </w:r>
      <w:r>
        <w:rPr>
          <w:sz w:val="20"/>
        </w:rPr>
        <w:t xml:space="preserve">la </w:t>
      </w:r>
      <w:r>
        <w:rPr>
          <w:spacing w:val="-4"/>
          <w:sz w:val="20"/>
        </w:rPr>
        <w:t xml:space="preserve">decisión </w:t>
      </w:r>
      <w:r>
        <w:rPr>
          <w:sz w:val="20"/>
        </w:rPr>
        <w:t xml:space="preserve">de </w:t>
      </w:r>
      <w:r>
        <w:rPr>
          <w:spacing w:val="-3"/>
          <w:sz w:val="20"/>
        </w:rPr>
        <w:t xml:space="preserve">la CNM que </w:t>
      </w:r>
      <w:r>
        <w:rPr>
          <w:spacing w:val="-4"/>
          <w:sz w:val="20"/>
        </w:rPr>
        <w:t xml:space="preserve">fueran aplicados </w:t>
      </w:r>
      <w:r>
        <w:rPr>
          <w:sz w:val="20"/>
        </w:rPr>
        <w:t xml:space="preserve">al </w:t>
      </w:r>
      <w:r>
        <w:rPr>
          <w:spacing w:val="-3"/>
          <w:sz w:val="20"/>
        </w:rPr>
        <w:t xml:space="preserve">caso </w:t>
      </w:r>
      <w:r>
        <w:rPr>
          <w:spacing w:val="-4"/>
          <w:sz w:val="20"/>
        </w:rPr>
        <w:t>para considerar</w:t>
      </w:r>
      <w:r>
        <w:rPr>
          <w:spacing w:val="62"/>
          <w:sz w:val="20"/>
        </w:rPr>
        <w:t xml:space="preserve"> </w:t>
      </w:r>
      <w:r>
        <w:rPr>
          <w:spacing w:val="-3"/>
          <w:sz w:val="20"/>
        </w:rPr>
        <w:t>que</w:t>
      </w:r>
      <w:r>
        <w:rPr>
          <w:spacing w:val="-13"/>
          <w:sz w:val="20"/>
        </w:rPr>
        <w:t xml:space="preserve"> </w:t>
      </w:r>
      <w:r>
        <w:rPr>
          <w:sz w:val="20"/>
        </w:rPr>
        <w:t>la</w:t>
      </w:r>
      <w:r>
        <w:rPr>
          <w:spacing w:val="-11"/>
          <w:sz w:val="20"/>
        </w:rPr>
        <w:t xml:space="preserve"> </w:t>
      </w:r>
      <w:r>
        <w:rPr>
          <w:spacing w:val="-4"/>
          <w:sz w:val="20"/>
        </w:rPr>
        <w:t>decisión</w:t>
      </w:r>
      <w:r>
        <w:rPr>
          <w:spacing w:val="-13"/>
          <w:sz w:val="20"/>
        </w:rPr>
        <w:t xml:space="preserve"> </w:t>
      </w:r>
      <w:r>
        <w:rPr>
          <w:sz w:val="20"/>
        </w:rPr>
        <w:t>no</w:t>
      </w:r>
      <w:r>
        <w:rPr>
          <w:spacing w:val="-9"/>
          <w:sz w:val="20"/>
        </w:rPr>
        <w:t xml:space="preserve"> </w:t>
      </w:r>
      <w:r>
        <w:rPr>
          <w:spacing w:val="-3"/>
          <w:sz w:val="20"/>
        </w:rPr>
        <w:t>fue</w:t>
      </w:r>
      <w:r>
        <w:rPr>
          <w:spacing w:val="-13"/>
          <w:sz w:val="20"/>
        </w:rPr>
        <w:t xml:space="preserve"> </w:t>
      </w:r>
      <w:r>
        <w:rPr>
          <w:spacing w:val="-4"/>
          <w:sz w:val="20"/>
        </w:rPr>
        <w:t>adoptada</w:t>
      </w:r>
      <w:r>
        <w:rPr>
          <w:spacing w:val="-11"/>
          <w:sz w:val="20"/>
        </w:rPr>
        <w:t xml:space="preserve"> </w:t>
      </w:r>
      <w:r>
        <w:rPr>
          <w:sz w:val="20"/>
        </w:rPr>
        <w:t>de</w:t>
      </w:r>
      <w:r>
        <w:rPr>
          <w:spacing w:val="-9"/>
          <w:sz w:val="20"/>
        </w:rPr>
        <w:t xml:space="preserve"> </w:t>
      </w:r>
      <w:r>
        <w:rPr>
          <w:spacing w:val="-4"/>
          <w:sz w:val="20"/>
        </w:rPr>
        <w:t>manera</w:t>
      </w:r>
      <w:r>
        <w:rPr>
          <w:spacing w:val="-11"/>
          <w:sz w:val="20"/>
        </w:rPr>
        <w:t xml:space="preserve"> </w:t>
      </w:r>
      <w:r>
        <w:rPr>
          <w:spacing w:val="-4"/>
          <w:sz w:val="20"/>
        </w:rPr>
        <w:t>arbitraria.</w:t>
      </w:r>
      <w:r>
        <w:rPr>
          <w:spacing w:val="-12"/>
          <w:sz w:val="20"/>
        </w:rPr>
        <w:t xml:space="preserve"> </w:t>
      </w:r>
      <w:r>
        <w:rPr>
          <w:spacing w:val="-3"/>
          <w:sz w:val="20"/>
        </w:rPr>
        <w:t>Por</w:t>
      </w:r>
      <w:r>
        <w:rPr>
          <w:spacing w:val="-13"/>
          <w:sz w:val="20"/>
        </w:rPr>
        <w:t xml:space="preserve"> </w:t>
      </w:r>
      <w:r>
        <w:rPr>
          <w:spacing w:val="-4"/>
          <w:sz w:val="20"/>
        </w:rPr>
        <w:t>ello,</w:t>
      </w:r>
      <w:r>
        <w:rPr>
          <w:spacing w:val="-9"/>
          <w:sz w:val="20"/>
        </w:rPr>
        <w:t xml:space="preserve"> </w:t>
      </w:r>
      <w:r>
        <w:rPr>
          <w:spacing w:val="-3"/>
          <w:sz w:val="20"/>
        </w:rPr>
        <w:t>al</w:t>
      </w:r>
      <w:r>
        <w:rPr>
          <w:spacing w:val="-11"/>
          <w:sz w:val="20"/>
        </w:rPr>
        <w:t xml:space="preserve"> </w:t>
      </w:r>
      <w:r>
        <w:rPr>
          <w:spacing w:val="-4"/>
          <w:sz w:val="20"/>
        </w:rPr>
        <w:t>señalar</w:t>
      </w:r>
      <w:r>
        <w:rPr>
          <w:spacing w:val="-10"/>
          <w:sz w:val="20"/>
        </w:rPr>
        <w:t xml:space="preserve"> </w:t>
      </w:r>
      <w:r>
        <w:rPr>
          <w:spacing w:val="-3"/>
          <w:sz w:val="20"/>
        </w:rPr>
        <w:t>que</w:t>
      </w:r>
      <w:r>
        <w:rPr>
          <w:spacing w:val="-9"/>
          <w:sz w:val="20"/>
        </w:rPr>
        <w:t xml:space="preserve"> </w:t>
      </w:r>
      <w:r>
        <w:rPr>
          <w:spacing w:val="-4"/>
          <w:sz w:val="20"/>
        </w:rPr>
        <w:t>“la</w:t>
      </w:r>
      <w:r>
        <w:rPr>
          <w:spacing w:val="-9"/>
          <w:sz w:val="20"/>
        </w:rPr>
        <w:t xml:space="preserve"> </w:t>
      </w:r>
      <w:r>
        <w:rPr>
          <w:spacing w:val="-4"/>
          <w:sz w:val="20"/>
        </w:rPr>
        <w:t xml:space="preserve">conducta </w:t>
      </w:r>
      <w:r>
        <w:rPr>
          <w:sz w:val="20"/>
        </w:rPr>
        <w:t>es</w:t>
      </w:r>
      <w:r>
        <w:rPr>
          <w:spacing w:val="12"/>
          <w:sz w:val="20"/>
        </w:rPr>
        <w:t xml:space="preserve"> </w:t>
      </w:r>
      <w:r>
        <w:rPr>
          <w:spacing w:val="-4"/>
          <w:sz w:val="20"/>
        </w:rPr>
        <w:t>coincidente”</w:t>
      </w:r>
      <w:r>
        <w:rPr>
          <w:spacing w:val="18"/>
          <w:sz w:val="20"/>
        </w:rPr>
        <w:t xml:space="preserve"> </w:t>
      </w:r>
      <w:r>
        <w:rPr>
          <w:spacing w:val="-3"/>
          <w:sz w:val="20"/>
        </w:rPr>
        <w:t>con</w:t>
      </w:r>
      <w:r>
        <w:rPr>
          <w:spacing w:val="18"/>
          <w:sz w:val="20"/>
        </w:rPr>
        <w:t xml:space="preserve"> </w:t>
      </w:r>
      <w:r>
        <w:rPr>
          <w:sz w:val="20"/>
        </w:rPr>
        <w:t>lo</w:t>
      </w:r>
      <w:r>
        <w:rPr>
          <w:spacing w:val="12"/>
          <w:sz w:val="20"/>
        </w:rPr>
        <w:t xml:space="preserve"> </w:t>
      </w:r>
      <w:r>
        <w:rPr>
          <w:spacing w:val="-4"/>
          <w:sz w:val="20"/>
        </w:rPr>
        <w:t>estipulado</w:t>
      </w:r>
      <w:r>
        <w:rPr>
          <w:spacing w:val="17"/>
          <w:sz w:val="20"/>
        </w:rPr>
        <w:t xml:space="preserve"> </w:t>
      </w:r>
      <w:r>
        <w:rPr>
          <w:spacing w:val="-3"/>
          <w:sz w:val="20"/>
        </w:rPr>
        <w:t>en</w:t>
      </w:r>
      <w:r>
        <w:rPr>
          <w:spacing w:val="18"/>
          <w:sz w:val="20"/>
        </w:rPr>
        <w:t xml:space="preserve"> </w:t>
      </w:r>
      <w:r>
        <w:rPr>
          <w:spacing w:val="-3"/>
          <w:sz w:val="20"/>
        </w:rPr>
        <w:t>la</w:t>
      </w:r>
      <w:r>
        <w:rPr>
          <w:spacing w:val="16"/>
          <w:sz w:val="20"/>
        </w:rPr>
        <w:t xml:space="preserve"> </w:t>
      </w:r>
      <w:r>
        <w:rPr>
          <w:spacing w:val="-4"/>
          <w:sz w:val="20"/>
        </w:rPr>
        <w:t>norma,</w:t>
      </w:r>
      <w:r>
        <w:rPr>
          <w:spacing w:val="17"/>
          <w:sz w:val="20"/>
        </w:rPr>
        <w:t xml:space="preserve"> </w:t>
      </w:r>
      <w:r>
        <w:rPr>
          <w:sz w:val="20"/>
        </w:rPr>
        <w:t>no</w:t>
      </w:r>
      <w:r>
        <w:rPr>
          <w:spacing w:val="13"/>
          <w:sz w:val="20"/>
        </w:rPr>
        <w:t xml:space="preserve"> </w:t>
      </w:r>
      <w:r>
        <w:rPr>
          <w:spacing w:val="-3"/>
          <w:sz w:val="20"/>
        </w:rPr>
        <w:t>puede</w:t>
      </w:r>
      <w:r>
        <w:rPr>
          <w:spacing w:val="15"/>
          <w:sz w:val="20"/>
        </w:rPr>
        <w:t xml:space="preserve"> </w:t>
      </w:r>
      <w:r>
        <w:rPr>
          <w:spacing w:val="-3"/>
          <w:sz w:val="20"/>
        </w:rPr>
        <w:t>ser</w:t>
      </w:r>
      <w:r>
        <w:rPr>
          <w:spacing w:val="16"/>
          <w:sz w:val="20"/>
        </w:rPr>
        <w:t xml:space="preserve"> </w:t>
      </w:r>
      <w:r>
        <w:rPr>
          <w:spacing w:val="-4"/>
          <w:sz w:val="20"/>
        </w:rPr>
        <w:t>considerado</w:t>
      </w:r>
      <w:r>
        <w:rPr>
          <w:spacing w:val="17"/>
          <w:sz w:val="20"/>
        </w:rPr>
        <w:t xml:space="preserve"> </w:t>
      </w:r>
      <w:r>
        <w:rPr>
          <w:spacing w:val="-3"/>
          <w:sz w:val="20"/>
        </w:rPr>
        <w:t>como</w:t>
      </w:r>
    </w:p>
    <w:p w14:paraId="1F4C590B" w14:textId="566D5D6F" w:rsidR="00492688" w:rsidRDefault="00C9584B">
      <w:pPr>
        <w:pStyle w:val="Textoindependiente"/>
        <w:spacing w:before="8"/>
        <w:rPr>
          <w:sz w:val="13"/>
        </w:rPr>
      </w:pPr>
      <w:r>
        <w:rPr>
          <w:noProof/>
        </w:rPr>
        <mc:AlternateContent>
          <mc:Choice Requires="wps">
            <w:drawing>
              <wp:anchor distT="0" distB="0" distL="0" distR="0" simplePos="0" relativeHeight="251695104" behindDoc="1" locked="0" layoutInCell="1" allowOverlap="1" wp14:anchorId="6E8510EF" wp14:editId="344BAE60">
                <wp:simplePos x="0" y="0"/>
                <wp:positionH relativeFrom="page">
                  <wp:posOffset>1080770</wp:posOffset>
                </wp:positionH>
                <wp:positionV relativeFrom="paragraph">
                  <wp:posOffset>134620</wp:posOffset>
                </wp:positionV>
                <wp:extent cx="182880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CA92C" id="Freeform 6" o:spid="_x0000_s1026" style="position:absolute;margin-left:85.1pt;margin-top:10.6pt;width:2in;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" path="m,l2880,e" filled="f" strokeweight=".21131mm">
                <v:path arrowok="t" o:connecttype="custom" o:connectlocs="0,0;1828800,0" o:connectangles="0,0"/>
                <w10:wrap type="topAndBottom" anchorx="page"/>
              </v:shape>
            </w:pict>
          </mc:Fallback>
        </mc:AlternateContent>
      </w:r>
    </w:p>
    <w:p w14:paraId="4F00B344" w14:textId="77777777" w:rsidR="00492688" w:rsidRDefault="00492688">
      <w:pPr>
        <w:pStyle w:val="Textoindependiente"/>
        <w:spacing w:before="1"/>
        <w:rPr>
          <w:sz w:val="6"/>
        </w:rPr>
      </w:pPr>
    </w:p>
    <w:p w14:paraId="68EA215A" w14:textId="77777777" w:rsidR="00492688" w:rsidRDefault="00C9584B">
      <w:pPr>
        <w:tabs>
          <w:tab w:val="left" w:pos="829"/>
        </w:tabs>
        <w:spacing w:before="101"/>
        <w:ind w:left="121" w:right="228"/>
        <w:rPr>
          <w:sz w:val="16"/>
        </w:rPr>
      </w:pPr>
      <w:bookmarkStart w:id="209" w:name="_bookmark177"/>
      <w:bookmarkEnd w:id="209"/>
      <w:r>
        <w:rPr>
          <w:position w:val="6"/>
          <w:sz w:val="10"/>
        </w:rPr>
        <w:t>32</w:t>
      </w:r>
      <w:r>
        <w:rPr>
          <w:position w:val="6"/>
          <w:sz w:val="10"/>
        </w:rPr>
        <w:tab/>
      </w:r>
      <w:r>
        <w:rPr>
          <w:i/>
          <w:sz w:val="16"/>
        </w:rPr>
        <w:t xml:space="preserve">Cfr. </w:t>
      </w:r>
      <w:r>
        <w:rPr>
          <w:sz w:val="16"/>
        </w:rPr>
        <w:t>Oficina de Control de la Magistratura del Poder Judicial, Informe de 21 de julio de 1995, Anexo 8, F.</w:t>
      </w:r>
      <w:r>
        <w:rPr>
          <w:spacing w:val="-4"/>
          <w:sz w:val="16"/>
        </w:rPr>
        <w:t xml:space="preserve"> </w:t>
      </w:r>
      <w:r>
        <w:rPr>
          <w:sz w:val="16"/>
        </w:rPr>
        <w:t>1103.</w:t>
      </w:r>
    </w:p>
    <w:p w14:paraId="790E57E1" w14:textId="77777777" w:rsidR="00492688" w:rsidRDefault="00C9584B">
      <w:pPr>
        <w:tabs>
          <w:tab w:val="left" w:pos="829"/>
        </w:tabs>
        <w:spacing w:before="100"/>
        <w:ind w:left="121" w:right="232"/>
        <w:rPr>
          <w:sz w:val="16"/>
        </w:rPr>
      </w:pPr>
      <w:bookmarkStart w:id="210" w:name="_bookmark178"/>
      <w:bookmarkEnd w:id="210"/>
      <w:r>
        <w:rPr>
          <w:position w:val="6"/>
          <w:sz w:val="10"/>
        </w:rPr>
        <w:t>33</w:t>
      </w:r>
      <w:r>
        <w:rPr>
          <w:position w:val="6"/>
          <w:sz w:val="10"/>
        </w:rPr>
        <w:tab/>
      </w:r>
      <w:r>
        <w:rPr>
          <w:i/>
          <w:sz w:val="16"/>
        </w:rPr>
        <w:t>Cfr.</w:t>
      </w:r>
      <w:r>
        <w:rPr>
          <w:i/>
          <w:spacing w:val="-6"/>
          <w:sz w:val="16"/>
        </w:rPr>
        <w:t xml:space="preserve"> </w:t>
      </w:r>
      <w:r>
        <w:rPr>
          <w:sz w:val="16"/>
        </w:rPr>
        <w:t>Oficina</w:t>
      </w:r>
      <w:r>
        <w:rPr>
          <w:spacing w:val="-6"/>
          <w:sz w:val="16"/>
        </w:rPr>
        <w:t xml:space="preserve"> </w:t>
      </w:r>
      <w:r>
        <w:rPr>
          <w:sz w:val="16"/>
        </w:rPr>
        <w:t>de</w:t>
      </w:r>
      <w:r>
        <w:rPr>
          <w:spacing w:val="-7"/>
          <w:sz w:val="16"/>
        </w:rPr>
        <w:t xml:space="preserve"> </w:t>
      </w:r>
      <w:r>
        <w:rPr>
          <w:sz w:val="16"/>
        </w:rPr>
        <w:t>Control</w:t>
      </w:r>
      <w:r>
        <w:rPr>
          <w:spacing w:val="-7"/>
          <w:sz w:val="16"/>
        </w:rPr>
        <w:t xml:space="preserve"> </w:t>
      </w:r>
      <w:r>
        <w:rPr>
          <w:sz w:val="16"/>
        </w:rPr>
        <w:t>de</w:t>
      </w:r>
      <w:r>
        <w:rPr>
          <w:spacing w:val="-7"/>
          <w:sz w:val="16"/>
        </w:rPr>
        <w:t xml:space="preserve"> </w:t>
      </w:r>
      <w:r>
        <w:rPr>
          <w:sz w:val="16"/>
        </w:rPr>
        <w:t>la</w:t>
      </w:r>
      <w:r>
        <w:rPr>
          <w:spacing w:val="-8"/>
          <w:sz w:val="16"/>
        </w:rPr>
        <w:t xml:space="preserve"> </w:t>
      </w:r>
      <w:r>
        <w:rPr>
          <w:sz w:val="16"/>
        </w:rPr>
        <w:t>Magistratura</w:t>
      </w:r>
      <w:r>
        <w:rPr>
          <w:spacing w:val="-7"/>
          <w:sz w:val="16"/>
        </w:rPr>
        <w:t xml:space="preserve"> </w:t>
      </w:r>
      <w:r>
        <w:rPr>
          <w:sz w:val="16"/>
        </w:rPr>
        <w:t>del</w:t>
      </w:r>
      <w:r>
        <w:rPr>
          <w:spacing w:val="-6"/>
          <w:sz w:val="16"/>
        </w:rPr>
        <w:t xml:space="preserve"> </w:t>
      </w:r>
      <w:r>
        <w:rPr>
          <w:sz w:val="16"/>
        </w:rPr>
        <w:t>Poder</w:t>
      </w:r>
      <w:r>
        <w:rPr>
          <w:spacing w:val="-4"/>
          <w:sz w:val="16"/>
        </w:rPr>
        <w:t xml:space="preserve"> </w:t>
      </w:r>
      <w:r>
        <w:rPr>
          <w:sz w:val="16"/>
        </w:rPr>
        <w:t>Judicial,</w:t>
      </w:r>
      <w:r>
        <w:rPr>
          <w:spacing w:val="-7"/>
          <w:sz w:val="16"/>
        </w:rPr>
        <w:t xml:space="preserve"> </w:t>
      </w:r>
      <w:r>
        <w:rPr>
          <w:sz w:val="16"/>
        </w:rPr>
        <w:t>Informe</w:t>
      </w:r>
      <w:r>
        <w:rPr>
          <w:spacing w:val="-7"/>
          <w:sz w:val="16"/>
        </w:rPr>
        <w:t xml:space="preserve"> </w:t>
      </w:r>
      <w:r>
        <w:rPr>
          <w:sz w:val="16"/>
        </w:rPr>
        <w:t>de</w:t>
      </w:r>
      <w:r>
        <w:rPr>
          <w:spacing w:val="-7"/>
          <w:sz w:val="16"/>
        </w:rPr>
        <w:t xml:space="preserve"> </w:t>
      </w:r>
      <w:r>
        <w:rPr>
          <w:sz w:val="16"/>
        </w:rPr>
        <w:t>3</w:t>
      </w:r>
      <w:r>
        <w:rPr>
          <w:spacing w:val="-6"/>
          <w:sz w:val="16"/>
        </w:rPr>
        <w:t xml:space="preserve"> </w:t>
      </w:r>
      <w:r>
        <w:rPr>
          <w:sz w:val="16"/>
        </w:rPr>
        <w:t>de</w:t>
      </w:r>
      <w:r>
        <w:rPr>
          <w:spacing w:val="-6"/>
          <w:sz w:val="16"/>
        </w:rPr>
        <w:t xml:space="preserve"> </w:t>
      </w:r>
      <w:r>
        <w:rPr>
          <w:sz w:val="16"/>
        </w:rPr>
        <w:t>agosto</w:t>
      </w:r>
      <w:r>
        <w:rPr>
          <w:spacing w:val="-7"/>
          <w:sz w:val="16"/>
        </w:rPr>
        <w:t xml:space="preserve"> </w:t>
      </w:r>
      <w:r>
        <w:rPr>
          <w:sz w:val="16"/>
        </w:rPr>
        <w:t>de</w:t>
      </w:r>
      <w:r>
        <w:rPr>
          <w:spacing w:val="-7"/>
          <w:sz w:val="16"/>
        </w:rPr>
        <w:t xml:space="preserve"> </w:t>
      </w:r>
      <w:r>
        <w:rPr>
          <w:sz w:val="16"/>
        </w:rPr>
        <w:t>1995,</w:t>
      </w:r>
      <w:r>
        <w:rPr>
          <w:spacing w:val="-7"/>
          <w:sz w:val="16"/>
        </w:rPr>
        <w:t xml:space="preserve"> </w:t>
      </w:r>
      <w:r>
        <w:rPr>
          <w:sz w:val="16"/>
        </w:rPr>
        <w:t>Anexo 6, F. 1064 a</w:t>
      </w:r>
      <w:r>
        <w:rPr>
          <w:spacing w:val="-7"/>
          <w:sz w:val="16"/>
        </w:rPr>
        <w:t xml:space="preserve"> </w:t>
      </w:r>
      <w:r>
        <w:rPr>
          <w:sz w:val="16"/>
        </w:rPr>
        <w:t>1065.</w:t>
      </w:r>
    </w:p>
    <w:p w14:paraId="364E38F1" w14:textId="77777777" w:rsidR="00492688" w:rsidRDefault="00C9584B">
      <w:pPr>
        <w:tabs>
          <w:tab w:val="left" w:pos="829"/>
        </w:tabs>
        <w:spacing w:before="99"/>
        <w:ind w:left="121" w:right="229" w:hanging="1"/>
        <w:rPr>
          <w:sz w:val="16"/>
        </w:rPr>
      </w:pPr>
      <w:bookmarkStart w:id="211" w:name="_bookmark179"/>
      <w:bookmarkEnd w:id="211"/>
      <w:r>
        <w:rPr>
          <w:position w:val="6"/>
          <w:sz w:val="10"/>
        </w:rPr>
        <w:t>34</w:t>
      </w:r>
      <w:r>
        <w:rPr>
          <w:position w:val="6"/>
          <w:sz w:val="10"/>
        </w:rPr>
        <w:tab/>
      </w:r>
      <w:r>
        <w:rPr>
          <w:i/>
          <w:sz w:val="16"/>
        </w:rPr>
        <w:t xml:space="preserve">Cfr. </w:t>
      </w:r>
      <w:r>
        <w:rPr>
          <w:sz w:val="16"/>
        </w:rPr>
        <w:t>Consejo Nacional de la Magistratura, Resolución No. 008-96-PCNM de 14 de agosto de 1996, Anexo 7, F.</w:t>
      </w:r>
      <w:r>
        <w:rPr>
          <w:spacing w:val="-5"/>
          <w:sz w:val="16"/>
        </w:rPr>
        <w:t xml:space="preserve"> </w:t>
      </w:r>
      <w:r>
        <w:rPr>
          <w:sz w:val="16"/>
        </w:rPr>
        <w:t>1074.</w:t>
      </w:r>
    </w:p>
    <w:p w14:paraId="71EB4619" w14:textId="77777777" w:rsidR="00492688" w:rsidRDefault="00492688">
      <w:pPr>
        <w:pStyle w:val="Textoindependiente"/>
      </w:pPr>
    </w:p>
    <w:p w14:paraId="69ED1109" w14:textId="77777777" w:rsidR="00492688" w:rsidRDefault="00492688">
      <w:pPr>
        <w:pStyle w:val="Textoindependiente"/>
      </w:pPr>
    </w:p>
    <w:p w14:paraId="46B36C19" w14:textId="77777777" w:rsidR="00492688" w:rsidRDefault="00492688">
      <w:pPr>
        <w:pStyle w:val="Textoindependiente"/>
        <w:spacing w:before="7"/>
        <w:rPr>
          <w:sz w:val="23"/>
        </w:rPr>
      </w:pPr>
    </w:p>
    <w:p w14:paraId="6C46CF26" w14:textId="77777777" w:rsidR="00492688" w:rsidRDefault="00C9584B">
      <w:pPr>
        <w:spacing w:before="52"/>
        <w:ind w:left="18" w:right="126"/>
        <w:jc w:val="center"/>
        <w:rPr>
          <w:rFonts w:ascii="Calibri"/>
          <w:sz w:val="24"/>
        </w:rPr>
      </w:pPr>
      <w:r>
        <w:rPr>
          <w:rFonts w:ascii="Calibri"/>
          <w:sz w:val="24"/>
        </w:rPr>
        <w:t>10</w:t>
      </w:r>
    </w:p>
    <w:p w14:paraId="7385DD5D"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718A1CA9" w14:textId="77777777" w:rsidR="00492688" w:rsidRDefault="00C9584B">
      <w:pPr>
        <w:pStyle w:val="Textoindependiente"/>
        <w:spacing w:before="71"/>
        <w:ind w:left="121" w:right="160"/>
      </w:pPr>
      <w:r>
        <w:rPr>
          <w:spacing w:val="-4"/>
        </w:rPr>
        <w:lastRenderedPageBreak/>
        <w:t xml:space="preserve">suficientemente motivado </w:t>
      </w:r>
      <w:r>
        <w:rPr>
          <w:spacing w:val="-3"/>
        </w:rPr>
        <w:t xml:space="preserve">si solo </w:t>
      </w:r>
      <w:r>
        <w:rPr>
          <w:spacing w:val="-4"/>
        </w:rPr>
        <w:t xml:space="preserve">indica </w:t>
      </w:r>
      <w:r>
        <w:rPr>
          <w:spacing w:val="-3"/>
        </w:rPr>
        <w:t xml:space="preserve">que “es grave” </w:t>
      </w:r>
      <w:r>
        <w:rPr>
          <w:spacing w:val="-4"/>
        </w:rPr>
        <w:t xml:space="preserve">sin </w:t>
      </w:r>
      <w:r>
        <w:rPr>
          <w:spacing w:val="-3"/>
        </w:rPr>
        <w:t xml:space="preserve">dar </w:t>
      </w:r>
      <w:r>
        <w:rPr>
          <w:spacing w:val="-4"/>
        </w:rPr>
        <w:t xml:space="preserve">mayores elementos </w:t>
      </w:r>
      <w:r>
        <w:rPr>
          <w:spacing w:val="-5"/>
        </w:rPr>
        <w:t xml:space="preserve">previos </w:t>
      </w:r>
      <w:r>
        <w:rPr>
          <w:spacing w:val="-3"/>
        </w:rPr>
        <w:t xml:space="preserve">de </w:t>
      </w:r>
      <w:r>
        <w:rPr>
          <w:spacing w:val="-4"/>
        </w:rPr>
        <w:t xml:space="preserve">valoración, contexto </w:t>
      </w:r>
      <w:r>
        <w:t xml:space="preserve">y </w:t>
      </w:r>
      <w:r>
        <w:rPr>
          <w:spacing w:val="-4"/>
        </w:rPr>
        <w:t xml:space="preserve">finalidad </w:t>
      </w:r>
      <w:r>
        <w:t xml:space="preserve">de </w:t>
      </w:r>
      <w:r>
        <w:rPr>
          <w:spacing w:val="-3"/>
        </w:rPr>
        <w:t xml:space="preserve">la </w:t>
      </w:r>
      <w:r>
        <w:rPr>
          <w:spacing w:val="-4"/>
        </w:rPr>
        <w:t>no</w:t>
      </w:r>
      <w:r>
        <w:rPr>
          <w:spacing w:val="-4"/>
        </w:rPr>
        <w:t>rma.</w:t>
      </w:r>
    </w:p>
    <w:p w14:paraId="5A7A848A" w14:textId="77777777" w:rsidR="00492688" w:rsidRDefault="00492688">
      <w:pPr>
        <w:pStyle w:val="Textoindependiente"/>
        <w:spacing w:before="1"/>
      </w:pPr>
    </w:p>
    <w:p w14:paraId="293B99CC" w14:textId="77777777" w:rsidR="00492688" w:rsidRDefault="00C9584B">
      <w:pPr>
        <w:pStyle w:val="Prrafodelista"/>
        <w:numPr>
          <w:ilvl w:val="0"/>
          <w:numId w:val="3"/>
        </w:numPr>
        <w:tabs>
          <w:tab w:val="left" w:pos="830"/>
        </w:tabs>
        <w:ind w:right="225" w:firstLine="0"/>
        <w:jc w:val="both"/>
        <w:rPr>
          <w:sz w:val="20"/>
        </w:rPr>
      </w:pPr>
      <w:r>
        <w:rPr>
          <w:spacing w:val="-3"/>
          <w:sz w:val="20"/>
        </w:rPr>
        <w:t xml:space="preserve">Por otro </w:t>
      </w:r>
      <w:r>
        <w:rPr>
          <w:spacing w:val="-4"/>
          <w:sz w:val="20"/>
        </w:rPr>
        <w:t xml:space="preserve">lado, </w:t>
      </w:r>
      <w:r>
        <w:rPr>
          <w:spacing w:val="-3"/>
          <w:sz w:val="20"/>
        </w:rPr>
        <w:t xml:space="preserve">el </w:t>
      </w:r>
      <w:r>
        <w:rPr>
          <w:spacing w:val="-4"/>
          <w:sz w:val="20"/>
        </w:rPr>
        <w:t xml:space="preserve">informe </w:t>
      </w:r>
      <w:r>
        <w:rPr>
          <w:sz w:val="20"/>
        </w:rPr>
        <w:t xml:space="preserve">de </w:t>
      </w:r>
      <w:r>
        <w:rPr>
          <w:spacing w:val="-4"/>
          <w:sz w:val="20"/>
        </w:rPr>
        <w:t xml:space="preserve">investigación </w:t>
      </w:r>
      <w:r>
        <w:rPr>
          <w:sz w:val="20"/>
        </w:rPr>
        <w:t xml:space="preserve">y </w:t>
      </w:r>
      <w:r>
        <w:rPr>
          <w:spacing w:val="-3"/>
          <w:sz w:val="20"/>
        </w:rPr>
        <w:t xml:space="preserve">la </w:t>
      </w:r>
      <w:r>
        <w:rPr>
          <w:spacing w:val="-4"/>
          <w:sz w:val="20"/>
        </w:rPr>
        <w:t xml:space="preserve">resolución </w:t>
      </w:r>
      <w:r>
        <w:rPr>
          <w:sz w:val="20"/>
        </w:rPr>
        <w:t xml:space="preserve">de </w:t>
      </w:r>
      <w:r>
        <w:rPr>
          <w:spacing w:val="-3"/>
          <w:sz w:val="20"/>
        </w:rPr>
        <w:t xml:space="preserve">la OCMA, aunque </w:t>
      </w:r>
      <w:r>
        <w:rPr>
          <w:spacing w:val="-4"/>
          <w:sz w:val="20"/>
        </w:rPr>
        <w:t>realizan</w:t>
      </w:r>
      <w:r>
        <w:rPr>
          <w:spacing w:val="-18"/>
          <w:sz w:val="20"/>
        </w:rPr>
        <w:t xml:space="preserve"> </w:t>
      </w:r>
      <w:r>
        <w:rPr>
          <w:sz w:val="20"/>
        </w:rPr>
        <w:t>un</w:t>
      </w:r>
      <w:r>
        <w:rPr>
          <w:spacing w:val="-20"/>
          <w:sz w:val="20"/>
        </w:rPr>
        <w:t xml:space="preserve"> </w:t>
      </w:r>
      <w:r>
        <w:rPr>
          <w:spacing w:val="-4"/>
          <w:sz w:val="20"/>
        </w:rPr>
        <w:t>desarrollo</w:t>
      </w:r>
      <w:r>
        <w:rPr>
          <w:spacing w:val="-19"/>
          <w:sz w:val="20"/>
        </w:rPr>
        <w:t xml:space="preserve"> </w:t>
      </w:r>
      <w:r>
        <w:rPr>
          <w:spacing w:val="-4"/>
          <w:sz w:val="20"/>
        </w:rPr>
        <w:t>fáctico</w:t>
      </w:r>
      <w:r>
        <w:rPr>
          <w:spacing w:val="-20"/>
          <w:sz w:val="20"/>
        </w:rPr>
        <w:t xml:space="preserve"> </w:t>
      </w:r>
      <w:r>
        <w:rPr>
          <w:spacing w:val="-4"/>
          <w:sz w:val="20"/>
        </w:rPr>
        <w:t>pormenorizado,</w:t>
      </w:r>
      <w:r>
        <w:rPr>
          <w:spacing w:val="-19"/>
          <w:sz w:val="20"/>
        </w:rPr>
        <w:t xml:space="preserve"> </w:t>
      </w:r>
      <w:r>
        <w:rPr>
          <w:spacing w:val="-3"/>
          <w:sz w:val="20"/>
        </w:rPr>
        <w:t>las</w:t>
      </w:r>
      <w:r>
        <w:rPr>
          <w:spacing w:val="-22"/>
          <w:sz w:val="20"/>
        </w:rPr>
        <w:t xml:space="preserve"> </w:t>
      </w:r>
      <w:r>
        <w:rPr>
          <w:spacing w:val="-2"/>
          <w:sz w:val="20"/>
        </w:rPr>
        <w:t>dos</w:t>
      </w:r>
      <w:r>
        <w:rPr>
          <w:spacing w:val="-21"/>
          <w:sz w:val="20"/>
        </w:rPr>
        <w:t xml:space="preserve"> </w:t>
      </w:r>
      <w:r>
        <w:rPr>
          <w:spacing w:val="-4"/>
          <w:sz w:val="20"/>
        </w:rPr>
        <w:t>adolecen</w:t>
      </w:r>
      <w:r>
        <w:rPr>
          <w:spacing w:val="-20"/>
          <w:sz w:val="20"/>
        </w:rPr>
        <w:t xml:space="preserve"> </w:t>
      </w:r>
      <w:r>
        <w:rPr>
          <w:sz w:val="20"/>
        </w:rPr>
        <w:t>de</w:t>
      </w:r>
      <w:r>
        <w:rPr>
          <w:spacing w:val="-19"/>
          <w:sz w:val="20"/>
        </w:rPr>
        <w:t xml:space="preserve"> </w:t>
      </w:r>
      <w:r>
        <w:rPr>
          <w:spacing w:val="-4"/>
          <w:sz w:val="20"/>
        </w:rPr>
        <w:t>recurrir</w:t>
      </w:r>
      <w:r>
        <w:rPr>
          <w:spacing w:val="-20"/>
          <w:sz w:val="20"/>
        </w:rPr>
        <w:t xml:space="preserve"> </w:t>
      </w:r>
      <w:r>
        <w:rPr>
          <w:spacing w:val="-4"/>
          <w:sz w:val="20"/>
        </w:rPr>
        <w:t>—sin</w:t>
      </w:r>
      <w:r>
        <w:rPr>
          <w:spacing w:val="-17"/>
          <w:sz w:val="20"/>
        </w:rPr>
        <w:t xml:space="preserve"> </w:t>
      </w:r>
      <w:r>
        <w:rPr>
          <w:spacing w:val="-4"/>
          <w:sz w:val="20"/>
        </w:rPr>
        <w:t>explicar</w:t>
      </w:r>
      <w:r>
        <w:rPr>
          <w:spacing w:val="-20"/>
          <w:sz w:val="20"/>
        </w:rPr>
        <w:t xml:space="preserve"> </w:t>
      </w:r>
      <w:r>
        <w:rPr>
          <w:spacing w:val="-3"/>
          <w:sz w:val="20"/>
        </w:rPr>
        <w:t xml:space="preserve">sus </w:t>
      </w:r>
      <w:r>
        <w:rPr>
          <w:spacing w:val="-4"/>
          <w:sz w:val="20"/>
        </w:rPr>
        <w:t xml:space="preserve">alcances— </w:t>
      </w:r>
      <w:r>
        <w:rPr>
          <w:sz w:val="20"/>
        </w:rPr>
        <w:t xml:space="preserve">a </w:t>
      </w:r>
      <w:r>
        <w:rPr>
          <w:spacing w:val="-4"/>
          <w:sz w:val="20"/>
        </w:rPr>
        <w:t xml:space="preserve">conceptos vagos. </w:t>
      </w:r>
      <w:r>
        <w:rPr>
          <w:spacing w:val="-3"/>
          <w:sz w:val="20"/>
        </w:rPr>
        <w:t xml:space="preserve">Por </w:t>
      </w:r>
      <w:r>
        <w:rPr>
          <w:spacing w:val="-4"/>
          <w:sz w:val="20"/>
        </w:rPr>
        <w:t xml:space="preserve">ejemplo, </w:t>
      </w:r>
      <w:r>
        <w:rPr>
          <w:spacing w:val="-3"/>
          <w:sz w:val="20"/>
        </w:rPr>
        <w:t xml:space="preserve">el informe </w:t>
      </w:r>
      <w:r>
        <w:rPr>
          <w:sz w:val="20"/>
        </w:rPr>
        <w:t xml:space="preserve">de </w:t>
      </w:r>
      <w:r>
        <w:rPr>
          <w:spacing w:val="-4"/>
          <w:sz w:val="20"/>
        </w:rPr>
        <w:t xml:space="preserve">investigación refiere </w:t>
      </w:r>
      <w:r>
        <w:rPr>
          <w:spacing w:val="-3"/>
          <w:sz w:val="20"/>
        </w:rPr>
        <w:t xml:space="preserve">que las </w:t>
      </w:r>
      <w:r>
        <w:rPr>
          <w:spacing w:val="-4"/>
          <w:sz w:val="20"/>
        </w:rPr>
        <w:t xml:space="preserve">irregularidades </w:t>
      </w:r>
      <w:r>
        <w:rPr>
          <w:spacing w:val="-3"/>
          <w:sz w:val="20"/>
        </w:rPr>
        <w:t xml:space="preserve">del juez </w:t>
      </w:r>
      <w:r>
        <w:rPr>
          <w:spacing w:val="-4"/>
          <w:sz w:val="20"/>
        </w:rPr>
        <w:t xml:space="preserve">“atentan </w:t>
      </w:r>
      <w:r>
        <w:rPr>
          <w:spacing w:val="-3"/>
          <w:sz w:val="20"/>
        </w:rPr>
        <w:t xml:space="preserve">[…] </w:t>
      </w:r>
      <w:r>
        <w:rPr>
          <w:spacing w:val="-4"/>
          <w:sz w:val="20"/>
        </w:rPr>
        <w:t xml:space="preserve">contra </w:t>
      </w:r>
      <w:r>
        <w:rPr>
          <w:spacing w:val="-3"/>
          <w:sz w:val="20"/>
        </w:rPr>
        <w:t xml:space="preserve">la </w:t>
      </w:r>
      <w:r>
        <w:rPr>
          <w:spacing w:val="-4"/>
          <w:sz w:val="20"/>
        </w:rPr>
        <w:t xml:space="preserve">respetabilidad </w:t>
      </w:r>
      <w:r>
        <w:rPr>
          <w:spacing w:val="-2"/>
          <w:sz w:val="20"/>
        </w:rPr>
        <w:t xml:space="preserve">del </w:t>
      </w:r>
      <w:r>
        <w:rPr>
          <w:spacing w:val="-3"/>
          <w:sz w:val="20"/>
        </w:rPr>
        <w:t xml:space="preserve">Poder </w:t>
      </w:r>
      <w:r>
        <w:rPr>
          <w:spacing w:val="-4"/>
          <w:sz w:val="20"/>
        </w:rPr>
        <w:t xml:space="preserve">Judicial” </w:t>
      </w:r>
      <w:r>
        <w:rPr>
          <w:sz w:val="20"/>
        </w:rPr>
        <w:t xml:space="preserve">y </w:t>
      </w:r>
      <w:r>
        <w:rPr>
          <w:spacing w:val="-3"/>
          <w:sz w:val="20"/>
        </w:rPr>
        <w:t xml:space="preserve">en </w:t>
      </w:r>
      <w:r>
        <w:rPr>
          <w:sz w:val="20"/>
        </w:rPr>
        <w:t xml:space="preserve">la </w:t>
      </w:r>
      <w:r>
        <w:rPr>
          <w:spacing w:val="-4"/>
          <w:sz w:val="20"/>
        </w:rPr>
        <w:t>resolución</w:t>
      </w:r>
      <w:r>
        <w:rPr>
          <w:spacing w:val="-11"/>
          <w:sz w:val="20"/>
        </w:rPr>
        <w:t xml:space="preserve"> </w:t>
      </w:r>
      <w:r>
        <w:rPr>
          <w:sz w:val="20"/>
        </w:rPr>
        <w:t>de</w:t>
      </w:r>
      <w:r>
        <w:rPr>
          <w:spacing w:val="-11"/>
          <w:sz w:val="20"/>
        </w:rPr>
        <w:t xml:space="preserve"> </w:t>
      </w:r>
      <w:r>
        <w:rPr>
          <w:spacing w:val="-3"/>
          <w:sz w:val="20"/>
        </w:rPr>
        <w:t>la</w:t>
      </w:r>
      <w:r>
        <w:rPr>
          <w:spacing w:val="-9"/>
          <w:sz w:val="20"/>
        </w:rPr>
        <w:t xml:space="preserve"> </w:t>
      </w:r>
      <w:r>
        <w:rPr>
          <w:spacing w:val="-3"/>
          <w:sz w:val="20"/>
        </w:rPr>
        <w:t>OCMA</w:t>
      </w:r>
      <w:r>
        <w:rPr>
          <w:spacing w:val="-9"/>
          <w:sz w:val="20"/>
        </w:rPr>
        <w:t xml:space="preserve"> </w:t>
      </w:r>
      <w:r>
        <w:rPr>
          <w:sz w:val="20"/>
        </w:rPr>
        <w:t>se</w:t>
      </w:r>
      <w:r>
        <w:rPr>
          <w:spacing w:val="-10"/>
          <w:sz w:val="20"/>
        </w:rPr>
        <w:t xml:space="preserve"> </w:t>
      </w:r>
      <w:r>
        <w:rPr>
          <w:spacing w:val="-4"/>
          <w:sz w:val="20"/>
        </w:rPr>
        <w:t>indica</w:t>
      </w:r>
      <w:r>
        <w:rPr>
          <w:spacing w:val="-9"/>
          <w:sz w:val="20"/>
        </w:rPr>
        <w:t xml:space="preserve"> </w:t>
      </w:r>
      <w:r>
        <w:rPr>
          <w:spacing w:val="-3"/>
          <w:sz w:val="20"/>
        </w:rPr>
        <w:t>que</w:t>
      </w:r>
      <w:r>
        <w:rPr>
          <w:spacing w:val="-10"/>
          <w:sz w:val="20"/>
        </w:rPr>
        <w:t xml:space="preserve"> </w:t>
      </w:r>
      <w:r>
        <w:rPr>
          <w:sz w:val="20"/>
        </w:rPr>
        <w:t>se</w:t>
      </w:r>
      <w:r>
        <w:rPr>
          <w:spacing w:val="-13"/>
          <w:sz w:val="20"/>
        </w:rPr>
        <w:t xml:space="preserve"> </w:t>
      </w:r>
      <w:r>
        <w:rPr>
          <w:spacing w:val="-4"/>
          <w:sz w:val="20"/>
        </w:rPr>
        <w:t>atenta</w:t>
      </w:r>
      <w:r>
        <w:rPr>
          <w:spacing w:val="-9"/>
          <w:sz w:val="20"/>
        </w:rPr>
        <w:t xml:space="preserve"> </w:t>
      </w:r>
      <w:r>
        <w:rPr>
          <w:spacing w:val="-4"/>
          <w:sz w:val="20"/>
        </w:rPr>
        <w:t>“contra</w:t>
      </w:r>
      <w:r>
        <w:rPr>
          <w:spacing w:val="-11"/>
          <w:sz w:val="20"/>
        </w:rPr>
        <w:t xml:space="preserve"> </w:t>
      </w:r>
      <w:r>
        <w:rPr>
          <w:spacing w:val="-3"/>
          <w:sz w:val="20"/>
        </w:rPr>
        <w:t>[…]</w:t>
      </w:r>
      <w:r>
        <w:rPr>
          <w:spacing w:val="-11"/>
          <w:sz w:val="20"/>
        </w:rPr>
        <w:t xml:space="preserve"> </w:t>
      </w:r>
      <w:r>
        <w:rPr>
          <w:sz w:val="20"/>
        </w:rPr>
        <w:t>la</w:t>
      </w:r>
      <w:r>
        <w:rPr>
          <w:spacing w:val="-11"/>
          <w:sz w:val="20"/>
        </w:rPr>
        <w:t xml:space="preserve"> </w:t>
      </w:r>
      <w:r>
        <w:rPr>
          <w:spacing w:val="-4"/>
          <w:sz w:val="20"/>
        </w:rPr>
        <w:t>imagen</w:t>
      </w:r>
      <w:r>
        <w:rPr>
          <w:spacing w:val="-11"/>
          <w:sz w:val="20"/>
        </w:rPr>
        <w:t xml:space="preserve"> </w:t>
      </w:r>
      <w:r>
        <w:rPr>
          <w:spacing w:val="-3"/>
          <w:sz w:val="20"/>
        </w:rPr>
        <w:t>[del</w:t>
      </w:r>
      <w:r>
        <w:rPr>
          <w:spacing w:val="-9"/>
          <w:sz w:val="20"/>
        </w:rPr>
        <w:t xml:space="preserve"> </w:t>
      </w:r>
      <w:r>
        <w:rPr>
          <w:spacing w:val="-3"/>
          <w:sz w:val="20"/>
        </w:rPr>
        <w:t>Poder</w:t>
      </w:r>
      <w:r>
        <w:rPr>
          <w:spacing w:val="-10"/>
          <w:sz w:val="20"/>
        </w:rPr>
        <w:t xml:space="preserve"> </w:t>
      </w:r>
      <w:r>
        <w:rPr>
          <w:spacing w:val="-4"/>
          <w:sz w:val="20"/>
        </w:rPr>
        <w:t>Judicial]</w:t>
      </w:r>
      <w:r>
        <w:rPr>
          <w:spacing w:val="-9"/>
          <w:sz w:val="20"/>
        </w:rPr>
        <w:t xml:space="preserve"> </w:t>
      </w:r>
      <w:r>
        <w:rPr>
          <w:sz w:val="20"/>
        </w:rPr>
        <w:t xml:space="preserve">y </w:t>
      </w:r>
      <w:r>
        <w:rPr>
          <w:spacing w:val="-3"/>
          <w:sz w:val="20"/>
        </w:rPr>
        <w:t xml:space="preserve">la </w:t>
      </w:r>
      <w:r>
        <w:rPr>
          <w:spacing w:val="-4"/>
          <w:sz w:val="20"/>
        </w:rPr>
        <w:t xml:space="preserve">dignidad </w:t>
      </w:r>
      <w:r>
        <w:rPr>
          <w:sz w:val="20"/>
        </w:rPr>
        <w:t xml:space="preserve">de </w:t>
      </w:r>
      <w:r>
        <w:rPr>
          <w:spacing w:val="-3"/>
          <w:sz w:val="20"/>
        </w:rPr>
        <w:t>sus</w:t>
      </w:r>
      <w:r>
        <w:rPr>
          <w:spacing w:val="-31"/>
          <w:sz w:val="20"/>
        </w:rPr>
        <w:t xml:space="preserve"> </w:t>
      </w:r>
      <w:r>
        <w:rPr>
          <w:spacing w:val="-4"/>
          <w:sz w:val="20"/>
        </w:rPr>
        <w:t>miembros”.</w:t>
      </w:r>
    </w:p>
    <w:p w14:paraId="6E87DDA8" w14:textId="77777777" w:rsidR="00492688" w:rsidRDefault="00492688">
      <w:pPr>
        <w:pStyle w:val="Textoindependiente"/>
      </w:pPr>
    </w:p>
    <w:p w14:paraId="6D4F58DC" w14:textId="77777777" w:rsidR="00492688" w:rsidRDefault="00C9584B">
      <w:pPr>
        <w:pStyle w:val="Prrafodelista"/>
        <w:numPr>
          <w:ilvl w:val="0"/>
          <w:numId w:val="3"/>
        </w:numPr>
        <w:tabs>
          <w:tab w:val="left" w:pos="830"/>
        </w:tabs>
        <w:ind w:right="224" w:firstLine="0"/>
        <w:jc w:val="both"/>
        <w:rPr>
          <w:sz w:val="20"/>
        </w:rPr>
      </w:pPr>
      <w:r>
        <w:rPr>
          <w:spacing w:val="-4"/>
          <w:sz w:val="20"/>
        </w:rPr>
        <w:t>Finalmente,</w:t>
      </w:r>
      <w:r>
        <w:rPr>
          <w:spacing w:val="-19"/>
          <w:sz w:val="20"/>
        </w:rPr>
        <w:t xml:space="preserve"> </w:t>
      </w:r>
      <w:r>
        <w:rPr>
          <w:spacing w:val="-3"/>
          <w:sz w:val="20"/>
        </w:rPr>
        <w:t>al</w:t>
      </w:r>
      <w:r>
        <w:rPr>
          <w:spacing w:val="-17"/>
          <w:sz w:val="20"/>
        </w:rPr>
        <w:t xml:space="preserve"> </w:t>
      </w:r>
      <w:r>
        <w:rPr>
          <w:spacing w:val="-3"/>
          <w:sz w:val="20"/>
        </w:rPr>
        <w:t>ser</w:t>
      </w:r>
      <w:r>
        <w:rPr>
          <w:spacing w:val="-19"/>
          <w:sz w:val="20"/>
        </w:rPr>
        <w:t xml:space="preserve"> </w:t>
      </w:r>
      <w:r>
        <w:rPr>
          <w:spacing w:val="-3"/>
          <w:sz w:val="20"/>
        </w:rPr>
        <w:t>la</w:t>
      </w:r>
      <w:r>
        <w:rPr>
          <w:spacing w:val="-19"/>
          <w:sz w:val="20"/>
        </w:rPr>
        <w:t xml:space="preserve"> </w:t>
      </w:r>
      <w:r>
        <w:rPr>
          <w:spacing w:val="-4"/>
          <w:sz w:val="20"/>
        </w:rPr>
        <w:t>instancia</w:t>
      </w:r>
      <w:r>
        <w:rPr>
          <w:spacing w:val="-20"/>
          <w:sz w:val="20"/>
        </w:rPr>
        <w:t xml:space="preserve"> </w:t>
      </w:r>
      <w:r>
        <w:rPr>
          <w:spacing w:val="-3"/>
          <w:sz w:val="20"/>
        </w:rPr>
        <w:t>que</w:t>
      </w:r>
      <w:r>
        <w:rPr>
          <w:spacing w:val="-17"/>
          <w:sz w:val="20"/>
        </w:rPr>
        <w:t xml:space="preserve"> </w:t>
      </w:r>
      <w:r>
        <w:rPr>
          <w:spacing w:val="-4"/>
          <w:sz w:val="20"/>
        </w:rPr>
        <w:t>resuelve</w:t>
      </w:r>
      <w:r>
        <w:rPr>
          <w:spacing w:val="-19"/>
          <w:sz w:val="20"/>
        </w:rPr>
        <w:t xml:space="preserve"> </w:t>
      </w:r>
      <w:r>
        <w:rPr>
          <w:sz w:val="20"/>
        </w:rPr>
        <w:t>y</w:t>
      </w:r>
      <w:r>
        <w:rPr>
          <w:spacing w:val="-18"/>
          <w:sz w:val="20"/>
        </w:rPr>
        <w:t xml:space="preserve"> </w:t>
      </w:r>
      <w:r>
        <w:rPr>
          <w:spacing w:val="-4"/>
          <w:sz w:val="20"/>
        </w:rPr>
        <w:t>determina</w:t>
      </w:r>
      <w:r>
        <w:rPr>
          <w:spacing w:val="-18"/>
          <w:sz w:val="20"/>
        </w:rPr>
        <w:t xml:space="preserve"> </w:t>
      </w:r>
      <w:r>
        <w:rPr>
          <w:spacing w:val="-3"/>
          <w:sz w:val="20"/>
        </w:rPr>
        <w:t>la</w:t>
      </w:r>
      <w:r>
        <w:rPr>
          <w:spacing w:val="-21"/>
          <w:sz w:val="20"/>
        </w:rPr>
        <w:t xml:space="preserve"> </w:t>
      </w:r>
      <w:r>
        <w:rPr>
          <w:spacing w:val="-4"/>
          <w:sz w:val="20"/>
        </w:rPr>
        <w:t>imposición</w:t>
      </w:r>
      <w:r>
        <w:rPr>
          <w:spacing w:val="-16"/>
          <w:sz w:val="20"/>
        </w:rPr>
        <w:t xml:space="preserve"> </w:t>
      </w:r>
      <w:r>
        <w:rPr>
          <w:sz w:val="20"/>
        </w:rPr>
        <w:t>de</w:t>
      </w:r>
      <w:r>
        <w:rPr>
          <w:spacing w:val="-22"/>
          <w:sz w:val="20"/>
        </w:rPr>
        <w:t xml:space="preserve"> </w:t>
      </w:r>
      <w:r>
        <w:rPr>
          <w:sz w:val="20"/>
        </w:rPr>
        <w:t>la</w:t>
      </w:r>
      <w:r>
        <w:rPr>
          <w:spacing w:val="-19"/>
          <w:sz w:val="20"/>
        </w:rPr>
        <w:t xml:space="preserve"> </w:t>
      </w:r>
      <w:r>
        <w:rPr>
          <w:spacing w:val="-4"/>
          <w:sz w:val="20"/>
        </w:rPr>
        <w:t xml:space="preserve">sanción, </w:t>
      </w:r>
      <w:r>
        <w:rPr>
          <w:sz w:val="20"/>
        </w:rPr>
        <w:t xml:space="preserve">es </w:t>
      </w:r>
      <w:r>
        <w:rPr>
          <w:spacing w:val="-4"/>
          <w:sz w:val="20"/>
        </w:rPr>
        <w:t xml:space="preserve">fundamental </w:t>
      </w:r>
      <w:r>
        <w:rPr>
          <w:spacing w:val="-3"/>
          <w:sz w:val="20"/>
        </w:rPr>
        <w:t xml:space="preserve">que el CNM </w:t>
      </w:r>
      <w:r>
        <w:rPr>
          <w:sz w:val="20"/>
        </w:rPr>
        <w:t xml:space="preserve">de </w:t>
      </w:r>
      <w:r>
        <w:rPr>
          <w:spacing w:val="-4"/>
          <w:sz w:val="20"/>
        </w:rPr>
        <w:t xml:space="preserve">manera detallada indicara parámetros jurisprudenciales </w:t>
      </w:r>
      <w:r>
        <w:rPr>
          <w:sz w:val="20"/>
        </w:rPr>
        <w:t xml:space="preserve">o </w:t>
      </w:r>
      <w:r>
        <w:rPr>
          <w:spacing w:val="-4"/>
          <w:sz w:val="20"/>
        </w:rPr>
        <w:t xml:space="preserve">interpretativos </w:t>
      </w:r>
      <w:r>
        <w:rPr>
          <w:spacing w:val="-3"/>
          <w:sz w:val="20"/>
        </w:rPr>
        <w:t xml:space="preserve">que </w:t>
      </w:r>
      <w:r>
        <w:rPr>
          <w:spacing w:val="-4"/>
          <w:sz w:val="20"/>
        </w:rPr>
        <w:t xml:space="preserve">permitieran concluir </w:t>
      </w:r>
      <w:r>
        <w:rPr>
          <w:spacing w:val="-3"/>
          <w:sz w:val="20"/>
        </w:rPr>
        <w:t xml:space="preserve">que </w:t>
      </w:r>
      <w:r>
        <w:rPr>
          <w:sz w:val="20"/>
        </w:rPr>
        <w:t xml:space="preserve">lo </w:t>
      </w:r>
      <w:r>
        <w:rPr>
          <w:spacing w:val="-3"/>
          <w:sz w:val="20"/>
        </w:rPr>
        <w:t xml:space="preserve">actuado </w:t>
      </w:r>
      <w:r>
        <w:rPr>
          <w:spacing w:val="-2"/>
          <w:sz w:val="20"/>
        </w:rPr>
        <w:t xml:space="preserve">por </w:t>
      </w:r>
      <w:r>
        <w:rPr>
          <w:spacing w:val="-3"/>
          <w:sz w:val="20"/>
        </w:rPr>
        <w:t xml:space="preserve">el señor </w:t>
      </w:r>
      <w:r>
        <w:rPr>
          <w:spacing w:val="-4"/>
          <w:sz w:val="20"/>
        </w:rPr>
        <w:t xml:space="preserve">Cordero Bernal </w:t>
      </w:r>
      <w:r>
        <w:rPr>
          <w:spacing w:val="-4"/>
          <w:sz w:val="20"/>
        </w:rPr>
        <w:t>era</w:t>
      </w:r>
      <w:r>
        <w:rPr>
          <w:spacing w:val="-46"/>
          <w:sz w:val="20"/>
        </w:rPr>
        <w:t xml:space="preserve"> </w:t>
      </w:r>
      <w:r>
        <w:rPr>
          <w:sz w:val="20"/>
        </w:rPr>
        <w:t xml:space="preserve">lo </w:t>
      </w:r>
      <w:r>
        <w:rPr>
          <w:spacing w:val="-4"/>
          <w:sz w:val="20"/>
        </w:rPr>
        <w:t>suficientemente</w:t>
      </w:r>
      <w:r>
        <w:rPr>
          <w:spacing w:val="-14"/>
          <w:sz w:val="20"/>
        </w:rPr>
        <w:t xml:space="preserve"> </w:t>
      </w:r>
      <w:r>
        <w:rPr>
          <w:spacing w:val="-4"/>
          <w:sz w:val="20"/>
        </w:rPr>
        <w:t>previsible</w:t>
      </w:r>
      <w:r>
        <w:rPr>
          <w:spacing w:val="-16"/>
          <w:sz w:val="20"/>
        </w:rPr>
        <w:t xml:space="preserve"> </w:t>
      </w:r>
      <w:r>
        <w:rPr>
          <w:sz w:val="20"/>
        </w:rPr>
        <w:t>al</w:t>
      </w:r>
      <w:r>
        <w:rPr>
          <w:spacing w:val="-14"/>
          <w:sz w:val="20"/>
        </w:rPr>
        <w:t xml:space="preserve"> </w:t>
      </w:r>
      <w:r>
        <w:rPr>
          <w:spacing w:val="-3"/>
          <w:sz w:val="20"/>
        </w:rPr>
        <w:t>momento</w:t>
      </w:r>
      <w:r>
        <w:rPr>
          <w:spacing w:val="-16"/>
          <w:sz w:val="20"/>
        </w:rPr>
        <w:t xml:space="preserve"> </w:t>
      </w:r>
      <w:r>
        <w:rPr>
          <w:sz w:val="20"/>
        </w:rPr>
        <w:t>de</w:t>
      </w:r>
      <w:r>
        <w:rPr>
          <w:spacing w:val="-13"/>
          <w:sz w:val="20"/>
        </w:rPr>
        <w:t xml:space="preserve"> </w:t>
      </w:r>
      <w:r>
        <w:rPr>
          <w:spacing w:val="-4"/>
          <w:sz w:val="20"/>
        </w:rPr>
        <w:t>emitir</w:t>
      </w:r>
      <w:r>
        <w:rPr>
          <w:spacing w:val="-14"/>
          <w:sz w:val="20"/>
        </w:rPr>
        <w:t xml:space="preserve"> </w:t>
      </w:r>
      <w:r>
        <w:rPr>
          <w:sz w:val="20"/>
        </w:rPr>
        <w:t>su</w:t>
      </w:r>
      <w:r>
        <w:rPr>
          <w:spacing w:val="-16"/>
          <w:sz w:val="20"/>
        </w:rPr>
        <w:t xml:space="preserve"> </w:t>
      </w:r>
      <w:r>
        <w:rPr>
          <w:spacing w:val="-4"/>
          <w:sz w:val="20"/>
        </w:rPr>
        <w:t>decisión</w:t>
      </w:r>
      <w:r>
        <w:rPr>
          <w:spacing w:val="-11"/>
          <w:sz w:val="20"/>
        </w:rPr>
        <w:t xml:space="preserve"> </w:t>
      </w:r>
      <w:r>
        <w:rPr>
          <w:sz w:val="20"/>
        </w:rPr>
        <w:t>y</w:t>
      </w:r>
      <w:r>
        <w:rPr>
          <w:spacing w:val="-15"/>
          <w:sz w:val="20"/>
        </w:rPr>
        <w:t xml:space="preserve"> </w:t>
      </w:r>
      <w:r>
        <w:rPr>
          <w:spacing w:val="-3"/>
          <w:sz w:val="20"/>
        </w:rPr>
        <w:t>que,</w:t>
      </w:r>
      <w:r>
        <w:rPr>
          <w:spacing w:val="-12"/>
          <w:sz w:val="20"/>
        </w:rPr>
        <w:t xml:space="preserve"> </w:t>
      </w:r>
      <w:r>
        <w:rPr>
          <w:spacing w:val="-3"/>
          <w:sz w:val="20"/>
        </w:rPr>
        <w:t>como</w:t>
      </w:r>
      <w:r>
        <w:rPr>
          <w:spacing w:val="-14"/>
          <w:sz w:val="20"/>
        </w:rPr>
        <w:t xml:space="preserve"> </w:t>
      </w:r>
      <w:r>
        <w:rPr>
          <w:sz w:val="20"/>
        </w:rPr>
        <w:t>el</w:t>
      </w:r>
      <w:r>
        <w:rPr>
          <w:spacing w:val="-12"/>
          <w:sz w:val="20"/>
        </w:rPr>
        <w:t xml:space="preserve"> </w:t>
      </w:r>
      <w:r>
        <w:rPr>
          <w:spacing w:val="-3"/>
          <w:sz w:val="20"/>
        </w:rPr>
        <w:t>mismo</w:t>
      </w:r>
      <w:r>
        <w:rPr>
          <w:spacing w:val="-13"/>
          <w:sz w:val="20"/>
        </w:rPr>
        <w:t xml:space="preserve"> </w:t>
      </w:r>
      <w:r>
        <w:rPr>
          <w:spacing w:val="-4"/>
          <w:sz w:val="20"/>
        </w:rPr>
        <w:t xml:space="preserve">órgano indicó, esa conducta </w:t>
      </w:r>
      <w:r>
        <w:rPr>
          <w:spacing w:val="-3"/>
          <w:sz w:val="20"/>
        </w:rPr>
        <w:t xml:space="preserve">“sea </w:t>
      </w:r>
      <w:r>
        <w:rPr>
          <w:spacing w:val="-4"/>
          <w:sz w:val="20"/>
        </w:rPr>
        <w:t xml:space="preserve">coincidente” </w:t>
      </w:r>
      <w:r>
        <w:rPr>
          <w:spacing w:val="-3"/>
          <w:sz w:val="20"/>
        </w:rPr>
        <w:t xml:space="preserve">con </w:t>
      </w:r>
      <w:r>
        <w:rPr>
          <w:sz w:val="20"/>
        </w:rPr>
        <w:t xml:space="preserve">la </w:t>
      </w:r>
      <w:r>
        <w:rPr>
          <w:spacing w:val="-4"/>
          <w:sz w:val="20"/>
        </w:rPr>
        <w:t xml:space="preserve">norma. Además, era necesario </w:t>
      </w:r>
      <w:r>
        <w:rPr>
          <w:spacing w:val="-3"/>
          <w:sz w:val="20"/>
        </w:rPr>
        <w:t xml:space="preserve">que </w:t>
      </w:r>
      <w:r>
        <w:rPr>
          <w:spacing w:val="-5"/>
          <w:sz w:val="20"/>
        </w:rPr>
        <w:t xml:space="preserve">indicara </w:t>
      </w:r>
      <w:r>
        <w:rPr>
          <w:spacing w:val="-3"/>
          <w:sz w:val="20"/>
        </w:rPr>
        <w:t xml:space="preserve">de </w:t>
      </w:r>
      <w:r>
        <w:rPr>
          <w:spacing w:val="-4"/>
          <w:sz w:val="20"/>
        </w:rPr>
        <w:t xml:space="preserve">manera clara </w:t>
      </w:r>
      <w:r>
        <w:rPr>
          <w:spacing w:val="-3"/>
          <w:sz w:val="20"/>
        </w:rPr>
        <w:t xml:space="preserve">cómo </w:t>
      </w:r>
      <w:r>
        <w:rPr>
          <w:sz w:val="20"/>
        </w:rPr>
        <w:t xml:space="preserve">se </w:t>
      </w:r>
      <w:r>
        <w:rPr>
          <w:spacing w:val="-4"/>
          <w:sz w:val="20"/>
        </w:rPr>
        <w:t xml:space="preserve">cumplían </w:t>
      </w:r>
      <w:r>
        <w:rPr>
          <w:spacing w:val="-2"/>
          <w:sz w:val="20"/>
        </w:rPr>
        <w:t xml:space="preserve">los </w:t>
      </w:r>
      <w:r>
        <w:rPr>
          <w:spacing w:val="-4"/>
          <w:sz w:val="20"/>
        </w:rPr>
        <w:t xml:space="preserve">otros </w:t>
      </w:r>
      <w:r>
        <w:rPr>
          <w:spacing w:val="-2"/>
          <w:sz w:val="20"/>
        </w:rPr>
        <w:t xml:space="preserve">dos </w:t>
      </w:r>
      <w:r>
        <w:rPr>
          <w:spacing w:val="-4"/>
          <w:sz w:val="20"/>
        </w:rPr>
        <w:t xml:space="preserve">elementos presentes </w:t>
      </w:r>
      <w:r>
        <w:rPr>
          <w:spacing w:val="-3"/>
          <w:sz w:val="20"/>
        </w:rPr>
        <w:t xml:space="preserve">en el </w:t>
      </w:r>
      <w:r>
        <w:rPr>
          <w:spacing w:val="-4"/>
          <w:sz w:val="20"/>
        </w:rPr>
        <w:t xml:space="preserve">artículo </w:t>
      </w:r>
      <w:r>
        <w:rPr>
          <w:spacing w:val="-3"/>
          <w:sz w:val="20"/>
        </w:rPr>
        <w:t xml:space="preserve">31.2 de </w:t>
      </w:r>
      <w:r>
        <w:rPr>
          <w:sz w:val="20"/>
        </w:rPr>
        <w:t xml:space="preserve">la </w:t>
      </w:r>
      <w:r>
        <w:rPr>
          <w:spacing w:val="-3"/>
          <w:sz w:val="20"/>
        </w:rPr>
        <w:t xml:space="preserve">LOC </w:t>
      </w:r>
      <w:r>
        <w:rPr>
          <w:sz w:val="20"/>
        </w:rPr>
        <w:t xml:space="preserve">y no </w:t>
      </w:r>
      <w:r>
        <w:rPr>
          <w:spacing w:val="-4"/>
          <w:sz w:val="20"/>
        </w:rPr>
        <w:t xml:space="preserve">limitarse </w:t>
      </w:r>
      <w:r>
        <w:rPr>
          <w:sz w:val="20"/>
        </w:rPr>
        <w:t xml:space="preserve">a </w:t>
      </w:r>
      <w:r>
        <w:rPr>
          <w:spacing w:val="-4"/>
          <w:sz w:val="20"/>
        </w:rPr>
        <w:t xml:space="preserve">transcribir </w:t>
      </w:r>
      <w:r>
        <w:rPr>
          <w:sz w:val="20"/>
        </w:rPr>
        <w:t xml:space="preserve">la </w:t>
      </w:r>
      <w:r>
        <w:rPr>
          <w:spacing w:val="-4"/>
          <w:sz w:val="20"/>
        </w:rPr>
        <w:t xml:space="preserve">norma </w:t>
      </w:r>
      <w:r>
        <w:rPr>
          <w:sz w:val="20"/>
        </w:rPr>
        <w:t xml:space="preserve">y </w:t>
      </w:r>
      <w:r>
        <w:rPr>
          <w:spacing w:val="-2"/>
          <w:sz w:val="20"/>
        </w:rPr>
        <w:t xml:space="preserve">los </w:t>
      </w:r>
      <w:r>
        <w:rPr>
          <w:spacing w:val="-4"/>
          <w:sz w:val="20"/>
        </w:rPr>
        <w:t xml:space="preserve">elementos </w:t>
      </w:r>
      <w:r>
        <w:rPr>
          <w:spacing w:val="-3"/>
          <w:sz w:val="20"/>
        </w:rPr>
        <w:t xml:space="preserve">que la </w:t>
      </w:r>
      <w:r>
        <w:rPr>
          <w:spacing w:val="-4"/>
          <w:sz w:val="20"/>
        </w:rPr>
        <w:t xml:space="preserve">conforman. </w:t>
      </w:r>
      <w:r>
        <w:rPr>
          <w:spacing w:val="-3"/>
          <w:sz w:val="20"/>
        </w:rPr>
        <w:t xml:space="preserve">Debe </w:t>
      </w:r>
      <w:r>
        <w:rPr>
          <w:spacing w:val="-4"/>
          <w:sz w:val="20"/>
        </w:rPr>
        <w:t>tenerse</w:t>
      </w:r>
      <w:r>
        <w:rPr>
          <w:spacing w:val="-19"/>
          <w:sz w:val="20"/>
        </w:rPr>
        <w:t xml:space="preserve"> </w:t>
      </w:r>
      <w:r>
        <w:rPr>
          <w:spacing w:val="-3"/>
          <w:sz w:val="20"/>
        </w:rPr>
        <w:t>como</w:t>
      </w:r>
      <w:r>
        <w:rPr>
          <w:spacing w:val="-15"/>
          <w:sz w:val="20"/>
        </w:rPr>
        <w:t xml:space="preserve"> </w:t>
      </w:r>
      <w:r>
        <w:rPr>
          <w:spacing w:val="-3"/>
          <w:sz w:val="20"/>
        </w:rPr>
        <w:t>eje</w:t>
      </w:r>
      <w:r>
        <w:rPr>
          <w:spacing w:val="-18"/>
          <w:sz w:val="20"/>
        </w:rPr>
        <w:t xml:space="preserve"> </w:t>
      </w:r>
      <w:r>
        <w:rPr>
          <w:spacing w:val="-4"/>
          <w:sz w:val="20"/>
        </w:rPr>
        <w:t>central</w:t>
      </w:r>
      <w:r>
        <w:rPr>
          <w:spacing w:val="-16"/>
          <w:sz w:val="20"/>
        </w:rPr>
        <w:t xml:space="preserve"> </w:t>
      </w:r>
      <w:r>
        <w:rPr>
          <w:spacing w:val="-3"/>
          <w:sz w:val="20"/>
        </w:rPr>
        <w:t>que</w:t>
      </w:r>
      <w:r>
        <w:rPr>
          <w:spacing w:val="-18"/>
          <w:sz w:val="20"/>
        </w:rPr>
        <w:t xml:space="preserve"> </w:t>
      </w:r>
      <w:r>
        <w:rPr>
          <w:sz w:val="20"/>
        </w:rPr>
        <w:t>a</w:t>
      </w:r>
      <w:r>
        <w:rPr>
          <w:spacing w:val="-16"/>
          <w:sz w:val="20"/>
        </w:rPr>
        <w:t xml:space="preserve"> </w:t>
      </w:r>
      <w:r>
        <w:rPr>
          <w:spacing w:val="-3"/>
          <w:sz w:val="20"/>
        </w:rPr>
        <w:t>mayor</w:t>
      </w:r>
      <w:r>
        <w:rPr>
          <w:spacing w:val="-17"/>
          <w:sz w:val="20"/>
        </w:rPr>
        <w:t xml:space="preserve"> </w:t>
      </w:r>
      <w:r>
        <w:rPr>
          <w:spacing w:val="-3"/>
          <w:sz w:val="20"/>
        </w:rPr>
        <w:t>grado</w:t>
      </w:r>
      <w:r>
        <w:rPr>
          <w:spacing w:val="-18"/>
          <w:sz w:val="20"/>
        </w:rPr>
        <w:t xml:space="preserve"> </w:t>
      </w:r>
      <w:r>
        <w:rPr>
          <w:sz w:val="20"/>
        </w:rPr>
        <w:t>de</w:t>
      </w:r>
      <w:r>
        <w:rPr>
          <w:spacing w:val="-18"/>
          <w:sz w:val="20"/>
        </w:rPr>
        <w:t xml:space="preserve"> </w:t>
      </w:r>
      <w:r>
        <w:rPr>
          <w:spacing w:val="-4"/>
          <w:sz w:val="20"/>
        </w:rPr>
        <w:t>discrecionalidad</w:t>
      </w:r>
      <w:r>
        <w:rPr>
          <w:spacing w:val="-16"/>
          <w:sz w:val="20"/>
        </w:rPr>
        <w:t xml:space="preserve"> </w:t>
      </w:r>
      <w:r>
        <w:rPr>
          <w:sz w:val="20"/>
        </w:rPr>
        <w:t>de</w:t>
      </w:r>
      <w:r>
        <w:rPr>
          <w:spacing w:val="-18"/>
          <w:sz w:val="20"/>
        </w:rPr>
        <w:t xml:space="preserve"> </w:t>
      </w:r>
      <w:r>
        <w:rPr>
          <w:spacing w:val="-3"/>
          <w:sz w:val="20"/>
        </w:rPr>
        <w:t>la</w:t>
      </w:r>
      <w:r>
        <w:rPr>
          <w:spacing w:val="-16"/>
          <w:sz w:val="20"/>
        </w:rPr>
        <w:t xml:space="preserve"> </w:t>
      </w:r>
      <w:r>
        <w:rPr>
          <w:spacing w:val="-4"/>
          <w:sz w:val="20"/>
        </w:rPr>
        <w:t>norma,</w:t>
      </w:r>
      <w:r>
        <w:rPr>
          <w:spacing w:val="-17"/>
          <w:sz w:val="20"/>
        </w:rPr>
        <w:t xml:space="preserve"> </w:t>
      </w:r>
      <w:r>
        <w:rPr>
          <w:spacing w:val="-3"/>
          <w:sz w:val="20"/>
        </w:rPr>
        <w:t>mayor</w:t>
      </w:r>
      <w:r>
        <w:rPr>
          <w:spacing w:val="-20"/>
          <w:sz w:val="20"/>
        </w:rPr>
        <w:t xml:space="preserve"> </w:t>
      </w:r>
      <w:r>
        <w:rPr>
          <w:spacing w:val="-5"/>
          <w:sz w:val="20"/>
        </w:rPr>
        <w:t xml:space="preserve">habrá </w:t>
      </w:r>
      <w:r>
        <w:rPr>
          <w:spacing w:val="-3"/>
          <w:sz w:val="20"/>
        </w:rPr>
        <w:t xml:space="preserve">de ser la </w:t>
      </w:r>
      <w:r>
        <w:rPr>
          <w:spacing w:val="-4"/>
          <w:sz w:val="20"/>
        </w:rPr>
        <w:t xml:space="preserve">motivación lógica, racional </w:t>
      </w:r>
      <w:r>
        <w:rPr>
          <w:sz w:val="20"/>
        </w:rPr>
        <w:t xml:space="preserve">e </w:t>
      </w:r>
      <w:r>
        <w:rPr>
          <w:spacing w:val="-4"/>
          <w:sz w:val="20"/>
        </w:rPr>
        <w:t xml:space="preserve">interpretativa </w:t>
      </w:r>
      <w:r>
        <w:rPr>
          <w:spacing w:val="-3"/>
          <w:sz w:val="20"/>
        </w:rPr>
        <w:t xml:space="preserve">del </w:t>
      </w:r>
      <w:r>
        <w:rPr>
          <w:spacing w:val="-4"/>
          <w:sz w:val="20"/>
        </w:rPr>
        <w:t xml:space="preserve">órgano sancionador, tanto </w:t>
      </w:r>
      <w:r>
        <w:rPr>
          <w:spacing w:val="-3"/>
          <w:sz w:val="20"/>
        </w:rPr>
        <w:t xml:space="preserve">para </w:t>
      </w:r>
      <w:r>
        <w:rPr>
          <w:spacing w:val="-4"/>
          <w:sz w:val="20"/>
        </w:rPr>
        <w:t xml:space="preserve">garantizar </w:t>
      </w:r>
      <w:r>
        <w:rPr>
          <w:spacing w:val="-3"/>
          <w:sz w:val="20"/>
        </w:rPr>
        <w:t xml:space="preserve">la </w:t>
      </w:r>
      <w:r>
        <w:rPr>
          <w:spacing w:val="-4"/>
          <w:sz w:val="20"/>
        </w:rPr>
        <w:t xml:space="preserve">seguridad jurídica </w:t>
      </w:r>
      <w:r>
        <w:rPr>
          <w:spacing w:val="-3"/>
          <w:sz w:val="20"/>
        </w:rPr>
        <w:t xml:space="preserve">como para </w:t>
      </w:r>
      <w:r>
        <w:rPr>
          <w:spacing w:val="-4"/>
          <w:sz w:val="20"/>
        </w:rPr>
        <w:t xml:space="preserve">eliminar </w:t>
      </w:r>
      <w:r>
        <w:rPr>
          <w:spacing w:val="-3"/>
          <w:sz w:val="20"/>
        </w:rPr>
        <w:t xml:space="preserve">toda posible </w:t>
      </w:r>
      <w:r>
        <w:rPr>
          <w:spacing w:val="-4"/>
          <w:sz w:val="20"/>
        </w:rPr>
        <w:t xml:space="preserve">duda </w:t>
      </w:r>
      <w:r>
        <w:rPr>
          <w:sz w:val="20"/>
        </w:rPr>
        <w:t xml:space="preserve">de </w:t>
      </w:r>
      <w:r>
        <w:rPr>
          <w:spacing w:val="-4"/>
          <w:sz w:val="20"/>
        </w:rPr>
        <w:t xml:space="preserve">arbitrariedad </w:t>
      </w:r>
      <w:r>
        <w:rPr>
          <w:sz w:val="20"/>
        </w:rPr>
        <w:t xml:space="preserve">de </w:t>
      </w:r>
      <w:r>
        <w:rPr>
          <w:spacing w:val="-3"/>
          <w:sz w:val="20"/>
        </w:rPr>
        <w:t>la</w:t>
      </w:r>
      <w:r>
        <w:rPr>
          <w:spacing w:val="-10"/>
          <w:sz w:val="20"/>
        </w:rPr>
        <w:t xml:space="preserve"> </w:t>
      </w:r>
      <w:r>
        <w:rPr>
          <w:spacing w:val="-4"/>
          <w:sz w:val="20"/>
        </w:rPr>
        <w:t>decisión.</w:t>
      </w:r>
    </w:p>
    <w:p w14:paraId="1810E03E" w14:textId="77777777" w:rsidR="00492688" w:rsidRDefault="00492688">
      <w:pPr>
        <w:pStyle w:val="Textoindependiente"/>
        <w:spacing w:before="12"/>
        <w:rPr>
          <w:sz w:val="19"/>
        </w:rPr>
      </w:pPr>
    </w:p>
    <w:p w14:paraId="5A7768CA" w14:textId="77777777" w:rsidR="00492688" w:rsidRDefault="00C9584B">
      <w:pPr>
        <w:pStyle w:val="Prrafodelista"/>
        <w:numPr>
          <w:ilvl w:val="0"/>
          <w:numId w:val="3"/>
        </w:numPr>
        <w:tabs>
          <w:tab w:val="left" w:pos="830"/>
        </w:tabs>
        <w:ind w:left="120" w:right="225" w:firstLine="0"/>
        <w:jc w:val="both"/>
        <w:rPr>
          <w:sz w:val="20"/>
        </w:rPr>
      </w:pPr>
      <w:r>
        <w:rPr>
          <w:spacing w:val="-3"/>
          <w:sz w:val="20"/>
        </w:rPr>
        <w:t xml:space="preserve">Bajo </w:t>
      </w:r>
      <w:r>
        <w:rPr>
          <w:spacing w:val="-4"/>
          <w:sz w:val="20"/>
        </w:rPr>
        <w:t xml:space="preserve">estas consideraciones, </w:t>
      </w:r>
      <w:r>
        <w:rPr>
          <w:spacing w:val="-3"/>
          <w:sz w:val="20"/>
        </w:rPr>
        <w:t xml:space="preserve">era dable </w:t>
      </w:r>
      <w:r>
        <w:rPr>
          <w:spacing w:val="-4"/>
          <w:sz w:val="20"/>
        </w:rPr>
        <w:t xml:space="preserve">entender </w:t>
      </w:r>
      <w:r>
        <w:rPr>
          <w:spacing w:val="-3"/>
          <w:sz w:val="20"/>
        </w:rPr>
        <w:t xml:space="preserve">que en este caso </w:t>
      </w:r>
      <w:r>
        <w:rPr>
          <w:sz w:val="20"/>
        </w:rPr>
        <w:t xml:space="preserve">se </w:t>
      </w:r>
      <w:r>
        <w:rPr>
          <w:spacing w:val="-4"/>
          <w:sz w:val="20"/>
        </w:rPr>
        <w:t xml:space="preserve">vulneró </w:t>
      </w:r>
      <w:r>
        <w:rPr>
          <w:spacing w:val="-3"/>
          <w:sz w:val="20"/>
        </w:rPr>
        <w:t xml:space="preserve">el </w:t>
      </w:r>
      <w:r>
        <w:rPr>
          <w:spacing w:val="-4"/>
          <w:sz w:val="20"/>
        </w:rPr>
        <w:t xml:space="preserve">principio </w:t>
      </w:r>
      <w:r>
        <w:rPr>
          <w:sz w:val="20"/>
        </w:rPr>
        <w:t xml:space="preserve">de </w:t>
      </w:r>
      <w:r>
        <w:rPr>
          <w:spacing w:val="-4"/>
          <w:sz w:val="20"/>
        </w:rPr>
        <w:t xml:space="preserve">legalidad </w:t>
      </w:r>
      <w:r>
        <w:rPr>
          <w:spacing w:val="-3"/>
          <w:sz w:val="20"/>
        </w:rPr>
        <w:t xml:space="preserve">en </w:t>
      </w:r>
      <w:r>
        <w:rPr>
          <w:spacing w:val="-4"/>
          <w:sz w:val="20"/>
        </w:rPr>
        <w:t xml:space="preserve">relación con </w:t>
      </w:r>
      <w:r>
        <w:rPr>
          <w:spacing w:val="-3"/>
          <w:sz w:val="20"/>
        </w:rPr>
        <w:t xml:space="preserve">la </w:t>
      </w:r>
      <w:r>
        <w:rPr>
          <w:spacing w:val="-4"/>
          <w:sz w:val="20"/>
        </w:rPr>
        <w:t xml:space="preserve">independencia judicial. </w:t>
      </w:r>
      <w:r>
        <w:rPr>
          <w:sz w:val="20"/>
        </w:rPr>
        <w:t xml:space="preserve">Por un </w:t>
      </w:r>
      <w:r>
        <w:rPr>
          <w:spacing w:val="-3"/>
          <w:sz w:val="20"/>
        </w:rPr>
        <w:t xml:space="preserve">lado, debido </w:t>
      </w:r>
      <w:r>
        <w:rPr>
          <w:sz w:val="20"/>
        </w:rPr>
        <w:t xml:space="preserve">a </w:t>
      </w:r>
      <w:r>
        <w:rPr>
          <w:spacing w:val="-3"/>
          <w:sz w:val="20"/>
        </w:rPr>
        <w:t>que la</w:t>
      </w:r>
      <w:r>
        <w:rPr>
          <w:spacing w:val="-19"/>
          <w:sz w:val="20"/>
        </w:rPr>
        <w:t xml:space="preserve"> </w:t>
      </w:r>
      <w:r>
        <w:rPr>
          <w:spacing w:val="-3"/>
          <w:sz w:val="20"/>
        </w:rPr>
        <w:t>norma</w:t>
      </w:r>
      <w:r>
        <w:rPr>
          <w:spacing w:val="-15"/>
          <w:sz w:val="20"/>
        </w:rPr>
        <w:t xml:space="preserve"> </w:t>
      </w:r>
      <w:r>
        <w:rPr>
          <w:spacing w:val="-4"/>
          <w:sz w:val="20"/>
        </w:rPr>
        <w:t>aplicada</w:t>
      </w:r>
      <w:r>
        <w:rPr>
          <w:spacing w:val="-16"/>
          <w:sz w:val="20"/>
        </w:rPr>
        <w:t xml:space="preserve"> </w:t>
      </w:r>
      <w:r>
        <w:rPr>
          <w:spacing w:val="-3"/>
          <w:sz w:val="20"/>
        </w:rPr>
        <w:t>al</w:t>
      </w:r>
      <w:r>
        <w:rPr>
          <w:spacing w:val="-15"/>
          <w:sz w:val="20"/>
        </w:rPr>
        <w:t xml:space="preserve"> </w:t>
      </w:r>
      <w:r>
        <w:rPr>
          <w:spacing w:val="-3"/>
          <w:sz w:val="20"/>
        </w:rPr>
        <w:t>juez</w:t>
      </w:r>
      <w:r>
        <w:rPr>
          <w:spacing w:val="-13"/>
          <w:sz w:val="20"/>
        </w:rPr>
        <w:t xml:space="preserve"> </w:t>
      </w:r>
      <w:r>
        <w:rPr>
          <w:spacing w:val="-4"/>
          <w:sz w:val="20"/>
        </w:rPr>
        <w:t>Cordero</w:t>
      </w:r>
      <w:r>
        <w:rPr>
          <w:spacing w:val="-14"/>
          <w:sz w:val="20"/>
        </w:rPr>
        <w:t xml:space="preserve"> </w:t>
      </w:r>
      <w:r>
        <w:rPr>
          <w:spacing w:val="-4"/>
          <w:sz w:val="20"/>
        </w:rPr>
        <w:t>Bernal</w:t>
      </w:r>
      <w:r>
        <w:rPr>
          <w:spacing w:val="-14"/>
          <w:sz w:val="20"/>
        </w:rPr>
        <w:t xml:space="preserve"> </w:t>
      </w:r>
      <w:r>
        <w:rPr>
          <w:spacing w:val="-4"/>
          <w:sz w:val="20"/>
        </w:rPr>
        <w:t>era</w:t>
      </w:r>
      <w:r>
        <w:rPr>
          <w:spacing w:val="-15"/>
          <w:sz w:val="20"/>
        </w:rPr>
        <w:t xml:space="preserve"> </w:t>
      </w:r>
      <w:r>
        <w:rPr>
          <w:spacing w:val="-4"/>
          <w:sz w:val="20"/>
        </w:rPr>
        <w:t>demasiado</w:t>
      </w:r>
      <w:r>
        <w:rPr>
          <w:spacing w:val="-17"/>
          <w:sz w:val="20"/>
        </w:rPr>
        <w:t xml:space="preserve"> </w:t>
      </w:r>
      <w:r>
        <w:rPr>
          <w:spacing w:val="-4"/>
          <w:sz w:val="20"/>
        </w:rPr>
        <w:t>amplia</w:t>
      </w:r>
      <w:r>
        <w:rPr>
          <w:spacing w:val="-14"/>
          <w:sz w:val="20"/>
        </w:rPr>
        <w:t xml:space="preserve"> </w:t>
      </w:r>
      <w:r>
        <w:rPr>
          <w:spacing w:val="-4"/>
          <w:sz w:val="20"/>
        </w:rPr>
        <w:t>respecto</w:t>
      </w:r>
      <w:r>
        <w:rPr>
          <w:spacing w:val="-17"/>
          <w:sz w:val="20"/>
        </w:rPr>
        <w:t xml:space="preserve"> </w:t>
      </w:r>
      <w:r>
        <w:rPr>
          <w:sz w:val="20"/>
        </w:rPr>
        <w:t>de</w:t>
      </w:r>
      <w:r>
        <w:rPr>
          <w:spacing w:val="-15"/>
          <w:sz w:val="20"/>
        </w:rPr>
        <w:t xml:space="preserve"> </w:t>
      </w:r>
      <w:r>
        <w:rPr>
          <w:spacing w:val="-4"/>
          <w:sz w:val="20"/>
        </w:rPr>
        <w:t>tres</w:t>
      </w:r>
      <w:r>
        <w:rPr>
          <w:spacing w:val="-16"/>
          <w:sz w:val="20"/>
        </w:rPr>
        <w:t xml:space="preserve"> </w:t>
      </w:r>
      <w:r>
        <w:rPr>
          <w:spacing w:val="-4"/>
          <w:sz w:val="20"/>
        </w:rPr>
        <w:t xml:space="preserve">conceptos </w:t>
      </w:r>
      <w:r>
        <w:rPr>
          <w:spacing w:val="-3"/>
          <w:sz w:val="20"/>
        </w:rPr>
        <w:t xml:space="preserve">que </w:t>
      </w:r>
      <w:r>
        <w:rPr>
          <w:spacing w:val="-4"/>
          <w:sz w:val="20"/>
        </w:rPr>
        <w:t>resultaban  indeterminados.</w:t>
      </w:r>
      <w:r>
        <w:rPr>
          <w:spacing w:val="62"/>
          <w:sz w:val="20"/>
        </w:rPr>
        <w:t xml:space="preserve"> </w:t>
      </w:r>
      <w:r>
        <w:rPr>
          <w:spacing w:val="-4"/>
          <w:sz w:val="20"/>
        </w:rPr>
        <w:t xml:space="preserve">Además,  </w:t>
      </w:r>
      <w:r>
        <w:rPr>
          <w:sz w:val="20"/>
        </w:rPr>
        <w:t xml:space="preserve">la </w:t>
      </w:r>
      <w:r>
        <w:rPr>
          <w:spacing w:val="-4"/>
          <w:sz w:val="20"/>
        </w:rPr>
        <w:t xml:space="preserve">argumentación  </w:t>
      </w:r>
      <w:r>
        <w:rPr>
          <w:spacing w:val="-3"/>
          <w:sz w:val="20"/>
        </w:rPr>
        <w:t xml:space="preserve">que </w:t>
      </w:r>
      <w:r>
        <w:rPr>
          <w:sz w:val="20"/>
        </w:rPr>
        <w:t xml:space="preserve">se </w:t>
      </w:r>
      <w:r>
        <w:rPr>
          <w:spacing w:val="-3"/>
          <w:sz w:val="20"/>
        </w:rPr>
        <w:t xml:space="preserve">dio en tres </w:t>
      </w:r>
      <w:r>
        <w:rPr>
          <w:spacing w:val="-4"/>
          <w:sz w:val="20"/>
        </w:rPr>
        <w:t xml:space="preserve">oportunidades </w:t>
      </w:r>
      <w:r>
        <w:rPr>
          <w:spacing w:val="-3"/>
          <w:sz w:val="20"/>
        </w:rPr>
        <w:t xml:space="preserve">pudo ser más </w:t>
      </w:r>
      <w:r>
        <w:rPr>
          <w:spacing w:val="-4"/>
          <w:sz w:val="20"/>
        </w:rPr>
        <w:t xml:space="preserve">exhaustiva respecto </w:t>
      </w:r>
      <w:r>
        <w:rPr>
          <w:sz w:val="20"/>
        </w:rPr>
        <w:t xml:space="preserve">a </w:t>
      </w:r>
      <w:r>
        <w:rPr>
          <w:spacing w:val="-4"/>
          <w:sz w:val="20"/>
        </w:rPr>
        <w:t xml:space="preserve">argumentos </w:t>
      </w:r>
      <w:r>
        <w:rPr>
          <w:sz w:val="20"/>
        </w:rPr>
        <w:t xml:space="preserve">y </w:t>
      </w:r>
      <w:r>
        <w:rPr>
          <w:spacing w:val="-4"/>
          <w:sz w:val="20"/>
        </w:rPr>
        <w:t xml:space="preserve">razonamientos </w:t>
      </w:r>
      <w:r>
        <w:rPr>
          <w:spacing w:val="-3"/>
          <w:sz w:val="20"/>
        </w:rPr>
        <w:t xml:space="preserve">—que </w:t>
      </w:r>
      <w:r>
        <w:rPr>
          <w:spacing w:val="-4"/>
          <w:sz w:val="20"/>
        </w:rPr>
        <w:t>hagan</w:t>
      </w:r>
      <w:r>
        <w:rPr>
          <w:spacing w:val="-15"/>
          <w:sz w:val="20"/>
        </w:rPr>
        <w:t xml:space="preserve"> </w:t>
      </w:r>
      <w:r>
        <w:rPr>
          <w:spacing w:val="-4"/>
          <w:sz w:val="20"/>
        </w:rPr>
        <w:t>palpable</w:t>
      </w:r>
      <w:r>
        <w:rPr>
          <w:spacing w:val="-17"/>
          <w:sz w:val="20"/>
        </w:rPr>
        <w:t xml:space="preserve"> </w:t>
      </w:r>
      <w:r>
        <w:rPr>
          <w:spacing w:val="-3"/>
          <w:sz w:val="20"/>
        </w:rPr>
        <w:t>el</w:t>
      </w:r>
      <w:r>
        <w:rPr>
          <w:spacing w:val="-15"/>
          <w:sz w:val="20"/>
        </w:rPr>
        <w:t xml:space="preserve"> </w:t>
      </w:r>
      <w:r>
        <w:rPr>
          <w:spacing w:val="-3"/>
          <w:sz w:val="20"/>
        </w:rPr>
        <w:t>nexo</w:t>
      </w:r>
      <w:r>
        <w:rPr>
          <w:spacing w:val="-17"/>
          <w:sz w:val="20"/>
        </w:rPr>
        <w:t xml:space="preserve"> </w:t>
      </w:r>
      <w:r>
        <w:rPr>
          <w:spacing w:val="-4"/>
          <w:sz w:val="20"/>
        </w:rPr>
        <w:t>causal</w:t>
      </w:r>
      <w:r>
        <w:rPr>
          <w:spacing w:val="-15"/>
          <w:sz w:val="20"/>
        </w:rPr>
        <w:t xml:space="preserve"> </w:t>
      </w:r>
      <w:r>
        <w:rPr>
          <w:spacing w:val="-4"/>
          <w:sz w:val="20"/>
        </w:rPr>
        <w:t>entre</w:t>
      </w:r>
      <w:r>
        <w:rPr>
          <w:spacing w:val="-17"/>
          <w:sz w:val="20"/>
        </w:rPr>
        <w:t xml:space="preserve"> </w:t>
      </w:r>
      <w:r>
        <w:rPr>
          <w:sz w:val="20"/>
        </w:rPr>
        <w:t>la</w:t>
      </w:r>
      <w:r>
        <w:rPr>
          <w:spacing w:val="-15"/>
          <w:sz w:val="20"/>
        </w:rPr>
        <w:t xml:space="preserve"> </w:t>
      </w:r>
      <w:r>
        <w:rPr>
          <w:spacing w:val="-4"/>
          <w:sz w:val="20"/>
        </w:rPr>
        <w:t>conducta</w:t>
      </w:r>
      <w:r>
        <w:rPr>
          <w:spacing w:val="-18"/>
          <w:sz w:val="20"/>
        </w:rPr>
        <w:t xml:space="preserve"> </w:t>
      </w:r>
      <w:r>
        <w:rPr>
          <w:spacing w:val="-4"/>
          <w:sz w:val="20"/>
        </w:rPr>
        <w:t>(hecho)</w:t>
      </w:r>
      <w:r>
        <w:rPr>
          <w:spacing w:val="-16"/>
          <w:sz w:val="20"/>
        </w:rPr>
        <w:t xml:space="preserve"> </w:t>
      </w:r>
      <w:r>
        <w:rPr>
          <w:spacing w:val="-3"/>
          <w:sz w:val="20"/>
        </w:rPr>
        <w:t>con</w:t>
      </w:r>
      <w:r>
        <w:rPr>
          <w:spacing w:val="-14"/>
          <w:sz w:val="20"/>
        </w:rPr>
        <w:t xml:space="preserve"> </w:t>
      </w:r>
      <w:r>
        <w:rPr>
          <w:spacing w:val="-3"/>
          <w:sz w:val="20"/>
        </w:rPr>
        <w:t>la</w:t>
      </w:r>
      <w:r>
        <w:rPr>
          <w:spacing w:val="-15"/>
          <w:sz w:val="20"/>
        </w:rPr>
        <w:t xml:space="preserve"> </w:t>
      </w:r>
      <w:r>
        <w:rPr>
          <w:spacing w:val="-3"/>
          <w:sz w:val="20"/>
        </w:rPr>
        <w:t>norma</w:t>
      </w:r>
      <w:r>
        <w:rPr>
          <w:spacing w:val="-18"/>
          <w:sz w:val="20"/>
        </w:rPr>
        <w:t xml:space="preserve"> </w:t>
      </w:r>
      <w:r>
        <w:rPr>
          <w:spacing w:val="-4"/>
          <w:sz w:val="20"/>
        </w:rPr>
        <w:t>(derecho)—</w:t>
      </w:r>
      <w:r>
        <w:rPr>
          <w:spacing w:val="-18"/>
          <w:sz w:val="20"/>
        </w:rPr>
        <w:t xml:space="preserve"> </w:t>
      </w:r>
      <w:r>
        <w:rPr>
          <w:spacing w:val="-3"/>
          <w:sz w:val="20"/>
        </w:rPr>
        <w:t>para</w:t>
      </w:r>
      <w:r>
        <w:rPr>
          <w:spacing w:val="-15"/>
          <w:sz w:val="20"/>
        </w:rPr>
        <w:t xml:space="preserve"> </w:t>
      </w:r>
      <w:r>
        <w:rPr>
          <w:sz w:val="20"/>
        </w:rPr>
        <w:t xml:space="preserve">de </w:t>
      </w:r>
      <w:r>
        <w:rPr>
          <w:spacing w:val="-3"/>
          <w:sz w:val="20"/>
        </w:rPr>
        <w:t>este</w:t>
      </w:r>
      <w:r>
        <w:rPr>
          <w:spacing w:val="-8"/>
          <w:sz w:val="20"/>
        </w:rPr>
        <w:t xml:space="preserve"> </w:t>
      </w:r>
      <w:r>
        <w:rPr>
          <w:spacing w:val="-3"/>
          <w:sz w:val="20"/>
        </w:rPr>
        <w:t>modo</w:t>
      </w:r>
      <w:r>
        <w:rPr>
          <w:spacing w:val="-7"/>
          <w:sz w:val="20"/>
        </w:rPr>
        <w:t xml:space="preserve"> </w:t>
      </w:r>
      <w:r>
        <w:rPr>
          <w:spacing w:val="-4"/>
          <w:sz w:val="20"/>
        </w:rPr>
        <w:t>ent</w:t>
      </w:r>
      <w:r>
        <w:rPr>
          <w:spacing w:val="-4"/>
          <w:sz w:val="20"/>
        </w:rPr>
        <w:t>ender</w:t>
      </w:r>
      <w:r>
        <w:rPr>
          <w:spacing w:val="-8"/>
          <w:sz w:val="20"/>
        </w:rPr>
        <w:t xml:space="preserve"> </w:t>
      </w:r>
      <w:r>
        <w:rPr>
          <w:spacing w:val="-3"/>
          <w:sz w:val="20"/>
        </w:rPr>
        <w:t>el</w:t>
      </w:r>
      <w:r>
        <w:rPr>
          <w:spacing w:val="-5"/>
          <w:sz w:val="20"/>
        </w:rPr>
        <w:t xml:space="preserve"> </w:t>
      </w:r>
      <w:r>
        <w:rPr>
          <w:spacing w:val="-4"/>
          <w:sz w:val="20"/>
        </w:rPr>
        <w:t>contexto</w:t>
      </w:r>
      <w:r>
        <w:rPr>
          <w:spacing w:val="-8"/>
          <w:sz w:val="20"/>
        </w:rPr>
        <w:t xml:space="preserve"> </w:t>
      </w:r>
      <w:r>
        <w:rPr>
          <w:sz w:val="20"/>
        </w:rPr>
        <w:t>y</w:t>
      </w:r>
      <w:r>
        <w:rPr>
          <w:spacing w:val="-6"/>
          <w:sz w:val="20"/>
        </w:rPr>
        <w:t xml:space="preserve"> </w:t>
      </w:r>
      <w:r>
        <w:rPr>
          <w:spacing w:val="-4"/>
          <w:sz w:val="20"/>
        </w:rPr>
        <w:t>finalidad</w:t>
      </w:r>
      <w:r>
        <w:rPr>
          <w:spacing w:val="-6"/>
          <w:sz w:val="20"/>
        </w:rPr>
        <w:t xml:space="preserve"> </w:t>
      </w:r>
      <w:r>
        <w:rPr>
          <w:spacing w:val="-3"/>
          <w:sz w:val="20"/>
        </w:rPr>
        <w:t>en</w:t>
      </w:r>
      <w:r>
        <w:rPr>
          <w:spacing w:val="-2"/>
          <w:sz w:val="20"/>
        </w:rPr>
        <w:t xml:space="preserve"> </w:t>
      </w:r>
      <w:r>
        <w:rPr>
          <w:spacing w:val="-3"/>
          <w:sz w:val="20"/>
        </w:rPr>
        <w:t>el</w:t>
      </w:r>
      <w:r>
        <w:rPr>
          <w:spacing w:val="-6"/>
          <w:sz w:val="20"/>
        </w:rPr>
        <w:t xml:space="preserve"> </w:t>
      </w:r>
      <w:r>
        <w:rPr>
          <w:spacing w:val="-3"/>
          <w:sz w:val="20"/>
        </w:rPr>
        <w:t>que</w:t>
      </w:r>
      <w:r>
        <w:rPr>
          <w:spacing w:val="-7"/>
          <w:sz w:val="20"/>
        </w:rPr>
        <w:t xml:space="preserve"> </w:t>
      </w:r>
      <w:r>
        <w:rPr>
          <w:spacing w:val="-3"/>
          <w:sz w:val="20"/>
        </w:rPr>
        <w:t>la</w:t>
      </w:r>
      <w:r>
        <w:rPr>
          <w:spacing w:val="-7"/>
          <w:sz w:val="20"/>
        </w:rPr>
        <w:t xml:space="preserve"> </w:t>
      </w:r>
      <w:r>
        <w:rPr>
          <w:spacing w:val="-4"/>
          <w:sz w:val="20"/>
        </w:rPr>
        <w:t>norma</w:t>
      </w:r>
      <w:r>
        <w:rPr>
          <w:spacing w:val="-6"/>
          <w:sz w:val="20"/>
        </w:rPr>
        <w:t xml:space="preserve"> </w:t>
      </w:r>
      <w:r>
        <w:rPr>
          <w:spacing w:val="-4"/>
          <w:sz w:val="20"/>
        </w:rPr>
        <w:t>contempla</w:t>
      </w:r>
      <w:r>
        <w:rPr>
          <w:spacing w:val="-7"/>
          <w:sz w:val="20"/>
        </w:rPr>
        <w:t xml:space="preserve"> </w:t>
      </w:r>
      <w:r>
        <w:rPr>
          <w:spacing w:val="-4"/>
          <w:sz w:val="20"/>
        </w:rPr>
        <w:t>cada</w:t>
      </w:r>
      <w:r>
        <w:rPr>
          <w:spacing w:val="-8"/>
          <w:sz w:val="20"/>
        </w:rPr>
        <w:t xml:space="preserve"> </w:t>
      </w:r>
      <w:r>
        <w:rPr>
          <w:spacing w:val="-2"/>
          <w:sz w:val="20"/>
        </w:rPr>
        <w:t>uno</w:t>
      </w:r>
      <w:r>
        <w:rPr>
          <w:spacing w:val="-7"/>
          <w:sz w:val="20"/>
        </w:rPr>
        <w:t xml:space="preserve"> </w:t>
      </w:r>
      <w:r>
        <w:rPr>
          <w:sz w:val="20"/>
        </w:rPr>
        <w:t>de</w:t>
      </w:r>
      <w:r>
        <w:rPr>
          <w:spacing w:val="-10"/>
          <w:sz w:val="20"/>
        </w:rPr>
        <w:t xml:space="preserve"> </w:t>
      </w:r>
      <w:r>
        <w:rPr>
          <w:spacing w:val="-2"/>
          <w:sz w:val="20"/>
        </w:rPr>
        <w:t xml:space="preserve">los </w:t>
      </w:r>
      <w:r>
        <w:rPr>
          <w:spacing w:val="-4"/>
          <w:sz w:val="20"/>
        </w:rPr>
        <w:t xml:space="preserve">elementos indeterminados presentes. Finalmente, </w:t>
      </w:r>
      <w:r>
        <w:rPr>
          <w:sz w:val="20"/>
        </w:rPr>
        <w:t xml:space="preserve">no es </w:t>
      </w:r>
      <w:r>
        <w:rPr>
          <w:spacing w:val="-3"/>
          <w:sz w:val="20"/>
        </w:rPr>
        <w:t xml:space="preserve">menos </w:t>
      </w:r>
      <w:r>
        <w:rPr>
          <w:spacing w:val="-4"/>
          <w:sz w:val="20"/>
        </w:rPr>
        <w:t xml:space="preserve">cierto </w:t>
      </w:r>
      <w:r>
        <w:rPr>
          <w:spacing w:val="-2"/>
          <w:sz w:val="20"/>
        </w:rPr>
        <w:t xml:space="preserve">que </w:t>
      </w:r>
      <w:r>
        <w:rPr>
          <w:spacing w:val="-3"/>
          <w:sz w:val="20"/>
        </w:rPr>
        <w:t xml:space="preserve">en aras </w:t>
      </w:r>
      <w:r>
        <w:rPr>
          <w:sz w:val="20"/>
        </w:rPr>
        <w:t xml:space="preserve">de la </w:t>
      </w:r>
      <w:r>
        <w:rPr>
          <w:spacing w:val="-4"/>
          <w:sz w:val="20"/>
        </w:rPr>
        <w:t xml:space="preserve">seguridad jurídica, </w:t>
      </w:r>
      <w:r>
        <w:rPr>
          <w:spacing w:val="-3"/>
          <w:sz w:val="20"/>
        </w:rPr>
        <w:t xml:space="preserve">ante la </w:t>
      </w:r>
      <w:r>
        <w:rPr>
          <w:spacing w:val="-4"/>
          <w:sz w:val="20"/>
        </w:rPr>
        <w:t xml:space="preserve">ausencia </w:t>
      </w:r>
      <w:r>
        <w:rPr>
          <w:sz w:val="20"/>
        </w:rPr>
        <w:t xml:space="preserve">de </w:t>
      </w:r>
      <w:r>
        <w:rPr>
          <w:spacing w:val="-4"/>
          <w:sz w:val="20"/>
        </w:rPr>
        <w:t xml:space="preserve">desarrollos normativos </w:t>
      </w:r>
      <w:r>
        <w:rPr>
          <w:spacing w:val="-3"/>
          <w:sz w:val="20"/>
        </w:rPr>
        <w:t xml:space="preserve">que </w:t>
      </w:r>
      <w:r>
        <w:rPr>
          <w:spacing w:val="-4"/>
          <w:sz w:val="20"/>
        </w:rPr>
        <w:t xml:space="preserve">dieran criterios objetivos, </w:t>
      </w:r>
      <w:r>
        <w:rPr>
          <w:sz w:val="20"/>
        </w:rPr>
        <w:t xml:space="preserve">lo </w:t>
      </w:r>
      <w:r>
        <w:rPr>
          <w:spacing w:val="-4"/>
          <w:sz w:val="20"/>
        </w:rPr>
        <w:t xml:space="preserve">deseable hubiera sido </w:t>
      </w:r>
      <w:r>
        <w:rPr>
          <w:sz w:val="20"/>
        </w:rPr>
        <w:t xml:space="preserve">que </w:t>
      </w:r>
      <w:r>
        <w:rPr>
          <w:spacing w:val="-4"/>
          <w:sz w:val="20"/>
        </w:rPr>
        <w:t xml:space="preserve">esos elementos indeterminables previamente hayan sido </w:t>
      </w:r>
      <w:r>
        <w:rPr>
          <w:spacing w:val="-3"/>
          <w:sz w:val="20"/>
        </w:rPr>
        <w:t xml:space="preserve">dotados </w:t>
      </w:r>
      <w:r>
        <w:rPr>
          <w:sz w:val="20"/>
        </w:rPr>
        <w:t xml:space="preserve">de </w:t>
      </w:r>
      <w:r>
        <w:rPr>
          <w:spacing w:val="-4"/>
          <w:sz w:val="20"/>
        </w:rPr>
        <w:t xml:space="preserve">contenido </w:t>
      </w:r>
      <w:r>
        <w:rPr>
          <w:spacing w:val="-3"/>
          <w:sz w:val="20"/>
        </w:rPr>
        <w:t xml:space="preserve">vía </w:t>
      </w:r>
      <w:r>
        <w:rPr>
          <w:spacing w:val="-4"/>
          <w:sz w:val="20"/>
        </w:rPr>
        <w:t xml:space="preserve">interpretativa </w:t>
      </w:r>
      <w:r>
        <w:rPr>
          <w:sz w:val="20"/>
        </w:rPr>
        <w:t xml:space="preserve">o </w:t>
      </w:r>
      <w:r>
        <w:rPr>
          <w:spacing w:val="-4"/>
          <w:sz w:val="20"/>
        </w:rPr>
        <w:t xml:space="preserve">jurisprudencial, todo ello </w:t>
      </w:r>
      <w:r>
        <w:rPr>
          <w:spacing w:val="-5"/>
          <w:sz w:val="20"/>
        </w:rPr>
        <w:t xml:space="preserve">para </w:t>
      </w:r>
      <w:r>
        <w:rPr>
          <w:spacing w:val="-4"/>
          <w:sz w:val="20"/>
        </w:rPr>
        <w:t>salvaguardar</w:t>
      </w:r>
      <w:r>
        <w:rPr>
          <w:spacing w:val="-13"/>
          <w:sz w:val="20"/>
        </w:rPr>
        <w:t xml:space="preserve"> </w:t>
      </w:r>
      <w:r>
        <w:rPr>
          <w:sz w:val="20"/>
        </w:rPr>
        <w:t>la</w:t>
      </w:r>
      <w:r>
        <w:rPr>
          <w:spacing w:val="-9"/>
          <w:sz w:val="20"/>
        </w:rPr>
        <w:t xml:space="preserve"> </w:t>
      </w:r>
      <w:r>
        <w:rPr>
          <w:spacing w:val="-4"/>
          <w:sz w:val="20"/>
        </w:rPr>
        <w:t>adecuada</w:t>
      </w:r>
      <w:r>
        <w:rPr>
          <w:spacing w:val="-11"/>
          <w:sz w:val="20"/>
        </w:rPr>
        <w:t xml:space="preserve"> </w:t>
      </w:r>
      <w:r>
        <w:rPr>
          <w:spacing w:val="-4"/>
          <w:sz w:val="20"/>
        </w:rPr>
        <w:t>motivación</w:t>
      </w:r>
      <w:r>
        <w:rPr>
          <w:spacing w:val="-8"/>
          <w:sz w:val="20"/>
        </w:rPr>
        <w:t xml:space="preserve"> </w:t>
      </w:r>
      <w:r>
        <w:rPr>
          <w:spacing w:val="-3"/>
          <w:sz w:val="20"/>
        </w:rPr>
        <w:t>en</w:t>
      </w:r>
      <w:r>
        <w:rPr>
          <w:spacing w:val="-7"/>
          <w:sz w:val="20"/>
        </w:rPr>
        <w:t xml:space="preserve"> </w:t>
      </w:r>
      <w:r>
        <w:rPr>
          <w:spacing w:val="-4"/>
          <w:sz w:val="20"/>
        </w:rPr>
        <w:t>aplicación</w:t>
      </w:r>
      <w:r>
        <w:rPr>
          <w:spacing w:val="-11"/>
          <w:sz w:val="20"/>
        </w:rPr>
        <w:t xml:space="preserve"> </w:t>
      </w:r>
      <w:r>
        <w:rPr>
          <w:sz w:val="20"/>
        </w:rPr>
        <w:t>de</w:t>
      </w:r>
      <w:r>
        <w:rPr>
          <w:spacing w:val="-10"/>
          <w:sz w:val="20"/>
        </w:rPr>
        <w:t xml:space="preserve"> </w:t>
      </w:r>
      <w:r>
        <w:rPr>
          <w:spacing w:val="-3"/>
          <w:sz w:val="20"/>
        </w:rPr>
        <w:t>los</w:t>
      </w:r>
      <w:r>
        <w:rPr>
          <w:spacing w:val="-10"/>
          <w:sz w:val="20"/>
        </w:rPr>
        <w:t xml:space="preserve"> </w:t>
      </w:r>
      <w:r>
        <w:rPr>
          <w:spacing w:val="-3"/>
          <w:sz w:val="20"/>
        </w:rPr>
        <w:t>tipos</w:t>
      </w:r>
      <w:r>
        <w:rPr>
          <w:spacing w:val="-9"/>
          <w:sz w:val="20"/>
        </w:rPr>
        <w:t xml:space="preserve"> </w:t>
      </w:r>
      <w:r>
        <w:rPr>
          <w:spacing w:val="-4"/>
          <w:sz w:val="20"/>
        </w:rPr>
        <w:t>discipli</w:t>
      </w:r>
      <w:r>
        <w:rPr>
          <w:spacing w:val="-4"/>
          <w:sz w:val="20"/>
        </w:rPr>
        <w:t>narios</w:t>
      </w:r>
      <w:r>
        <w:rPr>
          <w:spacing w:val="-10"/>
          <w:sz w:val="20"/>
        </w:rPr>
        <w:t xml:space="preserve"> </w:t>
      </w:r>
      <w:r>
        <w:rPr>
          <w:spacing w:val="-4"/>
          <w:sz w:val="20"/>
        </w:rPr>
        <w:t>abiertos.</w:t>
      </w:r>
    </w:p>
    <w:p w14:paraId="31FBE50D" w14:textId="77777777" w:rsidR="00492688" w:rsidRDefault="00492688">
      <w:pPr>
        <w:pStyle w:val="Textoindependiente"/>
        <w:spacing w:before="1"/>
      </w:pPr>
    </w:p>
    <w:p w14:paraId="278EEB22" w14:textId="77777777" w:rsidR="00492688" w:rsidRDefault="00C9584B">
      <w:pPr>
        <w:pStyle w:val="Prrafodelista"/>
        <w:numPr>
          <w:ilvl w:val="0"/>
          <w:numId w:val="3"/>
        </w:numPr>
        <w:tabs>
          <w:tab w:val="left" w:pos="829"/>
        </w:tabs>
        <w:ind w:left="120" w:right="227" w:firstLine="0"/>
        <w:jc w:val="both"/>
        <w:rPr>
          <w:sz w:val="20"/>
        </w:rPr>
      </w:pPr>
      <w:r>
        <w:rPr>
          <w:spacing w:val="-3"/>
          <w:sz w:val="20"/>
        </w:rPr>
        <w:t xml:space="preserve">Ante </w:t>
      </w:r>
      <w:r>
        <w:rPr>
          <w:sz w:val="20"/>
        </w:rPr>
        <w:t xml:space="preserve">la </w:t>
      </w:r>
      <w:r>
        <w:rPr>
          <w:spacing w:val="-4"/>
          <w:sz w:val="20"/>
        </w:rPr>
        <w:t xml:space="preserve">presencia </w:t>
      </w:r>
      <w:r>
        <w:rPr>
          <w:sz w:val="20"/>
        </w:rPr>
        <w:t xml:space="preserve">de </w:t>
      </w:r>
      <w:r>
        <w:rPr>
          <w:spacing w:val="-4"/>
          <w:sz w:val="20"/>
        </w:rPr>
        <w:t xml:space="preserve">causales disciplinarias </w:t>
      </w:r>
      <w:r>
        <w:rPr>
          <w:spacing w:val="-3"/>
          <w:sz w:val="20"/>
        </w:rPr>
        <w:t xml:space="preserve">que </w:t>
      </w:r>
      <w:r>
        <w:rPr>
          <w:spacing w:val="-4"/>
          <w:sz w:val="20"/>
        </w:rPr>
        <w:t xml:space="preserve">utilicen conceptos indeterminados </w:t>
      </w:r>
      <w:r>
        <w:rPr>
          <w:sz w:val="20"/>
        </w:rPr>
        <w:t>y</w:t>
      </w:r>
      <w:r>
        <w:rPr>
          <w:spacing w:val="-22"/>
          <w:sz w:val="20"/>
        </w:rPr>
        <w:t xml:space="preserve"> </w:t>
      </w:r>
      <w:r>
        <w:rPr>
          <w:spacing w:val="-3"/>
          <w:sz w:val="20"/>
        </w:rPr>
        <w:t>la</w:t>
      </w:r>
      <w:r>
        <w:rPr>
          <w:spacing w:val="-18"/>
          <w:sz w:val="20"/>
        </w:rPr>
        <w:t xml:space="preserve"> </w:t>
      </w:r>
      <w:r>
        <w:rPr>
          <w:spacing w:val="-4"/>
          <w:sz w:val="20"/>
        </w:rPr>
        <w:t>ausencia</w:t>
      </w:r>
      <w:r>
        <w:rPr>
          <w:spacing w:val="-19"/>
          <w:sz w:val="20"/>
        </w:rPr>
        <w:t xml:space="preserve"> </w:t>
      </w:r>
      <w:r>
        <w:rPr>
          <w:sz w:val="20"/>
        </w:rPr>
        <w:t>de</w:t>
      </w:r>
      <w:r>
        <w:rPr>
          <w:spacing w:val="-21"/>
          <w:sz w:val="20"/>
        </w:rPr>
        <w:t xml:space="preserve"> </w:t>
      </w:r>
      <w:r>
        <w:rPr>
          <w:spacing w:val="-4"/>
          <w:sz w:val="20"/>
        </w:rPr>
        <w:t>normativa</w:t>
      </w:r>
      <w:r>
        <w:rPr>
          <w:spacing w:val="-21"/>
          <w:sz w:val="20"/>
        </w:rPr>
        <w:t xml:space="preserve"> </w:t>
      </w:r>
      <w:r>
        <w:rPr>
          <w:sz w:val="20"/>
        </w:rPr>
        <w:t>o</w:t>
      </w:r>
      <w:r>
        <w:rPr>
          <w:spacing w:val="-19"/>
          <w:sz w:val="20"/>
        </w:rPr>
        <w:t xml:space="preserve"> </w:t>
      </w:r>
      <w:r>
        <w:rPr>
          <w:spacing w:val="-3"/>
          <w:sz w:val="20"/>
        </w:rPr>
        <w:t>bases</w:t>
      </w:r>
      <w:r>
        <w:rPr>
          <w:spacing w:val="-21"/>
          <w:sz w:val="20"/>
        </w:rPr>
        <w:t xml:space="preserve"> </w:t>
      </w:r>
      <w:r>
        <w:rPr>
          <w:spacing w:val="-4"/>
          <w:sz w:val="20"/>
        </w:rPr>
        <w:t>internas</w:t>
      </w:r>
      <w:r>
        <w:rPr>
          <w:spacing w:val="-20"/>
          <w:sz w:val="20"/>
        </w:rPr>
        <w:t xml:space="preserve"> </w:t>
      </w:r>
      <w:r>
        <w:rPr>
          <w:spacing w:val="-3"/>
          <w:sz w:val="20"/>
        </w:rPr>
        <w:t>que</w:t>
      </w:r>
      <w:r>
        <w:rPr>
          <w:spacing w:val="-21"/>
          <w:sz w:val="20"/>
        </w:rPr>
        <w:t xml:space="preserve"> </w:t>
      </w:r>
      <w:r>
        <w:rPr>
          <w:spacing w:val="-4"/>
          <w:sz w:val="20"/>
        </w:rPr>
        <w:t>acoten</w:t>
      </w:r>
      <w:r>
        <w:rPr>
          <w:spacing w:val="-18"/>
          <w:sz w:val="20"/>
        </w:rPr>
        <w:t xml:space="preserve"> </w:t>
      </w:r>
      <w:r>
        <w:rPr>
          <w:spacing w:val="-3"/>
          <w:sz w:val="20"/>
        </w:rPr>
        <w:t>el</w:t>
      </w:r>
      <w:r>
        <w:rPr>
          <w:spacing w:val="-17"/>
          <w:sz w:val="20"/>
        </w:rPr>
        <w:t xml:space="preserve"> </w:t>
      </w:r>
      <w:r>
        <w:rPr>
          <w:spacing w:val="-4"/>
          <w:sz w:val="20"/>
        </w:rPr>
        <w:t>alcance</w:t>
      </w:r>
      <w:r>
        <w:rPr>
          <w:spacing w:val="-20"/>
          <w:sz w:val="20"/>
        </w:rPr>
        <w:t xml:space="preserve"> </w:t>
      </w:r>
      <w:r>
        <w:rPr>
          <w:sz w:val="20"/>
        </w:rPr>
        <w:t>de</w:t>
      </w:r>
      <w:r>
        <w:rPr>
          <w:spacing w:val="-21"/>
          <w:sz w:val="20"/>
        </w:rPr>
        <w:t xml:space="preserve"> </w:t>
      </w:r>
      <w:r>
        <w:rPr>
          <w:spacing w:val="-2"/>
          <w:sz w:val="20"/>
        </w:rPr>
        <w:t>los</w:t>
      </w:r>
      <w:r>
        <w:rPr>
          <w:spacing w:val="-22"/>
          <w:sz w:val="20"/>
        </w:rPr>
        <w:t xml:space="preserve"> </w:t>
      </w:r>
      <w:r>
        <w:rPr>
          <w:spacing w:val="-4"/>
          <w:sz w:val="20"/>
        </w:rPr>
        <w:t>tipos</w:t>
      </w:r>
      <w:r>
        <w:rPr>
          <w:spacing w:val="-21"/>
          <w:sz w:val="20"/>
        </w:rPr>
        <w:t xml:space="preserve"> </w:t>
      </w:r>
      <w:r>
        <w:rPr>
          <w:spacing w:val="-4"/>
          <w:sz w:val="20"/>
        </w:rPr>
        <w:t xml:space="preserve">disciplinarios (por ejemplo, </w:t>
      </w:r>
      <w:r>
        <w:rPr>
          <w:spacing w:val="-3"/>
          <w:sz w:val="20"/>
        </w:rPr>
        <w:t xml:space="preserve">vía </w:t>
      </w:r>
      <w:r>
        <w:rPr>
          <w:spacing w:val="-5"/>
          <w:sz w:val="20"/>
        </w:rPr>
        <w:t xml:space="preserve">reglamentaria), </w:t>
      </w:r>
      <w:r>
        <w:rPr>
          <w:spacing w:val="-3"/>
          <w:sz w:val="20"/>
        </w:rPr>
        <w:t xml:space="preserve">la </w:t>
      </w:r>
      <w:r>
        <w:rPr>
          <w:spacing w:val="-4"/>
          <w:sz w:val="20"/>
        </w:rPr>
        <w:t xml:space="preserve">adecuada motivación adquiere </w:t>
      </w:r>
      <w:r>
        <w:rPr>
          <w:sz w:val="20"/>
        </w:rPr>
        <w:t xml:space="preserve">un </w:t>
      </w:r>
      <w:r>
        <w:rPr>
          <w:spacing w:val="-4"/>
          <w:sz w:val="20"/>
        </w:rPr>
        <w:t xml:space="preserve">carácter </w:t>
      </w:r>
      <w:r>
        <w:rPr>
          <w:spacing w:val="-3"/>
          <w:sz w:val="20"/>
        </w:rPr>
        <w:t xml:space="preserve">más </w:t>
      </w:r>
      <w:r>
        <w:rPr>
          <w:spacing w:val="-4"/>
          <w:sz w:val="20"/>
        </w:rPr>
        <w:t xml:space="preserve">estricto </w:t>
      </w:r>
      <w:r>
        <w:rPr>
          <w:sz w:val="20"/>
        </w:rPr>
        <w:t xml:space="preserve">y </w:t>
      </w:r>
      <w:r>
        <w:rPr>
          <w:spacing w:val="-4"/>
          <w:sz w:val="20"/>
        </w:rPr>
        <w:t xml:space="preserve">riguroso. </w:t>
      </w:r>
      <w:r>
        <w:rPr>
          <w:sz w:val="20"/>
        </w:rPr>
        <w:t xml:space="preserve">No </w:t>
      </w:r>
      <w:r>
        <w:rPr>
          <w:spacing w:val="-4"/>
          <w:sz w:val="20"/>
        </w:rPr>
        <w:t xml:space="preserve">deben únicamente exponerse </w:t>
      </w:r>
      <w:r>
        <w:rPr>
          <w:spacing w:val="-2"/>
          <w:sz w:val="20"/>
        </w:rPr>
        <w:t xml:space="preserve">los </w:t>
      </w:r>
      <w:r>
        <w:rPr>
          <w:spacing w:val="-4"/>
          <w:sz w:val="20"/>
        </w:rPr>
        <w:t xml:space="preserve">hechos </w:t>
      </w:r>
      <w:r>
        <w:rPr>
          <w:sz w:val="20"/>
        </w:rPr>
        <w:t xml:space="preserve">y la </w:t>
      </w:r>
      <w:r>
        <w:rPr>
          <w:spacing w:val="-3"/>
          <w:sz w:val="20"/>
        </w:rPr>
        <w:t xml:space="preserve">norma </w:t>
      </w:r>
      <w:r>
        <w:rPr>
          <w:spacing w:val="-4"/>
          <w:sz w:val="20"/>
        </w:rPr>
        <w:t xml:space="preserve">aplicada, sino </w:t>
      </w:r>
      <w:r>
        <w:rPr>
          <w:spacing w:val="-3"/>
          <w:sz w:val="20"/>
        </w:rPr>
        <w:t xml:space="preserve">que la </w:t>
      </w:r>
      <w:r>
        <w:rPr>
          <w:spacing w:val="-4"/>
          <w:sz w:val="20"/>
        </w:rPr>
        <w:t xml:space="preserve">motivación necesariamente tendría </w:t>
      </w:r>
      <w:r>
        <w:rPr>
          <w:spacing w:val="-3"/>
          <w:sz w:val="20"/>
        </w:rPr>
        <w:t xml:space="preserve">que </w:t>
      </w:r>
      <w:r>
        <w:rPr>
          <w:spacing w:val="-4"/>
          <w:sz w:val="20"/>
        </w:rPr>
        <w:t xml:space="preserve">argumentar </w:t>
      </w:r>
      <w:r>
        <w:rPr>
          <w:spacing w:val="-3"/>
          <w:sz w:val="20"/>
        </w:rPr>
        <w:t xml:space="preserve">qué </w:t>
      </w:r>
      <w:r>
        <w:rPr>
          <w:sz w:val="20"/>
        </w:rPr>
        <w:t xml:space="preserve">se ha </w:t>
      </w:r>
      <w:r>
        <w:rPr>
          <w:spacing w:val="-4"/>
          <w:sz w:val="20"/>
        </w:rPr>
        <w:t xml:space="preserve">entendido </w:t>
      </w:r>
      <w:r>
        <w:rPr>
          <w:sz w:val="20"/>
        </w:rPr>
        <w:t xml:space="preserve">o </w:t>
      </w:r>
      <w:r>
        <w:rPr>
          <w:spacing w:val="-3"/>
          <w:sz w:val="20"/>
        </w:rPr>
        <w:t>cómo han</w:t>
      </w:r>
      <w:r>
        <w:rPr>
          <w:spacing w:val="-25"/>
          <w:sz w:val="20"/>
        </w:rPr>
        <w:t xml:space="preserve"> </w:t>
      </w:r>
      <w:r>
        <w:rPr>
          <w:spacing w:val="-3"/>
          <w:sz w:val="20"/>
        </w:rPr>
        <w:t>sido</w:t>
      </w:r>
      <w:r>
        <w:rPr>
          <w:spacing w:val="-26"/>
          <w:sz w:val="20"/>
        </w:rPr>
        <w:t xml:space="preserve"> </w:t>
      </w:r>
      <w:r>
        <w:rPr>
          <w:spacing w:val="-4"/>
          <w:sz w:val="20"/>
        </w:rPr>
        <w:t>desarrollados</w:t>
      </w:r>
      <w:r>
        <w:rPr>
          <w:spacing w:val="-26"/>
          <w:sz w:val="20"/>
        </w:rPr>
        <w:t xml:space="preserve"> </w:t>
      </w:r>
      <w:r>
        <w:rPr>
          <w:spacing w:val="-2"/>
          <w:sz w:val="20"/>
        </w:rPr>
        <w:t>los</w:t>
      </w:r>
      <w:r>
        <w:rPr>
          <w:spacing w:val="-23"/>
          <w:sz w:val="20"/>
        </w:rPr>
        <w:t xml:space="preserve"> </w:t>
      </w:r>
      <w:r>
        <w:rPr>
          <w:spacing w:val="-4"/>
          <w:sz w:val="20"/>
        </w:rPr>
        <w:t>elementos</w:t>
      </w:r>
      <w:r>
        <w:rPr>
          <w:spacing w:val="-24"/>
          <w:sz w:val="20"/>
        </w:rPr>
        <w:t xml:space="preserve"> </w:t>
      </w:r>
      <w:r>
        <w:rPr>
          <w:spacing w:val="-3"/>
          <w:sz w:val="20"/>
        </w:rPr>
        <w:t>que</w:t>
      </w:r>
      <w:r>
        <w:rPr>
          <w:spacing w:val="-24"/>
          <w:sz w:val="20"/>
        </w:rPr>
        <w:t xml:space="preserve"> </w:t>
      </w:r>
      <w:r>
        <w:rPr>
          <w:spacing w:val="-4"/>
          <w:sz w:val="20"/>
        </w:rPr>
        <w:t>conforman</w:t>
      </w:r>
      <w:r>
        <w:rPr>
          <w:spacing w:val="-24"/>
          <w:sz w:val="20"/>
        </w:rPr>
        <w:t xml:space="preserve"> </w:t>
      </w:r>
      <w:r>
        <w:rPr>
          <w:spacing w:val="-3"/>
          <w:sz w:val="20"/>
        </w:rPr>
        <w:t>una</w:t>
      </w:r>
      <w:r>
        <w:rPr>
          <w:spacing w:val="-22"/>
          <w:sz w:val="20"/>
        </w:rPr>
        <w:t xml:space="preserve"> </w:t>
      </w:r>
      <w:r>
        <w:rPr>
          <w:spacing w:val="-4"/>
          <w:sz w:val="20"/>
        </w:rPr>
        <w:t>causal</w:t>
      </w:r>
      <w:r>
        <w:rPr>
          <w:spacing w:val="-25"/>
          <w:sz w:val="20"/>
        </w:rPr>
        <w:t xml:space="preserve"> </w:t>
      </w:r>
      <w:r>
        <w:rPr>
          <w:spacing w:val="-4"/>
          <w:sz w:val="20"/>
        </w:rPr>
        <w:t>disciplinaria</w:t>
      </w:r>
      <w:r>
        <w:rPr>
          <w:spacing w:val="-26"/>
          <w:sz w:val="20"/>
        </w:rPr>
        <w:t xml:space="preserve"> </w:t>
      </w:r>
      <w:r>
        <w:rPr>
          <w:spacing w:val="-4"/>
          <w:sz w:val="20"/>
        </w:rPr>
        <w:t>abierta</w:t>
      </w:r>
      <w:r>
        <w:rPr>
          <w:spacing w:val="-23"/>
          <w:sz w:val="20"/>
        </w:rPr>
        <w:t xml:space="preserve"> </w:t>
      </w:r>
      <w:r>
        <w:rPr>
          <w:sz w:val="20"/>
        </w:rPr>
        <w:t>y</w:t>
      </w:r>
      <w:r>
        <w:rPr>
          <w:spacing w:val="-23"/>
          <w:sz w:val="20"/>
        </w:rPr>
        <w:t xml:space="preserve"> </w:t>
      </w:r>
      <w:r>
        <w:rPr>
          <w:spacing w:val="-4"/>
          <w:sz w:val="20"/>
        </w:rPr>
        <w:t xml:space="preserve">cómo </w:t>
      </w:r>
      <w:r>
        <w:rPr>
          <w:spacing w:val="-3"/>
          <w:sz w:val="20"/>
        </w:rPr>
        <w:t xml:space="preserve">la </w:t>
      </w:r>
      <w:r>
        <w:rPr>
          <w:spacing w:val="-4"/>
          <w:sz w:val="20"/>
        </w:rPr>
        <w:t xml:space="preserve">conducta realizada encaja </w:t>
      </w:r>
      <w:r>
        <w:rPr>
          <w:spacing w:val="-3"/>
          <w:sz w:val="20"/>
        </w:rPr>
        <w:t xml:space="preserve">en el </w:t>
      </w:r>
      <w:r>
        <w:rPr>
          <w:spacing w:val="-4"/>
          <w:sz w:val="20"/>
        </w:rPr>
        <w:t xml:space="preserve">entendimiento </w:t>
      </w:r>
      <w:r>
        <w:rPr>
          <w:spacing w:val="-3"/>
          <w:sz w:val="20"/>
        </w:rPr>
        <w:t xml:space="preserve">de </w:t>
      </w:r>
      <w:r>
        <w:rPr>
          <w:spacing w:val="-4"/>
          <w:sz w:val="20"/>
        </w:rPr>
        <w:t>esa</w:t>
      </w:r>
      <w:r>
        <w:rPr>
          <w:spacing w:val="-35"/>
          <w:sz w:val="20"/>
        </w:rPr>
        <w:t xml:space="preserve"> </w:t>
      </w:r>
      <w:r>
        <w:rPr>
          <w:spacing w:val="-4"/>
          <w:sz w:val="20"/>
        </w:rPr>
        <w:t>causal.</w:t>
      </w:r>
    </w:p>
    <w:p w14:paraId="30DF2ECD" w14:textId="77777777" w:rsidR="00492688" w:rsidRDefault="00492688">
      <w:pPr>
        <w:pStyle w:val="Textoindependiente"/>
      </w:pPr>
    </w:p>
    <w:p w14:paraId="7D1331D4" w14:textId="77777777" w:rsidR="00492688" w:rsidRDefault="00C9584B">
      <w:pPr>
        <w:pStyle w:val="Prrafodelista"/>
        <w:numPr>
          <w:ilvl w:val="0"/>
          <w:numId w:val="3"/>
        </w:numPr>
        <w:tabs>
          <w:tab w:val="left" w:pos="829"/>
        </w:tabs>
        <w:ind w:left="120" w:right="227" w:firstLine="0"/>
        <w:jc w:val="both"/>
        <w:rPr>
          <w:sz w:val="20"/>
        </w:rPr>
      </w:pPr>
      <w:r>
        <w:rPr>
          <w:spacing w:val="-4"/>
          <w:sz w:val="20"/>
        </w:rPr>
        <w:t>Aunado</w:t>
      </w:r>
      <w:r>
        <w:rPr>
          <w:spacing w:val="-10"/>
          <w:sz w:val="20"/>
        </w:rPr>
        <w:t xml:space="preserve"> </w:t>
      </w:r>
      <w:r>
        <w:rPr>
          <w:sz w:val="20"/>
        </w:rPr>
        <w:t>a</w:t>
      </w:r>
      <w:r>
        <w:rPr>
          <w:spacing w:val="-8"/>
          <w:sz w:val="20"/>
        </w:rPr>
        <w:t xml:space="preserve"> </w:t>
      </w:r>
      <w:r>
        <w:rPr>
          <w:spacing w:val="-3"/>
          <w:sz w:val="20"/>
        </w:rPr>
        <w:t>las</w:t>
      </w:r>
      <w:r>
        <w:rPr>
          <w:spacing w:val="-10"/>
          <w:sz w:val="20"/>
        </w:rPr>
        <w:t xml:space="preserve"> </w:t>
      </w:r>
      <w:r>
        <w:rPr>
          <w:spacing w:val="-4"/>
          <w:sz w:val="20"/>
        </w:rPr>
        <w:t>consideraciones</w:t>
      </w:r>
      <w:r>
        <w:rPr>
          <w:spacing w:val="-9"/>
          <w:sz w:val="20"/>
        </w:rPr>
        <w:t xml:space="preserve"> </w:t>
      </w:r>
      <w:r>
        <w:rPr>
          <w:spacing w:val="-4"/>
          <w:sz w:val="20"/>
        </w:rPr>
        <w:t>precedentes,</w:t>
      </w:r>
      <w:r>
        <w:rPr>
          <w:spacing w:val="-10"/>
          <w:sz w:val="20"/>
        </w:rPr>
        <w:t xml:space="preserve"> </w:t>
      </w:r>
      <w:r>
        <w:rPr>
          <w:sz w:val="20"/>
        </w:rPr>
        <w:t>no</w:t>
      </w:r>
      <w:r>
        <w:rPr>
          <w:spacing w:val="-9"/>
          <w:sz w:val="20"/>
        </w:rPr>
        <w:t xml:space="preserve"> </w:t>
      </w:r>
      <w:r>
        <w:rPr>
          <w:spacing w:val="-3"/>
          <w:sz w:val="20"/>
        </w:rPr>
        <w:t>debe</w:t>
      </w:r>
      <w:r>
        <w:rPr>
          <w:spacing w:val="-10"/>
          <w:sz w:val="20"/>
        </w:rPr>
        <w:t xml:space="preserve"> </w:t>
      </w:r>
      <w:r>
        <w:rPr>
          <w:spacing w:val="-3"/>
          <w:sz w:val="20"/>
        </w:rPr>
        <w:t>pasar</w:t>
      </w:r>
      <w:r>
        <w:rPr>
          <w:spacing w:val="-12"/>
          <w:sz w:val="20"/>
        </w:rPr>
        <w:t xml:space="preserve"> </w:t>
      </w:r>
      <w:r>
        <w:rPr>
          <w:spacing w:val="-4"/>
          <w:sz w:val="20"/>
        </w:rPr>
        <w:t>inadvertido</w:t>
      </w:r>
      <w:r>
        <w:rPr>
          <w:spacing w:val="-10"/>
          <w:sz w:val="20"/>
        </w:rPr>
        <w:t xml:space="preserve"> </w:t>
      </w:r>
      <w:r>
        <w:rPr>
          <w:spacing w:val="-3"/>
          <w:sz w:val="20"/>
        </w:rPr>
        <w:t>que</w:t>
      </w:r>
      <w:r>
        <w:rPr>
          <w:spacing w:val="-7"/>
          <w:sz w:val="20"/>
        </w:rPr>
        <w:t xml:space="preserve"> </w:t>
      </w:r>
      <w:r>
        <w:rPr>
          <w:spacing w:val="-3"/>
          <w:sz w:val="20"/>
        </w:rPr>
        <w:t>el</w:t>
      </w:r>
      <w:r>
        <w:rPr>
          <w:spacing w:val="-8"/>
          <w:sz w:val="20"/>
        </w:rPr>
        <w:t xml:space="preserve"> </w:t>
      </w:r>
      <w:r>
        <w:rPr>
          <w:spacing w:val="-3"/>
          <w:sz w:val="20"/>
        </w:rPr>
        <w:t xml:space="preserve">señor </w:t>
      </w:r>
      <w:r>
        <w:rPr>
          <w:spacing w:val="-4"/>
          <w:sz w:val="20"/>
        </w:rPr>
        <w:t xml:space="preserve">Cordero Bernal, </w:t>
      </w:r>
      <w:r>
        <w:rPr>
          <w:spacing w:val="-3"/>
          <w:sz w:val="20"/>
        </w:rPr>
        <w:t xml:space="preserve">en </w:t>
      </w:r>
      <w:r>
        <w:rPr>
          <w:sz w:val="20"/>
        </w:rPr>
        <w:t xml:space="preserve">la </w:t>
      </w:r>
      <w:r>
        <w:rPr>
          <w:spacing w:val="-4"/>
          <w:sz w:val="20"/>
        </w:rPr>
        <w:t xml:space="preserve">vía penal, </w:t>
      </w:r>
      <w:r>
        <w:rPr>
          <w:spacing w:val="-3"/>
          <w:sz w:val="20"/>
        </w:rPr>
        <w:t xml:space="preserve">fue </w:t>
      </w:r>
      <w:r>
        <w:rPr>
          <w:spacing w:val="-4"/>
          <w:sz w:val="20"/>
        </w:rPr>
        <w:t xml:space="preserve">absuelto </w:t>
      </w:r>
      <w:r>
        <w:rPr>
          <w:sz w:val="20"/>
        </w:rPr>
        <w:t xml:space="preserve">de </w:t>
      </w:r>
      <w:r>
        <w:rPr>
          <w:spacing w:val="-2"/>
          <w:sz w:val="20"/>
        </w:rPr>
        <w:t xml:space="preserve">los </w:t>
      </w:r>
      <w:r>
        <w:rPr>
          <w:spacing w:val="-4"/>
          <w:sz w:val="20"/>
        </w:rPr>
        <w:t xml:space="preserve">delitos </w:t>
      </w:r>
      <w:r>
        <w:rPr>
          <w:sz w:val="20"/>
        </w:rPr>
        <w:t xml:space="preserve">de </w:t>
      </w:r>
      <w:r>
        <w:rPr>
          <w:spacing w:val="-4"/>
          <w:sz w:val="20"/>
        </w:rPr>
        <w:t xml:space="preserve">“encubrimiento” </w:t>
      </w:r>
      <w:r>
        <w:rPr>
          <w:sz w:val="20"/>
        </w:rPr>
        <w:t xml:space="preserve">y </w:t>
      </w:r>
      <w:r>
        <w:rPr>
          <w:spacing w:val="-4"/>
          <w:sz w:val="20"/>
        </w:rPr>
        <w:t xml:space="preserve">“prevaricato” </w:t>
      </w:r>
      <w:r>
        <w:rPr>
          <w:spacing w:val="-3"/>
          <w:sz w:val="20"/>
        </w:rPr>
        <w:t xml:space="preserve">luego </w:t>
      </w:r>
      <w:r>
        <w:rPr>
          <w:sz w:val="20"/>
        </w:rPr>
        <w:t xml:space="preserve">de </w:t>
      </w:r>
      <w:r>
        <w:rPr>
          <w:spacing w:val="-3"/>
          <w:sz w:val="20"/>
        </w:rPr>
        <w:t xml:space="preserve">ocho años, con base </w:t>
      </w:r>
      <w:r>
        <w:rPr>
          <w:sz w:val="20"/>
        </w:rPr>
        <w:t xml:space="preserve">a </w:t>
      </w:r>
      <w:r>
        <w:rPr>
          <w:spacing w:val="-2"/>
          <w:sz w:val="20"/>
        </w:rPr>
        <w:t xml:space="preserve">los </w:t>
      </w:r>
      <w:r>
        <w:rPr>
          <w:spacing w:val="-3"/>
          <w:sz w:val="20"/>
        </w:rPr>
        <w:t xml:space="preserve">mismos </w:t>
      </w:r>
      <w:r>
        <w:rPr>
          <w:spacing w:val="-4"/>
          <w:sz w:val="20"/>
        </w:rPr>
        <w:t xml:space="preserve">hechos </w:t>
      </w:r>
      <w:r>
        <w:rPr>
          <w:spacing w:val="-3"/>
          <w:sz w:val="20"/>
        </w:rPr>
        <w:t xml:space="preserve">que </w:t>
      </w:r>
      <w:r>
        <w:rPr>
          <w:spacing w:val="-4"/>
          <w:sz w:val="20"/>
        </w:rPr>
        <w:t xml:space="preserve">fundamentaron </w:t>
      </w:r>
      <w:r>
        <w:rPr>
          <w:spacing w:val="-3"/>
          <w:sz w:val="20"/>
        </w:rPr>
        <w:t xml:space="preserve">el </w:t>
      </w:r>
      <w:r>
        <w:rPr>
          <w:spacing w:val="-4"/>
          <w:sz w:val="20"/>
        </w:rPr>
        <w:t>proceso</w:t>
      </w:r>
      <w:r>
        <w:rPr>
          <w:spacing w:val="-10"/>
          <w:sz w:val="20"/>
        </w:rPr>
        <w:t xml:space="preserve"> </w:t>
      </w:r>
      <w:r>
        <w:rPr>
          <w:spacing w:val="-4"/>
          <w:sz w:val="20"/>
        </w:rPr>
        <w:t>disciplinario.</w:t>
      </w:r>
    </w:p>
    <w:p w14:paraId="646B9D88" w14:textId="77777777" w:rsidR="00492688" w:rsidRDefault="00492688">
      <w:pPr>
        <w:pStyle w:val="Textoindependiente"/>
      </w:pPr>
    </w:p>
    <w:p w14:paraId="0F874CA4" w14:textId="77777777" w:rsidR="00492688" w:rsidRDefault="00492688">
      <w:pPr>
        <w:pStyle w:val="Textoindependiente"/>
      </w:pPr>
    </w:p>
    <w:p w14:paraId="5493E813" w14:textId="77777777" w:rsidR="00492688" w:rsidRDefault="00492688">
      <w:pPr>
        <w:pStyle w:val="Textoindependiente"/>
      </w:pPr>
    </w:p>
    <w:p w14:paraId="493AF918" w14:textId="77777777" w:rsidR="00492688" w:rsidRDefault="00492688">
      <w:pPr>
        <w:pStyle w:val="Textoindependiente"/>
      </w:pPr>
    </w:p>
    <w:p w14:paraId="7672DF8A" w14:textId="77777777" w:rsidR="00492688" w:rsidRDefault="00492688">
      <w:pPr>
        <w:pStyle w:val="Textoindependiente"/>
      </w:pPr>
    </w:p>
    <w:p w14:paraId="2FF69876" w14:textId="77777777" w:rsidR="00492688" w:rsidRDefault="00492688">
      <w:pPr>
        <w:pStyle w:val="Textoindependiente"/>
      </w:pPr>
    </w:p>
    <w:p w14:paraId="2243ACED" w14:textId="77777777" w:rsidR="00492688" w:rsidRDefault="00492688">
      <w:pPr>
        <w:pStyle w:val="Textoindependiente"/>
      </w:pPr>
    </w:p>
    <w:p w14:paraId="194DD392" w14:textId="77777777" w:rsidR="00492688" w:rsidRDefault="00C9584B">
      <w:pPr>
        <w:spacing w:before="180"/>
        <w:ind w:left="18" w:right="126"/>
        <w:jc w:val="center"/>
        <w:rPr>
          <w:rFonts w:ascii="Calibri"/>
          <w:sz w:val="24"/>
        </w:rPr>
      </w:pPr>
      <w:r>
        <w:rPr>
          <w:rFonts w:ascii="Calibri"/>
          <w:sz w:val="24"/>
        </w:rPr>
        <w:t>11</w:t>
      </w:r>
    </w:p>
    <w:p w14:paraId="59BA48DA"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5A89B19B" w14:textId="77777777" w:rsidR="00492688" w:rsidRDefault="00C9584B">
      <w:pPr>
        <w:pStyle w:val="Prrafodelista"/>
        <w:numPr>
          <w:ilvl w:val="0"/>
          <w:numId w:val="3"/>
        </w:numPr>
        <w:tabs>
          <w:tab w:val="left" w:pos="830"/>
        </w:tabs>
        <w:spacing w:before="71"/>
        <w:ind w:right="226" w:firstLine="0"/>
        <w:jc w:val="both"/>
        <w:rPr>
          <w:sz w:val="20"/>
        </w:rPr>
      </w:pPr>
      <w:r>
        <w:rPr>
          <w:spacing w:val="-4"/>
          <w:sz w:val="20"/>
        </w:rPr>
        <w:lastRenderedPageBreak/>
        <w:t xml:space="preserve">Adicionalmente </w:t>
      </w:r>
      <w:r>
        <w:rPr>
          <w:sz w:val="20"/>
        </w:rPr>
        <w:t xml:space="preserve">es de </w:t>
      </w:r>
      <w:r>
        <w:rPr>
          <w:spacing w:val="-4"/>
          <w:sz w:val="20"/>
        </w:rPr>
        <w:t xml:space="preserve">resaltar </w:t>
      </w:r>
      <w:r>
        <w:rPr>
          <w:spacing w:val="-3"/>
          <w:sz w:val="20"/>
        </w:rPr>
        <w:t xml:space="preserve">que, en la </w:t>
      </w:r>
      <w:r>
        <w:rPr>
          <w:spacing w:val="-4"/>
          <w:sz w:val="20"/>
        </w:rPr>
        <w:t xml:space="preserve">decisión, </w:t>
      </w:r>
      <w:r>
        <w:rPr>
          <w:spacing w:val="-3"/>
          <w:sz w:val="20"/>
        </w:rPr>
        <w:t xml:space="preserve">el </w:t>
      </w:r>
      <w:r>
        <w:rPr>
          <w:spacing w:val="-4"/>
          <w:sz w:val="20"/>
        </w:rPr>
        <w:t xml:space="preserve">criterio mayoritario consideró </w:t>
      </w:r>
      <w:r>
        <w:rPr>
          <w:spacing w:val="-3"/>
          <w:sz w:val="20"/>
        </w:rPr>
        <w:t xml:space="preserve">que </w:t>
      </w:r>
      <w:r>
        <w:rPr>
          <w:sz w:val="20"/>
        </w:rPr>
        <w:t xml:space="preserve">la </w:t>
      </w:r>
      <w:r>
        <w:rPr>
          <w:spacing w:val="-4"/>
          <w:sz w:val="20"/>
        </w:rPr>
        <w:t xml:space="preserve">sanción impuesta </w:t>
      </w:r>
      <w:r>
        <w:rPr>
          <w:spacing w:val="-3"/>
          <w:sz w:val="20"/>
        </w:rPr>
        <w:t xml:space="preserve">por el CNM “no </w:t>
      </w:r>
      <w:r>
        <w:rPr>
          <w:spacing w:val="-4"/>
          <w:sz w:val="20"/>
        </w:rPr>
        <w:t xml:space="preserve">violaba </w:t>
      </w:r>
      <w:r>
        <w:rPr>
          <w:sz w:val="20"/>
        </w:rPr>
        <w:t xml:space="preserve">el </w:t>
      </w:r>
      <w:r>
        <w:rPr>
          <w:spacing w:val="-4"/>
          <w:sz w:val="20"/>
        </w:rPr>
        <w:t xml:space="preserve">principio </w:t>
      </w:r>
      <w:r>
        <w:rPr>
          <w:sz w:val="20"/>
        </w:rPr>
        <w:t xml:space="preserve">de </w:t>
      </w:r>
      <w:r>
        <w:rPr>
          <w:spacing w:val="-4"/>
          <w:sz w:val="20"/>
        </w:rPr>
        <w:t>proporcionalidad”</w:t>
      </w:r>
      <w:hyperlink w:anchor="_bookmark180" w:history="1">
        <w:r>
          <w:rPr>
            <w:spacing w:val="-4"/>
            <w:position w:val="7"/>
            <w:sz w:val="13"/>
          </w:rPr>
          <w:t>35</w:t>
        </w:r>
      </w:hyperlink>
      <w:r>
        <w:rPr>
          <w:spacing w:val="-4"/>
          <w:sz w:val="20"/>
        </w:rPr>
        <w:t xml:space="preserve">. </w:t>
      </w:r>
      <w:r>
        <w:rPr>
          <w:sz w:val="20"/>
        </w:rPr>
        <w:t xml:space="preserve">A </w:t>
      </w:r>
      <w:r>
        <w:rPr>
          <w:spacing w:val="-5"/>
          <w:sz w:val="20"/>
        </w:rPr>
        <w:t xml:space="preserve">mi </w:t>
      </w:r>
      <w:r>
        <w:rPr>
          <w:spacing w:val="-4"/>
          <w:sz w:val="20"/>
        </w:rPr>
        <w:t>juicio,</w:t>
      </w:r>
      <w:r>
        <w:rPr>
          <w:spacing w:val="-10"/>
          <w:sz w:val="20"/>
        </w:rPr>
        <w:t xml:space="preserve"> </w:t>
      </w:r>
      <w:r>
        <w:rPr>
          <w:spacing w:val="-4"/>
          <w:sz w:val="20"/>
        </w:rPr>
        <w:t>ninguna</w:t>
      </w:r>
      <w:r>
        <w:rPr>
          <w:spacing w:val="-7"/>
          <w:sz w:val="20"/>
        </w:rPr>
        <w:t xml:space="preserve"> </w:t>
      </w:r>
      <w:r>
        <w:rPr>
          <w:sz w:val="20"/>
        </w:rPr>
        <w:t>de</w:t>
      </w:r>
      <w:r>
        <w:rPr>
          <w:spacing w:val="-8"/>
          <w:sz w:val="20"/>
        </w:rPr>
        <w:t xml:space="preserve"> </w:t>
      </w:r>
      <w:r>
        <w:rPr>
          <w:spacing w:val="-3"/>
          <w:sz w:val="20"/>
        </w:rPr>
        <w:t>las</w:t>
      </w:r>
      <w:r>
        <w:rPr>
          <w:spacing w:val="-7"/>
          <w:sz w:val="20"/>
        </w:rPr>
        <w:t xml:space="preserve"> </w:t>
      </w:r>
      <w:r>
        <w:rPr>
          <w:spacing w:val="-2"/>
          <w:sz w:val="20"/>
        </w:rPr>
        <w:t>dos</w:t>
      </w:r>
      <w:r>
        <w:rPr>
          <w:spacing w:val="-8"/>
          <w:sz w:val="20"/>
        </w:rPr>
        <w:t xml:space="preserve"> </w:t>
      </w:r>
      <w:r>
        <w:rPr>
          <w:spacing w:val="-4"/>
          <w:sz w:val="20"/>
        </w:rPr>
        <w:t>resoluciones</w:t>
      </w:r>
      <w:r>
        <w:rPr>
          <w:spacing w:val="-8"/>
          <w:sz w:val="20"/>
        </w:rPr>
        <w:t xml:space="preserve"> </w:t>
      </w:r>
      <w:r>
        <w:rPr>
          <w:spacing w:val="-4"/>
          <w:sz w:val="20"/>
        </w:rPr>
        <w:t xml:space="preserve">proferidas </w:t>
      </w:r>
      <w:r>
        <w:rPr>
          <w:spacing w:val="-3"/>
          <w:sz w:val="20"/>
        </w:rPr>
        <w:t>en</w:t>
      </w:r>
      <w:r>
        <w:rPr>
          <w:spacing w:val="-6"/>
          <w:sz w:val="20"/>
        </w:rPr>
        <w:t xml:space="preserve"> </w:t>
      </w:r>
      <w:r>
        <w:rPr>
          <w:spacing w:val="-3"/>
          <w:sz w:val="20"/>
        </w:rPr>
        <w:t>el</w:t>
      </w:r>
      <w:r>
        <w:rPr>
          <w:spacing w:val="-4"/>
          <w:sz w:val="20"/>
        </w:rPr>
        <w:t xml:space="preserve"> </w:t>
      </w:r>
      <w:r>
        <w:rPr>
          <w:spacing w:val="-3"/>
          <w:sz w:val="20"/>
        </w:rPr>
        <w:t>caso</w:t>
      </w:r>
      <w:r>
        <w:rPr>
          <w:spacing w:val="-9"/>
          <w:sz w:val="20"/>
        </w:rPr>
        <w:t xml:space="preserve"> </w:t>
      </w:r>
      <w:r>
        <w:rPr>
          <w:spacing w:val="-2"/>
          <w:sz w:val="20"/>
        </w:rPr>
        <w:t>del</w:t>
      </w:r>
      <w:r>
        <w:rPr>
          <w:spacing w:val="-6"/>
          <w:sz w:val="20"/>
        </w:rPr>
        <w:t xml:space="preserve"> </w:t>
      </w:r>
      <w:r>
        <w:rPr>
          <w:spacing w:val="-3"/>
          <w:sz w:val="20"/>
        </w:rPr>
        <w:t>señor</w:t>
      </w:r>
      <w:r>
        <w:rPr>
          <w:spacing w:val="-8"/>
          <w:sz w:val="20"/>
        </w:rPr>
        <w:t xml:space="preserve"> </w:t>
      </w:r>
      <w:r>
        <w:rPr>
          <w:spacing w:val="-4"/>
          <w:sz w:val="20"/>
        </w:rPr>
        <w:t>Cordero</w:t>
      </w:r>
      <w:r>
        <w:rPr>
          <w:spacing w:val="-8"/>
          <w:sz w:val="20"/>
        </w:rPr>
        <w:t xml:space="preserve"> </w:t>
      </w:r>
      <w:r>
        <w:rPr>
          <w:spacing w:val="-4"/>
          <w:sz w:val="20"/>
        </w:rPr>
        <w:t>Bernal</w:t>
      </w:r>
      <w:r>
        <w:rPr>
          <w:spacing w:val="-8"/>
          <w:sz w:val="20"/>
        </w:rPr>
        <w:t xml:space="preserve"> </w:t>
      </w:r>
      <w:r>
        <w:rPr>
          <w:spacing w:val="-3"/>
          <w:sz w:val="20"/>
        </w:rPr>
        <w:t xml:space="preserve">dan </w:t>
      </w:r>
      <w:r>
        <w:rPr>
          <w:spacing w:val="-4"/>
          <w:sz w:val="20"/>
        </w:rPr>
        <w:t xml:space="preserve">cuenta </w:t>
      </w:r>
      <w:r>
        <w:rPr>
          <w:sz w:val="20"/>
        </w:rPr>
        <w:t xml:space="preserve">de </w:t>
      </w:r>
      <w:r>
        <w:rPr>
          <w:spacing w:val="-4"/>
          <w:sz w:val="20"/>
        </w:rPr>
        <w:t>man</w:t>
      </w:r>
      <w:r>
        <w:rPr>
          <w:spacing w:val="-4"/>
          <w:sz w:val="20"/>
        </w:rPr>
        <w:t xml:space="preserve">era específica </w:t>
      </w:r>
      <w:r>
        <w:rPr>
          <w:sz w:val="20"/>
        </w:rPr>
        <w:t xml:space="preserve">de </w:t>
      </w:r>
      <w:r>
        <w:rPr>
          <w:spacing w:val="-4"/>
          <w:sz w:val="20"/>
        </w:rPr>
        <w:t xml:space="preserve">porqué </w:t>
      </w:r>
      <w:r>
        <w:rPr>
          <w:sz w:val="20"/>
        </w:rPr>
        <w:t xml:space="preserve">la </w:t>
      </w:r>
      <w:r>
        <w:rPr>
          <w:spacing w:val="-4"/>
          <w:sz w:val="20"/>
        </w:rPr>
        <w:t xml:space="preserve">sanción </w:t>
      </w:r>
      <w:r>
        <w:rPr>
          <w:sz w:val="20"/>
        </w:rPr>
        <w:t xml:space="preserve">de </w:t>
      </w:r>
      <w:r>
        <w:rPr>
          <w:spacing w:val="-4"/>
          <w:sz w:val="20"/>
        </w:rPr>
        <w:t xml:space="preserve">destitución </w:t>
      </w:r>
      <w:r>
        <w:rPr>
          <w:sz w:val="20"/>
        </w:rPr>
        <w:t xml:space="preserve">es </w:t>
      </w:r>
      <w:r>
        <w:rPr>
          <w:spacing w:val="-3"/>
          <w:sz w:val="20"/>
        </w:rPr>
        <w:t xml:space="preserve">la </w:t>
      </w:r>
      <w:r>
        <w:rPr>
          <w:spacing w:val="-4"/>
          <w:sz w:val="20"/>
        </w:rPr>
        <w:t xml:space="preserve">medida necesaria. </w:t>
      </w:r>
      <w:r>
        <w:rPr>
          <w:sz w:val="20"/>
        </w:rPr>
        <w:t xml:space="preserve">No </w:t>
      </w:r>
      <w:r>
        <w:rPr>
          <w:spacing w:val="-4"/>
          <w:sz w:val="20"/>
        </w:rPr>
        <w:t xml:space="preserve">existe, </w:t>
      </w:r>
      <w:r>
        <w:rPr>
          <w:spacing w:val="-3"/>
          <w:sz w:val="20"/>
        </w:rPr>
        <w:t xml:space="preserve">en </w:t>
      </w:r>
      <w:r>
        <w:rPr>
          <w:spacing w:val="-4"/>
          <w:sz w:val="20"/>
        </w:rPr>
        <w:t xml:space="preserve">cuanto </w:t>
      </w:r>
      <w:r>
        <w:rPr>
          <w:sz w:val="20"/>
        </w:rPr>
        <w:t xml:space="preserve">a </w:t>
      </w:r>
      <w:r>
        <w:rPr>
          <w:spacing w:val="-3"/>
          <w:sz w:val="20"/>
        </w:rPr>
        <w:t xml:space="preserve">este </w:t>
      </w:r>
      <w:r>
        <w:rPr>
          <w:spacing w:val="-4"/>
          <w:sz w:val="20"/>
        </w:rPr>
        <w:t xml:space="preserve">punto, </w:t>
      </w:r>
      <w:r>
        <w:rPr>
          <w:sz w:val="20"/>
        </w:rPr>
        <w:t xml:space="preserve">un </w:t>
      </w:r>
      <w:r>
        <w:rPr>
          <w:spacing w:val="-4"/>
          <w:sz w:val="20"/>
        </w:rPr>
        <w:t xml:space="preserve">balance </w:t>
      </w:r>
      <w:r>
        <w:rPr>
          <w:spacing w:val="-3"/>
          <w:sz w:val="20"/>
        </w:rPr>
        <w:t xml:space="preserve">de </w:t>
      </w:r>
      <w:r>
        <w:rPr>
          <w:spacing w:val="-4"/>
          <w:sz w:val="20"/>
        </w:rPr>
        <w:t xml:space="preserve">proporcionalidad </w:t>
      </w:r>
      <w:r>
        <w:rPr>
          <w:sz w:val="20"/>
        </w:rPr>
        <w:t xml:space="preserve">de la </w:t>
      </w:r>
      <w:r>
        <w:rPr>
          <w:spacing w:val="-4"/>
          <w:sz w:val="20"/>
        </w:rPr>
        <w:t xml:space="preserve">sanción </w:t>
      </w:r>
      <w:r>
        <w:rPr>
          <w:spacing w:val="-3"/>
          <w:sz w:val="20"/>
        </w:rPr>
        <w:t xml:space="preserve">en las </w:t>
      </w:r>
      <w:r>
        <w:rPr>
          <w:spacing w:val="-4"/>
          <w:sz w:val="20"/>
        </w:rPr>
        <w:t xml:space="preserve">resoluciones </w:t>
      </w:r>
      <w:r>
        <w:rPr>
          <w:spacing w:val="-3"/>
          <w:sz w:val="20"/>
        </w:rPr>
        <w:t xml:space="preserve">que </w:t>
      </w:r>
      <w:r>
        <w:rPr>
          <w:sz w:val="20"/>
        </w:rPr>
        <w:t>se le</w:t>
      </w:r>
      <w:r>
        <w:rPr>
          <w:spacing w:val="-52"/>
          <w:sz w:val="20"/>
        </w:rPr>
        <w:t xml:space="preserve"> </w:t>
      </w:r>
      <w:r>
        <w:rPr>
          <w:spacing w:val="-3"/>
          <w:sz w:val="20"/>
        </w:rPr>
        <w:t xml:space="preserve">impuso al juez </w:t>
      </w:r>
      <w:r>
        <w:rPr>
          <w:spacing w:val="-4"/>
          <w:sz w:val="20"/>
        </w:rPr>
        <w:t>Cordero Bernal.</w:t>
      </w:r>
    </w:p>
    <w:p w14:paraId="6F6F5C0D" w14:textId="77777777" w:rsidR="00492688" w:rsidRDefault="00492688">
      <w:pPr>
        <w:pStyle w:val="Textoindependiente"/>
        <w:spacing w:before="1"/>
      </w:pPr>
    </w:p>
    <w:p w14:paraId="1E2B4946" w14:textId="77777777" w:rsidR="00492688" w:rsidRDefault="00C9584B">
      <w:pPr>
        <w:pStyle w:val="Prrafodelista"/>
        <w:numPr>
          <w:ilvl w:val="0"/>
          <w:numId w:val="3"/>
        </w:numPr>
        <w:tabs>
          <w:tab w:val="left" w:pos="830"/>
        </w:tabs>
        <w:ind w:right="225" w:firstLine="0"/>
        <w:jc w:val="both"/>
        <w:rPr>
          <w:sz w:val="20"/>
        </w:rPr>
      </w:pPr>
      <w:r>
        <w:rPr>
          <w:spacing w:val="-4"/>
          <w:sz w:val="20"/>
        </w:rPr>
        <w:t xml:space="preserve">Finalmente, </w:t>
      </w:r>
      <w:r>
        <w:rPr>
          <w:sz w:val="20"/>
        </w:rPr>
        <w:t xml:space="preserve">es </w:t>
      </w:r>
      <w:r>
        <w:rPr>
          <w:spacing w:val="-4"/>
          <w:sz w:val="20"/>
        </w:rPr>
        <w:t xml:space="preserve">menester llamar </w:t>
      </w:r>
      <w:r>
        <w:rPr>
          <w:sz w:val="20"/>
        </w:rPr>
        <w:t xml:space="preserve">la </w:t>
      </w:r>
      <w:r>
        <w:rPr>
          <w:spacing w:val="-4"/>
          <w:sz w:val="20"/>
        </w:rPr>
        <w:t xml:space="preserve">atención </w:t>
      </w:r>
      <w:r>
        <w:rPr>
          <w:spacing w:val="-3"/>
          <w:sz w:val="20"/>
        </w:rPr>
        <w:t xml:space="preserve">en </w:t>
      </w:r>
      <w:r>
        <w:rPr>
          <w:spacing w:val="-4"/>
          <w:sz w:val="20"/>
        </w:rPr>
        <w:t xml:space="preserve">cuanto </w:t>
      </w:r>
      <w:r>
        <w:rPr>
          <w:sz w:val="20"/>
        </w:rPr>
        <w:t xml:space="preserve">a </w:t>
      </w:r>
      <w:r>
        <w:rPr>
          <w:spacing w:val="-3"/>
          <w:sz w:val="20"/>
        </w:rPr>
        <w:t xml:space="preserve">la </w:t>
      </w:r>
      <w:r>
        <w:rPr>
          <w:spacing w:val="-4"/>
          <w:sz w:val="20"/>
        </w:rPr>
        <w:t xml:space="preserve">invocación </w:t>
      </w:r>
      <w:r>
        <w:rPr>
          <w:spacing w:val="-3"/>
          <w:sz w:val="20"/>
        </w:rPr>
        <w:t xml:space="preserve">que hace el </w:t>
      </w:r>
      <w:r>
        <w:rPr>
          <w:spacing w:val="-4"/>
          <w:sz w:val="20"/>
        </w:rPr>
        <w:t xml:space="preserve">criterio mayoritario </w:t>
      </w:r>
      <w:r>
        <w:rPr>
          <w:spacing w:val="-3"/>
          <w:sz w:val="20"/>
        </w:rPr>
        <w:t xml:space="preserve">del caso </w:t>
      </w:r>
      <w:r>
        <w:rPr>
          <w:i/>
          <w:spacing w:val="-4"/>
          <w:sz w:val="20"/>
        </w:rPr>
        <w:t xml:space="preserve">Casa Nina </w:t>
      </w:r>
      <w:r>
        <w:rPr>
          <w:i/>
          <w:spacing w:val="-3"/>
          <w:sz w:val="20"/>
        </w:rPr>
        <w:t xml:space="preserve">Vs. </w:t>
      </w:r>
      <w:r>
        <w:rPr>
          <w:i/>
          <w:sz w:val="20"/>
        </w:rPr>
        <w:t>Perú</w:t>
      </w:r>
      <w:hyperlink w:anchor="_bookmark181" w:history="1">
        <w:r>
          <w:rPr>
            <w:position w:val="7"/>
            <w:sz w:val="13"/>
          </w:rPr>
          <w:t>36</w:t>
        </w:r>
      </w:hyperlink>
      <w:r>
        <w:rPr>
          <w:sz w:val="20"/>
        </w:rPr>
        <w:t xml:space="preserve">. No </w:t>
      </w:r>
      <w:r>
        <w:rPr>
          <w:spacing w:val="-4"/>
          <w:sz w:val="20"/>
        </w:rPr>
        <w:t xml:space="preserve">debemos </w:t>
      </w:r>
      <w:r>
        <w:rPr>
          <w:spacing w:val="-3"/>
          <w:sz w:val="20"/>
        </w:rPr>
        <w:t xml:space="preserve">perder </w:t>
      </w:r>
      <w:r>
        <w:rPr>
          <w:sz w:val="20"/>
        </w:rPr>
        <w:t xml:space="preserve">de </w:t>
      </w:r>
      <w:r>
        <w:rPr>
          <w:spacing w:val="-4"/>
          <w:sz w:val="20"/>
        </w:rPr>
        <w:t xml:space="preserve">vista </w:t>
      </w:r>
      <w:r>
        <w:rPr>
          <w:spacing w:val="-3"/>
          <w:sz w:val="20"/>
        </w:rPr>
        <w:t xml:space="preserve">que </w:t>
      </w:r>
      <w:r>
        <w:rPr>
          <w:sz w:val="20"/>
        </w:rPr>
        <w:t xml:space="preserve">las </w:t>
      </w:r>
      <w:r>
        <w:rPr>
          <w:spacing w:val="-4"/>
          <w:sz w:val="20"/>
        </w:rPr>
        <w:t>consideraciones</w:t>
      </w:r>
      <w:r>
        <w:rPr>
          <w:spacing w:val="-10"/>
          <w:sz w:val="20"/>
        </w:rPr>
        <w:t xml:space="preserve"> </w:t>
      </w:r>
      <w:r>
        <w:rPr>
          <w:spacing w:val="-4"/>
          <w:sz w:val="20"/>
        </w:rPr>
        <w:t>efectuadas</w:t>
      </w:r>
      <w:r>
        <w:rPr>
          <w:spacing w:val="-8"/>
          <w:sz w:val="20"/>
        </w:rPr>
        <w:t xml:space="preserve"> </w:t>
      </w:r>
      <w:r>
        <w:rPr>
          <w:spacing w:val="-3"/>
          <w:sz w:val="20"/>
        </w:rPr>
        <w:t>en</w:t>
      </w:r>
      <w:r>
        <w:rPr>
          <w:spacing w:val="-8"/>
          <w:sz w:val="20"/>
        </w:rPr>
        <w:t xml:space="preserve"> </w:t>
      </w:r>
      <w:r>
        <w:rPr>
          <w:spacing w:val="-3"/>
          <w:sz w:val="20"/>
        </w:rPr>
        <w:t>ese</w:t>
      </w:r>
      <w:r>
        <w:rPr>
          <w:spacing w:val="-9"/>
          <w:sz w:val="20"/>
        </w:rPr>
        <w:t xml:space="preserve"> </w:t>
      </w:r>
      <w:r>
        <w:rPr>
          <w:spacing w:val="-3"/>
          <w:sz w:val="20"/>
        </w:rPr>
        <w:t>caso</w:t>
      </w:r>
      <w:r>
        <w:rPr>
          <w:spacing w:val="-10"/>
          <w:sz w:val="20"/>
        </w:rPr>
        <w:t xml:space="preserve"> </w:t>
      </w:r>
      <w:r>
        <w:rPr>
          <w:spacing w:val="-4"/>
          <w:sz w:val="20"/>
        </w:rPr>
        <w:t>distan</w:t>
      </w:r>
      <w:r>
        <w:rPr>
          <w:spacing w:val="-8"/>
          <w:sz w:val="20"/>
        </w:rPr>
        <w:t xml:space="preserve"> </w:t>
      </w:r>
      <w:r>
        <w:rPr>
          <w:spacing w:val="-3"/>
          <w:sz w:val="20"/>
        </w:rPr>
        <w:t>del</w:t>
      </w:r>
      <w:r>
        <w:rPr>
          <w:spacing w:val="-8"/>
          <w:sz w:val="20"/>
        </w:rPr>
        <w:t xml:space="preserve"> </w:t>
      </w:r>
      <w:r>
        <w:rPr>
          <w:spacing w:val="-4"/>
          <w:sz w:val="20"/>
        </w:rPr>
        <w:t>análisis</w:t>
      </w:r>
      <w:r>
        <w:rPr>
          <w:spacing w:val="-10"/>
          <w:sz w:val="20"/>
        </w:rPr>
        <w:t xml:space="preserve"> </w:t>
      </w:r>
      <w:r>
        <w:rPr>
          <w:spacing w:val="-4"/>
          <w:sz w:val="20"/>
        </w:rPr>
        <w:t>abordado</w:t>
      </w:r>
      <w:r>
        <w:rPr>
          <w:spacing w:val="-8"/>
          <w:sz w:val="20"/>
        </w:rPr>
        <w:t xml:space="preserve"> </w:t>
      </w:r>
      <w:r>
        <w:rPr>
          <w:spacing w:val="-3"/>
          <w:sz w:val="20"/>
        </w:rPr>
        <w:t>en</w:t>
      </w:r>
      <w:r>
        <w:rPr>
          <w:spacing w:val="-6"/>
          <w:sz w:val="20"/>
        </w:rPr>
        <w:t xml:space="preserve"> </w:t>
      </w:r>
      <w:r>
        <w:rPr>
          <w:spacing w:val="-3"/>
          <w:sz w:val="20"/>
        </w:rPr>
        <w:t>esta</w:t>
      </w:r>
      <w:r>
        <w:rPr>
          <w:spacing w:val="-8"/>
          <w:sz w:val="20"/>
        </w:rPr>
        <w:t xml:space="preserve"> </w:t>
      </w:r>
      <w:r>
        <w:rPr>
          <w:spacing w:val="-4"/>
          <w:sz w:val="20"/>
        </w:rPr>
        <w:t>sentencia,</w:t>
      </w:r>
      <w:r>
        <w:rPr>
          <w:spacing w:val="-10"/>
          <w:sz w:val="20"/>
        </w:rPr>
        <w:t xml:space="preserve"> </w:t>
      </w:r>
      <w:r>
        <w:rPr>
          <w:sz w:val="20"/>
        </w:rPr>
        <w:t xml:space="preserve">ya </w:t>
      </w:r>
      <w:r>
        <w:rPr>
          <w:spacing w:val="-3"/>
          <w:sz w:val="20"/>
        </w:rPr>
        <w:t xml:space="preserve">que en </w:t>
      </w:r>
      <w:r>
        <w:rPr>
          <w:spacing w:val="-4"/>
          <w:sz w:val="20"/>
        </w:rPr>
        <w:t xml:space="preserve">aquella oportunidad </w:t>
      </w:r>
      <w:r>
        <w:rPr>
          <w:spacing w:val="-3"/>
          <w:sz w:val="20"/>
        </w:rPr>
        <w:t xml:space="preserve">la Corte IDH </w:t>
      </w:r>
      <w:r>
        <w:rPr>
          <w:sz w:val="20"/>
        </w:rPr>
        <w:t xml:space="preserve">se </w:t>
      </w:r>
      <w:r>
        <w:rPr>
          <w:spacing w:val="-4"/>
          <w:sz w:val="20"/>
        </w:rPr>
        <w:t xml:space="preserve">pronunció sobre </w:t>
      </w:r>
      <w:r>
        <w:rPr>
          <w:spacing w:val="-3"/>
          <w:sz w:val="20"/>
        </w:rPr>
        <w:t xml:space="preserve">una </w:t>
      </w:r>
      <w:r>
        <w:rPr>
          <w:spacing w:val="-4"/>
          <w:sz w:val="20"/>
        </w:rPr>
        <w:t xml:space="preserve">destitución “por necesidades </w:t>
      </w:r>
      <w:r>
        <w:rPr>
          <w:spacing w:val="-3"/>
          <w:sz w:val="20"/>
        </w:rPr>
        <w:t xml:space="preserve">del </w:t>
      </w:r>
      <w:r>
        <w:rPr>
          <w:spacing w:val="-4"/>
          <w:sz w:val="20"/>
        </w:rPr>
        <w:t xml:space="preserve">servicio público” </w:t>
      </w:r>
      <w:r>
        <w:rPr>
          <w:spacing w:val="-3"/>
          <w:sz w:val="20"/>
        </w:rPr>
        <w:t xml:space="preserve">de </w:t>
      </w:r>
      <w:r>
        <w:rPr>
          <w:sz w:val="20"/>
        </w:rPr>
        <w:t xml:space="preserve">un </w:t>
      </w:r>
      <w:r>
        <w:rPr>
          <w:spacing w:val="-4"/>
          <w:sz w:val="20"/>
        </w:rPr>
        <w:t xml:space="preserve">fiscal provisional </w:t>
      </w:r>
      <w:r>
        <w:rPr>
          <w:sz w:val="20"/>
        </w:rPr>
        <w:t xml:space="preserve">y no </w:t>
      </w:r>
      <w:r>
        <w:rPr>
          <w:spacing w:val="-4"/>
          <w:sz w:val="20"/>
        </w:rPr>
        <w:t xml:space="preserve">relativo </w:t>
      </w:r>
      <w:r>
        <w:rPr>
          <w:sz w:val="20"/>
        </w:rPr>
        <w:t xml:space="preserve">a </w:t>
      </w:r>
      <w:r>
        <w:rPr>
          <w:spacing w:val="-3"/>
          <w:sz w:val="20"/>
        </w:rPr>
        <w:t xml:space="preserve">la </w:t>
      </w:r>
      <w:r>
        <w:rPr>
          <w:spacing w:val="-4"/>
          <w:sz w:val="20"/>
        </w:rPr>
        <w:t xml:space="preserve">sanción </w:t>
      </w:r>
      <w:r>
        <w:rPr>
          <w:spacing w:val="-5"/>
          <w:sz w:val="20"/>
        </w:rPr>
        <w:t xml:space="preserve">de </w:t>
      </w:r>
      <w:r>
        <w:rPr>
          <w:spacing w:val="-4"/>
          <w:sz w:val="20"/>
        </w:rPr>
        <w:t xml:space="preserve">destitución </w:t>
      </w:r>
      <w:r>
        <w:rPr>
          <w:spacing w:val="-3"/>
          <w:sz w:val="20"/>
        </w:rPr>
        <w:t xml:space="preserve">en </w:t>
      </w:r>
      <w:r>
        <w:rPr>
          <w:sz w:val="20"/>
        </w:rPr>
        <w:t xml:space="preserve">un </w:t>
      </w:r>
      <w:r>
        <w:rPr>
          <w:spacing w:val="-4"/>
          <w:sz w:val="20"/>
        </w:rPr>
        <w:t>proceso administrativo</w:t>
      </w:r>
      <w:r>
        <w:rPr>
          <w:spacing w:val="-27"/>
          <w:sz w:val="20"/>
        </w:rPr>
        <w:t xml:space="preserve"> </w:t>
      </w:r>
      <w:r>
        <w:rPr>
          <w:spacing w:val="-5"/>
          <w:sz w:val="20"/>
        </w:rPr>
        <w:t>sancionador.</w:t>
      </w:r>
    </w:p>
    <w:p w14:paraId="7DA6C14B" w14:textId="77777777" w:rsidR="00492688" w:rsidRDefault="00492688">
      <w:pPr>
        <w:pStyle w:val="Textoindependiente"/>
      </w:pPr>
    </w:p>
    <w:p w14:paraId="0152434D" w14:textId="77777777" w:rsidR="00492688" w:rsidRDefault="00C9584B">
      <w:pPr>
        <w:pStyle w:val="Prrafodelista"/>
        <w:numPr>
          <w:ilvl w:val="0"/>
          <w:numId w:val="1"/>
        </w:numPr>
        <w:tabs>
          <w:tab w:val="left" w:pos="1073"/>
        </w:tabs>
        <w:ind w:left="1072" w:hanging="395"/>
        <w:jc w:val="left"/>
        <w:rPr>
          <w:sz w:val="20"/>
        </w:rPr>
      </w:pPr>
      <w:r>
        <w:rPr>
          <w:sz w:val="20"/>
        </w:rPr>
        <w:t>DEBIDO PROCESO Y LA PROTECCIÓN JUDICIAL EN EL PRESENTE</w:t>
      </w:r>
      <w:r>
        <w:rPr>
          <w:spacing w:val="-10"/>
          <w:sz w:val="20"/>
        </w:rPr>
        <w:t xml:space="preserve"> </w:t>
      </w:r>
      <w:r>
        <w:rPr>
          <w:sz w:val="20"/>
        </w:rPr>
        <w:t>CASO</w:t>
      </w:r>
    </w:p>
    <w:p w14:paraId="4BEC878F" w14:textId="77777777" w:rsidR="00492688" w:rsidRDefault="00492688">
      <w:pPr>
        <w:pStyle w:val="Textoindependiente"/>
        <w:spacing w:before="11"/>
        <w:rPr>
          <w:sz w:val="19"/>
        </w:rPr>
      </w:pPr>
    </w:p>
    <w:p w14:paraId="4C1967B2" w14:textId="77777777" w:rsidR="00492688" w:rsidRDefault="00C9584B">
      <w:pPr>
        <w:pStyle w:val="Prrafodelista"/>
        <w:numPr>
          <w:ilvl w:val="0"/>
          <w:numId w:val="3"/>
        </w:numPr>
        <w:tabs>
          <w:tab w:val="left" w:pos="830"/>
        </w:tabs>
        <w:ind w:right="228" w:firstLine="0"/>
        <w:jc w:val="both"/>
        <w:rPr>
          <w:sz w:val="20"/>
        </w:rPr>
      </w:pPr>
      <w:r>
        <w:rPr>
          <w:spacing w:val="-4"/>
          <w:sz w:val="20"/>
        </w:rPr>
        <w:t xml:space="preserve">Tal </w:t>
      </w:r>
      <w:r>
        <w:rPr>
          <w:spacing w:val="-3"/>
          <w:sz w:val="20"/>
        </w:rPr>
        <w:t xml:space="preserve">como </w:t>
      </w:r>
      <w:r>
        <w:rPr>
          <w:sz w:val="20"/>
        </w:rPr>
        <w:t xml:space="preserve">se </w:t>
      </w:r>
      <w:r>
        <w:rPr>
          <w:spacing w:val="-4"/>
          <w:sz w:val="20"/>
        </w:rPr>
        <w:t xml:space="preserve">consideró </w:t>
      </w:r>
      <w:r>
        <w:rPr>
          <w:sz w:val="20"/>
        </w:rPr>
        <w:t xml:space="preserve">en la </w:t>
      </w:r>
      <w:r>
        <w:rPr>
          <w:spacing w:val="-3"/>
          <w:sz w:val="20"/>
        </w:rPr>
        <w:t>sentencia</w:t>
      </w:r>
      <w:hyperlink w:anchor="_bookmark182" w:history="1">
        <w:r>
          <w:rPr>
            <w:spacing w:val="-3"/>
            <w:position w:val="7"/>
            <w:sz w:val="13"/>
          </w:rPr>
          <w:t>37</w:t>
        </w:r>
      </w:hyperlink>
      <w:r>
        <w:rPr>
          <w:spacing w:val="-3"/>
          <w:sz w:val="20"/>
        </w:rPr>
        <w:t xml:space="preserve">, del </w:t>
      </w:r>
      <w:r>
        <w:rPr>
          <w:spacing w:val="-4"/>
          <w:sz w:val="20"/>
        </w:rPr>
        <w:t xml:space="preserve">análisis </w:t>
      </w:r>
      <w:r>
        <w:rPr>
          <w:sz w:val="20"/>
        </w:rPr>
        <w:t xml:space="preserve">de </w:t>
      </w:r>
      <w:r>
        <w:rPr>
          <w:spacing w:val="-2"/>
          <w:sz w:val="20"/>
        </w:rPr>
        <w:t xml:space="preserve">los </w:t>
      </w:r>
      <w:r>
        <w:rPr>
          <w:spacing w:val="-4"/>
          <w:sz w:val="20"/>
        </w:rPr>
        <w:t xml:space="preserve">alegatos presentados </w:t>
      </w:r>
      <w:r>
        <w:rPr>
          <w:spacing w:val="-3"/>
          <w:sz w:val="20"/>
        </w:rPr>
        <w:t xml:space="preserve">por </w:t>
      </w:r>
      <w:r>
        <w:rPr>
          <w:sz w:val="20"/>
        </w:rPr>
        <w:t xml:space="preserve">la </w:t>
      </w:r>
      <w:r>
        <w:rPr>
          <w:spacing w:val="-4"/>
          <w:sz w:val="20"/>
        </w:rPr>
        <w:t xml:space="preserve">Comisión </w:t>
      </w:r>
      <w:r>
        <w:rPr>
          <w:sz w:val="20"/>
        </w:rPr>
        <w:t xml:space="preserve">y </w:t>
      </w:r>
      <w:r>
        <w:rPr>
          <w:spacing w:val="-3"/>
          <w:sz w:val="20"/>
        </w:rPr>
        <w:t xml:space="preserve">las </w:t>
      </w:r>
      <w:r>
        <w:rPr>
          <w:spacing w:val="-4"/>
          <w:sz w:val="20"/>
        </w:rPr>
        <w:t xml:space="preserve">representantes </w:t>
      </w:r>
      <w:r>
        <w:rPr>
          <w:spacing w:val="-3"/>
          <w:sz w:val="20"/>
        </w:rPr>
        <w:t xml:space="preserve">del señor </w:t>
      </w:r>
      <w:r>
        <w:rPr>
          <w:spacing w:val="-4"/>
          <w:sz w:val="20"/>
        </w:rPr>
        <w:t xml:space="preserve">Cordero Bernal, </w:t>
      </w:r>
      <w:r>
        <w:rPr>
          <w:sz w:val="20"/>
        </w:rPr>
        <w:t xml:space="preserve">se </w:t>
      </w:r>
      <w:r>
        <w:rPr>
          <w:spacing w:val="-4"/>
          <w:sz w:val="20"/>
        </w:rPr>
        <w:t xml:space="preserve">desprendía </w:t>
      </w:r>
      <w:r>
        <w:rPr>
          <w:spacing w:val="-3"/>
          <w:sz w:val="20"/>
        </w:rPr>
        <w:t xml:space="preserve">que </w:t>
      </w:r>
      <w:r>
        <w:rPr>
          <w:sz w:val="20"/>
        </w:rPr>
        <w:t xml:space="preserve">la </w:t>
      </w:r>
      <w:r>
        <w:rPr>
          <w:spacing w:val="-4"/>
          <w:sz w:val="20"/>
        </w:rPr>
        <w:t xml:space="preserve">controversia </w:t>
      </w:r>
      <w:r>
        <w:rPr>
          <w:sz w:val="20"/>
        </w:rPr>
        <w:t xml:space="preserve">de </w:t>
      </w:r>
      <w:r>
        <w:rPr>
          <w:spacing w:val="-3"/>
          <w:sz w:val="20"/>
        </w:rPr>
        <w:t xml:space="preserve">este caso </w:t>
      </w:r>
      <w:r>
        <w:rPr>
          <w:spacing w:val="-4"/>
          <w:sz w:val="20"/>
        </w:rPr>
        <w:t xml:space="preserve">estaba relacionada </w:t>
      </w:r>
      <w:r>
        <w:rPr>
          <w:spacing w:val="-3"/>
          <w:sz w:val="20"/>
        </w:rPr>
        <w:t xml:space="preserve">con el </w:t>
      </w:r>
      <w:r>
        <w:rPr>
          <w:spacing w:val="-4"/>
          <w:sz w:val="20"/>
        </w:rPr>
        <w:t xml:space="preserve">debido proceso </w:t>
      </w:r>
      <w:r>
        <w:rPr>
          <w:sz w:val="20"/>
        </w:rPr>
        <w:t xml:space="preserve">y la </w:t>
      </w:r>
      <w:r>
        <w:rPr>
          <w:spacing w:val="-4"/>
          <w:sz w:val="20"/>
        </w:rPr>
        <w:t xml:space="preserve">efectividad </w:t>
      </w:r>
      <w:r>
        <w:rPr>
          <w:spacing w:val="-3"/>
          <w:sz w:val="20"/>
        </w:rPr>
        <w:t xml:space="preserve">del </w:t>
      </w:r>
      <w:r>
        <w:rPr>
          <w:spacing w:val="-4"/>
          <w:sz w:val="20"/>
        </w:rPr>
        <w:t>recurso</w:t>
      </w:r>
      <w:r>
        <w:rPr>
          <w:spacing w:val="-10"/>
          <w:sz w:val="20"/>
        </w:rPr>
        <w:t xml:space="preserve"> </w:t>
      </w:r>
      <w:r>
        <w:rPr>
          <w:sz w:val="20"/>
        </w:rPr>
        <w:t>de</w:t>
      </w:r>
      <w:r>
        <w:rPr>
          <w:spacing w:val="-9"/>
          <w:sz w:val="20"/>
        </w:rPr>
        <w:t xml:space="preserve"> </w:t>
      </w:r>
      <w:r>
        <w:rPr>
          <w:spacing w:val="-4"/>
          <w:sz w:val="20"/>
        </w:rPr>
        <w:t>amparo</w:t>
      </w:r>
      <w:r>
        <w:rPr>
          <w:spacing w:val="-9"/>
          <w:sz w:val="20"/>
        </w:rPr>
        <w:t xml:space="preserve"> </w:t>
      </w:r>
      <w:r>
        <w:rPr>
          <w:spacing w:val="-4"/>
          <w:sz w:val="20"/>
        </w:rPr>
        <w:t>contra</w:t>
      </w:r>
      <w:r>
        <w:rPr>
          <w:spacing w:val="-10"/>
          <w:sz w:val="20"/>
        </w:rPr>
        <w:t xml:space="preserve"> </w:t>
      </w:r>
      <w:r>
        <w:rPr>
          <w:spacing w:val="-3"/>
          <w:sz w:val="20"/>
        </w:rPr>
        <w:t>las</w:t>
      </w:r>
      <w:r>
        <w:rPr>
          <w:spacing w:val="-9"/>
          <w:sz w:val="20"/>
        </w:rPr>
        <w:t xml:space="preserve"> </w:t>
      </w:r>
      <w:r>
        <w:rPr>
          <w:spacing w:val="-4"/>
          <w:sz w:val="20"/>
        </w:rPr>
        <w:t>decisiones</w:t>
      </w:r>
      <w:r>
        <w:rPr>
          <w:spacing w:val="-9"/>
          <w:sz w:val="20"/>
        </w:rPr>
        <w:t xml:space="preserve"> </w:t>
      </w:r>
      <w:r>
        <w:rPr>
          <w:spacing w:val="-3"/>
          <w:sz w:val="20"/>
        </w:rPr>
        <w:t>del</w:t>
      </w:r>
      <w:r>
        <w:rPr>
          <w:spacing w:val="-8"/>
          <w:sz w:val="20"/>
        </w:rPr>
        <w:t xml:space="preserve"> </w:t>
      </w:r>
      <w:r>
        <w:rPr>
          <w:spacing w:val="-4"/>
          <w:sz w:val="20"/>
        </w:rPr>
        <w:t>Consejo</w:t>
      </w:r>
      <w:r>
        <w:rPr>
          <w:spacing w:val="-9"/>
          <w:sz w:val="20"/>
        </w:rPr>
        <w:t xml:space="preserve"> </w:t>
      </w:r>
      <w:r>
        <w:rPr>
          <w:spacing w:val="-4"/>
          <w:sz w:val="20"/>
        </w:rPr>
        <w:t>Nacional</w:t>
      </w:r>
      <w:r>
        <w:rPr>
          <w:spacing w:val="-8"/>
          <w:sz w:val="20"/>
        </w:rPr>
        <w:t xml:space="preserve"> </w:t>
      </w:r>
      <w:r>
        <w:rPr>
          <w:sz w:val="20"/>
        </w:rPr>
        <w:t>de</w:t>
      </w:r>
      <w:r>
        <w:rPr>
          <w:spacing w:val="-9"/>
          <w:sz w:val="20"/>
        </w:rPr>
        <w:t xml:space="preserve"> </w:t>
      </w:r>
      <w:r>
        <w:rPr>
          <w:spacing w:val="-3"/>
          <w:sz w:val="20"/>
        </w:rPr>
        <w:t>la</w:t>
      </w:r>
      <w:r>
        <w:rPr>
          <w:spacing w:val="-8"/>
          <w:sz w:val="20"/>
        </w:rPr>
        <w:t xml:space="preserve"> </w:t>
      </w:r>
      <w:r>
        <w:rPr>
          <w:spacing w:val="-4"/>
          <w:sz w:val="20"/>
        </w:rPr>
        <w:t>Magistratura.</w:t>
      </w:r>
    </w:p>
    <w:p w14:paraId="05ABE871" w14:textId="77777777" w:rsidR="00492688" w:rsidRDefault="00492688">
      <w:pPr>
        <w:pStyle w:val="Textoindependiente"/>
        <w:spacing w:before="1"/>
      </w:pPr>
    </w:p>
    <w:p w14:paraId="2F00E32F" w14:textId="77777777" w:rsidR="00492688" w:rsidRDefault="00C9584B">
      <w:pPr>
        <w:pStyle w:val="Prrafodelista"/>
        <w:numPr>
          <w:ilvl w:val="0"/>
          <w:numId w:val="3"/>
        </w:numPr>
        <w:tabs>
          <w:tab w:val="left" w:pos="830"/>
        </w:tabs>
        <w:ind w:right="227" w:firstLine="0"/>
        <w:jc w:val="both"/>
        <w:rPr>
          <w:sz w:val="20"/>
        </w:rPr>
      </w:pPr>
      <w:r>
        <w:rPr>
          <w:spacing w:val="-3"/>
          <w:sz w:val="20"/>
        </w:rPr>
        <w:t xml:space="preserve">Al </w:t>
      </w:r>
      <w:r>
        <w:rPr>
          <w:spacing w:val="-4"/>
          <w:sz w:val="20"/>
        </w:rPr>
        <w:t xml:space="preserve">respecto, </w:t>
      </w:r>
      <w:r>
        <w:rPr>
          <w:sz w:val="20"/>
        </w:rPr>
        <w:t xml:space="preserve">la </w:t>
      </w:r>
      <w:r>
        <w:rPr>
          <w:spacing w:val="-3"/>
          <w:sz w:val="20"/>
        </w:rPr>
        <w:t xml:space="preserve">Corte </w:t>
      </w:r>
      <w:r>
        <w:rPr>
          <w:sz w:val="20"/>
        </w:rPr>
        <w:t xml:space="preserve">IDH </w:t>
      </w:r>
      <w:r>
        <w:rPr>
          <w:spacing w:val="-4"/>
          <w:sz w:val="20"/>
        </w:rPr>
        <w:t xml:space="preserve">encontró </w:t>
      </w:r>
      <w:r>
        <w:rPr>
          <w:spacing w:val="-3"/>
          <w:sz w:val="20"/>
        </w:rPr>
        <w:t xml:space="preserve">que </w:t>
      </w:r>
      <w:r>
        <w:rPr>
          <w:sz w:val="20"/>
        </w:rPr>
        <w:t xml:space="preserve">la </w:t>
      </w:r>
      <w:r>
        <w:rPr>
          <w:spacing w:val="-4"/>
          <w:sz w:val="20"/>
        </w:rPr>
        <w:t xml:space="preserve">Constitución peruana disponía </w:t>
      </w:r>
      <w:r>
        <w:rPr>
          <w:spacing w:val="-3"/>
          <w:sz w:val="20"/>
        </w:rPr>
        <w:t xml:space="preserve">que las </w:t>
      </w:r>
      <w:r>
        <w:rPr>
          <w:spacing w:val="-4"/>
          <w:sz w:val="20"/>
        </w:rPr>
        <w:t xml:space="preserve">decisiones </w:t>
      </w:r>
      <w:r>
        <w:rPr>
          <w:spacing w:val="-3"/>
          <w:sz w:val="20"/>
        </w:rPr>
        <w:t xml:space="preserve">del </w:t>
      </w:r>
      <w:r>
        <w:rPr>
          <w:spacing w:val="-4"/>
          <w:sz w:val="20"/>
        </w:rPr>
        <w:t xml:space="preserve">Consejo Nacional </w:t>
      </w:r>
      <w:r>
        <w:rPr>
          <w:sz w:val="20"/>
        </w:rPr>
        <w:t xml:space="preserve">de la </w:t>
      </w:r>
      <w:r>
        <w:rPr>
          <w:spacing w:val="-4"/>
          <w:sz w:val="20"/>
        </w:rPr>
        <w:t xml:space="preserve">Magistratura </w:t>
      </w:r>
      <w:r>
        <w:rPr>
          <w:sz w:val="20"/>
        </w:rPr>
        <w:t xml:space="preserve">no </w:t>
      </w:r>
      <w:r>
        <w:rPr>
          <w:spacing w:val="-4"/>
          <w:sz w:val="20"/>
        </w:rPr>
        <w:t xml:space="preserve">eran revisables </w:t>
      </w:r>
      <w:r>
        <w:rPr>
          <w:sz w:val="20"/>
        </w:rPr>
        <w:t xml:space="preserve">y </w:t>
      </w:r>
      <w:r>
        <w:rPr>
          <w:spacing w:val="-2"/>
          <w:sz w:val="20"/>
        </w:rPr>
        <w:t xml:space="preserve">los </w:t>
      </w:r>
      <w:r>
        <w:rPr>
          <w:spacing w:val="-3"/>
          <w:sz w:val="20"/>
        </w:rPr>
        <w:t xml:space="preserve">jueces </w:t>
      </w:r>
      <w:r>
        <w:rPr>
          <w:spacing w:val="-4"/>
          <w:sz w:val="20"/>
        </w:rPr>
        <w:t xml:space="preserve">interpretaban </w:t>
      </w:r>
      <w:r>
        <w:rPr>
          <w:sz w:val="20"/>
        </w:rPr>
        <w:t xml:space="preserve">en </w:t>
      </w:r>
      <w:r>
        <w:rPr>
          <w:spacing w:val="-3"/>
          <w:sz w:val="20"/>
        </w:rPr>
        <w:t xml:space="preserve">el </w:t>
      </w:r>
      <w:r>
        <w:rPr>
          <w:spacing w:val="-4"/>
          <w:sz w:val="20"/>
        </w:rPr>
        <w:t xml:space="preserve">momento </w:t>
      </w:r>
      <w:r>
        <w:rPr>
          <w:spacing w:val="-3"/>
          <w:sz w:val="20"/>
        </w:rPr>
        <w:t xml:space="preserve">de </w:t>
      </w:r>
      <w:r>
        <w:rPr>
          <w:spacing w:val="-2"/>
          <w:sz w:val="20"/>
        </w:rPr>
        <w:t xml:space="preserve">los </w:t>
      </w:r>
      <w:r>
        <w:rPr>
          <w:spacing w:val="-4"/>
          <w:sz w:val="20"/>
        </w:rPr>
        <w:t xml:space="preserve">hechos </w:t>
      </w:r>
      <w:r>
        <w:rPr>
          <w:spacing w:val="-3"/>
          <w:sz w:val="20"/>
        </w:rPr>
        <w:t xml:space="preserve">que </w:t>
      </w:r>
      <w:r>
        <w:rPr>
          <w:spacing w:val="-4"/>
          <w:sz w:val="20"/>
        </w:rPr>
        <w:t xml:space="preserve">contra ellas </w:t>
      </w:r>
      <w:r>
        <w:rPr>
          <w:spacing w:val="-3"/>
          <w:sz w:val="20"/>
        </w:rPr>
        <w:t xml:space="preserve">solo </w:t>
      </w:r>
      <w:r>
        <w:rPr>
          <w:spacing w:val="-4"/>
          <w:sz w:val="20"/>
        </w:rPr>
        <w:t xml:space="preserve">procedía </w:t>
      </w:r>
      <w:r>
        <w:rPr>
          <w:spacing w:val="-3"/>
          <w:sz w:val="20"/>
        </w:rPr>
        <w:t xml:space="preserve">el </w:t>
      </w:r>
      <w:r>
        <w:rPr>
          <w:spacing w:val="-4"/>
          <w:sz w:val="20"/>
        </w:rPr>
        <w:t xml:space="preserve">recurso </w:t>
      </w:r>
      <w:r>
        <w:rPr>
          <w:sz w:val="20"/>
        </w:rPr>
        <w:t xml:space="preserve">de </w:t>
      </w:r>
      <w:r>
        <w:rPr>
          <w:spacing w:val="-4"/>
          <w:sz w:val="20"/>
        </w:rPr>
        <w:t xml:space="preserve">amparo </w:t>
      </w:r>
      <w:r>
        <w:rPr>
          <w:spacing w:val="-2"/>
          <w:sz w:val="20"/>
        </w:rPr>
        <w:t xml:space="preserve">por </w:t>
      </w:r>
      <w:r>
        <w:rPr>
          <w:spacing w:val="-4"/>
          <w:sz w:val="20"/>
        </w:rPr>
        <w:t xml:space="preserve">violaciones </w:t>
      </w:r>
      <w:r>
        <w:rPr>
          <w:spacing w:val="-3"/>
          <w:sz w:val="20"/>
        </w:rPr>
        <w:t xml:space="preserve">al </w:t>
      </w:r>
      <w:r>
        <w:rPr>
          <w:spacing w:val="-4"/>
          <w:sz w:val="20"/>
        </w:rPr>
        <w:t xml:space="preserve">debido proceso, </w:t>
      </w:r>
      <w:r>
        <w:rPr>
          <w:sz w:val="20"/>
        </w:rPr>
        <w:t xml:space="preserve">de </w:t>
      </w:r>
      <w:r>
        <w:rPr>
          <w:spacing w:val="-3"/>
          <w:sz w:val="20"/>
        </w:rPr>
        <w:t>mod</w:t>
      </w:r>
      <w:r>
        <w:rPr>
          <w:spacing w:val="-3"/>
          <w:sz w:val="20"/>
        </w:rPr>
        <w:t xml:space="preserve">o que </w:t>
      </w:r>
      <w:r>
        <w:rPr>
          <w:sz w:val="20"/>
        </w:rPr>
        <w:t xml:space="preserve">no </w:t>
      </w:r>
      <w:r>
        <w:rPr>
          <w:spacing w:val="-4"/>
          <w:sz w:val="20"/>
        </w:rPr>
        <w:t xml:space="preserve">procedía </w:t>
      </w:r>
      <w:r>
        <w:rPr>
          <w:spacing w:val="-2"/>
          <w:sz w:val="20"/>
        </w:rPr>
        <w:t xml:space="preserve">por </w:t>
      </w:r>
      <w:r>
        <w:rPr>
          <w:spacing w:val="-4"/>
          <w:sz w:val="20"/>
        </w:rPr>
        <w:t xml:space="preserve">alegadas violaciones </w:t>
      </w:r>
      <w:r>
        <w:rPr>
          <w:sz w:val="20"/>
        </w:rPr>
        <w:t xml:space="preserve">a </w:t>
      </w:r>
      <w:r>
        <w:rPr>
          <w:spacing w:val="-4"/>
          <w:sz w:val="20"/>
        </w:rPr>
        <w:t xml:space="preserve">otros derechos fundamentales. </w:t>
      </w:r>
      <w:r>
        <w:rPr>
          <w:sz w:val="20"/>
        </w:rPr>
        <w:t xml:space="preserve">En </w:t>
      </w:r>
      <w:r>
        <w:rPr>
          <w:spacing w:val="-3"/>
          <w:sz w:val="20"/>
        </w:rPr>
        <w:t xml:space="preserve">este </w:t>
      </w:r>
      <w:r>
        <w:rPr>
          <w:spacing w:val="-4"/>
          <w:sz w:val="20"/>
        </w:rPr>
        <w:t xml:space="preserve">caso, </w:t>
      </w:r>
      <w:r>
        <w:rPr>
          <w:spacing w:val="-2"/>
          <w:sz w:val="20"/>
        </w:rPr>
        <w:t xml:space="preserve">por </w:t>
      </w:r>
      <w:r>
        <w:rPr>
          <w:spacing w:val="-4"/>
          <w:sz w:val="20"/>
        </w:rPr>
        <w:t xml:space="preserve">ejemplo, </w:t>
      </w:r>
      <w:r>
        <w:rPr>
          <w:spacing w:val="-3"/>
          <w:sz w:val="20"/>
        </w:rPr>
        <w:t xml:space="preserve">el señor </w:t>
      </w:r>
      <w:r>
        <w:rPr>
          <w:spacing w:val="-5"/>
          <w:sz w:val="20"/>
        </w:rPr>
        <w:t xml:space="preserve">Cordero </w:t>
      </w:r>
      <w:r>
        <w:rPr>
          <w:spacing w:val="-4"/>
          <w:sz w:val="20"/>
        </w:rPr>
        <w:t xml:space="preserve">Bernal </w:t>
      </w:r>
      <w:r>
        <w:rPr>
          <w:spacing w:val="-3"/>
          <w:sz w:val="20"/>
        </w:rPr>
        <w:t xml:space="preserve">alegó la </w:t>
      </w:r>
      <w:r>
        <w:rPr>
          <w:spacing w:val="-4"/>
          <w:sz w:val="20"/>
        </w:rPr>
        <w:t xml:space="preserve">violación </w:t>
      </w:r>
      <w:r>
        <w:rPr>
          <w:sz w:val="20"/>
        </w:rPr>
        <w:t xml:space="preserve">de </w:t>
      </w:r>
      <w:r>
        <w:rPr>
          <w:spacing w:val="-3"/>
          <w:sz w:val="20"/>
        </w:rPr>
        <w:t xml:space="preserve">la </w:t>
      </w:r>
      <w:r>
        <w:rPr>
          <w:spacing w:val="-4"/>
          <w:sz w:val="20"/>
        </w:rPr>
        <w:t xml:space="preserve">garantía </w:t>
      </w:r>
      <w:r>
        <w:rPr>
          <w:sz w:val="20"/>
        </w:rPr>
        <w:t xml:space="preserve">de </w:t>
      </w:r>
      <w:r>
        <w:rPr>
          <w:spacing w:val="-3"/>
          <w:sz w:val="20"/>
        </w:rPr>
        <w:t xml:space="preserve">la </w:t>
      </w:r>
      <w:r>
        <w:rPr>
          <w:spacing w:val="-4"/>
          <w:sz w:val="20"/>
        </w:rPr>
        <w:t xml:space="preserve">inamovilidad </w:t>
      </w:r>
      <w:r>
        <w:rPr>
          <w:spacing w:val="-3"/>
          <w:sz w:val="20"/>
        </w:rPr>
        <w:t xml:space="preserve">en </w:t>
      </w:r>
      <w:r>
        <w:rPr>
          <w:sz w:val="20"/>
        </w:rPr>
        <w:t xml:space="preserve">el </w:t>
      </w:r>
      <w:r>
        <w:rPr>
          <w:spacing w:val="-4"/>
          <w:sz w:val="20"/>
        </w:rPr>
        <w:t xml:space="preserve">cargo, </w:t>
      </w:r>
      <w:r>
        <w:rPr>
          <w:spacing w:val="-3"/>
          <w:sz w:val="20"/>
        </w:rPr>
        <w:t xml:space="preserve">la </w:t>
      </w:r>
      <w:r>
        <w:rPr>
          <w:spacing w:val="-4"/>
          <w:sz w:val="20"/>
        </w:rPr>
        <w:t xml:space="preserve">cual </w:t>
      </w:r>
      <w:r>
        <w:rPr>
          <w:sz w:val="20"/>
        </w:rPr>
        <w:t xml:space="preserve">no </w:t>
      </w:r>
      <w:r>
        <w:rPr>
          <w:spacing w:val="-3"/>
          <w:sz w:val="20"/>
        </w:rPr>
        <w:t>fue analizada</w:t>
      </w:r>
      <w:hyperlink w:anchor="_bookmark183" w:history="1">
        <w:r>
          <w:rPr>
            <w:spacing w:val="-3"/>
            <w:position w:val="7"/>
            <w:sz w:val="13"/>
          </w:rPr>
          <w:t>38</w:t>
        </w:r>
      </w:hyperlink>
      <w:r>
        <w:rPr>
          <w:spacing w:val="-3"/>
          <w:sz w:val="20"/>
        </w:rPr>
        <w:t xml:space="preserve">. </w:t>
      </w:r>
      <w:r>
        <w:rPr>
          <w:sz w:val="20"/>
        </w:rPr>
        <w:t xml:space="preserve">No </w:t>
      </w:r>
      <w:r>
        <w:rPr>
          <w:spacing w:val="-4"/>
          <w:sz w:val="20"/>
        </w:rPr>
        <w:t xml:space="preserve">obstante, </w:t>
      </w:r>
      <w:r>
        <w:rPr>
          <w:spacing w:val="-3"/>
          <w:sz w:val="20"/>
        </w:rPr>
        <w:t xml:space="preserve">el </w:t>
      </w:r>
      <w:r>
        <w:rPr>
          <w:spacing w:val="-4"/>
          <w:sz w:val="20"/>
        </w:rPr>
        <w:t xml:space="preserve">criterio mayoritario concluyó </w:t>
      </w:r>
      <w:r>
        <w:rPr>
          <w:spacing w:val="-3"/>
          <w:sz w:val="20"/>
        </w:rPr>
        <w:t xml:space="preserve">que “los jueces </w:t>
      </w:r>
      <w:r>
        <w:rPr>
          <w:sz w:val="20"/>
        </w:rPr>
        <w:t xml:space="preserve">de </w:t>
      </w:r>
      <w:r>
        <w:rPr>
          <w:spacing w:val="-4"/>
          <w:sz w:val="20"/>
        </w:rPr>
        <w:t>amparo</w:t>
      </w:r>
      <w:r>
        <w:rPr>
          <w:spacing w:val="62"/>
          <w:sz w:val="20"/>
        </w:rPr>
        <w:t xml:space="preserve"> </w:t>
      </w:r>
      <w:r>
        <w:rPr>
          <w:spacing w:val="-4"/>
          <w:sz w:val="20"/>
        </w:rPr>
        <w:t xml:space="preserve">examinaron </w:t>
      </w:r>
      <w:r>
        <w:rPr>
          <w:spacing w:val="-3"/>
          <w:sz w:val="20"/>
        </w:rPr>
        <w:t xml:space="preserve">la </w:t>
      </w:r>
      <w:r>
        <w:rPr>
          <w:spacing w:val="-4"/>
          <w:sz w:val="20"/>
        </w:rPr>
        <w:t xml:space="preserve">decisión adoptada </w:t>
      </w:r>
      <w:r>
        <w:rPr>
          <w:spacing w:val="-2"/>
          <w:sz w:val="20"/>
        </w:rPr>
        <w:t xml:space="preserve">por </w:t>
      </w:r>
      <w:r>
        <w:rPr>
          <w:sz w:val="20"/>
        </w:rPr>
        <w:t xml:space="preserve">el </w:t>
      </w:r>
      <w:r>
        <w:rPr>
          <w:spacing w:val="-3"/>
          <w:sz w:val="20"/>
        </w:rPr>
        <w:t xml:space="preserve">CNM </w:t>
      </w:r>
      <w:r>
        <w:rPr>
          <w:sz w:val="20"/>
        </w:rPr>
        <w:t xml:space="preserve">y </w:t>
      </w:r>
      <w:r>
        <w:rPr>
          <w:spacing w:val="-4"/>
          <w:sz w:val="20"/>
        </w:rPr>
        <w:t xml:space="preserve">concluyeron </w:t>
      </w:r>
      <w:r>
        <w:rPr>
          <w:spacing w:val="-3"/>
          <w:sz w:val="20"/>
        </w:rPr>
        <w:t xml:space="preserve">que </w:t>
      </w:r>
      <w:r>
        <w:rPr>
          <w:spacing w:val="-4"/>
          <w:sz w:val="20"/>
        </w:rPr>
        <w:t>estaba debidamente</w:t>
      </w:r>
      <w:r>
        <w:rPr>
          <w:spacing w:val="62"/>
          <w:sz w:val="20"/>
        </w:rPr>
        <w:t xml:space="preserve"> </w:t>
      </w:r>
      <w:r>
        <w:rPr>
          <w:spacing w:val="-4"/>
          <w:sz w:val="20"/>
        </w:rPr>
        <w:t>motivada</w:t>
      </w:r>
      <w:r>
        <w:rPr>
          <w:spacing w:val="-7"/>
          <w:sz w:val="20"/>
        </w:rPr>
        <w:t xml:space="preserve"> </w:t>
      </w:r>
      <w:r>
        <w:rPr>
          <w:sz w:val="20"/>
        </w:rPr>
        <w:t>y</w:t>
      </w:r>
      <w:r>
        <w:rPr>
          <w:spacing w:val="-10"/>
          <w:sz w:val="20"/>
        </w:rPr>
        <w:t xml:space="preserve"> </w:t>
      </w:r>
      <w:r>
        <w:rPr>
          <w:spacing w:val="-3"/>
          <w:sz w:val="20"/>
        </w:rPr>
        <w:t>que</w:t>
      </w:r>
      <w:r>
        <w:rPr>
          <w:spacing w:val="-13"/>
          <w:sz w:val="20"/>
        </w:rPr>
        <w:t xml:space="preserve"> </w:t>
      </w:r>
      <w:r>
        <w:rPr>
          <w:sz w:val="20"/>
        </w:rPr>
        <w:t>no</w:t>
      </w:r>
      <w:r>
        <w:rPr>
          <w:spacing w:val="-8"/>
          <w:sz w:val="20"/>
        </w:rPr>
        <w:t xml:space="preserve"> </w:t>
      </w:r>
      <w:r>
        <w:rPr>
          <w:sz w:val="20"/>
        </w:rPr>
        <w:t>se</w:t>
      </w:r>
      <w:r>
        <w:rPr>
          <w:spacing w:val="-13"/>
          <w:sz w:val="20"/>
        </w:rPr>
        <w:t xml:space="preserve"> </w:t>
      </w:r>
      <w:r>
        <w:rPr>
          <w:spacing w:val="-3"/>
          <w:sz w:val="20"/>
        </w:rPr>
        <w:t>había</w:t>
      </w:r>
      <w:r>
        <w:rPr>
          <w:spacing w:val="-9"/>
          <w:sz w:val="20"/>
        </w:rPr>
        <w:t xml:space="preserve"> </w:t>
      </w:r>
      <w:r>
        <w:rPr>
          <w:spacing w:val="-4"/>
          <w:sz w:val="20"/>
        </w:rPr>
        <w:t>vulnerado</w:t>
      </w:r>
      <w:r>
        <w:rPr>
          <w:spacing w:val="-8"/>
          <w:sz w:val="20"/>
        </w:rPr>
        <w:t xml:space="preserve"> </w:t>
      </w:r>
      <w:r>
        <w:rPr>
          <w:spacing w:val="-3"/>
          <w:sz w:val="20"/>
        </w:rPr>
        <w:t>el</w:t>
      </w:r>
      <w:r>
        <w:rPr>
          <w:spacing w:val="-9"/>
          <w:sz w:val="20"/>
        </w:rPr>
        <w:t xml:space="preserve"> </w:t>
      </w:r>
      <w:r>
        <w:rPr>
          <w:spacing w:val="-4"/>
          <w:sz w:val="20"/>
        </w:rPr>
        <w:t>derecho</w:t>
      </w:r>
      <w:r>
        <w:rPr>
          <w:spacing w:val="-8"/>
          <w:sz w:val="20"/>
        </w:rPr>
        <w:t xml:space="preserve"> </w:t>
      </w:r>
      <w:r>
        <w:rPr>
          <w:spacing w:val="-3"/>
          <w:sz w:val="20"/>
        </w:rPr>
        <w:t>al</w:t>
      </w:r>
      <w:r>
        <w:rPr>
          <w:spacing w:val="-11"/>
          <w:sz w:val="20"/>
        </w:rPr>
        <w:t xml:space="preserve"> </w:t>
      </w:r>
      <w:r>
        <w:rPr>
          <w:spacing w:val="-3"/>
          <w:sz w:val="20"/>
        </w:rPr>
        <w:t>debido</w:t>
      </w:r>
      <w:r>
        <w:rPr>
          <w:spacing w:val="-10"/>
          <w:sz w:val="20"/>
        </w:rPr>
        <w:t xml:space="preserve"> </w:t>
      </w:r>
      <w:r>
        <w:rPr>
          <w:sz w:val="20"/>
        </w:rPr>
        <w:t>proceso”</w:t>
      </w:r>
      <w:hyperlink w:anchor="_bookmark184" w:history="1">
        <w:r>
          <w:rPr>
            <w:position w:val="7"/>
            <w:sz w:val="13"/>
          </w:rPr>
          <w:t>39</w:t>
        </w:r>
      </w:hyperlink>
      <w:r>
        <w:rPr>
          <w:sz w:val="20"/>
        </w:rPr>
        <w:t>.</w:t>
      </w:r>
    </w:p>
    <w:p w14:paraId="50185B63" w14:textId="77777777" w:rsidR="00492688" w:rsidRDefault="00492688">
      <w:pPr>
        <w:pStyle w:val="Textoindependiente"/>
      </w:pPr>
    </w:p>
    <w:p w14:paraId="5176D296" w14:textId="77777777" w:rsidR="00492688" w:rsidRDefault="00C9584B">
      <w:pPr>
        <w:pStyle w:val="Prrafodelista"/>
        <w:numPr>
          <w:ilvl w:val="0"/>
          <w:numId w:val="3"/>
        </w:numPr>
        <w:tabs>
          <w:tab w:val="left" w:pos="830"/>
        </w:tabs>
        <w:spacing w:before="1"/>
        <w:ind w:right="226" w:firstLine="0"/>
        <w:jc w:val="both"/>
        <w:rPr>
          <w:sz w:val="20"/>
        </w:rPr>
      </w:pPr>
      <w:r>
        <w:rPr>
          <w:spacing w:val="-4"/>
          <w:sz w:val="20"/>
        </w:rPr>
        <w:t>Discrepo</w:t>
      </w:r>
      <w:r>
        <w:rPr>
          <w:spacing w:val="62"/>
          <w:sz w:val="20"/>
        </w:rPr>
        <w:t xml:space="preserve"> </w:t>
      </w:r>
      <w:r>
        <w:rPr>
          <w:sz w:val="20"/>
        </w:rPr>
        <w:t xml:space="preserve">de </w:t>
      </w:r>
      <w:r>
        <w:rPr>
          <w:spacing w:val="-3"/>
          <w:sz w:val="20"/>
        </w:rPr>
        <w:t xml:space="preserve">la </w:t>
      </w:r>
      <w:r>
        <w:rPr>
          <w:spacing w:val="-4"/>
          <w:sz w:val="20"/>
        </w:rPr>
        <w:t xml:space="preserve">conclusión  anterior.  Debemos  recordar  </w:t>
      </w:r>
      <w:r>
        <w:rPr>
          <w:spacing w:val="-3"/>
          <w:sz w:val="20"/>
        </w:rPr>
        <w:t xml:space="preserve">que este </w:t>
      </w:r>
      <w:r>
        <w:rPr>
          <w:spacing w:val="-4"/>
          <w:sz w:val="20"/>
        </w:rPr>
        <w:t xml:space="preserve">Tribunal Interamericana </w:t>
      </w:r>
      <w:r>
        <w:rPr>
          <w:sz w:val="20"/>
        </w:rPr>
        <w:t xml:space="preserve">ha </w:t>
      </w:r>
      <w:r>
        <w:rPr>
          <w:spacing w:val="-4"/>
          <w:sz w:val="20"/>
        </w:rPr>
        <w:t xml:space="preserve">señalado </w:t>
      </w:r>
      <w:r>
        <w:rPr>
          <w:spacing w:val="-3"/>
          <w:sz w:val="20"/>
        </w:rPr>
        <w:t xml:space="preserve">que el </w:t>
      </w:r>
      <w:r>
        <w:rPr>
          <w:spacing w:val="-4"/>
          <w:sz w:val="20"/>
        </w:rPr>
        <w:t xml:space="preserve">artículo 25.1 </w:t>
      </w:r>
      <w:r>
        <w:rPr>
          <w:spacing w:val="-3"/>
          <w:sz w:val="20"/>
        </w:rPr>
        <w:t xml:space="preserve">de </w:t>
      </w:r>
      <w:r>
        <w:rPr>
          <w:sz w:val="20"/>
        </w:rPr>
        <w:t xml:space="preserve">la </w:t>
      </w:r>
      <w:r>
        <w:rPr>
          <w:spacing w:val="-4"/>
          <w:sz w:val="20"/>
        </w:rPr>
        <w:t xml:space="preserve">Convención </w:t>
      </w:r>
      <w:r>
        <w:rPr>
          <w:spacing w:val="-3"/>
          <w:sz w:val="20"/>
        </w:rPr>
        <w:t xml:space="preserve">prevé </w:t>
      </w:r>
      <w:r>
        <w:rPr>
          <w:sz w:val="20"/>
        </w:rPr>
        <w:t xml:space="preserve">la </w:t>
      </w:r>
      <w:r>
        <w:rPr>
          <w:spacing w:val="-4"/>
          <w:sz w:val="20"/>
        </w:rPr>
        <w:t xml:space="preserve">obligación </w:t>
      </w:r>
      <w:r>
        <w:rPr>
          <w:sz w:val="20"/>
        </w:rPr>
        <w:t xml:space="preserve">de </w:t>
      </w:r>
      <w:r>
        <w:rPr>
          <w:spacing w:val="-3"/>
          <w:sz w:val="20"/>
        </w:rPr>
        <w:t xml:space="preserve">los </w:t>
      </w:r>
      <w:r>
        <w:rPr>
          <w:spacing w:val="-4"/>
          <w:sz w:val="20"/>
        </w:rPr>
        <w:t xml:space="preserve">Estados Parte </w:t>
      </w:r>
      <w:r>
        <w:rPr>
          <w:sz w:val="20"/>
        </w:rPr>
        <w:t xml:space="preserve">de </w:t>
      </w:r>
      <w:r>
        <w:rPr>
          <w:spacing w:val="-4"/>
          <w:sz w:val="20"/>
        </w:rPr>
        <w:t xml:space="preserve">garantizar, </w:t>
      </w:r>
      <w:r>
        <w:rPr>
          <w:sz w:val="20"/>
        </w:rPr>
        <w:t xml:space="preserve">a </w:t>
      </w:r>
      <w:r>
        <w:rPr>
          <w:spacing w:val="-3"/>
          <w:sz w:val="20"/>
        </w:rPr>
        <w:t xml:space="preserve">todas las </w:t>
      </w:r>
      <w:r>
        <w:rPr>
          <w:spacing w:val="-4"/>
          <w:sz w:val="20"/>
        </w:rPr>
        <w:t xml:space="preserve">personas </w:t>
      </w:r>
      <w:r>
        <w:rPr>
          <w:spacing w:val="-3"/>
          <w:sz w:val="20"/>
        </w:rPr>
        <w:t xml:space="preserve">bajo su </w:t>
      </w:r>
      <w:r>
        <w:rPr>
          <w:spacing w:val="-4"/>
          <w:sz w:val="20"/>
        </w:rPr>
        <w:t xml:space="preserve">jurisdicción, </w:t>
      </w:r>
      <w:r>
        <w:rPr>
          <w:sz w:val="20"/>
        </w:rPr>
        <w:t xml:space="preserve">un </w:t>
      </w:r>
      <w:r>
        <w:rPr>
          <w:spacing w:val="-4"/>
          <w:sz w:val="20"/>
        </w:rPr>
        <w:t>recurso</w:t>
      </w:r>
      <w:r>
        <w:rPr>
          <w:spacing w:val="62"/>
          <w:sz w:val="20"/>
        </w:rPr>
        <w:t xml:space="preserve"> </w:t>
      </w:r>
      <w:r>
        <w:rPr>
          <w:spacing w:val="-4"/>
          <w:sz w:val="20"/>
        </w:rPr>
        <w:t>judicial</w:t>
      </w:r>
      <w:r>
        <w:rPr>
          <w:spacing w:val="-21"/>
          <w:sz w:val="20"/>
        </w:rPr>
        <w:t xml:space="preserve"> </w:t>
      </w:r>
      <w:r>
        <w:rPr>
          <w:spacing w:val="-4"/>
          <w:sz w:val="20"/>
        </w:rPr>
        <w:t>sencillo,</w:t>
      </w:r>
      <w:r>
        <w:rPr>
          <w:spacing w:val="-24"/>
          <w:sz w:val="20"/>
        </w:rPr>
        <w:t xml:space="preserve"> </w:t>
      </w:r>
      <w:r>
        <w:rPr>
          <w:spacing w:val="-4"/>
          <w:sz w:val="20"/>
        </w:rPr>
        <w:t>rápido</w:t>
      </w:r>
      <w:r>
        <w:rPr>
          <w:spacing w:val="-22"/>
          <w:sz w:val="20"/>
        </w:rPr>
        <w:t xml:space="preserve"> </w:t>
      </w:r>
      <w:r>
        <w:rPr>
          <w:sz w:val="20"/>
        </w:rPr>
        <w:t>y</w:t>
      </w:r>
      <w:r>
        <w:rPr>
          <w:spacing w:val="-23"/>
          <w:sz w:val="20"/>
        </w:rPr>
        <w:t xml:space="preserve"> </w:t>
      </w:r>
      <w:r>
        <w:rPr>
          <w:spacing w:val="-4"/>
          <w:sz w:val="20"/>
        </w:rPr>
        <w:t>efectivo</w:t>
      </w:r>
      <w:r>
        <w:rPr>
          <w:spacing w:val="-22"/>
          <w:sz w:val="20"/>
        </w:rPr>
        <w:t xml:space="preserve"> </w:t>
      </w:r>
      <w:r>
        <w:rPr>
          <w:spacing w:val="-4"/>
          <w:sz w:val="20"/>
        </w:rPr>
        <w:t>contra</w:t>
      </w:r>
      <w:r>
        <w:rPr>
          <w:spacing w:val="-23"/>
          <w:sz w:val="20"/>
        </w:rPr>
        <w:t xml:space="preserve"> </w:t>
      </w:r>
      <w:r>
        <w:rPr>
          <w:spacing w:val="-3"/>
          <w:sz w:val="20"/>
        </w:rPr>
        <w:t>actos</w:t>
      </w:r>
      <w:r>
        <w:rPr>
          <w:spacing w:val="-24"/>
          <w:sz w:val="20"/>
        </w:rPr>
        <w:t xml:space="preserve"> </w:t>
      </w:r>
      <w:r>
        <w:rPr>
          <w:spacing w:val="-4"/>
          <w:sz w:val="20"/>
        </w:rPr>
        <w:t>violatorios</w:t>
      </w:r>
      <w:r>
        <w:rPr>
          <w:spacing w:val="-23"/>
          <w:sz w:val="20"/>
        </w:rPr>
        <w:t xml:space="preserve"> </w:t>
      </w:r>
      <w:r>
        <w:rPr>
          <w:sz w:val="20"/>
        </w:rPr>
        <w:t>de</w:t>
      </w:r>
      <w:r>
        <w:rPr>
          <w:spacing w:val="-22"/>
          <w:sz w:val="20"/>
        </w:rPr>
        <w:t xml:space="preserve"> </w:t>
      </w:r>
      <w:r>
        <w:rPr>
          <w:spacing w:val="-3"/>
          <w:sz w:val="20"/>
        </w:rPr>
        <w:t>sus</w:t>
      </w:r>
      <w:r>
        <w:rPr>
          <w:spacing w:val="-24"/>
          <w:sz w:val="20"/>
        </w:rPr>
        <w:t xml:space="preserve"> </w:t>
      </w:r>
      <w:r>
        <w:rPr>
          <w:spacing w:val="-4"/>
          <w:sz w:val="20"/>
        </w:rPr>
        <w:t>derechos</w:t>
      </w:r>
      <w:r>
        <w:rPr>
          <w:spacing w:val="-24"/>
          <w:sz w:val="20"/>
        </w:rPr>
        <w:t xml:space="preserve"> </w:t>
      </w:r>
      <w:r>
        <w:rPr>
          <w:spacing w:val="-3"/>
          <w:sz w:val="20"/>
        </w:rPr>
        <w:t>fundamentales</w:t>
      </w:r>
      <w:hyperlink w:anchor="_bookmark185" w:history="1">
        <w:r>
          <w:rPr>
            <w:spacing w:val="-3"/>
            <w:position w:val="7"/>
            <w:sz w:val="13"/>
          </w:rPr>
          <w:t>40</w:t>
        </w:r>
      </w:hyperlink>
      <w:r>
        <w:rPr>
          <w:spacing w:val="-3"/>
          <w:sz w:val="20"/>
        </w:rPr>
        <w:t xml:space="preserve">. </w:t>
      </w:r>
      <w:r>
        <w:rPr>
          <w:spacing w:val="-4"/>
          <w:sz w:val="20"/>
        </w:rPr>
        <w:t>Teniendo</w:t>
      </w:r>
      <w:r>
        <w:rPr>
          <w:spacing w:val="-8"/>
          <w:sz w:val="20"/>
        </w:rPr>
        <w:t xml:space="preserve"> </w:t>
      </w:r>
      <w:r>
        <w:rPr>
          <w:spacing w:val="-3"/>
          <w:sz w:val="20"/>
        </w:rPr>
        <w:t>en</w:t>
      </w:r>
      <w:r>
        <w:rPr>
          <w:spacing w:val="-5"/>
          <w:sz w:val="20"/>
        </w:rPr>
        <w:t xml:space="preserve"> </w:t>
      </w:r>
      <w:r>
        <w:rPr>
          <w:spacing w:val="-4"/>
          <w:sz w:val="20"/>
        </w:rPr>
        <w:t>cuenta</w:t>
      </w:r>
      <w:r>
        <w:rPr>
          <w:spacing w:val="-9"/>
          <w:sz w:val="20"/>
        </w:rPr>
        <w:t xml:space="preserve"> </w:t>
      </w:r>
      <w:r>
        <w:rPr>
          <w:sz w:val="20"/>
        </w:rPr>
        <w:t>lo</w:t>
      </w:r>
      <w:r>
        <w:rPr>
          <w:spacing w:val="-7"/>
          <w:sz w:val="20"/>
        </w:rPr>
        <w:t xml:space="preserve"> </w:t>
      </w:r>
      <w:r>
        <w:rPr>
          <w:spacing w:val="-4"/>
          <w:sz w:val="20"/>
        </w:rPr>
        <w:t>anterior,</w:t>
      </w:r>
      <w:r>
        <w:rPr>
          <w:spacing w:val="-10"/>
          <w:sz w:val="20"/>
        </w:rPr>
        <w:t xml:space="preserve"> </w:t>
      </w:r>
      <w:r>
        <w:rPr>
          <w:spacing w:val="-3"/>
          <w:sz w:val="20"/>
        </w:rPr>
        <w:t>la</w:t>
      </w:r>
      <w:r>
        <w:rPr>
          <w:spacing w:val="-6"/>
          <w:sz w:val="20"/>
        </w:rPr>
        <w:t xml:space="preserve"> </w:t>
      </w:r>
      <w:r>
        <w:rPr>
          <w:spacing w:val="-3"/>
          <w:sz w:val="20"/>
        </w:rPr>
        <w:t>Corte</w:t>
      </w:r>
      <w:r>
        <w:rPr>
          <w:spacing w:val="-10"/>
          <w:sz w:val="20"/>
        </w:rPr>
        <w:t xml:space="preserve"> </w:t>
      </w:r>
      <w:r>
        <w:rPr>
          <w:spacing w:val="-3"/>
          <w:sz w:val="20"/>
        </w:rPr>
        <w:t>IDH</w:t>
      </w:r>
      <w:r>
        <w:rPr>
          <w:spacing w:val="-9"/>
          <w:sz w:val="20"/>
        </w:rPr>
        <w:t xml:space="preserve"> </w:t>
      </w:r>
      <w:r>
        <w:rPr>
          <w:sz w:val="20"/>
        </w:rPr>
        <w:t>ha</w:t>
      </w:r>
      <w:r>
        <w:rPr>
          <w:spacing w:val="-9"/>
          <w:sz w:val="20"/>
        </w:rPr>
        <w:t xml:space="preserve"> </w:t>
      </w:r>
      <w:r>
        <w:rPr>
          <w:spacing w:val="-4"/>
          <w:sz w:val="20"/>
        </w:rPr>
        <w:t>señalado</w:t>
      </w:r>
      <w:r>
        <w:rPr>
          <w:spacing w:val="-9"/>
          <w:sz w:val="20"/>
        </w:rPr>
        <w:t xml:space="preserve"> </w:t>
      </w:r>
      <w:r>
        <w:rPr>
          <w:spacing w:val="-3"/>
          <w:sz w:val="20"/>
        </w:rPr>
        <w:t>que,</w:t>
      </w:r>
      <w:r>
        <w:rPr>
          <w:spacing w:val="-7"/>
          <w:sz w:val="20"/>
        </w:rPr>
        <w:t xml:space="preserve"> </w:t>
      </w:r>
      <w:r>
        <w:rPr>
          <w:spacing w:val="-3"/>
          <w:sz w:val="20"/>
        </w:rPr>
        <w:t>en</w:t>
      </w:r>
      <w:r>
        <w:rPr>
          <w:spacing w:val="-7"/>
          <w:sz w:val="20"/>
        </w:rPr>
        <w:t xml:space="preserve"> </w:t>
      </w:r>
      <w:r>
        <w:rPr>
          <w:spacing w:val="-2"/>
          <w:sz w:val="20"/>
        </w:rPr>
        <w:t>los</w:t>
      </w:r>
      <w:r>
        <w:rPr>
          <w:spacing w:val="-9"/>
          <w:sz w:val="20"/>
        </w:rPr>
        <w:t xml:space="preserve"> </w:t>
      </w:r>
      <w:r>
        <w:rPr>
          <w:spacing w:val="-4"/>
          <w:sz w:val="20"/>
        </w:rPr>
        <w:t>términos</w:t>
      </w:r>
      <w:r>
        <w:rPr>
          <w:spacing w:val="-10"/>
          <w:sz w:val="20"/>
        </w:rPr>
        <w:t xml:space="preserve"> </w:t>
      </w:r>
      <w:r>
        <w:rPr>
          <w:spacing w:val="-3"/>
          <w:sz w:val="20"/>
        </w:rPr>
        <w:t>del</w:t>
      </w:r>
      <w:r>
        <w:rPr>
          <w:spacing w:val="-8"/>
          <w:sz w:val="20"/>
        </w:rPr>
        <w:t xml:space="preserve"> </w:t>
      </w:r>
      <w:r>
        <w:rPr>
          <w:spacing w:val="-4"/>
          <w:sz w:val="20"/>
        </w:rPr>
        <w:t xml:space="preserve">artículo </w:t>
      </w:r>
      <w:r>
        <w:rPr>
          <w:spacing w:val="-3"/>
          <w:sz w:val="20"/>
        </w:rPr>
        <w:t>25</w:t>
      </w:r>
      <w:r>
        <w:rPr>
          <w:spacing w:val="-19"/>
          <w:sz w:val="20"/>
        </w:rPr>
        <w:t xml:space="preserve"> </w:t>
      </w:r>
      <w:r>
        <w:rPr>
          <w:sz w:val="20"/>
        </w:rPr>
        <w:t>de</w:t>
      </w:r>
      <w:r>
        <w:rPr>
          <w:spacing w:val="-18"/>
          <w:sz w:val="20"/>
        </w:rPr>
        <w:t xml:space="preserve"> </w:t>
      </w:r>
      <w:r>
        <w:rPr>
          <w:spacing w:val="-3"/>
          <w:sz w:val="20"/>
        </w:rPr>
        <w:t>la</w:t>
      </w:r>
      <w:r>
        <w:rPr>
          <w:spacing w:val="-16"/>
          <w:sz w:val="20"/>
        </w:rPr>
        <w:t xml:space="preserve"> </w:t>
      </w:r>
      <w:r>
        <w:rPr>
          <w:spacing w:val="-4"/>
          <w:sz w:val="20"/>
        </w:rPr>
        <w:t>Convención</w:t>
      </w:r>
      <w:r>
        <w:rPr>
          <w:spacing w:val="-15"/>
          <w:sz w:val="20"/>
        </w:rPr>
        <w:t xml:space="preserve"> </w:t>
      </w:r>
      <w:r>
        <w:rPr>
          <w:spacing w:val="-4"/>
          <w:sz w:val="20"/>
        </w:rPr>
        <w:t>Americana,</w:t>
      </w:r>
      <w:r>
        <w:rPr>
          <w:spacing w:val="-16"/>
          <w:sz w:val="20"/>
        </w:rPr>
        <w:t xml:space="preserve"> </w:t>
      </w:r>
      <w:r>
        <w:rPr>
          <w:spacing w:val="-3"/>
          <w:sz w:val="20"/>
        </w:rPr>
        <w:t>es</w:t>
      </w:r>
      <w:r>
        <w:rPr>
          <w:spacing w:val="-17"/>
          <w:sz w:val="20"/>
        </w:rPr>
        <w:t xml:space="preserve"> </w:t>
      </w:r>
      <w:r>
        <w:rPr>
          <w:spacing w:val="-4"/>
          <w:sz w:val="20"/>
        </w:rPr>
        <w:t>posible</w:t>
      </w:r>
      <w:r>
        <w:rPr>
          <w:spacing w:val="-18"/>
          <w:sz w:val="20"/>
        </w:rPr>
        <w:t xml:space="preserve"> </w:t>
      </w:r>
      <w:r>
        <w:rPr>
          <w:spacing w:val="-4"/>
          <w:sz w:val="20"/>
        </w:rPr>
        <w:t>identificar</w:t>
      </w:r>
      <w:r>
        <w:rPr>
          <w:spacing w:val="-17"/>
          <w:sz w:val="20"/>
        </w:rPr>
        <w:t xml:space="preserve"> </w:t>
      </w:r>
      <w:r>
        <w:rPr>
          <w:spacing w:val="-3"/>
          <w:sz w:val="20"/>
        </w:rPr>
        <w:t>la</w:t>
      </w:r>
      <w:r>
        <w:rPr>
          <w:spacing w:val="-17"/>
          <w:sz w:val="20"/>
        </w:rPr>
        <w:t xml:space="preserve"> </w:t>
      </w:r>
      <w:r>
        <w:rPr>
          <w:spacing w:val="-4"/>
          <w:sz w:val="20"/>
        </w:rPr>
        <w:t>obligación</w:t>
      </w:r>
      <w:r>
        <w:rPr>
          <w:spacing w:val="-15"/>
          <w:sz w:val="20"/>
        </w:rPr>
        <w:t xml:space="preserve"> </w:t>
      </w:r>
      <w:r>
        <w:rPr>
          <w:spacing w:val="-3"/>
          <w:sz w:val="20"/>
        </w:rPr>
        <w:t>del</w:t>
      </w:r>
      <w:r>
        <w:rPr>
          <w:spacing w:val="-18"/>
          <w:sz w:val="20"/>
        </w:rPr>
        <w:t xml:space="preserve"> </w:t>
      </w:r>
      <w:r>
        <w:rPr>
          <w:spacing w:val="-3"/>
          <w:sz w:val="20"/>
        </w:rPr>
        <w:t>Estado</w:t>
      </w:r>
      <w:r>
        <w:rPr>
          <w:spacing w:val="-18"/>
          <w:sz w:val="20"/>
        </w:rPr>
        <w:t xml:space="preserve"> </w:t>
      </w:r>
      <w:r>
        <w:rPr>
          <w:sz w:val="20"/>
        </w:rPr>
        <w:t>de</w:t>
      </w:r>
      <w:r>
        <w:rPr>
          <w:spacing w:val="-19"/>
          <w:sz w:val="20"/>
        </w:rPr>
        <w:t xml:space="preserve"> </w:t>
      </w:r>
      <w:r>
        <w:rPr>
          <w:spacing w:val="-4"/>
          <w:sz w:val="20"/>
        </w:rPr>
        <w:t>consagrar</w:t>
      </w:r>
    </w:p>
    <w:p w14:paraId="5679945D" w14:textId="69627968" w:rsidR="00492688" w:rsidRDefault="00C9584B">
      <w:pPr>
        <w:pStyle w:val="Textoindependiente"/>
        <w:spacing w:before="2"/>
        <w:rPr>
          <w:sz w:val="25"/>
        </w:rPr>
      </w:pPr>
      <w:r>
        <w:rPr>
          <w:noProof/>
        </w:rPr>
        <mc:AlternateContent>
          <mc:Choice Requires="wps">
            <w:drawing>
              <wp:anchor distT="0" distB="0" distL="0" distR="0" simplePos="0" relativeHeight="251696128" behindDoc="1" locked="0" layoutInCell="1" allowOverlap="1" wp14:anchorId="01E793D8" wp14:editId="62DD9322">
                <wp:simplePos x="0" y="0"/>
                <wp:positionH relativeFrom="page">
                  <wp:posOffset>1080770</wp:posOffset>
                </wp:positionH>
                <wp:positionV relativeFrom="paragraph">
                  <wp:posOffset>223520</wp:posOffset>
                </wp:positionV>
                <wp:extent cx="182880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A0678" id="Freeform 5" o:spid="_x0000_s1026" style="position:absolute;margin-left:85.1pt;margin-top:17.6pt;width:2in;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" path="m,l2880,e" filled="f" strokeweight=".6pt">
                <v:path arrowok="t" o:connecttype="custom" o:connectlocs="0,0;1828800,0" o:connectangles="0,0"/>
                <w10:wrap type="topAndBottom" anchorx="page"/>
              </v:shape>
            </w:pict>
          </mc:Fallback>
        </mc:AlternateContent>
      </w:r>
    </w:p>
    <w:p w14:paraId="113DA5C1" w14:textId="77777777" w:rsidR="00492688" w:rsidRDefault="00492688">
      <w:pPr>
        <w:pStyle w:val="Textoindependiente"/>
        <w:spacing w:before="10"/>
        <w:rPr>
          <w:sz w:val="5"/>
        </w:rPr>
      </w:pPr>
    </w:p>
    <w:p w14:paraId="050C9B28" w14:textId="77777777" w:rsidR="00492688" w:rsidRDefault="00C9584B">
      <w:pPr>
        <w:tabs>
          <w:tab w:val="left" w:pos="829"/>
        </w:tabs>
        <w:spacing w:before="101"/>
        <w:ind w:left="121" w:right="229" w:hanging="1"/>
        <w:jc w:val="both"/>
        <w:rPr>
          <w:sz w:val="16"/>
        </w:rPr>
      </w:pPr>
      <w:bookmarkStart w:id="212" w:name="_bookmark180"/>
      <w:bookmarkEnd w:id="212"/>
      <w:r>
        <w:rPr>
          <w:position w:val="6"/>
          <w:sz w:val="10"/>
        </w:rPr>
        <w:t>35</w:t>
      </w:r>
      <w:r>
        <w:rPr>
          <w:position w:val="6"/>
          <w:sz w:val="10"/>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88.</w:t>
      </w:r>
    </w:p>
    <w:p w14:paraId="4FA9104B" w14:textId="77777777" w:rsidR="00492688" w:rsidRDefault="00C9584B">
      <w:pPr>
        <w:tabs>
          <w:tab w:val="left" w:pos="829"/>
        </w:tabs>
        <w:spacing w:before="101"/>
        <w:ind w:left="121" w:right="227" w:hanging="1"/>
        <w:jc w:val="both"/>
        <w:rPr>
          <w:sz w:val="16"/>
        </w:rPr>
      </w:pPr>
      <w:bookmarkStart w:id="213" w:name="_bookmark181"/>
      <w:bookmarkEnd w:id="213"/>
      <w:r>
        <w:rPr>
          <w:position w:val="6"/>
          <w:sz w:val="10"/>
        </w:rPr>
        <w:t>36</w:t>
      </w:r>
      <w:r>
        <w:rPr>
          <w:position w:val="6"/>
          <w:sz w:val="10"/>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81.</w:t>
      </w:r>
    </w:p>
    <w:p w14:paraId="23E2E105" w14:textId="77777777" w:rsidR="00492688" w:rsidRDefault="00C9584B">
      <w:pPr>
        <w:tabs>
          <w:tab w:val="left" w:pos="829"/>
        </w:tabs>
        <w:spacing w:before="101"/>
        <w:ind w:left="121" w:right="229" w:hanging="1"/>
        <w:jc w:val="both"/>
        <w:rPr>
          <w:sz w:val="16"/>
        </w:rPr>
      </w:pPr>
      <w:bookmarkStart w:id="214" w:name="_bookmark182"/>
      <w:bookmarkEnd w:id="214"/>
      <w:r>
        <w:rPr>
          <w:position w:val="6"/>
          <w:sz w:val="10"/>
        </w:rPr>
        <w:t>37</w:t>
      </w:r>
      <w:r>
        <w:rPr>
          <w:position w:val="6"/>
          <w:sz w:val="10"/>
        </w:rPr>
        <w:tab/>
      </w:r>
      <w:r>
        <w:rPr>
          <w:i/>
          <w:sz w:val="16"/>
        </w:rPr>
        <w:t xml:space="preserve">Cfr. Caso Cordero Bernal Vs. Perú. Excepción Preliminar y Fondo. </w:t>
      </w:r>
      <w:r>
        <w:rPr>
          <w:sz w:val="16"/>
        </w:rPr>
        <w:t>Sentencia de 16 de febrero de 2021. Serie C No. 421, párr.</w:t>
      </w:r>
      <w:r>
        <w:rPr>
          <w:spacing w:val="-13"/>
          <w:sz w:val="16"/>
        </w:rPr>
        <w:t xml:space="preserve"> </w:t>
      </w:r>
      <w:r>
        <w:rPr>
          <w:sz w:val="16"/>
        </w:rPr>
        <w:t>10</w:t>
      </w:r>
      <w:r>
        <w:rPr>
          <w:sz w:val="16"/>
        </w:rPr>
        <w:t>2.</w:t>
      </w:r>
    </w:p>
    <w:p w14:paraId="51DF3323" w14:textId="77777777" w:rsidR="00492688" w:rsidRDefault="00C9584B">
      <w:pPr>
        <w:tabs>
          <w:tab w:val="left" w:pos="829"/>
        </w:tabs>
        <w:spacing w:before="101"/>
        <w:ind w:left="121" w:right="229" w:hanging="1"/>
        <w:jc w:val="both"/>
        <w:rPr>
          <w:sz w:val="16"/>
        </w:rPr>
      </w:pPr>
      <w:bookmarkStart w:id="215" w:name="_bookmark183"/>
      <w:bookmarkEnd w:id="215"/>
      <w:r>
        <w:rPr>
          <w:position w:val="6"/>
          <w:sz w:val="10"/>
        </w:rPr>
        <w:t>38</w:t>
      </w:r>
      <w:r>
        <w:rPr>
          <w:position w:val="6"/>
          <w:sz w:val="10"/>
        </w:rPr>
        <w:tab/>
      </w:r>
      <w:r>
        <w:rPr>
          <w:i/>
          <w:sz w:val="16"/>
        </w:rPr>
        <w:t xml:space="preserve">Cfr. Caso Cordero Bernal Vs. Perú. Excepción Preliminar y Fondo. </w:t>
      </w:r>
      <w:r>
        <w:rPr>
          <w:sz w:val="16"/>
        </w:rPr>
        <w:t>Sentencia de 16 de febrero de 2021. Serie C No. 421, párr.</w:t>
      </w:r>
      <w:r>
        <w:rPr>
          <w:spacing w:val="45"/>
          <w:sz w:val="16"/>
        </w:rPr>
        <w:t xml:space="preserve"> </w:t>
      </w:r>
      <w:r>
        <w:rPr>
          <w:sz w:val="16"/>
        </w:rPr>
        <w:t>48.</w:t>
      </w:r>
    </w:p>
    <w:p w14:paraId="7AB9BA00" w14:textId="77777777" w:rsidR="00492688" w:rsidRDefault="00C9584B">
      <w:pPr>
        <w:tabs>
          <w:tab w:val="left" w:pos="829"/>
        </w:tabs>
        <w:spacing w:before="98"/>
        <w:ind w:left="121" w:right="229" w:hanging="1"/>
        <w:jc w:val="both"/>
        <w:rPr>
          <w:sz w:val="16"/>
        </w:rPr>
      </w:pPr>
      <w:bookmarkStart w:id="216" w:name="_bookmark184"/>
      <w:bookmarkEnd w:id="216"/>
      <w:r>
        <w:rPr>
          <w:position w:val="6"/>
          <w:sz w:val="10"/>
        </w:rPr>
        <w:t>39</w:t>
      </w:r>
      <w:r>
        <w:rPr>
          <w:position w:val="6"/>
          <w:sz w:val="10"/>
        </w:rPr>
        <w:tab/>
      </w:r>
      <w:r>
        <w:rPr>
          <w:i/>
          <w:sz w:val="16"/>
        </w:rPr>
        <w:t xml:space="preserve">Cfr. Caso Cordero Bernal Vs. Perú. Excepción Preliminar y Fondo. </w:t>
      </w:r>
      <w:r>
        <w:rPr>
          <w:sz w:val="16"/>
        </w:rPr>
        <w:t>Sentencia de 16 de febrero de 2021. Serie C No. 421, párrs. 102 y</w:t>
      </w:r>
      <w:r>
        <w:rPr>
          <w:spacing w:val="-14"/>
          <w:sz w:val="16"/>
        </w:rPr>
        <w:t xml:space="preserve"> </w:t>
      </w:r>
      <w:r>
        <w:rPr>
          <w:sz w:val="16"/>
        </w:rPr>
        <w:t>104.</w:t>
      </w:r>
    </w:p>
    <w:p w14:paraId="42218E9B" w14:textId="77777777" w:rsidR="00492688" w:rsidRDefault="00C9584B">
      <w:pPr>
        <w:tabs>
          <w:tab w:val="left" w:pos="829"/>
        </w:tabs>
        <w:spacing w:before="101"/>
        <w:ind w:left="121" w:right="226"/>
        <w:jc w:val="both"/>
        <w:rPr>
          <w:sz w:val="16"/>
        </w:rPr>
      </w:pPr>
      <w:bookmarkStart w:id="217" w:name="_bookmark185"/>
      <w:bookmarkEnd w:id="217"/>
      <w:r>
        <w:rPr>
          <w:position w:val="6"/>
          <w:sz w:val="10"/>
        </w:rPr>
        <w:t>40</w:t>
      </w:r>
      <w:r>
        <w:rPr>
          <w:position w:val="6"/>
          <w:sz w:val="10"/>
        </w:rPr>
        <w:tab/>
      </w:r>
      <w:r>
        <w:rPr>
          <w:i/>
          <w:sz w:val="16"/>
        </w:rPr>
        <w:t>Cfr. Caso Mejía Idrovo Vs. Ecuador. Excepciones Preliminares, Fondo, Reparaciones y Costas</w:t>
      </w:r>
      <w:r>
        <w:rPr>
          <w:sz w:val="16"/>
        </w:rPr>
        <w:t>. Sentencia de 5 de julio d</w:t>
      </w:r>
      <w:r>
        <w:rPr>
          <w:sz w:val="16"/>
        </w:rPr>
        <w:t xml:space="preserve">e 2011, Serie C No. 228, párr. 95, y </w:t>
      </w:r>
      <w:r>
        <w:rPr>
          <w:i/>
          <w:sz w:val="16"/>
        </w:rPr>
        <w:t>Caso Martínez Esquivia Vs. Colombia. Excepciones</w:t>
      </w:r>
      <w:r>
        <w:rPr>
          <w:i/>
          <w:spacing w:val="-5"/>
          <w:sz w:val="16"/>
        </w:rPr>
        <w:t xml:space="preserve"> </w:t>
      </w:r>
      <w:r>
        <w:rPr>
          <w:i/>
          <w:sz w:val="16"/>
        </w:rPr>
        <w:t>preliminares,</w:t>
      </w:r>
      <w:r>
        <w:rPr>
          <w:i/>
          <w:spacing w:val="-2"/>
          <w:sz w:val="16"/>
        </w:rPr>
        <w:t xml:space="preserve"> </w:t>
      </w:r>
      <w:r>
        <w:rPr>
          <w:i/>
          <w:sz w:val="16"/>
        </w:rPr>
        <w:t>Fondo</w:t>
      </w:r>
      <w:r>
        <w:rPr>
          <w:i/>
          <w:spacing w:val="-4"/>
          <w:sz w:val="16"/>
        </w:rPr>
        <w:t xml:space="preserve"> </w:t>
      </w:r>
      <w:r>
        <w:rPr>
          <w:i/>
          <w:sz w:val="16"/>
        </w:rPr>
        <w:t>y</w:t>
      </w:r>
      <w:r>
        <w:rPr>
          <w:i/>
          <w:spacing w:val="-1"/>
          <w:sz w:val="16"/>
        </w:rPr>
        <w:t xml:space="preserve"> </w:t>
      </w:r>
      <w:r>
        <w:rPr>
          <w:i/>
          <w:sz w:val="16"/>
        </w:rPr>
        <w:t>Reparaciones</w:t>
      </w:r>
      <w:r>
        <w:rPr>
          <w:sz w:val="16"/>
        </w:rPr>
        <w:t>.</w:t>
      </w:r>
      <w:r>
        <w:rPr>
          <w:spacing w:val="-6"/>
          <w:sz w:val="16"/>
        </w:rPr>
        <w:t xml:space="preserve"> </w:t>
      </w:r>
      <w:r>
        <w:rPr>
          <w:sz w:val="16"/>
        </w:rPr>
        <w:t>Sentencia</w:t>
      </w:r>
      <w:r>
        <w:rPr>
          <w:spacing w:val="-5"/>
          <w:sz w:val="16"/>
        </w:rPr>
        <w:t xml:space="preserve"> </w:t>
      </w:r>
      <w:r>
        <w:rPr>
          <w:sz w:val="16"/>
        </w:rPr>
        <w:t>de</w:t>
      </w:r>
      <w:r>
        <w:rPr>
          <w:spacing w:val="-1"/>
          <w:sz w:val="16"/>
        </w:rPr>
        <w:t xml:space="preserve"> </w:t>
      </w:r>
      <w:r>
        <w:rPr>
          <w:sz w:val="16"/>
        </w:rPr>
        <w:t>6</w:t>
      </w:r>
      <w:r>
        <w:rPr>
          <w:spacing w:val="-4"/>
          <w:sz w:val="16"/>
        </w:rPr>
        <w:t xml:space="preserve"> </w:t>
      </w:r>
      <w:r>
        <w:rPr>
          <w:sz w:val="16"/>
        </w:rPr>
        <w:t>de</w:t>
      </w:r>
      <w:r>
        <w:rPr>
          <w:spacing w:val="-4"/>
          <w:sz w:val="16"/>
        </w:rPr>
        <w:t xml:space="preserve"> </w:t>
      </w:r>
      <w:r>
        <w:rPr>
          <w:sz w:val="16"/>
        </w:rPr>
        <w:t>octubre</w:t>
      </w:r>
      <w:r>
        <w:rPr>
          <w:spacing w:val="-2"/>
          <w:sz w:val="16"/>
        </w:rPr>
        <w:t xml:space="preserve"> </w:t>
      </w:r>
      <w:r>
        <w:rPr>
          <w:sz w:val="16"/>
        </w:rPr>
        <w:t>de</w:t>
      </w:r>
      <w:r>
        <w:rPr>
          <w:spacing w:val="-1"/>
          <w:sz w:val="16"/>
        </w:rPr>
        <w:t xml:space="preserve"> </w:t>
      </w:r>
      <w:r>
        <w:rPr>
          <w:sz w:val="16"/>
        </w:rPr>
        <w:t>2020.</w:t>
      </w:r>
      <w:r>
        <w:rPr>
          <w:spacing w:val="-2"/>
          <w:sz w:val="16"/>
        </w:rPr>
        <w:t xml:space="preserve"> </w:t>
      </w:r>
      <w:r>
        <w:rPr>
          <w:sz w:val="16"/>
        </w:rPr>
        <w:t>Serie</w:t>
      </w:r>
      <w:r>
        <w:rPr>
          <w:spacing w:val="-2"/>
          <w:sz w:val="16"/>
        </w:rPr>
        <w:t xml:space="preserve"> </w:t>
      </w:r>
      <w:r>
        <w:rPr>
          <w:sz w:val="16"/>
        </w:rPr>
        <w:t>C</w:t>
      </w:r>
      <w:r>
        <w:rPr>
          <w:spacing w:val="-1"/>
          <w:sz w:val="16"/>
        </w:rPr>
        <w:t xml:space="preserve"> </w:t>
      </w:r>
      <w:r>
        <w:rPr>
          <w:sz w:val="16"/>
        </w:rPr>
        <w:t>No.</w:t>
      </w:r>
      <w:r>
        <w:rPr>
          <w:spacing w:val="-3"/>
          <w:sz w:val="16"/>
        </w:rPr>
        <w:t xml:space="preserve"> </w:t>
      </w:r>
      <w:r>
        <w:rPr>
          <w:sz w:val="16"/>
        </w:rPr>
        <w:t>412,</w:t>
      </w:r>
      <w:r>
        <w:rPr>
          <w:spacing w:val="-2"/>
          <w:sz w:val="16"/>
        </w:rPr>
        <w:t xml:space="preserve"> </w:t>
      </w:r>
      <w:r>
        <w:rPr>
          <w:sz w:val="16"/>
        </w:rPr>
        <w:t>párr. 130.</w:t>
      </w:r>
    </w:p>
    <w:p w14:paraId="1C68ACD9" w14:textId="77777777" w:rsidR="00492688" w:rsidRDefault="00492688">
      <w:pPr>
        <w:pStyle w:val="Textoindependiente"/>
      </w:pPr>
    </w:p>
    <w:p w14:paraId="76BBC0D1" w14:textId="77777777" w:rsidR="00492688" w:rsidRDefault="00492688">
      <w:pPr>
        <w:pStyle w:val="Textoindependiente"/>
        <w:spacing w:before="4"/>
        <w:rPr>
          <w:sz w:val="19"/>
        </w:rPr>
      </w:pPr>
    </w:p>
    <w:p w14:paraId="1BE116C7" w14:textId="77777777" w:rsidR="00492688" w:rsidRDefault="00C9584B">
      <w:pPr>
        <w:spacing w:before="51"/>
        <w:ind w:left="18" w:right="126"/>
        <w:jc w:val="center"/>
        <w:rPr>
          <w:rFonts w:ascii="Calibri"/>
          <w:sz w:val="24"/>
        </w:rPr>
      </w:pPr>
      <w:r>
        <w:rPr>
          <w:rFonts w:ascii="Calibri"/>
          <w:sz w:val="24"/>
        </w:rPr>
        <w:t>12</w:t>
      </w:r>
    </w:p>
    <w:p w14:paraId="253385B8"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449DAAE0" w14:textId="77777777" w:rsidR="00492688" w:rsidRDefault="00C9584B">
      <w:pPr>
        <w:pStyle w:val="Textoindependiente"/>
        <w:spacing w:before="71"/>
        <w:ind w:left="121" w:right="226"/>
        <w:jc w:val="both"/>
      </w:pPr>
      <w:r>
        <w:rPr>
          <w:spacing w:val="-4"/>
        </w:rPr>
        <w:lastRenderedPageBreak/>
        <w:t>normativamente</w:t>
      </w:r>
      <w:r>
        <w:rPr>
          <w:spacing w:val="-18"/>
        </w:rPr>
        <w:t xml:space="preserve"> </w:t>
      </w:r>
      <w:r>
        <w:t>y</w:t>
      </w:r>
      <w:r>
        <w:rPr>
          <w:spacing w:val="-14"/>
        </w:rPr>
        <w:t xml:space="preserve"> </w:t>
      </w:r>
      <w:r>
        <w:rPr>
          <w:spacing w:val="-4"/>
        </w:rPr>
        <w:t>asegurar</w:t>
      </w:r>
      <w:r>
        <w:rPr>
          <w:spacing w:val="-18"/>
        </w:rPr>
        <w:t xml:space="preserve"> </w:t>
      </w:r>
      <w:r>
        <w:t>la</w:t>
      </w:r>
      <w:r>
        <w:rPr>
          <w:spacing w:val="-15"/>
        </w:rPr>
        <w:t xml:space="preserve"> </w:t>
      </w:r>
      <w:r>
        <w:rPr>
          <w:spacing w:val="-4"/>
        </w:rPr>
        <w:t>debida</w:t>
      </w:r>
      <w:r>
        <w:rPr>
          <w:spacing w:val="-16"/>
        </w:rPr>
        <w:t xml:space="preserve"> </w:t>
      </w:r>
      <w:r>
        <w:rPr>
          <w:spacing w:val="-4"/>
        </w:rPr>
        <w:t>aplicación</w:t>
      </w:r>
      <w:r>
        <w:rPr>
          <w:spacing w:val="-15"/>
        </w:rPr>
        <w:t xml:space="preserve"> </w:t>
      </w:r>
      <w:r>
        <w:t>de</w:t>
      </w:r>
      <w:r>
        <w:rPr>
          <w:spacing w:val="-15"/>
        </w:rPr>
        <w:t xml:space="preserve"> </w:t>
      </w:r>
      <w:r>
        <w:rPr>
          <w:spacing w:val="-4"/>
        </w:rPr>
        <w:t>recursos</w:t>
      </w:r>
      <w:r>
        <w:rPr>
          <w:spacing w:val="-14"/>
        </w:rPr>
        <w:t xml:space="preserve"> </w:t>
      </w:r>
      <w:r>
        <w:rPr>
          <w:spacing w:val="-4"/>
        </w:rPr>
        <w:t>efectivos</w:t>
      </w:r>
      <w:r>
        <w:rPr>
          <w:spacing w:val="-17"/>
        </w:rPr>
        <w:t xml:space="preserve"> </w:t>
      </w:r>
      <w:r>
        <w:rPr>
          <w:spacing w:val="-3"/>
        </w:rPr>
        <w:t>ante</w:t>
      </w:r>
      <w:r>
        <w:rPr>
          <w:spacing w:val="-15"/>
        </w:rPr>
        <w:t xml:space="preserve"> </w:t>
      </w:r>
      <w:r>
        <w:rPr>
          <w:spacing w:val="-4"/>
        </w:rPr>
        <w:t>las</w:t>
      </w:r>
      <w:r>
        <w:rPr>
          <w:spacing w:val="-14"/>
        </w:rPr>
        <w:t xml:space="preserve"> </w:t>
      </w:r>
      <w:r>
        <w:rPr>
          <w:spacing w:val="-4"/>
        </w:rPr>
        <w:t>autoridades competentes</w:t>
      </w:r>
      <w:r>
        <w:rPr>
          <w:spacing w:val="-21"/>
        </w:rPr>
        <w:t xml:space="preserve"> </w:t>
      </w:r>
      <w:r>
        <w:rPr>
          <w:spacing w:val="-3"/>
        </w:rPr>
        <w:t>que</w:t>
      </w:r>
      <w:r>
        <w:rPr>
          <w:spacing w:val="-21"/>
        </w:rPr>
        <w:t xml:space="preserve"> </w:t>
      </w:r>
      <w:r>
        <w:rPr>
          <w:spacing w:val="-4"/>
        </w:rPr>
        <w:t>amparen</w:t>
      </w:r>
      <w:r>
        <w:rPr>
          <w:spacing w:val="-22"/>
        </w:rPr>
        <w:t xml:space="preserve"> </w:t>
      </w:r>
      <w:r>
        <w:t>a</w:t>
      </w:r>
      <w:r>
        <w:rPr>
          <w:spacing w:val="-21"/>
        </w:rPr>
        <w:t xml:space="preserve"> </w:t>
      </w:r>
      <w:r>
        <w:rPr>
          <w:spacing w:val="-3"/>
        </w:rPr>
        <w:t>todas</w:t>
      </w:r>
      <w:r>
        <w:rPr>
          <w:spacing w:val="-23"/>
        </w:rPr>
        <w:t xml:space="preserve"> </w:t>
      </w:r>
      <w:r>
        <w:rPr>
          <w:spacing w:val="-3"/>
        </w:rPr>
        <w:t>las</w:t>
      </w:r>
      <w:r>
        <w:rPr>
          <w:spacing w:val="-21"/>
        </w:rPr>
        <w:t xml:space="preserve"> </w:t>
      </w:r>
      <w:r>
        <w:rPr>
          <w:spacing w:val="-4"/>
        </w:rPr>
        <w:t>personas</w:t>
      </w:r>
      <w:r>
        <w:rPr>
          <w:spacing w:val="-23"/>
        </w:rPr>
        <w:t xml:space="preserve"> </w:t>
      </w:r>
      <w:r>
        <w:rPr>
          <w:spacing w:val="-3"/>
        </w:rPr>
        <w:t>bajo</w:t>
      </w:r>
      <w:r>
        <w:rPr>
          <w:spacing w:val="-20"/>
        </w:rPr>
        <w:t xml:space="preserve"> </w:t>
      </w:r>
      <w:r>
        <w:rPr>
          <w:spacing w:val="-3"/>
        </w:rPr>
        <w:t>su</w:t>
      </w:r>
      <w:r>
        <w:rPr>
          <w:spacing w:val="-22"/>
        </w:rPr>
        <w:t xml:space="preserve"> </w:t>
      </w:r>
      <w:r>
        <w:rPr>
          <w:spacing w:val="-4"/>
        </w:rPr>
        <w:t>jurisdicción</w:t>
      </w:r>
      <w:r>
        <w:rPr>
          <w:spacing w:val="-19"/>
        </w:rPr>
        <w:t xml:space="preserve"> </w:t>
      </w:r>
      <w:r>
        <w:rPr>
          <w:spacing w:val="-4"/>
        </w:rPr>
        <w:t>contra</w:t>
      </w:r>
      <w:r>
        <w:rPr>
          <w:spacing w:val="-20"/>
        </w:rPr>
        <w:t xml:space="preserve"> </w:t>
      </w:r>
      <w:r>
        <w:rPr>
          <w:spacing w:val="-3"/>
        </w:rPr>
        <w:t>actos</w:t>
      </w:r>
      <w:r>
        <w:rPr>
          <w:spacing w:val="-22"/>
        </w:rPr>
        <w:t xml:space="preserve"> </w:t>
      </w:r>
      <w:r>
        <w:rPr>
          <w:spacing w:val="-3"/>
        </w:rPr>
        <w:t>que</w:t>
      </w:r>
      <w:r>
        <w:rPr>
          <w:spacing w:val="-21"/>
        </w:rPr>
        <w:t xml:space="preserve"> </w:t>
      </w:r>
      <w:r>
        <w:rPr>
          <w:spacing w:val="-4"/>
        </w:rPr>
        <w:t xml:space="preserve">violen </w:t>
      </w:r>
      <w:r>
        <w:rPr>
          <w:spacing w:val="-3"/>
        </w:rPr>
        <w:t xml:space="preserve">sus </w:t>
      </w:r>
      <w:r>
        <w:rPr>
          <w:spacing w:val="-4"/>
        </w:rPr>
        <w:t xml:space="preserve">derechos fundamentales </w:t>
      </w:r>
      <w:r>
        <w:t xml:space="preserve">o </w:t>
      </w:r>
      <w:r>
        <w:rPr>
          <w:spacing w:val="-3"/>
        </w:rPr>
        <w:t xml:space="preserve">que </w:t>
      </w:r>
      <w:r>
        <w:rPr>
          <w:spacing w:val="-4"/>
        </w:rPr>
        <w:t xml:space="preserve">conlleven </w:t>
      </w:r>
      <w:r>
        <w:rPr>
          <w:spacing w:val="-3"/>
        </w:rPr>
        <w:t xml:space="preserve">la </w:t>
      </w:r>
      <w:r>
        <w:rPr>
          <w:spacing w:val="-4"/>
        </w:rPr>
        <w:t xml:space="preserve">determinación </w:t>
      </w:r>
      <w:r>
        <w:t xml:space="preserve">de </w:t>
      </w:r>
      <w:r>
        <w:rPr>
          <w:spacing w:val="-2"/>
        </w:rPr>
        <w:t xml:space="preserve">los </w:t>
      </w:r>
      <w:r>
        <w:rPr>
          <w:spacing w:val="-4"/>
        </w:rPr>
        <w:t xml:space="preserve">derechos </w:t>
      </w:r>
      <w:r>
        <w:t xml:space="preserve">y </w:t>
      </w:r>
      <w:r>
        <w:rPr>
          <w:spacing w:val="-4"/>
        </w:rPr>
        <w:t>obligaciones</w:t>
      </w:r>
      <w:r>
        <w:rPr>
          <w:spacing w:val="-17"/>
        </w:rPr>
        <w:t xml:space="preserve"> </w:t>
      </w:r>
      <w:r>
        <w:t>de</w:t>
      </w:r>
      <w:r>
        <w:rPr>
          <w:spacing w:val="-15"/>
        </w:rPr>
        <w:t xml:space="preserve"> </w:t>
      </w:r>
      <w:r>
        <w:t>estas</w:t>
      </w:r>
      <w:hyperlink w:anchor="_bookmark186" w:history="1">
        <w:r>
          <w:rPr>
            <w:position w:val="7"/>
            <w:sz w:val="13"/>
          </w:rPr>
          <w:t>41</w:t>
        </w:r>
      </w:hyperlink>
      <w:r>
        <w:t>.</w:t>
      </w:r>
      <w:r>
        <w:rPr>
          <w:spacing w:val="-17"/>
        </w:rPr>
        <w:t xml:space="preserve"> </w:t>
      </w:r>
      <w:r>
        <w:t>El</w:t>
      </w:r>
      <w:r>
        <w:rPr>
          <w:spacing w:val="-13"/>
        </w:rPr>
        <w:t xml:space="preserve"> </w:t>
      </w:r>
      <w:r>
        <w:rPr>
          <w:spacing w:val="-4"/>
        </w:rPr>
        <w:t>derecho</w:t>
      </w:r>
      <w:r>
        <w:rPr>
          <w:spacing w:val="-15"/>
        </w:rPr>
        <w:t xml:space="preserve"> </w:t>
      </w:r>
      <w:r>
        <w:rPr>
          <w:spacing w:val="-4"/>
        </w:rPr>
        <w:t>establecido</w:t>
      </w:r>
      <w:r>
        <w:rPr>
          <w:spacing w:val="-15"/>
        </w:rPr>
        <w:t xml:space="preserve"> </w:t>
      </w:r>
      <w:r>
        <w:rPr>
          <w:spacing w:val="-3"/>
        </w:rPr>
        <w:t>en</w:t>
      </w:r>
      <w:r>
        <w:rPr>
          <w:spacing w:val="-13"/>
        </w:rPr>
        <w:t xml:space="preserve"> </w:t>
      </w:r>
      <w:r>
        <w:rPr>
          <w:spacing w:val="-3"/>
        </w:rPr>
        <w:t>el</w:t>
      </w:r>
      <w:r>
        <w:rPr>
          <w:spacing w:val="-13"/>
        </w:rPr>
        <w:t xml:space="preserve"> </w:t>
      </w:r>
      <w:r>
        <w:rPr>
          <w:spacing w:val="-4"/>
        </w:rPr>
        <w:t>artículo</w:t>
      </w:r>
      <w:r>
        <w:rPr>
          <w:spacing w:val="-16"/>
        </w:rPr>
        <w:t xml:space="preserve"> </w:t>
      </w:r>
      <w:r>
        <w:t>25</w:t>
      </w:r>
      <w:r>
        <w:rPr>
          <w:spacing w:val="-13"/>
        </w:rPr>
        <w:t xml:space="preserve"> </w:t>
      </w:r>
      <w:r>
        <w:t>se</w:t>
      </w:r>
      <w:r>
        <w:rPr>
          <w:spacing w:val="-15"/>
        </w:rPr>
        <w:t xml:space="preserve"> </w:t>
      </w:r>
      <w:r>
        <w:rPr>
          <w:spacing w:val="-4"/>
        </w:rPr>
        <w:t>encuentra</w:t>
      </w:r>
      <w:r>
        <w:rPr>
          <w:spacing w:val="-13"/>
        </w:rPr>
        <w:t xml:space="preserve"> </w:t>
      </w:r>
      <w:r>
        <w:rPr>
          <w:spacing w:val="-4"/>
        </w:rPr>
        <w:t xml:space="preserve">íntimamente ligado con </w:t>
      </w:r>
      <w:r>
        <w:t xml:space="preserve">la </w:t>
      </w:r>
      <w:r>
        <w:rPr>
          <w:spacing w:val="-4"/>
        </w:rPr>
        <w:t xml:space="preserve">obligación general </w:t>
      </w:r>
      <w:r>
        <w:rPr>
          <w:spacing w:val="-3"/>
        </w:rPr>
        <w:t xml:space="preserve">del </w:t>
      </w:r>
      <w:r>
        <w:rPr>
          <w:spacing w:val="-4"/>
        </w:rPr>
        <w:t xml:space="preserve">artículo </w:t>
      </w:r>
      <w:r>
        <w:rPr>
          <w:spacing w:val="-3"/>
        </w:rPr>
        <w:t xml:space="preserve">1.1 </w:t>
      </w:r>
      <w:r>
        <w:t xml:space="preserve">de </w:t>
      </w:r>
      <w:r>
        <w:rPr>
          <w:spacing w:val="-3"/>
        </w:rPr>
        <w:t xml:space="preserve">la </w:t>
      </w:r>
      <w:r>
        <w:rPr>
          <w:spacing w:val="-4"/>
        </w:rPr>
        <w:t xml:space="preserve">Convención, </w:t>
      </w:r>
      <w:r>
        <w:t xml:space="preserve">al </w:t>
      </w:r>
      <w:r>
        <w:rPr>
          <w:spacing w:val="-4"/>
        </w:rPr>
        <w:t xml:space="preserve">atribuir funciones </w:t>
      </w:r>
      <w:r>
        <w:t xml:space="preserve">de </w:t>
      </w:r>
      <w:r>
        <w:rPr>
          <w:spacing w:val="-4"/>
        </w:rPr>
        <w:t xml:space="preserve">protección </w:t>
      </w:r>
      <w:r>
        <w:rPr>
          <w:spacing w:val="-3"/>
        </w:rPr>
        <w:t xml:space="preserve">al </w:t>
      </w:r>
      <w:r>
        <w:rPr>
          <w:spacing w:val="-4"/>
        </w:rPr>
        <w:t xml:space="preserve">derecho interno </w:t>
      </w:r>
      <w:r>
        <w:t xml:space="preserve">de </w:t>
      </w:r>
      <w:r>
        <w:rPr>
          <w:spacing w:val="-2"/>
        </w:rPr>
        <w:t xml:space="preserve">los </w:t>
      </w:r>
      <w:r>
        <w:rPr>
          <w:spacing w:val="-4"/>
        </w:rPr>
        <w:t xml:space="preserve">Estados </w:t>
      </w:r>
      <w:r>
        <w:t>Parte</w:t>
      </w:r>
      <w:hyperlink w:anchor="_bookmark187" w:history="1">
        <w:r>
          <w:rPr>
            <w:position w:val="7"/>
            <w:sz w:val="13"/>
          </w:rPr>
          <w:t>42</w:t>
        </w:r>
      </w:hyperlink>
      <w:r>
        <w:t xml:space="preserve">. A </w:t>
      </w:r>
      <w:r>
        <w:rPr>
          <w:spacing w:val="-3"/>
        </w:rPr>
        <w:t xml:space="preserve">la </w:t>
      </w:r>
      <w:r>
        <w:rPr>
          <w:spacing w:val="-4"/>
        </w:rPr>
        <w:t xml:space="preserve">vista </w:t>
      </w:r>
      <w:r>
        <w:t xml:space="preserve">de </w:t>
      </w:r>
      <w:r>
        <w:rPr>
          <w:spacing w:val="-3"/>
        </w:rPr>
        <w:t xml:space="preserve">lo </w:t>
      </w:r>
      <w:r>
        <w:rPr>
          <w:spacing w:val="-4"/>
        </w:rPr>
        <w:t xml:space="preserve">anterior, </w:t>
      </w:r>
      <w:r>
        <w:rPr>
          <w:spacing w:val="-3"/>
        </w:rPr>
        <w:t xml:space="preserve">el </w:t>
      </w:r>
      <w:r>
        <w:rPr>
          <w:spacing w:val="-4"/>
        </w:rPr>
        <w:t>Estado</w:t>
      </w:r>
      <w:r>
        <w:rPr>
          <w:spacing w:val="62"/>
        </w:rPr>
        <w:t xml:space="preserve"> </w:t>
      </w:r>
      <w:r>
        <w:rPr>
          <w:spacing w:val="-4"/>
        </w:rPr>
        <w:t>tiene</w:t>
      </w:r>
      <w:r>
        <w:rPr>
          <w:spacing w:val="-14"/>
        </w:rPr>
        <w:t xml:space="preserve"> </w:t>
      </w:r>
      <w:r>
        <w:rPr>
          <w:spacing w:val="-3"/>
        </w:rPr>
        <w:t>la</w:t>
      </w:r>
      <w:r>
        <w:rPr>
          <w:spacing w:val="-11"/>
        </w:rPr>
        <w:t xml:space="preserve"> </w:t>
      </w:r>
      <w:r>
        <w:rPr>
          <w:spacing w:val="-4"/>
        </w:rPr>
        <w:t>responsabilidad</w:t>
      </w:r>
      <w:r>
        <w:rPr>
          <w:spacing w:val="-11"/>
        </w:rPr>
        <w:t xml:space="preserve"> </w:t>
      </w:r>
      <w:r>
        <w:t>no</w:t>
      </w:r>
      <w:r>
        <w:rPr>
          <w:spacing w:val="-13"/>
        </w:rPr>
        <w:t xml:space="preserve"> </w:t>
      </w:r>
      <w:r>
        <w:rPr>
          <w:spacing w:val="-3"/>
        </w:rPr>
        <w:t>solo</w:t>
      </w:r>
      <w:r>
        <w:rPr>
          <w:spacing w:val="-15"/>
        </w:rPr>
        <w:t xml:space="preserve"> </w:t>
      </w:r>
      <w:r>
        <w:t>de</w:t>
      </w:r>
      <w:r>
        <w:rPr>
          <w:spacing w:val="-14"/>
        </w:rPr>
        <w:t xml:space="preserve"> </w:t>
      </w:r>
      <w:r>
        <w:rPr>
          <w:spacing w:val="-4"/>
        </w:rPr>
        <w:t>diseñar</w:t>
      </w:r>
      <w:r>
        <w:rPr>
          <w:spacing w:val="-13"/>
        </w:rPr>
        <w:t xml:space="preserve"> </w:t>
      </w:r>
      <w:r>
        <w:t>y</w:t>
      </w:r>
      <w:r>
        <w:rPr>
          <w:spacing w:val="-12"/>
        </w:rPr>
        <w:t xml:space="preserve"> </w:t>
      </w:r>
      <w:r>
        <w:rPr>
          <w:spacing w:val="-4"/>
        </w:rPr>
        <w:t>consagrar</w:t>
      </w:r>
      <w:r>
        <w:rPr>
          <w:spacing w:val="-15"/>
        </w:rPr>
        <w:t xml:space="preserve"> </w:t>
      </w:r>
      <w:r>
        <w:rPr>
          <w:spacing w:val="-4"/>
        </w:rPr>
        <w:t>normativamente</w:t>
      </w:r>
      <w:r>
        <w:rPr>
          <w:spacing w:val="-15"/>
        </w:rPr>
        <w:t xml:space="preserve"> </w:t>
      </w:r>
      <w:r>
        <w:t>un</w:t>
      </w:r>
      <w:r>
        <w:rPr>
          <w:spacing w:val="-14"/>
        </w:rPr>
        <w:t xml:space="preserve"> </w:t>
      </w:r>
      <w:r>
        <w:rPr>
          <w:spacing w:val="-4"/>
        </w:rPr>
        <w:t>recurso</w:t>
      </w:r>
      <w:r>
        <w:rPr>
          <w:spacing w:val="-13"/>
        </w:rPr>
        <w:t xml:space="preserve"> </w:t>
      </w:r>
      <w:r>
        <w:rPr>
          <w:spacing w:val="-4"/>
        </w:rPr>
        <w:t xml:space="preserve">eficaz, sino también </w:t>
      </w:r>
      <w:r>
        <w:rPr>
          <w:spacing w:val="-3"/>
        </w:rPr>
        <w:t xml:space="preserve">la </w:t>
      </w:r>
      <w:r>
        <w:t xml:space="preserve">de </w:t>
      </w:r>
      <w:r>
        <w:rPr>
          <w:spacing w:val="-4"/>
        </w:rPr>
        <w:t xml:space="preserve">asegurar </w:t>
      </w:r>
      <w:r>
        <w:rPr>
          <w:spacing w:val="-3"/>
        </w:rPr>
        <w:t xml:space="preserve">la </w:t>
      </w:r>
      <w:r>
        <w:rPr>
          <w:spacing w:val="-4"/>
        </w:rPr>
        <w:t xml:space="preserve">debida aplicación </w:t>
      </w:r>
      <w:r>
        <w:t xml:space="preserve">de </w:t>
      </w:r>
      <w:r>
        <w:rPr>
          <w:spacing w:val="-3"/>
        </w:rPr>
        <w:t xml:space="preserve">dicho </w:t>
      </w:r>
      <w:r>
        <w:rPr>
          <w:spacing w:val="-4"/>
        </w:rPr>
        <w:t xml:space="preserve">recurso </w:t>
      </w:r>
      <w:r>
        <w:rPr>
          <w:spacing w:val="-2"/>
        </w:rPr>
        <w:t xml:space="preserve">por </w:t>
      </w:r>
      <w:r>
        <w:rPr>
          <w:spacing w:val="-3"/>
        </w:rPr>
        <w:t xml:space="preserve">parte </w:t>
      </w:r>
      <w:r>
        <w:t xml:space="preserve">de </w:t>
      </w:r>
      <w:r>
        <w:rPr>
          <w:spacing w:val="-3"/>
        </w:rPr>
        <w:t xml:space="preserve">sus </w:t>
      </w:r>
      <w:r>
        <w:rPr>
          <w:spacing w:val="-4"/>
        </w:rPr>
        <w:t>autoridades</w:t>
      </w:r>
      <w:r>
        <w:rPr>
          <w:spacing w:val="-9"/>
        </w:rPr>
        <w:t xml:space="preserve"> </w:t>
      </w:r>
      <w:r>
        <w:rPr>
          <w:spacing w:val="-3"/>
        </w:rPr>
        <w:t>judiciales</w:t>
      </w:r>
      <w:hyperlink w:anchor="_bookmark188" w:history="1">
        <w:r>
          <w:rPr>
            <w:spacing w:val="-3"/>
            <w:position w:val="7"/>
            <w:sz w:val="13"/>
          </w:rPr>
          <w:t>43</w:t>
        </w:r>
      </w:hyperlink>
      <w:r>
        <w:rPr>
          <w:spacing w:val="-3"/>
        </w:rPr>
        <w:t>.</w:t>
      </w:r>
    </w:p>
    <w:p w14:paraId="6FB134B4" w14:textId="77777777" w:rsidR="00492688" w:rsidRDefault="00492688">
      <w:pPr>
        <w:pStyle w:val="Textoindependiente"/>
        <w:spacing w:before="1"/>
      </w:pPr>
    </w:p>
    <w:p w14:paraId="7C3FDBB7" w14:textId="77777777" w:rsidR="00492688" w:rsidRDefault="00C9584B">
      <w:pPr>
        <w:pStyle w:val="Prrafodelista"/>
        <w:numPr>
          <w:ilvl w:val="0"/>
          <w:numId w:val="3"/>
        </w:numPr>
        <w:tabs>
          <w:tab w:val="left" w:pos="830"/>
        </w:tabs>
        <w:ind w:right="226" w:firstLine="0"/>
        <w:jc w:val="both"/>
        <w:rPr>
          <w:sz w:val="20"/>
        </w:rPr>
      </w:pPr>
      <w:r>
        <w:rPr>
          <w:sz w:val="20"/>
        </w:rPr>
        <w:t xml:space="preserve">En lo </w:t>
      </w:r>
      <w:r>
        <w:rPr>
          <w:spacing w:val="-3"/>
          <w:sz w:val="20"/>
        </w:rPr>
        <w:t xml:space="preserve">que </w:t>
      </w:r>
      <w:r>
        <w:rPr>
          <w:sz w:val="20"/>
        </w:rPr>
        <w:t xml:space="preserve">se </w:t>
      </w:r>
      <w:r>
        <w:rPr>
          <w:spacing w:val="-4"/>
          <w:sz w:val="20"/>
        </w:rPr>
        <w:t xml:space="preserve">refiere específicamente </w:t>
      </w:r>
      <w:r>
        <w:rPr>
          <w:sz w:val="20"/>
        </w:rPr>
        <w:t xml:space="preserve">a la </w:t>
      </w:r>
      <w:r>
        <w:rPr>
          <w:spacing w:val="-4"/>
          <w:sz w:val="20"/>
        </w:rPr>
        <w:t xml:space="preserve">efectividad </w:t>
      </w:r>
      <w:r>
        <w:rPr>
          <w:spacing w:val="-2"/>
          <w:sz w:val="20"/>
        </w:rPr>
        <w:t xml:space="preserve">del </w:t>
      </w:r>
      <w:r>
        <w:rPr>
          <w:spacing w:val="-4"/>
          <w:sz w:val="20"/>
        </w:rPr>
        <w:t xml:space="preserve">recurso, esta </w:t>
      </w:r>
      <w:r>
        <w:rPr>
          <w:spacing w:val="-3"/>
          <w:sz w:val="20"/>
        </w:rPr>
        <w:t xml:space="preserve">Corte </w:t>
      </w:r>
      <w:r>
        <w:rPr>
          <w:sz w:val="20"/>
        </w:rPr>
        <w:t xml:space="preserve">ha </w:t>
      </w:r>
      <w:r>
        <w:rPr>
          <w:spacing w:val="-4"/>
          <w:sz w:val="20"/>
        </w:rPr>
        <w:t xml:space="preserve">establecido </w:t>
      </w:r>
      <w:r>
        <w:rPr>
          <w:spacing w:val="-3"/>
          <w:sz w:val="20"/>
        </w:rPr>
        <w:t xml:space="preserve">que el </w:t>
      </w:r>
      <w:r>
        <w:rPr>
          <w:spacing w:val="-4"/>
          <w:sz w:val="20"/>
        </w:rPr>
        <w:t xml:space="preserve">sentido </w:t>
      </w:r>
      <w:r>
        <w:rPr>
          <w:sz w:val="20"/>
        </w:rPr>
        <w:t xml:space="preserve">de </w:t>
      </w:r>
      <w:r>
        <w:rPr>
          <w:spacing w:val="-3"/>
          <w:sz w:val="20"/>
        </w:rPr>
        <w:t xml:space="preserve">la </w:t>
      </w:r>
      <w:r>
        <w:rPr>
          <w:spacing w:val="-4"/>
          <w:sz w:val="20"/>
        </w:rPr>
        <w:t xml:space="preserve">protección </w:t>
      </w:r>
      <w:r>
        <w:rPr>
          <w:spacing w:val="-2"/>
          <w:sz w:val="20"/>
        </w:rPr>
        <w:t xml:space="preserve">del </w:t>
      </w:r>
      <w:r>
        <w:rPr>
          <w:spacing w:val="-4"/>
          <w:sz w:val="20"/>
        </w:rPr>
        <w:t xml:space="preserve">artículo </w:t>
      </w:r>
      <w:r>
        <w:rPr>
          <w:i/>
          <w:sz w:val="20"/>
          <w:u w:val="single"/>
        </w:rPr>
        <w:t xml:space="preserve">es </w:t>
      </w:r>
      <w:r>
        <w:rPr>
          <w:i/>
          <w:spacing w:val="-3"/>
          <w:sz w:val="20"/>
          <w:u w:val="single"/>
        </w:rPr>
        <w:t xml:space="preserve">la </w:t>
      </w:r>
      <w:r>
        <w:rPr>
          <w:i/>
          <w:spacing w:val="-4"/>
          <w:sz w:val="20"/>
          <w:u w:val="single"/>
        </w:rPr>
        <w:t xml:space="preserve">posibilidad real </w:t>
      </w:r>
      <w:r>
        <w:rPr>
          <w:i/>
          <w:sz w:val="20"/>
          <w:u w:val="single"/>
        </w:rPr>
        <w:t xml:space="preserve">de </w:t>
      </w:r>
      <w:r>
        <w:rPr>
          <w:i/>
          <w:spacing w:val="-4"/>
          <w:sz w:val="20"/>
          <w:u w:val="single"/>
        </w:rPr>
        <w:t xml:space="preserve">acceder </w:t>
      </w:r>
      <w:r>
        <w:rPr>
          <w:i/>
          <w:sz w:val="20"/>
          <w:u w:val="single"/>
        </w:rPr>
        <w:t xml:space="preserve">a un </w:t>
      </w:r>
      <w:r>
        <w:rPr>
          <w:i/>
          <w:spacing w:val="-4"/>
          <w:sz w:val="20"/>
          <w:u w:val="single"/>
        </w:rPr>
        <w:t xml:space="preserve">recurso judicial para </w:t>
      </w:r>
      <w:r>
        <w:rPr>
          <w:i/>
          <w:spacing w:val="-3"/>
          <w:sz w:val="20"/>
          <w:u w:val="single"/>
        </w:rPr>
        <w:t xml:space="preserve">que una </w:t>
      </w:r>
      <w:r>
        <w:rPr>
          <w:i/>
          <w:spacing w:val="-4"/>
          <w:sz w:val="20"/>
          <w:u w:val="single"/>
        </w:rPr>
        <w:t xml:space="preserve">autoridad competente </w:t>
      </w:r>
      <w:r>
        <w:rPr>
          <w:i/>
          <w:sz w:val="20"/>
          <w:u w:val="single"/>
        </w:rPr>
        <w:t xml:space="preserve">y </w:t>
      </w:r>
      <w:r>
        <w:rPr>
          <w:i/>
          <w:spacing w:val="-4"/>
          <w:sz w:val="20"/>
          <w:u w:val="single"/>
        </w:rPr>
        <w:t xml:space="preserve">capaz </w:t>
      </w:r>
      <w:r>
        <w:rPr>
          <w:i/>
          <w:sz w:val="20"/>
          <w:u w:val="single"/>
        </w:rPr>
        <w:t xml:space="preserve">de </w:t>
      </w:r>
      <w:r>
        <w:rPr>
          <w:i/>
          <w:spacing w:val="-4"/>
          <w:sz w:val="20"/>
          <w:u w:val="single"/>
        </w:rPr>
        <w:t xml:space="preserve">emitir </w:t>
      </w:r>
      <w:r>
        <w:rPr>
          <w:i/>
          <w:spacing w:val="-3"/>
          <w:sz w:val="20"/>
          <w:u w:val="single"/>
        </w:rPr>
        <w:t xml:space="preserve">una </w:t>
      </w:r>
      <w:r>
        <w:rPr>
          <w:i/>
          <w:spacing w:val="-4"/>
          <w:sz w:val="20"/>
          <w:u w:val="single"/>
        </w:rPr>
        <w:t>decisión vinculante,</w:t>
      </w:r>
      <w:r>
        <w:rPr>
          <w:i/>
          <w:spacing w:val="-10"/>
          <w:sz w:val="20"/>
          <w:u w:val="single"/>
        </w:rPr>
        <w:t xml:space="preserve"> </w:t>
      </w:r>
      <w:r>
        <w:rPr>
          <w:i/>
          <w:spacing w:val="-4"/>
          <w:sz w:val="20"/>
          <w:u w:val="single"/>
        </w:rPr>
        <w:t>determine</w:t>
      </w:r>
      <w:r>
        <w:rPr>
          <w:i/>
          <w:spacing w:val="-7"/>
          <w:sz w:val="20"/>
          <w:u w:val="single"/>
        </w:rPr>
        <w:t xml:space="preserve"> </w:t>
      </w:r>
      <w:r>
        <w:rPr>
          <w:i/>
          <w:spacing w:val="-3"/>
          <w:sz w:val="20"/>
          <w:u w:val="single"/>
        </w:rPr>
        <w:t>si</w:t>
      </w:r>
      <w:r>
        <w:rPr>
          <w:i/>
          <w:spacing w:val="-6"/>
          <w:sz w:val="20"/>
          <w:u w:val="single"/>
        </w:rPr>
        <w:t xml:space="preserve"> </w:t>
      </w:r>
      <w:r>
        <w:rPr>
          <w:i/>
          <w:sz w:val="20"/>
          <w:u w:val="single"/>
        </w:rPr>
        <w:t>ha</w:t>
      </w:r>
      <w:r>
        <w:rPr>
          <w:i/>
          <w:spacing w:val="-10"/>
          <w:sz w:val="20"/>
          <w:u w:val="single"/>
        </w:rPr>
        <w:t xml:space="preserve"> </w:t>
      </w:r>
      <w:r>
        <w:rPr>
          <w:i/>
          <w:spacing w:val="-4"/>
          <w:sz w:val="20"/>
          <w:u w:val="single"/>
        </w:rPr>
        <w:t>habido</w:t>
      </w:r>
      <w:r>
        <w:rPr>
          <w:i/>
          <w:spacing w:val="-8"/>
          <w:sz w:val="20"/>
          <w:u w:val="single"/>
        </w:rPr>
        <w:t xml:space="preserve"> </w:t>
      </w:r>
      <w:r>
        <w:rPr>
          <w:i/>
          <w:sz w:val="20"/>
          <w:u w:val="single"/>
        </w:rPr>
        <w:t>o</w:t>
      </w:r>
      <w:r>
        <w:rPr>
          <w:i/>
          <w:spacing w:val="-9"/>
          <w:sz w:val="20"/>
          <w:u w:val="single"/>
        </w:rPr>
        <w:t xml:space="preserve"> </w:t>
      </w:r>
      <w:r>
        <w:rPr>
          <w:i/>
          <w:sz w:val="20"/>
          <w:u w:val="single"/>
        </w:rPr>
        <w:t>no</w:t>
      </w:r>
      <w:r>
        <w:rPr>
          <w:i/>
          <w:spacing w:val="-10"/>
          <w:sz w:val="20"/>
          <w:u w:val="single"/>
        </w:rPr>
        <w:t xml:space="preserve"> </w:t>
      </w:r>
      <w:r>
        <w:rPr>
          <w:i/>
          <w:spacing w:val="-2"/>
          <w:sz w:val="20"/>
          <w:u w:val="single"/>
        </w:rPr>
        <w:t>una</w:t>
      </w:r>
      <w:r>
        <w:rPr>
          <w:i/>
          <w:spacing w:val="-8"/>
          <w:sz w:val="20"/>
          <w:u w:val="single"/>
        </w:rPr>
        <w:t xml:space="preserve"> </w:t>
      </w:r>
      <w:r>
        <w:rPr>
          <w:i/>
          <w:spacing w:val="-4"/>
          <w:sz w:val="20"/>
          <w:u w:val="single"/>
        </w:rPr>
        <w:t>violación</w:t>
      </w:r>
      <w:r>
        <w:rPr>
          <w:i/>
          <w:spacing w:val="-8"/>
          <w:sz w:val="20"/>
          <w:u w:val="single"/>
        </w:rPr>
        <w:t xml:space="preserve"> </w:t>
      </w:r>
      <w:r>
        <w:rPr>
          <w:i/>
          <w:sz w:val="20"/>
          <w:u w:val="single"/>
        </w:rPr>
        <w:t>a</w:t>
      </w:r>
      <w:r>
        <w:rPr>
          <w:i/>
          <w:spacing w:val="-6"/>
          <w:sz w:val="20"/>
          <w:u w:val="single"/>
        </w:rPr>
        <w:t xml:space="preserve"> </w:t>
      </w:r>
      <w:r>
        <w:rPr>
          <w:i/>
          <w:spacing w:val="-4"/>
          <w:sz w:val="20"/>
          <w:u w:val="single"/>
        </w:rPr>
        <w:t>algún</w:t>
      </w:r>
      <w:r>
        <w:rPr>
          <w:i/>
          <w:spacing w:val="-7"/>
          <w:sz w:val="20"/>
          <w:u w:val="single"/>
        </w:rPr>
        <w:t xml:space="preserve"> </w:t>
      </w:r>
      <w:r>
        <w:rPr>
          <w:i/>
          <w:spacing w:val="-4"/>
          <w:sz w:val="20"/>
          <w:u w:val="single"/>
        </w:rPr>
        <w:t>derecho</w:t>
      </w:r>
      <w:r>
        <w:rPr>
          <w:i/>
          <w:spacing w:val="-10"/>
          <w:sz w:val="20"/>
          <w:u w:val="single"/>
        </w:rPr>
        <w:t xml:space="preserve"> </w:t>
      </w:r>
      <w:r>
        <w:rPr>
          <w:i/>
          <w:spacing w:val="-3"/>
          <w:sz w:val="20"/>
          <w:u w:val="single"/>
        </w:rPr>
        <w:t>que</w:t>
      </w:r>
      <w:r>
        <w:rPr>
          <w:i/>
          <w:spacing w:val="-9"/>
          <w:sz w:val="20"/>
          <w:u w:val="single"/>
        </w:rPr>
        <w:t xml:space="preserve"> </w:t>
      </w:r>
      <w:r>
        <w:rPr>
          <w:i/>
          <w:sz w:val="20"/>
          <w:u w:val="single"/>
        </w:rPr>
        <w:t>la</w:t>
      </w:r>
      <w:r>
        <w:rPr>
          <w:i/>
          <w:spacing w:val="-9"/>
          <w:sz w:val="20"/>
          <w:u w:val="single"/>
        </w:rPr>
        <w:t xml:space="preserve"> </w:t>
      </w:r>
      <w:r>
        <w:rPr>
          <w:i/>
          <w:spacing w:val="-4"/>
          <w:sz w:val="20"/>
          <w:u w:val="single"/>
        </w:rPr>
        <w:t>persona</w:t>
      </w:r>
      <w:r>
        <w:rPr>
          <w:i/>
          <w:spacing w:val="-8"/>
          <w:sz w:val="20"/>
          <w:u w:val="single"/>
        </w:rPr>
        <w:t xml:space="preserve"> </w:t>
      </w:r>
      <w:r>
        <w:rPr>
          <w:i/>
          <w:spacing w:val="-3"/>
          <w:sz w:val="20"/>
          <w:u w:val="single"/>
        </w:rPr>
        <w:t xml:space="preserve">que </w:t>
      </w:r>
      <w:r>
        <w:rPr>
          <w:i/>
          <w:spacing w:val="-4"/>
          <w:sz w:val="20"/>
          <w:u w:val="single"/>
        </w:rPr>
        <w:t xml:space="preserve">reclama estima </w:t>
      </w:r>
      <w:r>
        <w:rPr>
          <w:i/>
          <w:spacing w:val="-3"/>
          <w:sz w:val="20"/>
          <w:u w:val="single"/>
        </w:rPr>
        <w:t>tener</w:t>
      </w:r>
      <w:r>
        <w:rPr>
          <w:i/>
          <w:spacing w:val="-3"/>
          <w:sz w:val="20"/>
        </w:rPr>
        <w:t xml:space="preserve"> </w:t>
      </w:r>
      <w:r>
        <w:rPr>
          <w:sz w:val="20"/>
        </w:rPr>
        <w:t xml:space="preserve">y </w:t>
      </w:r>
      <w:r>
        <w:rPr>
          <w:spacing w:val="-4"/>
          <w:sz w:val="20"/>
        </w:rPr>
        <w:t xml:space="preserve">que, </w:t>
      </w:r>
      <w:r>
        <w:rPr>
          <w:spacing w:val="-3"/>
          <w:sz w:val="20"/>
        </w:rPr>
        <w:t xml:space="preserve">en caso </w:t>
      </w:r>
      <w:r>
        <w:rPr>
          <w:sz w:val="20"/>
        </w:rPr>
        <w:t xml:space="preserve">de </w:t>
      </w:r>
      <w:r>
        <w:rPr>
          <w:spacing w:val="-3"/>
          <w:sz w:val="20"/>
        </w:rPr>
        <w:t xml:space="preserve">ser </w:t>
      </w:r>
      <w:r>
        <w:rPr>
          <w:spacing w:val="-4"/>
          <w:sz w:val="20"/>
        </w:rPr>
        <w:t xml:space="preserve">encontrada </w:t>
      </w:r>
      <w:r>
        <w:rPr>
          <w:spacing w:val="-3"/>
          <w:sz w:val="20"/>
        </w:rPr>
        <w:t xml:space="preserve">una </w:t>
      </w:r>
      <w:r>
        <w:rPr>
          <w:spacing w:val="-4"/>
          <w:sz w:val="20"/>
        </w:rPr>
        <w:t xml:space="preserve">violación, </w:t>
      </w:r>
      <w:r>
        <w:rPr>
          <w:spacing w:val="-3"/>
          <w:sz w:val="20"/>
        </w:rPr>
        <w:t xml:space="preserve">el </w:t>
      </w:r>
      <w:r>
        <w:rPr>
          <w:spacing w:val="-4"/>
          <w:sz w:val="20"/>
        </w:rPr>
        <w:t xml:space="preserve">recurso </w:t>
      </w:r>
      <w:r>
        <w:rPr>
          <w:spacing w:val="-3"/>
          <w:sz w:val="20"/>
        </w:rPr>
        <w:t xml:space="preserve">sea </w:t>
      </w:r>
      <w:r>
        <w:rPr>
          <w:spacing w:val="-4"/>
          <w:sz w:val="20"/>
        </w:rPr>
        <w:t xml:space="preserve">útil para restituir </w:t>
      </w:r>
      <w:r>
        <w:rPr>
          <w:spacing w:val="-3"/>
          <w:sz w:val="20"/>
        </w:rPr>
        <w:t xml:space="preserve">al </w:t>
      </w:r>
      <w:r>
        <w:rPr>
          <w:spacing w:val="-4"/>
          <w:sz w:val="20"/>
        </w:rPr>
        <w:t xml:space="preserve">interesado </w:t>
      </w:r>
      <w:r>
        <w:rPr>
          <w:sz w:val="20"/>
        </w:rPr>
        <w:t xml:space="preserve">en </w:t>
      </w:r>
      <w:r>
        <w:rPr>
          <w:spacing w:val="-3"/>
          <w:sz w:val="20"/>
        </w:rPr>
        <w:t xml:space="preserve">el goce </w:t>
      </w:r>
      <w:r>
        <w:rPr>
          <w:sz w:val="20"/>
        </w:rPr>
        <w:t xml:space="preserve">de </w:t>
      </w:r>
      <w:r>
        <w:rPr>
          <w:spacing w:val="-3"/>
          <w:sz w:val="20"/>
        </w:rPr>
        <w:t xml:space="preserve">su </w:t>
      </w:r>
      <w:r>
        <w:rPr>
          <w:spacing w:val="-4"/>
          <w:sz w:val="20"/>
        </w:rPr>
        <w:t xml:space="preserve">derecho </w:t>
      </w:r>
      <w:r>
        <w:rPr>
          <w:sz w:val="20"/>
        </w:rPr>
        <w:t xml:space="preserve">y </w:t>
      </w:r>
      <w:r>
        <w:rPr>
          <w:spacing w:val="-3"/>
          <w:sz w:val="20"/>
        </w:rPr>
        <w:t>repararlo</w:t>
      </w:r>
      <w:hyperlink w:anchor="_bookmark189" w:history="1">
        <w:r>
          <w:rPr>
            <w:spacing w:val="-3"/>
            <w:position w:val="7"/>
            <w:sz w:val="13"/>
          </w:rPr>
          <w:t>44</w:t>
        </w:r>
      </w:hyperlink>
      <w:r>
        <w:rPr>
          <w:spacing w:val="-3"/>
          <w:sz w:val="20"/>
        </w:rPr>
        <w:t xml:space="preserve">. </w:t>
      </w:r>
      <w:r>
        <w:rPr>
          <w:sz w:val="20"/>
        </w:rPr>
        <w:t xml:space="preserve">Lo </w:t>
      </w:r>
      <w:r>
        <w:rPr>
          <w:spacing w:val="-4"/>
          <w:sz w:val="20"/>
        </w:rPr>
        <w:t xml:space="preserve">anterior </w:t>
      </w:r>
      <w:r>
        <w:rPr>
          <w:sz w:val="20"/>
        </w:rPr>
        <w:t xml:space="preserve">no </w:t>
      </w:r>
      <w:r>
        <w:rPr>
          <w:spacing w:val="-4"/>
          <w:sz w:val="20"/>
        </w:rPr>
        <w:t xml:space="preserve">implica </w:t>
      </w:r>
      <w:r>
        <w:rPr>
          <w:spacing w:val="-3"/>
          <w:sz w:val="20"/>
        </w:rPr>
        <w:t xml:space="preserve">que </w:t>
      </w:r>
      <w:r>
        <w:rPr>
          <w:sz w:val="20"/>
        </w:rPr>
        <w:t xml:space="preserve">se </w:t>
      </w:r>
      <w:r>
        <w:rPr>
          <w:spacing w:val="-4"/>
          <w:sz w:val="20"/>
        </w:rPr>
        <w:t xml:space="preserve">evalúe </w:t>
      </w:r>
      <w:r>
        <w:rPr>
          <w:spacing w:val="-3"/>
          <w:sz w:val="20"/>
        </w:rPr>
        <w:t xml:space="preserve">la </w:t>
      </w:r>
      <w:r>
        <w:rPr>
          <w:spacing w:val="-4"/>
          <w:sz w:val="20"/>
        </w:rPr>
        <w:t xml:space="preserve">efectividad </w:t>
      </w:r>
      <w:r>
        <w:rPr>
          <w:sz w:val="20"/>
        </w:rPr>
        <w:t xml:space="preserve">de un </w:t>
      </w:r>
      <w:r>
        <w:rPr>
          <w:spacing w:val="-4"/>
          <w:sz w:val="20"/>
        </w:rPr>
        <w:t xml:space="preserve">recurso </w:t>
      </w:r>
      <w:r>
        <w:rPr>
          <w:sz w:val="20"/>
        </w:rPr>
        <w:t xml:space="preserve">en </w:t>
      </w:r>
      <w:r>
        <w:rPr>
          <w:spacing w:val="-4"/>
          <w:sz w:val="20"/>
        </w:rPr>
        <w:t xml:space="preserve">función </w:t>
      </w:r>
      <w:r>
        <w:rPr>
          <w:sz w:val="20"/>
        </w:rPr>
        <w:t xml:space="preserve">de </w:t>
      </w:r>
      <w:r>
        <w:rPr>
          <w:spacing w:val="-3"/>
          <w:sz w:val="20"/>
        </w:rPr>
        <w:t xml:space="preserve">que este </w:t>
      </w:r>
      <w:r>
        <w:rPr>
          <w:spacing w:val="-4"/>
          <w:sz w:val="20"/>
        </w:rPr>
        <w:t xml:space="preserve">produzca </w:t>
      </w:r>
      <w:r>
        <w:rPr>
          <w:sz w:val="20"/>
        </w:rPr>
        <w:t xml:space="preserve">un </w:t>
      </w:r>
      <w:r>
        <w:rPr>
          <w:spacing w:val="-4"/>
          <w:sz w:val="20"/>
        </w:rPr>
        <w:t xml:space="preserve">resultado favorable </w:t>
      </w:r>
      <w:r>
        <w:rPr>
          <w:spacing w:val="-3"/>
          <w:sz w:val="20"/>
        </w:rPr>
        <w:t xml:space="preserve">para </w:t>
      </w:r>
      <w:r>
        <w:rPr>
          <w:sz w:val="20"/>
        </w:rPr>
        <w:t xml:space="preserve">el </w:t>
      </w:r>
      <w:r>
        <w:rPr>
          <w:spacing w:val="-4"/>
          <w:sz w:val="20"/>
        </w:rPr>
        <w:t>demandant</w:t>
      </w:r>
      <w:r>
        <w:rPr>
          <w:spacing w:val="-4"/>
          <w:sz w:val="20"/>
        </w:rPr>
        <w:t>e [énfasis</w:t>
      </w:r>
      <w:r>
        <w:rPr>
          <w:spacing w:val="-35"/>
          <w:sz w:val="20"/>
        </w:rPr>
        <w:t xml:space="preserve"> </w:t>
      </w:r>
      <w:r>
        <w:rPr>
          <w:sz w:val="20"/>
        </w:rPr>
        <w:t>añadido]</w:t>
      </w:r>
      <w:hyperlink w:anchor="_bookmark190" w:history="1">
        <w:r>
          <w:rPr>
            <w:position w:val="7"/>
            <w:sz w:val="13"/>
          </w:rPr>
          <w:t>45</w:t>
        </w:r>
      </w:hyperlink>
      <w:r>
        <w:rPr>
          <w:sz w:val="20"/>
        </w:rPr>
        <w:t>.</w:t>
      </w:r>
    </w:p>
    <w:p w14:paraId="38DD0546" w14:textId="77777777" w:rsidR="00492688" w:rsidRDefault="00492688">
      <w:pPr>
        <w:pStyle w:val="Textoindependiente"/>
        <w:spacing w:before="11"/>
        <w:rPr>
          <w:sz w:val="19"/>
        </w:rPr>
      </w:pPr>
    </w:p>
    <w:p w14:paraId="122029C5" w14:textId="77777777" w:rsidR="00492688" w:rsidRDefault="00C9584B">
      <w:pPr>
        <w:pStyle w:val="Prrafodelista"/>
        <w:numPr>
          <w:ilvl w:val="0"/>
          <w:numId w:val="3"/>
        </w:numPr>
        <w:tabs>
          <w:tab w:val="left" w:pos="830"/>
        </w:tabs>
        <w:ind w:right="226" w:firstLine="0"/>
        <w:jc w:val="both"/>
        <w:rPr>
          <w:sz w:val="20"/>
        </w:rPr>
      </w:pPr>
      <w:r>
        <w:rPr>
          <w:spacing w:val="-4"/>
          <w:sz w:val="20"/>
        </w:rPr>
        <w:t>Conforme</w:t>
      </w:r>
      <w:r>
        <w:rPr>
          <w:spacing w:val="-16"/>
          <w:sz w:val="20"/>
        </w:rPr>
        <w:t xml:space="preserve"> </w:t>
      </w:r>
      <w:r>
        <w:rPr>
          <w:sz w:val="20"/>
        </w:rPr>
        <w:t>a</w:t>
      </w:r>
      <w:r>
        <w:rPr>
          <w:spacing w:val="-16"/>
          <w:sz w:val="20"/>
        </w:rPr>
        <w:t xml:space="preserve"> </w:t>
      </w:r>
      <w:r>
        <w:rPr>
          <w:sz w:val="20"/>
        </w:rPr>
        <w:t>lo</w:t>
      </w:r>
      <w:r>
        <w:rPr>
          <w:spacing w:val="-15"/>
          <w:sz w:val="20"/>
        </w:rPr>
        <w:t xml:space="preserve"> </w:t>
      </w:r>
      <w:r>
        <w:rPr>
          <w:spacing w:val="-4"/>
          <w:sz w:val="20"/>
        </w:rPr>
        <w:t>anterior,</w:t>
      </w:r>
      <w:r>
        <w:rPr>
          <w:spacing w:val="-12"/>
          <w:sz w:val="20"/>
        </w:rPr>
        <w:t xml:space="preserve"> </w:t>
      </w:r>
      <w:r>
        <w:rPr>
          <w:sz w:val="20"/>
        </w:rPr>
        <w:t>el</w:t>
      </w:r>
      <w:r>
        <w:rPr>
          <w:spacing w:val="-17"/>
          <w:sz w:val="20"/>
        </w:rPr>
        <w:t xml:space="preserve"> </w:t>
      </w:r>
      <w:r>
        <w:rPr>
          <w:spacing w:val="-4"/>
          <w:sz w:val="20"/>
        </w:rPr>
        <w:t>criterio</w:t>
      </w:r>
      <w:r>
        <w:rPr>
          <w:spacing w:val="-15"/>
          <w:sz w:val="20"/>
        </w:rPr>
        <w:t xml:space="preserve"> </w:t>
      </w:r>
      <w:r>
        <w:rPr>
          <w:spacing w:val="-4"/>
          <w:sz w:val="20"/>
        </w:rPr>
        <w:t>mayoritario</w:t>
      </w:r>
      <w:r>
        <w:rPr>
          <w:spacing w:val="-18"/>
          <w:sz w:val="20"/>
        </w:rPr>
        <w:t xml:space="preserve"> </w:t>
      </w:r>
      <w:r>
        <w:rPr>
          <w:spacing w:val="-3"/>
          <w:sz w:val="20"/>
        </w:rPr>
        <w:t>debió</w:t>
      </w:r>
      <w:r>
        <w:rPr>
          <w:spacing w:val="-15"/>
          <w:sz w:val="20"/>
        </w:rPr>
        <w:t xml:space="preserve"> </w:t>
      </w:r>
      <w:r>
        <w:rPr>
          <w:spacing w:val="-4"/>
          <w:sz w:val="20"/>
        </w:rPr>
        <w:t>concluir</w:t>
      </w:r>
      <w:r>
        <w:rPr>
          <w:spacing w:val="-17"/>
          <w:sz w:val="20"/>
        </w:rPr>
        <w:t xml:space="preserve"> </w:t>
      </w:r>
      <w:r>
        <w:rPr>
          <w:spacing w:val="-3"/>
          <w:sz w:val="20"/>
        </w:rPr>
        <w:t>que,</w:t>
      </w:r>
      <w:r>
        <w:rPr>
          <w:spacing w:val="-16"/>
          <w:sz w:val="20"/>
        </w:rPr>
        <w:t xml:space="preserve"> </w:t>
      </w:r>
      <w:r>
        <w:rPr>
          <w:spacing w:val="-4"/>
          <w:sz w:val="20"/>
        </w:rPr>
        <w:t>aunque</w:t>
      </w:r>
      <w:r>
        <w:rPr>
          <w:spacing w:val="-15"/>
          <w:sz w:val="20"/>
        </w:rPr>
        <w:t xml:space="preserve"> </w:t>
      </w:r>
      <w:r>
        <w:rPr>
          <w:spacing w:val="-4"/>
          <w:sz w:val="20"/>
        </w:rPr>
        <w:t>existía</w:t>
      </w:r>
      <w:r>
        <w:rPr>
          <w:spacing w:val="-14"/>
          <w:sz w:val="20"/>
        </w:rPr>
        <w:t xml:space="preserve"> </w:t>
      </w:r>
      <w:r>
        <w:rPr>
          <w:sz w:val="20"/>
        </w:rPr>
        <w:t xml:space="preserve">un </w:t>
      </w:r>
      <w:r>
        <w:rPr>
          <w:spacing w:val="-4"/>
          <w:sz w:val="20"/>
        </w:rPr>
        <w:t xml:space="preserve">recurso </w:t>
      </w:r>
      <w:r>
        <w:rPr>
          <w:sz w:val="20"/>
        </w:rPr>
        <w:t xml:space="preserve">de </w:t>
      </w:r>
      <w:r>
        <w:rPr>
          <w:spacing w:val="-4"/>
          <w:sz w:val="20"/>
        </w:rPr>
        <w:t xml:space="preserve">acuerdo </w:t>
      </w:r>
      <w:r>
        <w:rPr>
          <w:sz w:val="20"/>
        </w:rPr>
        <w:t xml:space="preserve">a la </w:t>
      </w:r>
      <w:r>
        <w:rPr>
          <w:spacing w:val="-4"/>
          <w:sz w:val="20"/>
        </w:rPr>
        <w:t xml:space="preserve">legislación peruana, </w:t>
      </w:r>
      <w:r>
        <w:rPr>
          <w:spacing w:val="-3"/>
          <w:sz w:val="20"/>
        </w:rPr>
        <w:t xml:space="preserve">este </w:t>
      </w:r>
      <w:r>
        <w:rPr>
          <w:sz w:val="20"/>
        </w:rPr>
        <w:t xml:space="preserve">no </w:t>
      </w:r>
      <w:r>
        <w:rPr>
          <w:spacing w:val="-3"/>
          <w:sz w:val="20"/>
        </w:rPr>
        <w:t xml:space="preserve">era </w:t>
      </w:r>
      <w:r>
        <w:rPr>
          <w:spacing w:val="-4"/>
          <w:sz w:val="20"/>
        </w:rPr>
        <w:t xml:space="preserve">efectivo </w:t>
      </w:r>
      <w:r>
        <w:rPr>
          <w:spacing w:val="-3"/>
          <w:sz w:val="20"/>
        </w:rPr>
        <w:t xml:space="preserve">ya que </w:t>
      </w:r>
      <w:r>
        <w:rPr>
          <w:spacing w:val="-4"/>
          <w:sz w:val="20"/>
        </w:rPr>
        <w:t xml:space="preserve">acotaba </w:t>
      </w:r>
      <w:r>
        <w:rPr>
          <w:spacing w:val="-3"/>
          <w:sz w:val="20"/>
        </w:rPr>
        <w:t xml:space="preserve">su </w:t>
      </w:r>
      <w:r>
        <w:rPr>
          <w:spacing w:val="-4"/>
          <w:sz w:val="20"/>
        </w:rPr>
        <w:t>procedencia</w:t>
      </w:r>
      <w:r>
        <w:rPr>
          <w:spacing w:val="-21"/>
          <w:sz w:val="20"/>
        </w:rPr>
        <w:t xml:space="preserve"> </w:t>
      </w:r>
      <w:r>
        <w:rPr>
          <w:spacing w:val="-4"/>
          <w:sz w:val="20"/>
        </w:rPr>
        <w:t>respecto</w:t>
      </w:r>
      <w:r>
        <w:rPr>
          <w:spacing w:val="-25"/>
          <w:sz w:val="20"/>
        </w:rPr>
        <w:t xml:space="preserve"> </w:t>
      </w:r>
      <w:r>
        <w:rPr>
          <w:sz w:val="20"/>
        </w:rPr>
        <w:t>de</w:t>
      </w:r>
      <w:r>
        <w:rPr>
          <w:spacing w:val="-22"/>
          <w:sz w:val="20"/>
        </w:rPr>
        <w:t xml:space="preserve"> </w:t>
      </w:r>
      <w:r>
        <w:rPr>
          <w:spacing w:val="-4"/>
          <w:sz w:val="20"/>
        </w:rPr>
        <w:t>alegadas</w:t>
      </w:r>
      <w:r>
        <w:rPr>
          <w:spacing w:val="-24"/>
          <w:sz w:val="20"/>
        </w:rPr>
        <w:t xml:space="preserve"> </w:t>
      </w:r>
      <w:r>
        <w:rPr>
          <w:spacing w:val="-4"/>
          <w:sz w:val="20"/>
        </w:rPr>
        <w:t>violaciones</w:t>
      </w:r>
      <w:r>
        <w:rPr>
          <w:spacing w:val="-24"/>
          <w:sz w:val="20"/>
        </w:rPr>
        <w:t xml:space="preserve"> </w:t>
      </w:r>
      <w:r>
        <w:rPr>
          <w:spacing w:val="-4"/>
          <w:sz w:val="20"/>
        </w:rPr>
        <w:t>únicamente</w:t>
      </w:r>
      <w:r>
        <w:rPr>
          <w:spacing w:val="-25"/>
          <w:sz w:val="20"/>
        </w:rPr>
        <w:t xml:space="preserve"> </w:t>
      </w:r>
      <w:r>
        <w:rPr>
          <w:sz w:val="20"/>
        </w:rPr>
        <w:t>al</w:t>
      </w:r>
      <w:r>
        <w:rPr>
          <w:spacing w:val="-23"/>
          <w:sz w:val="20"/>
        </w:rPr>
        <w:t xml:space="preserve"> </w:t>
      </w:r>
      <w:r>
        <w:rPr>
          <w:spacing w:val="-4"/>
          <w:sz w:val="20"/>
        </w:rPr>
        <w:t>debido</w:t>
      </w:r>
      <w:r>
        <w:rPr>
          <w:spacing w:val="-25"/>
          <w:sz w:val="20"/>
        </w:rPr>
        <w:t xml:space="preserve"> </w:t>
      </w:r>
      <w:r>
        <w:rPr>
          <w:spacing w:val="-3"/>
          <w:sz w:val="20"/>
        </w:rPr>
        <w:t>proceso,</w:t>
      </w:r>
      <w:r>
        <w:rPr>
          <w:spacing w:val="-24"/>
          <w:sz w:val="20"/>
        </w:rPr>
        <w:t xml:space="preserve"> </w:t>
      </w:r>
      <w:r>
        <w:rPr>
          <w:spacing w:val="-3"/>
          <w:sz w:val="20"/>
        </w:rPr>
        <w:t>pero</w:t>
      </w:r>
      <w:r>
        <w:rPr>
          <w:spacing w:val="-25"/>
          <w:sz w:val="20"/>
        </w:rPr>
        <w:t xml:space="preserve"> </w:t>
      </w:r>
      <w:r>
        <w:rPr>
          <w:sz w:val="20"/>
        </w:rPr>
        <w:t>no</w:t>
      </w:r>
      <w:r>
        <w:rPr>
          <w:spacing w:val="-22"/>
          <w:sz w:val="20"/>
        </w:rPr>
        <w:t xml:space="preserve"> </w:t>
      </w:r>
      <w:r>
        <w:rPr>
          <w:spacing w:val="-4"/>
          <w:sz w:val="20"/>
        </w:rPr>
        <w:t xml:space="preserve">frente </w:t>
      </w:r>
      <w:r>
        <w:rPr>
          <w:sz w:val="20"/>
        </w:rPr>
        <w:t xml:space="preserve">a la </w:t>
      </w:r>
      <w:r>
        <w:rPr>
          <w:spacing w:val="-4"/>
          <w:sz w:val="20"/>
        </w:rPr>
        <w:t xml:space="preserve">vulneración </w:t>
      </w:r>
      <w:r>
        <w:rPr>
          <w:sz w:val="20"/>
        </w:rPr>
        <w:t xml:space="preserve">de </w:t>
      </w:r>
      <w:r>
        <w:rPr>
          <w:spacing w:val="-4"/>
          <w:sz w:val="20"/>
        </w:rPr>
        <w:t xml:space="preserve">derechos fundamentales </w:t>
      </w:r>
      <w:r>
        <w:rPr>
          <w:spacing w:val="-3"/>
          <w:sz w:val="20"/>
        </w:rPr>
        <w:t xml:space="preserve">que, como </w:t>
      </w:r>
      <w:r>
        <w:rPr>
          <w:spacing w:val="-4"/>
          <w:sz w:val="20"/>
        </w:rPr>
        <w:t xml:space="preserve">jueces, </w:t>
      </w:r>
      <w:r>
        <w:rPr>
          <w:sz w:val="20"/>
        </w:rPr>
        <w:t xml:space="preserve">le </w:t>
      </w:r>
      <w:r>
        <w:rPr>
          <w:spacing w:val="-3"/>
          <w:sz w:val="20"/>
        </w:rPr>
        <w:t xml:space="preserve">son </w:t>
      </w:r>
      <w:r>
        <w:rPr>
          <w:spacing w:val="-4"/>
          <w:sz w:val="20"/>
        </w:rPr>
        <w:t xml:space="preserve">propios </w:t>
      </w:r>
      <w:r>
        <w:rPr>
          <w:sz w:val="20"/>
        </w:rPr>
        <w:t xml:space="preserve">a </w:t>
      </w:r>
      <w:r>
        <w:rPr>
          <w:spacing w:val="-3"/>
          <w:sz w:val="20"/>
        </w:rPr>
        <w:t xml:space="preserve">las </w:t>
      </w:r>
      <w:r>
        <w:rPr>
          <w:spacing w:val="-4"/>
          <w:sz w:val="20"/>
        </w:rPr>
        <w:t>personas</w:t>
      </w:r>
      <w:r>
        <w:rPr>
          <w:spacing w:val="-18"/>
          <w:sz w:val="20"/>
        </w:rPr>
        <w:t xml:space="preserve"> </w:t>
      </w:r>
      <w:r>
        <w:rPr>
          <w:spacing w:val="-3"/>
          <w:sz w:val="20"/>
        </w:rPr>
        <w:t>que</w:t>
      </w:r>
      <w:r>
        <w:rPr>
          <w:spacing w:val="-15"/>
          <w:sz w:val="20"/>
        </w:rPr>
        <w:t xml:space="preserve"> </w:t>
      </w:r>
      <w:r>
        <w:rPr>
          <w:spacing w:val="-4"/>
          <w:sz w:val="20"/>
        </w:rPr>
        <w:t>conforman</w:t>
      </w:r>
      <w:r>
        <w:rPr>
          <w:spacing w:val="-14"/>
          <w:sz w:val="20"/>
        </w:rPr>
        <w:t xml:space="preserve"> </w:t>
      </w:r>
      <w:r>
        <w:rPr>
          <w:spacing w:val="-3"/>
          <w:sz w:val="20"/>
        </w:rPr>
        <w:t>la</w:t>
      </w:r>
      <w:r>
        <w:rPr>
          <w:spacing w:val="-19"/>
          <w:sz w:val="20"/>
        </w:rPr>
        <w:t xml:space="preserve"> </w:t>
      </w:r>
      <w:r>
        <w:rPr>
          <w:spacing w:val="-4"/>
          <w:sz w:val="20"/>
        </w:rPr>
        <w:t>judicatura</w:t>
      </w:r>
      <w:r>
        <w:rPr>
          <w:spacing w:val="-17"/>
          <w:sz w:val="20"/>
        </w:rPr>
        <w:t xml:space="preserve"> </w:t>
      </w:r>
      <w:r>
        <w:rPr>
          <w:spacing w:val="-3"/>
          <w:sz w:val="20"/>
        </w:rPr>
        <w:t>en</w:t>
      </w:r>
      <w:r>
        <w:rPr>
          <w:spacing w:val="-13"/>
          <w:sz w:val="20"/>
        </w:rPr>
        <w:t xml:space="preserve"> </w:t>
      </w:r>
      <w:r>
        <w:rPr>
          <w:spacing w:val="-3"/>
          <w:sz w:val="20"/>
        </w:rPr>
        <w:t>el</w:t>
      </w:r>
      <w:r>
        <w:rPr>
          <w:spacing w:val="-15"/>
          <w:sz w:val="20"/>
        </w:rPr>
        <w:t xml:space="preserve"> </w:t>
      </w:r>
      <w:r>
        <w:rPr>
          <w:spacing w:val="-4"/>
          <w:sz w:val="20"/>
        </w:rPr>
        <w:t>supuesto</w:t>
      </w:r>
      <w:r>
        <w:rPr>
          <w:spacing w:val="-18"/>
          <w:sz w:val="20"/>
        </w:rPr>
        <w:t xml:space="preserve"> </w:t>
      </w:r>
      <w:r>
        <w:rPr>
          <w:sz w:val="20"/>
        </w:rPr>
        <w:t>de</w:t>
      </w:r>
      <w:r>
        <w:rPr>
          <w:spacing w:val="-18"/>
          <w:sz w:val="20"/>
        </w:rPr>
        <w:t xml:space="preserve"> </w:t>
      </w:r>
      <w:r>
        <w:rPr>
          <w:spacing w:val="-4"/>
          <w:sz w:val="20"/>
        </w:rPr>
        <w:t>destituciones</w:t>
      </w:r>
      <w:r>
        <w:rPr>
          <w:spacing w:val="-16"/>
          <w:sz w:val="20"/>
        </w:rPr>
        <w:t xml:space="preserve"> </w:t>
      </w:r>
      <w:r>
        <w:rPr>
          <w:sz w:val="20"/>
        </w:rPr>
        <w:t>o</w:t>
      </w:r>
      <w:r>
        <w:rPr>
          <w:spacing w:val="-20"/>
          <w:sz w:val="20"/>
        </w:rPr>
        <w:t xml:space="preserve"> </w:t>
      </w:r>
      <w:r>
        <w:rPr>
          <w:sz w:val="20"/>
        </w:rPr>
        <w:t>de</w:t>
      </w:r>
      <w:r>
        <w:rPr>
          <w:spacing w:val="-16"/>
          <w:sz w:val="20"/>
        </w:rPr>
        <w:t xml:space="preserve"> </w:t>
      </w:r>
      <w:r>
        <w:rPr>
          <w:spacing w:val="-4"/>
          <w:sz w:val="20"/>
        </w:rPr>
        <w:t>procedimientos disciplinarios</w:t>
      </w:r>
      <w:r>
        <w:rPr>
          <w:spacing w:val="-10"/>
          <w:sz w:val="20"/>
        </w:rPr>
        <w:t xml:space="preserve"> </w:t>
      </w:r>
      <w:r>
        <w:rPr>
          <w:spacing w:val="-4"/>
          <w:sz w:val="20"/>
        </w:rPr>
        <w:t>sancionadores.</w:t>
      </w:r>
    </w:p>
    <w:p w14:paraId="76EF2E26" w14:textId="77777777" w:rsidR="00492688" w:rsidRDefault="00492688">
      <w:pPr>
        <w:pStyle w:val="Textoindependiente"/>
      </w:pPr>
    </w:p>
    <w:p w14:paraId="50CA61DD" w14:textId="77777777" w:rsidR="00492688" w:rsidRDefault="00C9584B">
      <w:pPr>
        <w:pStyle w:val="Prrafodelista"/>
        <w:numPr>
          <w:ilvl w:val="0"/>
          <w:numId w:val="3"/>
        </w:numPr>
        <w:tabs>
          <w:tab w:val="left" w:pos="830"/>
        </w:tabs>
        <w:ind w:right="226" w:firstLine="0"/>
        <w:jc w:val="both"/>
        <w:rPr>
          <w:sz w:val="20"/>
        </w:rPr>
      </w:pPr>
      <w:r>
        <w:rPr>
          <w:spacing w:val="-4"/>
          <w:sz w:val="20"/>
        </w:rPr>
        <w:t>Inclusive,</w:t>
      </w:r>
      <w:r>
        <w:rPr>
          <w:spacing w:val="-11"/>
          <w:sz w:val="20"/>
        </w:rPr>
        <w:t xml:space="preserve"> </w:t>
      </w:r>
      <w:r>
        <w:rPr>
          <w:sz w:val="20"/>
        </w:rPr>
        <w:t>lo</w:t>
      </w:r>
      <w:r>
        <w:rPr>
          <w:spacing w:val="-10"/>
          <w:sz w:val="20"/>
        </w:rPr>
        <w:t xml:space="preserve"> </w:t>
      </w:r>
      <w:r>
        <w:rPr>
          <w:spacing w:val="-4"/>
          <w:sz w:val="20"/>
        </w:rPr>
        <w:t>anterior</w:t>
      </w:r>
      <w:r>
        <w:rPr>
          <w:spacing w:val="-10"/>
          <w:sz w:val="20"/>
        </w:rPr>
        <w:t xml:space="preserve"> </w:t>
      </w:r>
      <w:r>
        <w:rPr>
          <w:sz w:val="20"/>
        </w:rPr>
        <w:t>se</w:t>
      </w:r>
      <w:r>
        <w:rPr>
          <w:spacing w:val="-8"/>
          <w:sz w:val="20"/>
        </w:rPr>
        <w:t xml:space="preserve"> </w:t>
      </w:r>
      <w:r>
        <w:rPr>
          <w:sz w:val="20"/>
        </w:rPr>
        <w:t>ve</w:t>
      </w:r>
      <w:r>
        <w:rPr>
          <w:spacing w:val="-10"/>
          <w:sz w:val="20"/>
        </w:rPr>
        <w:t xml:space="preserve"> </w:t>
      </w:r>
      <w:r>
        <w:rPr>
          <w:spacing w:val="-4"/>
          <w:sz w:val="20"/>
        </w:rPr>
        <w:t>corroborado</w:t>
      </w:r>
      <w:r>
        <w:rPr>
          <w:spacing w:val="-10"/>
          <w:sz w:val="20"/>
        </w:rPr>
        <w:t xml:space="preserve"> </w:t>
      </w:r>
      <w:r>
        <w:rPr>
          <w:spacing w:val="-3"/>
          <w:sz w:val="20"/>
        </w:rPr>
        <w:t>con</w:t>
      </w:r>
      <w:r>
        <w:rPr>
          <w:spacing w:val="-8"/>
          <w:sz w:val="20"/>
        </w:rPr>
        <w:t xml:space="preserve"> </w:t>
      </w:r>
      <w:r>
        <w:rPr>
          <w:spacing w:val="-3"/>
          <w:sz w:val="20"/>
        </w:rPr>
        <w:t>la</w:t>
      </w:r>
      <w:r>
        <w:rPr>
          <w:spacing w:val="-9"/>
          <w:sz w:val="20"/>
        </w:rPr>
        <w:t xml:space="preserve"> </w:t>
      </w:r>
      <w:r>
        <w:rPr>
          <w:spacing w:val="-4"/>
          <w:sz w:val="20"/>
        </w:rPr>
        <w:t>propia</w:t>
      </w:r>
      <w:r>
        <w:rPr>
          <w:spacing w:val="-9"/>
          <w:sz w:val="20"/>
        </w:rPr>
        <w:t xml:space="preserve"> </w:t>
      </w:r>
      <w:r>
        <w:rPr>
          <w:spacing w:val="-4"/>
          <w:sz w:val="20"/>
        </w:rPr>
        <w:t>información</w:t>
      </w:r>
      <w:r>
        <w:rPr>
          <w:spacing w:val="-8"/>
          <w:sz w:val="20"/>
        </w:rPr>
        <w:t xml:space="preserve"> </w:t>
      </w:r>
      <w:r>
        <w:rPr>
          <w:spacing w:val="-4"/>
          <w:sz w:val="20"/>
        </w:rPr>
        <w:t>suministrada</w:t>
      </w:r>
      <w:r>
        <w:rPr>
          <w:spacing w:val="-9"/>
          <w:sz w:val="20"/>
        </w:rPr>
        <w:t xml:space="preserve"> </w:t>
      </w:r>
      <w:r>
        <w:rPr>
          <w:spacing w:val="-4"/>
          <w:sz w:val="20"/>
        </w:rPr>
        <w:t xml:space="preserve">por </w:t>
      </w:r>
      <w:r>
        <w:rPr>
          <w:spacing w:val="-3"/>
          <w:sz w:val="20"/>
        </w:rPr>
        <w:t xml:space="preserve">el </w:t>
      </w:r>
      <w:r>
        <w:rPr>
          <w:spacing w:val="-4"/>
          <w:sz w:val="20"/>
        </w:rPr>
        <w:t xml:space="preserve">Estado, </w:t>
      </w:r>
      <w:r>
        <w:rPr>
          <w:spacing w:val="-3"/>
          <w:sz w:val="20"/>
        </w:rPr>
        <w:t xml:space="preserve">en la que </w:t>
      </w:r>
      <w:r>
        <w:rPr>
          <w:spacing w:val="-4"/>
          <w:sz w:val="20"/>
        </w:rPr>
        <w:t xml:space="preserve">expresó </w:t>
      </w:r>
      <w:r>
        <w:rPr>
          <w:spacing w:val="-3"/>
          <w:sz w:val="20"/>
        </w:rPr>
        <w:t xml:space="preserve">que </w:t>
      </w:r>
      <w:r>
        <w:rPr>
          <w:sz w:val="20"/>
        </w:rPr>
        <w:t xml:space="preserve">ha </w:t>
      </w:r>
      <w:r>
        <w:rPr>
          <w:spacing w:val="-4"/>
          <w:sz w:val="20"/>
        </w:rPr>
        <w:t xml:space="preserve">sido mediante </w:t>
      </w:r>
      <w:r>
        <w:rPr>
          <w:spacing w:val="-3"/>
          <w:sz w:val="20"/>
        </w:rPr>
        <w:t xml:space="preserve">la </w:t>
      </w:r>
      <w:r>
        <w:rPr>
          <w:spacing w:val="-4"/>
          <w:sz w:val="20"/>
        </w:rPr>
        <w:t xml:space="preserve">interpretación jurisprudencial posterior </w:t>
      </w:r>
      <w:r>
        <w:rPr>
          <w:spacing w:val="-3"/>
          <w:sz w:val="20"/>
        </w:rPr>
        <w:t xml:space="preserve">que </w:t>
      </w:r>
      <w:r>
        <w:rPr>
          <w:sz w:val="20"/>
        </w:rPr>
        <w:t xml:space="preserve">se ha </w:t>
      </w:r>
      <w:r>
        <w:rPr>
          <w:spacing w:val="-4"/>
          <w:sz w:val="20"/>
        </w:rPr>
        <w:t xml:space="preserve">establecido </w:t>
      </w:r>
      <w:r>
        <w:rPr>
          <w:spacing w:val="-3"/>
          <w:sz w:val="20"/>
        </w:rPr>
        <w:t xml:space="preserve">la </w:t>
      </w:r>
      <w:r>
        <w:rPr>
          <w:spacing w:val="-4"/>
          <w:sz w:val="20"/>
        </w:rPr>
        <w:t>efectiv</w:t>
      </w:r>
      <w:r>
        <w:rPr>
          <w:spacing w:val="-4"/>
          <w:sz w:val="20"/>
        </w:rPr>
        <w:t xml:space="preserve">idad </w:t>
      </w:r>
      <w:r>
        <w:rPr>
          <w:spacing w:val="-3"/>
          <w:sz w:val="20"/>
        </w:rPr>
        <w:t xml:space="preserve">del </w:t>
      </w:r>
      <w:r>
        <w:rPr>
          <w:spacing w:val="-4"/>
          <w:sz w:val="20"/>
        </w:rPr>
        <w:t xml:space="preserve">recurso </w:t>
      </w:r>
      <w:r>
        <w:rPr>
          <w:sz w:val="20"/>
        </w:rPr>
        <w:t xml:space="preserve">de </w:t>
      </w:r>
      <w:r>
        <w:rPr>
          <w:spacing w:val="-4"/>
          <w:sz w:val="20"/>
        </w:rPr>
        <w:t xml:space="preserve">amparo </w:t>
      </w:r>
      <w:r>
        <w:rPr>
          <w:spacing w:val="-3"/>
          <w:sz w:val="20"/>
        </w:rPr>
        <w:t xml:space="preserve">para </w:t>
      </w:r>
      <w:r>
        <w:rPr>
          <w:spacing w:val="-4"/>
          <w:sz w:val="20"/>
        </w:rPr>
        <w:t xml:space="preserve">conocer </w:t>
      </w:r>
      <w:r>
        <w:rPr>
          <w:i/>
          <w:sz w:val="20"/>
        </w:rPr>
        <w:t xml:space="preserve">de </w:t>
      </w:r>
      <w:r>
        <w:rPr>
          <w:i/>
          <w:spacing w:val="-4"/>
          <w:sz w:val="20"/>
        </w:rPr>
        <w:t xml:space="preserve">cualquier violación </w:t>
      </w:r>
      <w:r>
        <w:rPr>
          <w:i/>
          <w:sz w:val="20"/>
        </w:rPr>
        <w:t xml:space="preserve">a </w:t>
      </w:r>
      <w:r>
        <w:rPr>
          <w:i/>
          <w:spacing w:val="-2"/>
          <w:sz w:val="20"/>
        </w:rPr>
        <w:t xml:space="preserve">los </w:t>
      </w:r>
      <w:r>
        <w:rPr>
          <w:i/>
          <w:spacing w:val="-4"/>
          <w:sz w:val="20"/>
        </w:rPr>
        <w:t xml:space="preserve">derechos fundamentales </w:t>
      </w:r>
      <w:r>
        <w:rPr>
          <w:spacing w:val="-4"/>
          <w:sz w:val="20"/>
        </w:rPr>
        <w:t xml:space="preserve">derivada </w:t>
      </w:r>
      <w:r>
        <w:rPr>
          <w:sz w:val="20"/>
        </w:rPr>
        <w:t xml:space="preserve">de </w:t>
      </w:r>
      <w:r>
        <w:rPr>
          <w:spacing w:val="-3"/>
          <w:sz w:val="20"/>
        </w:rPr>
        <w:t xml:space="preserve">la </w:t>
      </w:r>
      <w:r>
        <w:rPr>
          <w:spacing w:val="-4"/>
          <w:sz w:val="20"/>
        </w:rPr>
        <w:t xml:space="preserve">decisión </w:t>
      </w:r>
      <w:r>
        <w:rPr>
          <w:sz w:val="20"/>
        </w:rPr>
        <w:t xml:space="preserve">de </w:t>
      </w:r>
      <w:r>
        <w:rPr>
          <w:spacing w:val="-4"/>
          <w:sz w:val="20"/>
        </w:rPr>
        <w:t xml:space="preserve">destituir </w:t>
      </w:r>
      <w:r>
        <w:rPr>
          <w:sz w:val="20"/>
        </w:rPr>
        <w:t>a</w:t>
      </w:r>
      <w:r>
        <w:rPr>
          <w:spacing w:val="-46"/>
          <w:sz w:val="20"/>
        </w:rPr>
        <w:t xml:space="preserve"> </w:t>
      </w:r>
      <w:r>
        <w:rPr>
          <w:sz w:val="20"/>
        </w:rPr>
        <w:t xml:space="preserve">un </w:t>
      </w:r>
      <w:r>
        <w:rPr>
          <w:spacing w:val="-4"/>
          <w:sz w:val="20"/>
        </w:rPr>
        <w:t xml:space="preserve">juez </w:t>
      </w:r>
      <w:r>
        <w:rPr>
          <w:sz w:val="20"/>
        </w:rPr>
        <w:t>o jueza</w:t>
      </w:r>
      <w:hyperlink w:anchor="_bookmark191" w:history="1">
        <w:r>
          <w:rPr>
            <w:position w:val="7"/>
            <w:sz w:val="13"/>
          </w:rPr>
          <w:t>46</w:t>
        </w:r>
      </w:hyperlink>
      <w:r>
        <w:rPr>
          <w:sz w:val="20"/>
        </w:rPr>
        <w:t xml:space="preserve">. Es </w:t>
      </w:r>
      <w:r>
        <w:rPr>
          <w:spacing w:val="-3"/>
          <w:sz w:val="20"/>
        </w:rPr>
        <w:t xml:space="preserve">decir, </w:t>
      </w:r>
      <w:r>
        <w:rPr>
          <w:sz w:val="20"/>
        </w:rPr>
        <w:t xml:space="preserve">se </w:t>
      </w:r>
      <w:r>
        <w:rPr>
          <w:spacing w:val="-4"/>
          <w:sz w:val="20"/>
        </w:rPr>
        <w:t xml:space="preserve">entiende </w:t>
      </w:r>
      <w:r>
        <w:rPr>
          <w:spacing w:val="-3"/>
          <w:sz w:val="20"/>
        </w:rPr>
        <w:t xml:space="preserve">que al </w:t>
      </w:r>
      <w:r>
        <w:rPr>
          <w:spacing w:val="-4"/>
          <w:sz w:val="20"/>
        </w:rPr>
        <w:t xml:space="preserve">menos, </w:t>
      </w:r>
      <w:r>
        <w:rPr>
          <w:spacing w:val="-3"/>
          <w:sz w:val="20"/>
        </w:rPr>
        <w:t xml:space="preserve">al </w:t>
      </w:r>
      <w:r>
        <w:rPr>
          <w:spacing w:val="-4"/>
          <w:sz w:val="20"/>
        </w:rPr>
        <w:t xml:space="preserve">momento </w:t>
      </w:r>
      <w:r>
        <w:rPr>
          <w:sz w:val="20"/>
        </w:rPr>
        <w:t xml:space="preserve">de </w:t>
      </w:r>
      <w:r>
        <w:rPr>
          <w:spacing w:val="-2"/>
          <w:sz w:val="20"/>
        </w:rPr>
        <w:t xml:space="preserve">los </w:t>
      </w:r>
      <w:r>
        <w:rPr>
          <w:spacing w:val="-4"/>
          <w:sz w:val="20"/>
        </w:rPr>
        <w:t xml:space="preserve">hechos, </w:t>
      </w:r>
      <w:r>
        <w:rPr>
          <w:spacing w:val="-3"/>
          <w:sz w:val="20"/>
        </w:rPr>
        <w:t xml:space="preserve">el </w:t>
      </w:r>
      <w:r>
        <w:rPr>
          <w:spacing w:val="-4"/>
          <w:sz w:val="20"/>
        </w:rPr>
        <w:t xml:space="preserve">recurso </w:t>
      </w:r>
      <w:r>
        <w:rPr>
          <w:spacing w:val="-3"/>
          <w:sz w:val="20"/>
        </w:rPr>
        <w:t>de</w:t>
      </w:r>
      <w:r>
        <w:rPr>
          <w:spacing w:val="37"/>
          <w:sz w:val="20"/>
        </w:rPr>
        <w:t xml:space="preserve"> </w:t>
      </w:r>
      <w:r>
        <w:rPr>
          <w:spacing w:val="-4"/>
          <w:sz w:val="20"/>
        </w:rPr>
        <w:t>amparo,</w:t>
      </w:r>
      <w:r>
        <w:rPr>
          <w:spacing w:val="39"/>
          <w:sz w:val="20"/>
        </w:rPr>
        <w:t xml:space="preserve"> </w:t>
      </w:r>
      <w:r>
        <w:rPr>
          <w:spacing w:val="-3"/>
          <w:sz w:val="20"/>
        </w:rPr>
        <w:t>tal</w:t>
      </w:r>
      <w:r>
        <w:rPr>
          <w:spacing w:val="40"/>
          <w:sz w:val="20"/>
        </w:rPr>
        <w:t xml:space="preserve"> </w:t>
      </w:r>
      <w:r>
        <w:rPr>
          <w:spacing w:val="-3"/>
          <w:sz w:val="20"/>
        </w:rPr>
        <w:t>como</w:t>
      </w:r>
      <w:r>
        <w:rPr>
          <w:spacing w:val="38"/>
          <w:sz w:val="20"/>
        </w:rPr>
        <w:t xml:space="preserve"> </w:t>
      </w:r>
      <w:r>
        <w:rPr>
          <w:spacing w:val="-4"/>
          <w:sz w:val="20"/>
        </w:rPr>
        <w:t>estaba</w:t>
      </w:r>
      <w:r>
        <w:rPr>
          <w:spacing w:val="40"/>
          <w:sz w:val="20"/>
        </w:rPr>
        <w:t xml:space="preserve"> </w:t>
      </w:r>
      <w:r>
        <w:rPr>
          <w:spacing w:val="-4"/>
          <w:sz w:val="20"/>
        </w:rPr>
        <w:t>diseñado,</w:t>
      </w:r>
      <w:r>
        <w:rPr>
          <w:spacing w:val="39"/>
          <w:sz w:val="20"/>
        </w:rPr>
        <w:t xml:space="preserve"> </w:t>
      </w:r>
      <w:r>
        <w:rPr>
          <w:spacing w:val="-3"/>
          <w:sz w:val="20"/>
        </w:rPr>
        <w:t>si</w:t>
      </w:r>
      <w:r>
        <w:rPr>
          <w:spacing w:val="40"/>
          <w:sz w:val="20"/>
        </w:rPr>
        <w:t xml:space="preserve"> </w:t>
      </w:r>
      <w:r>
        <w:rPr>
          <w:spacing w:val="-4"/>
          <w:sz w:val="20"/>
        </w:rPr>
        <w:t>bien</w:t>
      </w:r>
      <w:r>
        <w:rPr>
          <w:spacing w:val="40"/>
          <w:sz w:val="20"/>
        </w:rPr>
        <w:t xml:space="preserve"> </w:t>
      </w:r>
      <w:r>
        <w:rPr>
          <w:spacing w:val="-3"/>
          <w:sz w:val="20"/>
        </w:rPr>
        <w:t>era</w:t>
      </w:r>
      <w:r>
        <w:rPr>
          <w:spacing w:val="37"/>
          <w:sz w:val="20"/>
        </w:rPr>
        <w:t xml:space="preserve"> </w:t>
      </w:r>
      <w:r>
        <w:rPr>
          <w:sz w:val="20"/>
        </w:rPr>
        <w:t>un</w:t>
      </w:r>
      <w:r>
        <w:rPr>
          <w:spacing w:val="40"/>
          <w:sz w:val="20"/>
        </w:rPr>
        <w:t xml:space="preserve"> </w:t>
      </w:r>
      <w:r>
        <w:rPr>
          <w:spacing w:val="-4"/>
          <w:sz w:val="20"/>
        </w:rPr>
        <w:t>recurso</w:t>
      </w:r>
      <w:r>
        <w:rPr>
          <w:spacing w:val="36"/>
          <w:sz w:val="20"/>
        </w:rPr>
        <w:t xml:space="preserve"> </w:t>
      </w:r>
      <w:r>
        <w:rPr>
          <w:spacing w:val="-3"/>
          <w:sz w:val="20"/>
        </w:rPr>
        <w:t>que</w:t>
      </w:r>
      <w:r>
        <w:rPr>
          <w:spacing w:val="38"/>
          <w:sz w:val="20"/>
        </w:rPr>
        <w:t xml:space="preserve"> </w:t>
      </w:r>
      <w:r>
        <w:rPr>
          <w:spacing w:val="-4"/>
          <w:sz w:val="20"/>
        </w:rPr>
        <w:t>tutelaba</w:t>
      </w:r>
      <w:r>
        <w:rPr>
          <w:spacing w:val="40"/>
          <w:sz w:val="20"/>
        </w:rPr>
        <w:t xml:space="preserve"> </w:t>
      </w:r>
      <w:r>
        <w:rPr>
          <w:spacing w:val="-4"/>
          <w:sz w:val="20"/>
        </w:rPr>
        <w:t>derechos</w:t>
      </w:r>
    </w:p>
    <w:p w14:paraId="7F193113" w14:textId="77777777" w:rsidR="00492688" w:rsidRDefault="00492688">
      <w:pPr>
        <w:pStyle w:val="Textoindependiente"/>
      </w:pPr>
    </w:p>
    <w:p w14:paraId="047CA549" w14:textId="258311BB" w:rsidR="00492688" w:rsidRDefault="00C9584B">
      <w:pPr>
        <w:pStyle w:val="Textoindependiente"/>
        <w:spacing w:before="5"/>
        <w:rPr>
          <w:sz w:val="25"/>
        </w:rPr>
      </w:pPr>
      <w:r>
        <w:rPr>
          <w:noProof/>
        </w:rPr>
        <mc:AlternateContent>
          <mc:Choice Requires="wps">
            <w:drawing>
              <wp:anchor distT="0" distB="0" distL="0" distR="0" simplePos="0" relativeHeight="251697152" behindDoc="1" locked="0" layoutInCell="1" allowOverlap="1" wp14:anchorId="2C1F720D" wp14:editId="6BE0AE13">
                <wp:simplePos x="0" y="0"/>
                <wp:positionH relativeFrom="page">
                  <wp:posOffset>1080770</wp:posOffset>
                </wp:positionH>
                <wp:positionV relativeFrom="paragraph">
                  <wp:posOffset>224790</wp:posOffset>
                </wp:positionV>
                <wp:extent cx="1828800"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DA472" id="Freeform 4" o:spid="_x0000_s1026" style="position:absolute;margin-left:85.1pt;margin-top:17.7pt;width:2in;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" path="m,l2880,e" filled="f" strokeweight=".6pt">
                <v:path arrowok="t" o:connecttype="custom" o:connectlocs="0,0;1828800,0" o:connectangles="0,0"/>
                <w10:wrap type="topAndBottom" anchorx="page"/>
              </v:shape>
            </w:pict>
          </mc:Fallback>
        </mc:AlternateContent>
      </w:r>
    </w:p>
    <w:p w14:paraId="3CDD8CE7" w14:textId="77777777" w:rsidR="00492688" w:rsidRDefault="00492688">
      <w:pPr>
        <w:pStyle w:val="Textoindependiente"/>
        <w:spacing w:before="10"/>
        <w:rPr>
          <w:sz w:val="5"/>
        </w:rPr>
      </w:pPr>
    </w:p>
    <w:p w14:paraId="1A735A47" w14:textId="77777777" w:rsidR="00492688" w:rsidRDefault="00C9584B">
      <w:pPr>
        <w:tabs>
          <w:tab w:val="left" w:pos="829"/>
        </w:tabs>
        <w:spacing w:before="101"/>
        <w:ind w:left="121"/>
        <w:jc w:val="both"/>
        <w:rPr>
          <w:sz w:val="16"/>
        </w:rPr>
      </w:pPr>
      <w:bookmarkStart w:id="218" w:name="_bookmark186"/>
      <w:bookmarkEnd w:id="218"/>
      <w:r>
        <w:rPr>
          <w:position w:val="6"/>
          <w:sz w:val="10"/>
        </w:rPr>
        <w:t>41</w:t>
      </w:r>
      <w:r>
        <w:rPr>
          <w:position w:val="6"/>
          <w:sz w:val="10"/>
        </w:rPr>
        <w:tab/>
      </w:r>
      <w:r>
        <w:rPr>
          <w:i/>
          <w:sz w:val="16"/>
        </w:rPr>
        <w:t>Cfr. Caso de los “Niños de la Calle” (Villagrán Morales y otros) Vs. Guatemala. Fondo</w:t>
      </w:r>
      <w:r>
        <w:rPr>
          <w:sz w:val="16"/>
        </w:rPr>
        <w:t>. Sentencia</w:t>
      </w:r>
      <w:r>
        <w:rPr>
          <w:spacing w:val="-13"/>
          <w:sz w:val="16"/>
        </w:rPr>
        <w:t xml:space="preserve"> </w:t>
      </w:r>
      <w:r>
        <w:rPr>
          <w:sz w:val="16"/>
        </w:rPr>
        <w:t>de</w:t>
      </w:r>
    </w:p>
    <w:p w14:paraId="565B1FE5" w14:textId="77777777" w:rsidR="00492688" w:rsidRDefault="00C9584B">
      <w:pPr>
        <w:ind w:left="121" w:right="228"/>
        <w:jc w:val="both"/>
        <w:rPr>
          <w:sz w:val="16"/>
        </w:rPr>
      </w:pPr>
      <w:r>
        <w:rPr>
          <w:sz w:val="16"/>
        </w:rPr>
        <w:t xml:space="preserve">19 de noviembre de 1999. Serie C No. 63, párr. 237, y </w:t>
      </w:r>
      <w:r>
        <w:rPr>
          <w:i/>
          <w:sz w:val="16"/>
        </w:rPr>
        <w:t xml:space="preserve">Caso Noguera y otra Vs. Paraguay. Fondo, Reparaciones y Costas. </w:t>
      </w:r>
      <w:r>
        <w:rPr>
          <w:sz w:val="16"/>
        </w:rPr>
        <w:t>Sentencia de 9 de marzo de 2020. Serie</w:t>
      </w:r>
      <w:r>
        <w:rPr>
          <w:sz w:val="16"/>
        </w:rPr>
        <w:t xml:space="preserve"> C No. 401, párr. 79.</w:t>
      </w:r>
    </w:p>
    <w:p w14:paraId="00E386B0" w14:textId="77777777" w:rsidR="00492688" w:rsidRDefault="00C9584B">
      <w:pPr>
        <w:tabs>
          <w:tab w:val="left" w:pos="829"/>
        </w:tabs>
        <w:spacing w:before="101"/>
        <w:ind w:left="121" w:right="229"/>
        <w:jc w:val="both"/>
        <w:rPr>
          <w:sz w:val="16"/>
        </w:rPr>
      </w:pPr>
      <w:bookmarkStart w:id="219" w:name="_bookmark187"/>
      <w:bookmarkEnd w:id="219"/>
      <w:r>
        <w:rPr>
          <w:position w:val="6"/>
          <w:sz w:val="10"/>
        </w:rPr>
        <w:t>42</w:t>
      </w:r>
      <w:r>
        <w:rPr>
          <w:position w:val="6"/>
          <w:sz w:val="10"/>
        </w:rPr>
        <w:tab/>
      </w:r>
      <w:r>
        <w:rPr>
          <w:i/>
          <w:sz w:val="16"/>
        </w:rPr>
        <w:t>Cfr.</w:t>
      </w:r>
      <w:r>
        <w:rPr>
          <w:i/>
          <w:spacing w:val="-6"/>
          <w:sz w:val="16"/>
        </w:rPr>
        <w:t xml:space="preserve"> </w:t>
      </w:r>
      <w:r>
        <w:rPr>
          <w:i/>
          <w:sz w:val="16"/>
        </w:rPr>
        <w:t>Caso</w:t>
      </w:r>
      <w:r>
        <w:rPr>
          <w:i/>
          <w:spacing w:val="-7"/>
          <w:sz w:val="16"/>
        </w:rPr>
        <w:t xml:space="preserve"> </w:t>
      </w:r>
      <w:r>
        <w:rPr>
          <w:i/>
          <w:sz w:val="16"/>
        </w:rPr>
        <w:t>Castillo</w:t>
      </w:r>
      <w:r>
        <w:rPr>
          <w:i/>
          <w:spacing w:val="-5"/>
          <w:sz w:val="16"/>
        </w:rPr>
        <w:t xml:space="preserve"> </w:t>
      </w:r>
      <w:r>
        <w:rPr>
          <w:i/>
          <w:sz w:val="16"/>
        </w:rPr>
        <w:t>Páez</w:t>
      </w:r>
      <w:r>
        <w:rPr>
          <w:i/>
          <w:spacing w:val="-7"/>
          <w:sz w:val="16"/>
        </w:rPr>
        <w:t xml:space="preserve"> </w:t>
      </w:r>
      <w:r>
        <w:rPr>
          <w:i/>
          <w:sz w:val="16"/>
        </w:rPr>
        <w:t>Vs.</w:t>
      </w:r>
      <w:r>
        <w:rPr>
          <w:i/>
          <w:spacing w:val="-6"/>
          <w:sz w:val="16"/>
        </w:rPr>
        <w:t xml:space="preserve"> </w:t>
      </w:r>
      <w:r>
        <w:rPr>
          <w:i/>
          <w:sz w:val="16"/>
        </w:rPr>
        <w:t>Perú.</w:t>
      </w:r>
      <w:r>
        <w:rPr>
          <w:i/>
          <w:spacing w:val="-7"/>
          <w:sz w:val="16"/>
        </w:rPr>
        <w:t xml:space="preserve"> </w:t>
      </w:r>
      <w:r>
        <w:rPr>
          <w:i/>
          <w:sz w:val="16"/>
        </w:rPr>
        <w:t>Fondo.</w:t>
      </w:r>
      <w:r>
        <w:rPr>
          <w:i/>
          <w:spacing w:val="-7"/>
          <w:sz w:val="16"/>
        </w:rPr>
        <w:t xml:space="preserve"> </w:t>
      </w:r>
      <w:r>
        <w:rPr>
          <w:sz w:val="16"/>
        </w:rPr>
        <w:t>Sentencia</w:t>
      </w:r>
      <w:r>
        <w:rPr>
          <w:spacing w:val="-8"/>
          <w:sz w:val="16"/>
        </w:rPr>
        <w:t xml:space="preserve"> </w:t>
      </w:r>
      <w:r>
        <w:rPr>
          <w:sz w:val="16"/>
        </w:rPr>
        <w:t>de</w:t>
      </w:r>
      <w:r>
        <w:rPr>
          <w:spacing w:val="-10"/>
          <w:sz w:val="16"/>
        </w:rPr>
        <w:t xml:space="preserve"> </w:t>
      </w:r>
      <w:r>
        <w:rPr>
          <w:sz w:val="16"/>
        </w:rPr>
        <w:t>3</w:t>
      </w:r>
      <w:r>
        <w:rPr>
          <w:spacing w:val="-6"/>
          <w:sz w:val="16"/>
        </w:rPr>
        <w:t xml:space="preserve"> </w:t>
      </w:r>
      <w:r>
        <w:rPr>
          <w:sz w:val="16"/>
        </w:rPr>
        <w:t>de</w:t>
      </w:r>
      <w:r>
        <w:rPr>
          <w:spacing w:val="-7"/>
          <w:sz w:val="16"/>
        </w:rPr>
        <w:t xml:space="preserve"> </w:t>
      </w:r>
      <w:r>
        <w:rPr>
          <w:sz w:val="16"/>
        </w:rPr>
        <w:t>noviembre</w:t>
      </w:r>
      <w:r>
        <w:rPr>
          <w:spacing w:val="-7"/>
          <w:sz w:val="16"/>
        </w:rPr>
        <w:t xml:space="preserve"> </w:t>
      </w:r>
      <w:r>
        <w:rPr>
          <w:sz w:val="16"/>
        </w:rPr>
        <w:t>de</w:t>
      </w:r>
      <w:r>
        <w:rPr>
          <w:spacing w:val="-7"/>
          <w:sz w:val="16"/>
        </w:rPr>
        <w:t xml:space="preserve"> </w:t>
      </w:r>
      <w:r>
        <w:rPr>
          <w:sz w:val="16"/>
        </w:rPr>
        <w:t>1997.</w:t>
      </w:r>
      <w:r>
        <w:rPr>
          <w:spacing w:val="-8"/>
          <w:sz w:val="16"/>
        </w:rPr>
        <w:t xml:space="preserve"> </w:t>
      </w:r>
      <w:r>
        <w:rPr>
          <w:sz w:val="16"/>
        </w:rPr>
        <w:t>Serie</w:t>
      </w:r>
      <w:r>
        <w:rPr>
          <w:spacing w:val="-7"/>
          <w:sz w:val="16"/>
        </w:rPr>
        <w:t xml:space="preserve"> </w:t>
      </w:r>
      <w:r>
        <w:rPr>
          <w:sz w:val="16"/>
        </w:rPr>
        <w:t>C</w:t>
      </w:r>
      <w:r>
        <w:rPr>
          <w:spacing w:val="-7"/>
          <w:sz w:val="16"/>
        </w:rPr>
        <w:t xml:space="preserve"> </w:t>
      </w:r>
      <w:r>
        <w:rPr>
          <w:sz w:val="16"/>
        </w:rPr>
        <w:t>No.</w:t>
      </w:r>
      <w:r>
        <w:rPr>
          <w:spacing w:val="-6"/>
          <w:sz w:val="16"/>
        </w:rPr>
        <w:t xml:space="preserve"> </w:t>
      </w:r>
      <w:r>
        <w:rPr>
          <w:sz w:val="16"/>
        </w:rPr>
        <w:t>34,</w:t>
      </w:r>
      <w:r>
        <w:rPr>
          <w:spacing w:val="-8"/>
          <w:sz w:val="16"/>
        </w:rPr>
        <w:t xml:space="preserve"> </w:t>
      </w:r>
      <w:r>
        <w:rPr>
          <w:sz w:val="16"/>
        </w:rPr>
        <w:t xml:space="preserve">párr. 83, y </w:t>
      </w:r>
      <w:r>
        <w:rPr>
          <w:i/>
          <w:sz w:val="16"/>
        </w:rPr>
        <w:t>Caso López y otros Vs. Argentina</w:t>
      </w:r>
      <w:r>
        <w:rPr>
          <w:sz w:val="16"/>
        </w:rPr>
        <w:t xml:space="preserve">. </w:t>
      </w:r>
      <w:r>
        <w:rPr>
          <w:i/>
          <w:sz w:val="16"/>
        </w:rPr>
        <w:t>Excepciones Preliminares, Fondo, Reparaciones y Costas</w:t>
      </w:r>
      <w:r>
        <w:rPr>
          <w:sz w:val="16"/>
        </w:rPr>
        <w:t>. Sentencia de 25 de noviembre de 201</w:t>
      </w:r>
      <w:r>
        <w:rPr>
          <w:sz w:val="16"/>
        </w:rPr>
        <w:t>9. Serie C No. 396, párr.</w:t>
      </w:r>
      <w:r>
        <w:rPr>
          <w:spacing w:val="-13"/>
          <w:sz w:val="16"/>
        </w:rPr>
        <w:t xml:space="preserve"> </w:t>
      </w:r>
      <w:r>
        <w:rPr>
          <w:sz w:val="16"/>
        </w:rPr>
        <w:t>209.</w:t>
      </w:r>
    </w:p>
    <w:p w14:paraId="33B2B008" w14:textId="77777777" w:rsidR="00492688" w:rsidRDefault="00C9584B">
      <w:pPr>
        <w:tabs>
          <w:tab w:val="left" w:pos="829"/>
        </w:tabs>
        <w:spacing w:before="101"/>
        <w:ind w:left="121"/>
        <w:jc w:val="both"/>
        <w:rPr>
          <w:sz w:val="16"/>
        </w:rPr>
      </w:pPr>
      <w:bookmarkStart w:id="220" w:name="_bookmark188"/>
      <w:bookmarkEnd w:id="220"/>
      <w:r>
        <w:rPr>
          <w:position w:val="6"/>
          <w:sz w:val="10"/>
        </w:rPr>
        <w:t>43</w:t>
      </w:r>
      <w:r>
        <w:rPr>
          <w:position w:val="6"/>
          <w:sz w:val="10"/>
        </w:rPr>
        <w:tab/>
      </w:r>
      <w:r>
        <w:rPr>
          <w:i/>
          <w:sz w:val="16"/>
        </w:rPr>
        <w:t>Cfr. Caso de los “Niños de la Calle” (Villagrán Morales y otros) Vs. Guatemala. Fondo</w:t>
      </w:r>
      <w:r>
        <w:rPr>
          <w:sz w:val="16"/>
        </w:rPr>
        <w:t>, Sentencia</w:t>
      </w:r>
      <w:r>
        <w:rPr>
          <w:spacing w:val="-13"/>
          <w:sz w:val="16"/>
        </w:rPr>
        <w:t xml:space="preserve"> </w:t>
      </w:r>
      <w:r>
        <w:rPr>
          <w:sz w:val="16"/>
        </w:rPr>
        <w:t>de</w:t>
      </w:r>
    </w:p>
    <w:p w14:paraId="6917EF2F" w14:textId="77777777" w:rsidR="00492688" w:rsidRDefault="00C9584B">
      <w:pPr>
        <w:ind w:left="121" w:right="229"/>
        <w:jc w:val="both"/>
        <w:rPr>
          <w:sz w:val="16"/>
        </w:rPr>
      </w:pPr>
      <w:r>
        <w:rPr>
          <w:sz w:val="16"/>
        </w:rPr>
        <w:t xml:space="preserve">19 de noviembre de 1999. Serie C No. 63, párr. 237, y </w:t>
      </w:r>
      <w:r>
        <w:rPr>
          <w:i/>
          <w:sz w:val="16"/>
        </w:rPr>
        <w:t>Caso López y otros Vs. Argentina</w:t>
      </w:r>
      <w:r>
        <w:rPr>
          <w:sz w:val="16"/>
        </w:rPr>
        <w:t xml:space="preserve">, </w:t>
      </w:r>
      <w:r>
        <w:rPr>
          <w:i/>
          <w:sz w:val="16"/>
        </w:rPr>
        <w:t>Excepciones Preliminares, Fondo, R</w:t>
      </w:r>
      <w:r>
        <w:rPr>
          <w:i/>
          <w:sz w:val="16"/>
        </w:rPr>
        <w:t>eparaciones y Costas</w:t>
      </w:r>
      <w:r>
        <w:rPr>
          <w:sz w:val="16"/>
        </w:rPr>
        <w:t>. Sentencia de 25 de noviembre de 2019. Serie C No. 396, párr. 209.</w:t>
      </w:r>
    </w:p>
    <w:p w14:paraId="563FBFF8" w14:textId="77777777" w:rsidR="00492688" w:rsidRDefault="00C9584B">
      <w:pPr>
        <w:tabs>
          <w:tab w:val="left" w:pos="829"/>
        </w:tabs>
        <w:spacing w:before="100"/>
        <w:ind w:left="121" w:right="227"/>
        <w:jc w:val="both"/>
        <w:rPr>
          <w:sz w:val="16"/>
        </w:rPr>
      </w:pPr>
      <w:bookmarkStart w:id="221" w:name="_bookmark189"/>
      <w:bookmarkEnd w:id="221"/>
      <w:r>
        <w:rPr>
          <w:position w:val="6"/>
          <w:sz w:val="10"/>
        </w:rPr>
        <w:t>44</w:t>
      </w:r>
      <w:r>
        <w:rPr>
          <w:position w:val="6"/>
          <w:sz w:val="10"/>
        </w:rPr>
        <w:tab/>
      </w:r>
      <w:r>
        <w:rPr>
          <w:i/>
          <w:sz w:val="16"/>
        </w:rPr>
        <w:t>Cfr.</w:t>
      </w:r>
      <w:r>
        <w:rPr>
          <w:i/>
          <w:spacing w:val="-4"/>
          <w:sz w:val="16"/>
        </w:rPr>
        <w:t xml:space="preserve"> </w:t>
      </w:r>
      <w:r>
        <w:rPr>
          <w:i/>
          <w:sz w:val="16"/>
        </w:rPr>
        <w:t>Garantías</w:t>
      </w:r>
      <w:r>
        <w:rPr>
          <w:i/>
          <w:spacing w:val="-3"/>
          <w:sz w:val="16"/>
        </w:rPr>
        <w:t xml:space="preserve"> </w:t>
      </w:r>
      <w:r>
        <w:rPr>
          <w:i/>
          <w:sz w:val="16"/>
        </w:rPr>
        <w:t>Judiciales</w:t>
      </w:r>
      <w:r>
        <w:rPr>
          <w:i/>
          <w:spacing w:val="-6"/>
          <w:sz w:val="16"/>
        </w:rPr>
        <w:t xml:space="preserve"> </w:t>
      </w:r>
      <w:r>
        <w:rPr>
          <w:i/>
          <w:sz w:val="16"/>
        </w:rPr>
        <w:t>en</w:t>
      </w:r>
      <w:r>
        <w:rPr>
          <w:i/>
          <w:spacing w:val="-3"/>
          <w:sz w:val="16"/>
        </w:rPr>
        <w:t xml:space="preserve"> </w:t>
      </w:r>
      <w:r>
        <w:rPr>
          <w:i/>
          <w:sz w:val="16"/>
        </w:rPr>
        <w:t>Estados</w:t>
      </w:r>
      <w:r>
        <w:rPr>
          <w:i/>
          <w:spacing w:val="-6"/>
          <w:sz w:val="16"/>
        </w:rPr>
        <w:t xml:space="preserve"> </w:t>
      </w:r>
      <w:r>
        <w:rPr>
          <w:i/>
          <w:sz w:val="16"/>
        </w:rPr>
        <w:t>de</w:t>
      </w:r>
      <w:r>
        <w:rPr>
          <w:i/>
          <w:spacing w:val="-6"/>
          <w:sz w:val="16"/>
        </w:rPr>
        <w:t xml:space="preserve"> </w:t>
      </w:r>
      <w:r>
        <w:rPr>
          <w:i/>
          <w:sz w:val="16"/>
        </w:rPr>
        <w:t>Emergencia</w:t>
      </w:r>
      <w:r>
        <w:rPr>
          <w:i/>
          <w:spacing w:val="-3"/>
          <w:sz w:val="16"/>
        </w:rPr>
        <w:t xml:space="preserve"> </w:t>
      </w:r>
      <w:r>
        <w:rPr>
          <w:sz w:val="16"/>
        </w:rPr>
        <w:t>(arts.</w:t>
      </w:r>
      <w:r>
        <w:rPr>
          <w:spacing w:val="-9"/>
          <w:sz w:val="16"/>
        </w:rPr>
        <w:t xml:space="preserve"> </w:t>
      </w:r>
      <w:r>
        <w:rPr>
          <w:sz w:val="16"/>
        </w:rPr>
        <w:t>27.2,</w:t>
      </w:r>
      <w:r>
        <w:rPr>
          <w:spacing w:val="-4"/>
          <w:sz w:val="16"/>
        </w:rPr>
        <w:t xml:space="preserve"> </w:t>
      </w:r>
      <w:r>
        <w:rPr>
          <w:sz w:val="16"/>
        </w:rPr>
        <w:t>25</w:t>
      </w:r>
      <w:r>
        <w:rPr>
          <w:spacing w:val="-4"/>
          <w:sz w:val="16"/>
        </w:rPr>
        <w:t xml:space="preserve"> </w:t>
      </w:r>
      <w:r>
        <w:rPr>
          <w:sz w:val="16"/>
        </w:rPr>
        <w:t>y</w:t>
      </w:r>
      <w:r>
        <w:rPr>
          <w:spacing w:val="-8"/>
          <w:sz w:val="16"/>
        </w:rPr>
        <w:t xml:space="preserve"> </w:t>
      </w:r>
      <w:r>
        <w:rPr>
          <w:sz w:val="16"/>
        </w:rPr>
        <w:t>8</w:t>
      </w:r>
      <w:r>
        <w:rPr>
          <w:spacing w:val="-5"/>
          <w:sz w:val="16"/>
        </w:rPr>
        <w:t xml:space="preserve"> </w:t>
      </w:r>
      <w:r>
        <w:rPr>
          <w:sz w:val="16"/>
        </w:rPr>
        <w:t>Convención</w:t>
      </w:r>
      <w:r>
        <w:rPr>
          <w:spacing w:val="-6"/>
          <w:sz w:val="16"/>
        </w:rPr>
        <w:t xml:space="preserve"> </w:t>
      </w:r>
      <w:r>
        <w:rPr>
          <w:sz w:val="16"/>
        </w:rPr>
        <w:t>Americana</w:t>
      </w:r>
      <w:r>
        <w:rPr>
          <w:spacing w:val="-4"/>
          <w:sz w:val="16"/>
        </w:rPr>
        <w:t xml:space="preserve"> </w:t>
      </w:r>
      <w:r>
        <w:rPr>
          <w:sz w:val="16"/>
        </w:rPr>
        <w:t xml:space="preserve">sobre Derechos Humanos). Opinión Consultiva OC-9/87 de 6 de octubre de 1987. Serie A, No. 9, párr. 24; </w:t>
      </w:r>
      <w:r>
        <w:rPr>
          <w:i/>
          <w:sz w:val="16"/>
        </w:rPr>
        <w:t xml:space="preserve">Caso Castañeda Gutman Vs. México. Excepciones Preliminares, Fondo, Reparaciones y Costas. </w:t>
      </w:r>
      <w:r>
        <w:rPr>
          <w:sz w:val="16"/>
        </w:rPr>
        <w:t>Sentencia de 6 de agosto de 2008. Serie C No. 184, párr. 100, y</w:t>
      </w:r>
      <w:r>
        <w:rPr>
          <w:sz w:val="16"/>
        </w:rPr>
        <w:t xml:space="preserve"> </w:t>
      </w:r>
      <w:r>
        <w:rPr>
          <w:i/>
          <w:sz w:val="16"/>
        </w:rPr>
        <w:t>Caso López y otros Vs. Argentina</w:t>
      </w:r>
      <w:r>
        <w:rPr>
          <w:sz w:val="16"/>
        </w:rPr>
        <w:t xml:space="preserve">, </w:t>
      </w:r>
      <w:r>
        <w:rPr>
          <w:i/>
          <w:sz w:val="16"/>
        </w:rPr>
        <w:t>Excepciones Preliminares, Fondo, Reparaciones y Costas</w:t>
      </w:r>
      <w:r>
        <w:rPr>
          <w:sz w:val="16"/>
        </w:rPr>
        <w:t>. Sentencia de 25 de noviembre de 2019. Serie C No. 396, párr.</w:t>
      </w:r>
      <w:r>
        <w:rPr>
          <w:spacing w:val="-26"/>
          <w:sz w:val="16"/>
        </w:rPr>
        <w:t xml:space="preserve"> </w:t>
      </w:r>
      <w:r>
        <w:rPr>
          <w:sz w:val="16"/>
        </w:rPr>
        <w:t>210.</w:t>
      </w:r>
    </w:p>
    <w:p w14:paraId="66B45FD0" w14:textId="77777777" w:rsidR="00492688" w:rsidRDefault="00C9584B">
      <w:pPr>
        <w:tabs>
          <w:tab w:val="left" w:pos="829"/>
        </w:tabs>
        <w:spacing w:before="98"/>
        <w:ind w:left="121" w:right="228"/>
        <w:jc w:val="both"/>
        <w:rPr>
          <w:sz w:val="16"/>
        </w:rPr>
      </w:pPr>
      <w:bookmarkStart w:id="222" w:name="_bookmark190"/>
      <w:bookmarkEnd w:id="222"/>
      <w:r>
        <w:rPr>
          <w:position w:val="6"/>
          <w:sz w:val="10"/>
        </w:rPr>
        <w:t>45</w:t>
      </w:r>
      <w:r>
        <w:rPr>
          <w:position w:val="6"/>
          <w:sz w:val="10"/>
        </w:rPr>
        <w:tab/>
      </w:r>
      <w:r>
        <w:rPr>
          <w:i/>
          <w:sz w:val="16"/>
        </w:rPr>
        <w:t>Cfr. Caso Velásquez Rodríguez Vs. Honduras. Fondo</w:t>
      </w:r>
      <w:r>
        <w:rPr>
          <w:sz w:val="16"/>
        </w:rPr>
        <w:t xml:space="preserve">. Sentencia de 29 de julio de 1988. Serie C No. 4, párr. 67, y </w:t>
      </w:r>
      <w:r>
        <w:rPr>
          <w:i/>
          <w:sz w:val="16"/>
        </w:rPr>
        <w:t>Caso López y otros Vs. Argentina</w:t>
      </w:r>
      <w:r>
        <w:rPr>
          <w:sz w:val="16"/>
        </w:rPr>
        <w:t xml:space="preserve">, </w:t>
      </w:r>
      <w:r>
        <w:rPr>
          <w:i/>
          <w:sz w:val="16"/>
        </w:rPr>
        <w:t>Excepciones Preliminares, Fondo, Reparaciones y Costas</w:t>
      </w:r>
      <w:r>
        <w:rPr>
          <w:sz w:val="16"/>
        </w:rPr>
        <w:t>. Sentencia de 25 de noviembre de 2019. Serie C No. 396,</w:t>
      </w:r>
      <w:r>
        <w:rPr>
          <w:sz w:val="16"/>
        </w:rPr>
        <w:t xml:space="preserve"> párr.</w:t>
      </w:r>
      <w:r>
        <w:rPr>
          <w:spacing w:val="-10"/>
          <w:sz w:val="16"/>
        </w:rPr>
        <w:t xml:space="preserve"> </w:t>
      </w:r>
      <w:r>
        <w:rPr>
          <w:sz w:val="16"/>
        </w:rPr>
        <w:t>210.</w:t>
      </w:r>
    </w:p>
    <w:p w14:paraId="30CC9CC9" w14:textId="77777777" w:rsidR="00492688" w:rsidRDefault="00C9584B">
      <w:pPr>
        <w:tabs>
          <w:tab w:val="left" w:pos="829"/>
        </w:tabs>
        <w:spacing w:before="101"/>
        <w:ind w:left="121"/>
        <w:jc w:val="both"/>
        <w:rPr>
          <w:sz w:val="16"/>
        </w:rPr>
      </w:pPr>
      <w:bookmarkStart w:id="223" w:name="_bookmark191"/>
      <w:bookmarkEnd w:id="223"/>
      <w:r>
        <w:rPr>
          <w:position w:val="6"/>
          <w:sz w:val="10"/>
        </w:rPr>
        <w:t>46</w:t>
      </w:r>
      <w:r>
        <w:rPr>
          <w:position w:val="6"/>
          <w:sz w:val="10"/>
        </w:rPr>
        <w:tab/>
      </w:r>
      <w:r>
        <w:rPr>
          <w:i/>
          <w:sz w:val="16"/>
        </w:rPr>
        <w:t xml:space="preserve">Cfr. </w:t>
      </w:r>
      <w:r>
        <w:rPr>
          <w:sz w:val="16"/>
        </w:rPr>
        <w:t>Escrito de contestación del Estado, F. 290 y Alegatos finales escritos del Estado, F.</w:t>
      </w:r>
      <w:r>
        <w:rPr>
          <w:spacing w:val="-26"/>
          <w:sz w:val="16"/>
        </w:rPr>
        <w:t xml:space="preserve"> </w:t>
      </w:r>
      <w:r>
        <w:rPr>
          <w:sz w:val="16"/>
        </w:rPr>
        <w:t>882.</w:t>
      </w:r>
    </w:p>
    <w:p w14:paraId="34A785EA" w14:textId="77777777" w:rsidR="00492688" w:rsidRDefault="00492688">
      <w:pPr>
        <w:pStyle w:val="Textoindependiente"/>
      </w:pPr>
    </w:p>
    <w:p w14:paraId="19C93302" w14:textId="77777777" w:rsidR="00492688" w:rsidRDefault="00492688">
      <w:pPr>
        <w:pStyle w:val="Textoindependiente"/>
        <w:spacing w:before="4"/>
        <w:rPr>
          <w:sz w:val="19"/>
        </w:rPr>
      </w:pPr>
    </w:p>
    <w:p w14:paraId="56B694C3" w14:textId="77777777" w:rsidR="00492688" w:rsidRDefault="00C9584B">
      <w:pPr>
        <w:spacing w:before="52"/>
        <w:ind w:left="18" w:right="126"/>
        <w:jc w:val="center"/>
        <w:rPr>
          <w:rFonts w:ascii="Calibri"/>
          <w:sz w:val="24"/>
        </w:rPr>
      </w:pPr>
      <w:r>
        <w:rPr>
          <w:rFonts w:ascii="Calibri"/>
          <w:sz w:val="24"/>
        </w:rPr>
        <w:t>13</w:t>
      </w:r>
    </w:p>
    <w:p w14:paraId="3575F028"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088AF6EA" w14:textId="77777777" w:rsidR="00492688" w:rsidRDefault="00C9584B">
      <w:pPr>
        <w:pStyle w:val="Textoindependiente"/>
        <w:spacing w:before="71"/>
        <w:ind w:left="121"/>
      </w:pPr>
      <w:r>
        <w:rPr>
          <w:spacing w:val="-4"/>
        </w:rPr>
        <w:lastRenderedPageBreak/>
        <w:t xml:space="preserve">fundamentales, </w:t>
      </w:r>
      <w:r>
        <w:rPr>
          <w:spacing w:val="-3"/>
        </w:rPr>
        <w:t xml:space="preserve">en el caso </w:t>
      </w:r>
      <w:r>
        <w:t xml:space="preserve">de </w:t>
      </w:r>
      <w:r>
        <w:rPr>
          <w:spacing w:val="-2"/>
        </w:rPr>
        <w:t xml:space="preserve">los </w:t>
      </w:r>
      <w:r>
        <w:rPr>
          <w:spacing w:val="-4"/>
        </w:rPr>
        <w:t xml:space="preserve">jueces </w:t>
      </w:r>
      <w:r>
        <w:t xml:space="preserve">y </w:t>
      </w:r>
      <w:r>
        <w:rPr>
          <w:spacing w:val="-4"/>
        </w:rPr>
        <w:t xml:space="preserve">juezas, aunque invocaran otros derechos, </w:t>
      </w:r>
      <w:r>
        <w:rPr>
          <w:spacing w:val="-5"/>
        </w:rPr>
        <w:t xml:space="preserve">estos </w:t>
      </w:r>
      <w:r>
        <w:t xml:space="preserve">no </w:t>
      </w:r>
      <w:r>
        <w:rPr>
          <w:spacing w:val="-4"/>
        </w:rPr>
        <w:t xml:space="preserve">eran estudiados </w:t>
      </w:r>
      <w:r>
        <w:rPr>
          <w:spacing w:val="-3"/>
        </w:rPr>
        <w:t xml:space="preserve">ya que </w:t>
      </w:r>
      <w:r>
        <w:rPr>
          <w:spacing w:val="-4"/>
        </w:rPr>
        <w:t xml:space="preserve">procedía únicamente </w:t>
      </w:r>
      <w:r>
        <w:rPr>
          <w:spacing w:val="-2"/>
        </w:rPr>
        <w:t xml:space="preserve">por </w:t>
      </w:r>
      <w:r>
        <w:rPr>
          <w:spacing w:val="-4"/>
        </w:rPr>
        <w:t xml:space="preserve">violaciones </w:t>
      </w:r>
      <w:r>
        <w:rPr>
          <w:spacing w:val="-3"/>
        </w:rPr>
        <w:t xml:space="preserve">al </w:t>
      </w:r>
      <w:r>
        <w:rPr>
          <w:spacing w:val="-4"/>
        </w:rPr>
        <w:t>debido proceso.</w:t>
      </w:r>
    </w:p>
    <w:p w14:paraId="562F3451" w14:textId="77777777" w:rsidR="00492688" w:rsidRDefault="00492688">
      <w:pPr>
        <w:pStyle w:val="Textoindependiente"/>
        <w:spacing w:before="1"/>
      </w:pPr>
    </w:p>
    <w:p w14:paraId="6BF6E1F0" w14:textId="77777777" w:rsidR="00492688" w:rsidRDefault="00C9584B">
      <w:pPr>
        <w:pStyle w:val="Prrafodelista"/>
        <w:numPr>
          <w:ilvl w:val="0"/>
          <w:numId w:val="3"/>
        </w:numPr>
        <w:tabs>
          <w:tab w:val="left" w:pos="830"/>
        </w:tabs>
        <w:ind w:right="227" w:firstLine="0"/>
        <w:jc w:val="both"/>
        <w:rPr>
          <w:sz w:val="20"/>
        </w:rPr>
      </w:pPr>
      <w:r>
        <w:rPr>
          <w:sz w:val="20"/>
        </w:rPr>
        <w:t>No</w:t>
      </w:r>
      <w:r>
        <w:rPr>
          <w:spacing w:val="-15"/>
          <w:sz w:val="20"/>
        </w:rPr>
        <w:t xml:space="preserve"> </w:t>
      </w:r>
      <w:r>
        <w:rPr>
          <w:spacing w:val="-4"/>
          <w:sz w:val="20"/>
        </w:rPr>
        <w:t>obstante,</w:t>
      </w:r>
      <w:r>
        <w:rPr>
          <w:spacing w:val="-15"/>
          <w:sz w:val="20"/>
        </w:rPr>
        <w:t xml:space="preserve"> </w:t>
      </w:r>
      <w:r>
        <w:rPr>
          <w:sz w:val="20"/>
        </w:rPr>
        <w:t>el</w:t>
      </w:r>
      <w:r>
        <w:rPr>
          <w:spacing w:val="-14"/>
          <w:sz w:val="20"/>
        </w:rPr>
        <w:t xml:space="preserve"> </w:t>
      </w:r>
      <w:r>
        <w:rPr>
          <w:spacing w:val="-4"/>
          <w:sz w:val="20"/>
        </w:rPr>
        <w:t>criterio</w:t>
      </w:r>
      <w:r>
        <w:rPr>
          <w:spacing w:val="-15"/>
          <w:sz w:val="20"/>
        </w:rPr>
        <w:t xml:space="preserve"> </w:t>
      </w:r>
      <w:r>
        <w:rPr>
          <w:spacing w:val="-4"/>
          <w:sz w:val="20"/>
        </w:rPr>
        <w:t>mayoritario</w:t>
      </w:r>
      <w:r>
        <w:rPr>
          <w:spacing w:val="-18"/>
          <w:sz w:val="20"/>
        </w:rPr>
        <w:t xml:space="preserve"> </w:t>
      </w:r>
      <w:r>
        <w:rPr>
          <w:spacing w:val="-4"/>
          <w:sz w:val="20"/>
        </w:rPr>
        <w:t>únicamente</w:t>
      </w:r>
      <w:r>
        <w:rPr>
          <w:spacing w:val="-15"/>
          <w:sz w:val="20"/>
        </w:rPr>
        <w:t xml:space="preserve"> </w:t>
      </w:r>
      <w:r>
        <w:rPr>
          <w:sz w:val="20"/>
        </w:rPr>
        <w:t>se</w:t>
      </w:r>
      <w:r>
        <w:rPr>
          <w:spacing w:val="-15"/>
          <w:sz w:val="20"/>
        </w:rPr>
        <w:t xml:space="preserve"> </w:t>
      </w:r>
      <w:r>
        <w:rPr>
          <w:spacing w:val="-4"/>
          <w:sz w:val="20"/>
        </w:rPr>
        <w:t>limitó</w:t>
      </w:r>
      <w:r>
        <w:rPr>
          <w:spacing w:val="-15"/>
          <w:sz w:val="20"/>
        </w:rPr>
        <w:t xml:space="preserve"> </w:t>
      </w:r>
      <w:r>
        <w:rPr>
          <w:sz w:val="20"/>
        </w:rPr>
        <w:t>a</w:t>
      </w:r>
      <w:r>
        <w:rPr>
          <w:spacing w:val="-14"/>
          <w:sz w:val="20"/>
        </w:rPr>
        <w:t xml:space="preserve"> </w:t>
      </w:r>
      <w:r>
        <w:rPr>
          <w:spacing w:val="-4"/>
          <w:sz w:val="20"/>
        </w:rPr>
        <w:t>constatar</w:t>
      </w:r>
      <w:r>
        <w:rPr>
          <w:spacing w:val="-15"/>
          <w:sz w:val="20"/>
        </w:rPr>
        <w:t xml:space="preserve"> </w:t>
      </w:r>
      <w:r>
        <w:rPr>
          <w:spacing w:val="-3"/>
          <w:sz w:val="20"/>
        </w:rPr>
        <w:t>la</w:t>
      </w:r>
      <w:r>
        <w:rPr>
          <w:spacing w:val="-14"/>
          <w:sz w:val="20"/>
        </w:rPr>
        <w:t xml:space="preserve"> </w:t>
      </w:r>
      <w:r>
        <w:rPr>
          <w:spacing w:val="-4"/>
          <w:sz w:val="20"/>
        </w:rPr>
        <w:t xml:space="preserve">procedencia del recurso </w:t>
      </w:r>
      <w:r>
        <w:rPr>
          <w:sz w:val="20"/>
        </w:rPr>
        <w:t xml:space="preserve">de </w:t>
      </w:r>
      <w:r>
        <w:rPr>
          <w:spacing w:val="-4"/>
          <w:sz w:val="20"/>
        </w:rPr>
        <w:t xml:space="preserve">amparo conforme </w:t>
      </w:r>
      <w:r>
        <w:rPr>
          <w:sz w:val="20"/>
        </w:rPr>
        <w:t xml:space="preserve">a </w:t>
      </w:r>
      <w:r>
        <w:rPr>
          <w:spacing w:val="-3"/>
          <w:sz w:val="20"/>
        </w:rPr>
        <w:t xml:space="preserve">la </w:t>
      </w:r>
      <w:r>
        <w:rPr>
          <w:spacing w:val="-4"/>
          <w:sz w:val="20"/>
        </w:rPr>
        <w:t xml:space="preserve">única causal </w:t>
      </w:r>
      <w:r>
        <w:rPr>
          <w:spacing w:val="-2"/>
          <w:sz w:val="20"/>
        </w:rPr>
        <w:t xml:space="preserve">por </w:t>
      </w:r>
      <w:r>
        <w:rPr>
          <w:sz w:val="20"/>
        </w:rPr>
        <w:t xml:space="preserve">la </w:t>
      </w:r>
      <w:r>
        <w:rPr>
          <w:spacing w:val="-4"/>
          <w:sz w:val="20"/>
        </w:rPr>
        <w:t xml:space="preserve">cual </w:t>
      </w:r>
      <w:r>
        <w:rPr>
          <w:spacing w:val="-3"/>
          <w:sz w:val="20"/>
        </w:rPr>
        <w:t xml:space="preserve">podía ser </w:t>
      </w:r>
      <w:r>
        <w:rPr>
          <w:spacing w:val="-4"/>
          <w:sz w:val="20"/>
        </w:rPr>
        <w:t xml:space="preserve">interpuesto </w:t>
      </w:r>
      <w:r>
        <w:rPr>
          <w:sz w:val="20"/>
        </w:rPr>
        <w:t xml:space="preserve">y un </w:t>
      </w:r>
      <w:r>
        <w:rPr>
          <w:spacing w:val="-4"/>
          <w:sz w:val="20"/>
        </w:rPr>
        <w:t>posible</w:t>
      </w:r>
      <w:r>
        <w:rPr>
          <w:spacing w:val="-20"/>
          <w:sz w:val="20"/>
        </w:rPr>
        <w:t xml:space="preserve"> </w:t>
      </w:r>
      <w:r>
        <w:rPr>
          <w:spacing w:val="-4"/>
          <w:sz w:val="20"/>
        </w:rPr>
        <w:t>examen</w:t>
      </w:r>
      <w:r>
        <w:rPr>
          <w:spacing w:val="-18"/>
          <w:sz w:val="20"/>
        </w:rPr>
        <w:t xml:space="preserve"> </w:t>
      </w:r>
      <w:r>
        <w:rPr>
          <w:spacing w:val="-3"/>
          <w:sz w:val="20"/>
        </w:rPr>
        <w:t>que</w:t>
      </w:r>
      <w:r>
        <w:rPr>
          <w:spacing w:val="-19"/>
          <w:sz w:val="20"/>
        </w:rPr>
        <w:t xml:space="preserve"> </w:t>
      </w:r>
      <w:r>
        <w:rPr>
          <w:sz w:val="20"/>
        </w:rPr>
        <w:t>no</w:t>
      </w:r>
      <w:r>
        <w:rPr>
          <w:spacing w:val="-20"/>
          <w:sz w:val="20"/>
        </w:rPr>
        <w:t xml:space="preserve"> </w:t>
      </w:r>
      <w:r>
        <w:rPr>
          <w:spacing w:val="-4"/>
          <w:sz w:val="20"/>
        </w:rPr>
        <w:t>suced</w:t>
      </w:r>
      <w:r>
        <w:rPr>
          <w:spacing w:val="-4"/>
          <w:sz w:val="20"/>
        </w:rPr>
        <w:t>ió</w:t>
      </w:r>
      <w:r>
        <w:rPr>
          <w:spacing w:val="-17"/>
          <w:sz w:val="20"/>
        </w:rPr>
        <w:t xml:space="preserve"> </w:t>
      </w:r>
      <w:r>
        <w:rPr>
          <w:spacing w:val="-3"/>
          <w:sz w:val="20"/>
        </w:rPr>
        <w:t>en</w:t>
      </w:r>
      <w:r>
        <w:rPr>
          <w:spacing w:val="-18"/>
          <w:sz w:val="20"/>
        </w:rPr>
        <w:t xml:space="preserve"> </w:t>
      </w:r>
      <w:r>
        <w:rPr>
          <w:spacing w:val="-3"/>
          <w:sz w:val="20"/>
        </w:rPr>
        <w:t>este</w:t>
      </w:r>
      <w:r>
        <w:rPr>
          <w:spacing w:val="-19"/>
          <w:sz w:val="20"/>
        </w:rPr>
        <w:t xml:space="preserve"> </w:t>
      </w:r>
      <w:r>
        <w:rPr>
          <w:spacing w:val="-3"/>
          <w:sz w:val="20"/>
        </w:rPr>
        <w:t>caso.</w:t>
      </w:r>
      <w:r>
        <w:rPr>
          <w:spacing w:val="-19"/>
          <w:sz w:val="20"/>
        </w:rPr>
        <w:t xml:space="preserve"> </w:t>
      </w:r>
      <w:r>
        <w:rPr>
          <w:spacing w:val="-3"/>
          <w:sz w:val="20"/>
        </w:rPr>
        <w:t>Todo</w:t>
      </w:r>
      <w:r>
        <w:rPr>
          <w:spacing w:val="-19"/>
          <w:sz w:val="20"/>
        </w:rPr>
        <w:t xml:space="preserve"> </w:t>
      </w:r>
      <w:r>
        <w:rPr>
          <w:spacing w:val="-3"/>
          <w:sz w:val="20"/>
        </w:rPr>
        <w:t>ello</w:t>
      </w:r>
      <w:r>
        <w:rPr>
          <w:spacing w:val="-20"/>
          <w:sz w:val="20"/>
        </w:rPr>
        <w:t xml:space="preserve"> </w:t>
      </w:r>
      <w:r>
        <w:rPr>
          <w:spacing w:val="-3"/>
          <w:sz w:val="20"/>
        </w:rPr>
        <w:t>aun</w:t>
      </w:r>
      <w:r>
        <w:rPr>
          <w:spacing w:val="-18"/>
          <w:sz w:val="20"/>
        </w:rPr>
        <w:t xml:space="preserve"> </w:t>
      </w:r>
      <w:r>
        <w:rPr>
          <w:spacing w:val="-4"/>
          <w:sz w:val="20"/>
        </w:rPr>
        <w:t>cuando</w:t>
      </w:r>
      <w:r>
        <w:rPr>
          <w:spacing w:val="-19"/>
          <w:sz w:val="20"/>
        </w:rPr>
        <w:t xml:space="preserve"> </w:t>
      </w:r>
      <w:r>
        <w:rPr>
          <w:spacing w:val="-3"/>
          <w:sz w:val="20"/>
        </w:rPr>
        <w:t>el</w:t>
      </w:r>
      <w:r>
        <w:rPr>
          <w:spacing w:val="-18"/>
          <w:sz w:val="20"/>
        </w:rPr>
        <w:t xml:space="preserve"> </w:t>
      </w:r>
      <w:r>
        <w:rPr>
          <w:spacing w:val="-3"/>
          <w:sz w:val="20"/>
        </w:rPr>
        <w:t>señor</w:t>
      </w:r>
      <w:r>
        <w:rPr>
          <w:spacing w:val="-19"/>
          <w:sz w:val="20"/>
        </w:rPr>
        <w:t xml:space="preserve"> </w:t>
      </w:r>
      <w:r>
        <w:rPr>
          <w:spacing w:val="-4"/>
          <w:sz w:val="20"/>
        </w:rPr>
        <w:t>Cordero</w:t>
      </w:r>
      <w:r>
        <w:rPr>
          <w:spacing w:val="-20"/>
          <w:sz w:val="20"/>
        </w:rPr>
        <w:t xml:space="preserve"> </w:t>
      </w:r>
      <w:r>
        <w:rPr>
          <w:spacing w:val="-4"/>
          <w:sz w:val="20"/>
        </w:rPr>
        <w:t xml:space="preserve">Bernal </w:t>
      </w:r>
      <w:r>
        <w:rPr>
          <w:spacing w:val="-3"/>
          <w:sz w:val="20"/>
        </w:rPr>
        <w:t>alegó</w:t>
      </w:r>
      <w:r>
        <w:rPr>
          <w:spacing w:val="-10"/>
          <w:sz w:val="20"/>
        </w:rPr>
        <w:t xml:space="preserve"> </w:t>
      </w:r>
      <w:r>
        <w:rPr>
          <w:spacing w:val="-3"/>
          <w:sz w:val="20"/>
        </w:rPr>
        <w:t>“el</w:t>
      </w:r>
      <w:r>
        <w:rPr>
          <w:spacing w:val="-8"/>
          <w:sz w:val="20"/>
        </w:rPr>
        <w:t xml:space="preserve"> </w:t>
      </w:r>
      <w:r>
        <w:rPr>
          <w:spacing w:val="-4"/>
          <w:sz w:val="20"/>
        </w:rPr>
        <w:t>desconocimiento</w:t>
      </w:r>
      <w:r>
        <w:rPr>
          <w:spacing w:val="-10"/>
          <w:sz w:val="20"/>
        </w:rPr>
        <w:t xml:space="preserve"> </w:t>
      </w:r>
      <w:r>
        <w:rPr>
          <w:sz w:val="20"/>
        </w:rPr>
        <w:t>de</w:t>
      </w:r>
      <w:r>
        <w:rPr>
          <w:spacing w:val="-9"/>
          <w:sz w:val="20"/>
        </w:rPr>
        <w:t xml:space="preserve"> </w:t>
      </w:r>
      <w:r>
        <w:rPr>
          <w:spacing w:val="-3"/>
          <w:sz w:val="20"/>
        </w:rPr>
        <w:t>la</w:t>
      </w:r>
      <w:r>
        <w:rPr>
          <w:spacing w:val="-8"/>
          <w:sz w:val="20"/>
        </w:rPr>
        <w:t xml:space="preserve"> </w:t>
      </w:r>
      <w:r>
        <w:rPr>
          <w:spacing w:val="-4"/>
          <w:sz w:val="20"/>
        </w:rPr>
        <w:t>garantía</w:t>
      </w:r>
      <w:r>
        <w:rPr>
          <w:spacing w:val="-9"/>
          <w:sz w:val="20"/>
        </w:rPr>
        <w:t xml:space="preserve"> </w:t>
      </w:r>
      <w:r>
        <w:rPr>
          <w:sz w:val="20"/>
        </w:rPr>
        <w:t>de</w:t>
      </w:r>
      <w:r>
        <w:rPr>
          <w:spacing w:val="-9"/>
          <w:sz w:val="20"/>
        </w:rPr>
        <w:t xml:space="preserve"> </w:t>
      </w:r>
      <w:r>
        <w:rPr>
          <w:spacing w:val="-3"/>
          <w:sz w:val="20"/>
        </w:rPr>
        <w:t>la</w:t>
      </w:r>
      <w:r>
        <w:rPr>
          <w:spacing w:val="-9"/>
          <w:sz w:val="20"/>
        </w:rPr>
        <w:t xml:space="preserve"> </w:t>
      </w:r>
      <w:r>
        <w:rPr>
          <w:spacing w:val="-4"/>
          <w:sz w:val="20"/>
        </w:rPr>
        <w:t>inamovilidad</w:t>
      </w:r>
      <w:r>
        <w:rPr>
          <w:spacing w:val="-5"/>
          <w:sz w:val="20"/>
        </w:rPr>
        <w:t xml:space="preserve"> </w:t>
      </w:r>
      <w:r>
        <w:rPr>
          <w:spacing w:val="-3"/>
          <w:sz w:val="20"/>
        </w:rPr>
        <w:t>en</w:t>
      </w:r>
      <w:r>
        <w:rPr>
          <w:spacing w:val="-5"/>
          <w:sz w:val="20"/>
        </w:rPr>
        <w:t xml:space="preserve"> </w:t>
      </w:r>
      <w:r>
        <w:rPr>
          <w:spacing w:val="-3"/>
          <w:sz w:val="20"/>
        </w:rPr>
        <w:t>el</w:t>
      </w:r>
      <w:r>
        <w:rPr>
          <w:spacing w:val="-9"/>
          <w:sz w:val="20"/>
        </w:rPr>
        <w:t xml:space="preserve"> </w:t>
      </w:r>
      <w:r>
        <w:rPr>
          <w:spacing w:val="-4"/>
          <w:sz w:val="20"/>
        </w:rPr>
        <w:t>cargo”.</w:t>
      </w:r>
    </w:p>
    <w:p w14:paraId="79469E35" w14:textId="77777777" w:rsidR="00492688" w:rsidRDefault="00492688">
      <w:pPr>
        <w:pStyle w:val="Textoindependiente"/>
        <w:spacing w:before="11"/>
        <w:rPr>
          <w:sz w:val="19"/>
        </w:rPr>
      </w:pPr>
    </w:p>
    <w:p w14:paraId="2530585B" w14:textId="77777777" w:rsidR="00492688" w:rsidRDefault="00C9584B">
      <w:pPr>
        <w:pStyle w:val="Prrafodelista"/>
        <w:numPr>
          <w:ilvl w:val="0"/>
          <w:numId w:val="3"/>
        </w:numPr>
        <w:tabs>
          <w:tab w:val="left" w:pos="830"/>
        </w:tabs>
        <w:ind w:right="227" w:firstLine="0"/>
        <w:jc w:val="both"/>
        <w:rPr>
          <w:sz w:val="20"/>
        </w:rPr>
      </w:pPr>
      <w:r>
        <w:rPr>
          <w:spacing w:val="-4"/>
          <w:sz w:val="20"/>
        </w:rPr>
        <w:t>Además,</w:t>
      </w:r>
      <w:r>
        <w:rPr>
          <w:spacing w:val="-10"/>
          <w:sz w:val="20"/>
        </w:rPr>
        <w:t xml:space="preserve"> </w:t>
      </w:r>
      <w:r>
        <w:rPr>
          <w:sz w:val="20"/>
        </w:rPr>
        <w:t>es</w:t>
      </w:r>
      <w:r>
        <w:rPr>
          <w:spacing w:val="-12"/>
          <w:sz w:val="20"/>
        </w:rPr>
        <w:t xml:space="preserve"> </w:t>
      </w:r>
      <w:r>
        <w:rPr>
          <w:sz w:val="20"/>
        </w:rPr>
        <w:t>de</w:t>
      </w:r>
      <w:r>
        <w:rPr>
          <w:spacing w:val="-9"/>
          <w:sz w:val="20"/>
        </w:rPr>
        <w:t xml:space="preserve"> </w:t>
      </w:r>
      <w:r>
        <w:rPr>
          <w:spacing w:val="-4"/>
          <w:sz w:val="20"/>
        </w:rPr>
        <w:t>advertirse</w:t>
      </w:r>
      <w:r>
        <w:rPr>
          <w:spacing w:val="-10"/>
          <w:sz w:val="20"/>
        </w:rPr>
        <w:t xml:space="preserve"> </w:t>
      </w:r>
      <w:r>
        <w:rPr>
          <w:spacing w:val="-4"/>
          <w:sz w:val="20"/>
        </w:rPr>
        <w:t>que,</w:t>
      </w:r>
      <w:r>
        <w:rPr>
          <w:spacing w:val="-6"/>
          <w:sz w:val="20"/>
        </w:rPr>
        <w:t xml:space="preserve"> </w:t>
      </w:r>
      <w:r>
        <w:rPr>
          <w:spacing w:val="-3"/>
          <w:sz w:val="20"/>
        </w:rPr>
        <w:t>en</w:t>
      </w:r>
      <w:r>
        <w:rPr>
          <w:spacing w:val="-8"/>
          <w:sz w:val="20"/>
        </w:rPr>
        <w:t xml:space="preserve"> </w:t>
      </w:r>
      <w:r>
        <w:rPr>
          <w:spacing w:val="-4"/>
          <w:sz w:val="20"/>
        </w:rPr>
        <w:t>virtud</w:t>
      </w:r>
      <w:r>
        <w:rPr>
          <w:spacing w:val="-9"/>
          <w:sz w:val="20"/>
        </w:rPr>
        <w:t xml:space="preserve"> </w:t>
      </w:r>
      <w:r>
        <w:rPr>
          <w:spacing w:val="-3"/>
          <w:sz w:val="20"/>
        </w:rPr>
        <w:t>del</w:t>
      </w:r>
      <w:r>
        <w:rPr>
          <w:spacing w:val="-8"/>
          <w:sz w:val="20"/>
        </w:rPr>
        <w:t xml:space="preserve"> </w:t>
      </w:r>
      <w:r>
        <w:rPr>
          <w:spacing w:val="-4"/>
          <w:sz w:val="20"/>
        </w:rPr>
        <w:t>artículo</w:t>
      </w:r>
      <w:r>
        <w:rPr>
          <w:spacing w:val="-10"/>
          <w:sz w:val="20"/>
        </w:rPr>
        <w:t xml:space="preserve"> </w:t>
      </w:r>
      <w:r>
        <w:rPr>
          <w:sz w:val="20"/>
        </w:rPr>
        <w:t>2</w:t>
      </w:r>
      <w:r>
        <w:rPr>
          <w:spacing w:val="-10"/>
          <w:sz w:val="20"/>
        </w:rPr>
        <w:t xml:space="preserve"> </w:t>
      </w:r>
      <w:r>
        <w:rPr>
          <w:sz w:val="20"/>
        </w:rPr>
        <w:t>de</w:t>
      </w:r>
      <w:r>
        <w:rPr>
          <w:spacing w:val="-10"/>
          <w:sz w:val="20"/>
        </w:rPr>
        <w:t xml:space="preserve"> </w:t>
      </w:r>
      <w:r>
        <w:rPr>
          <w:spacing w:val="-3"/>
          <w:sz w:val="20"/>
        </w:rPr>
        <w:t>la</w:t>
      </w:r>
      <w:r>
        <w:rPr>
          <w:spacing w:val="-8"/>
          <w:sz w:val="20"/>
        </w:rPr>
        <w:t xml:space="preserve"> </w:t>
      </w:r>
      <w:r>
        <w:rPr>
          <w:spacing w:val="-4"/>
          <w:sz w:val="20"/>
        </w:rPr>
        <w:t>Convención</w:t>
      </w:r>
      <w:r>
        <w:rPr>
          <w:spacing w:val="-11"/>
          <w:sz w:val="20"/>
        </w:rPr>
        <w:t xml:space="preserve"> </w:t>
      </w:r>
      <w:r>
        <w:rPr>
          <w:spacing w:val="-4"/>
          <w:sz w:val="20"/>
        </w:rPr>
        <w:t xml:space="preserve">Americana (derecho </w:t>
      </w:r>
      <w:r>
        <w:rPr>
          <w:spacing w:val="-3"/>
          <w:sz w:val="20"/>
        </w:rPr>
        <w:t xml:space="preserve">que </w:t>
      </w:r>
      <w:r>
        <w:rPr>
          <w:spacing w:val="-4"/>
          <w:sz w:val="20"/>
        </w:rPr>
        <w:t xml:space="preserve">también </w:t>
      </w:r>
      <w:r>
        <w:rPr>
          <w:spacing w:val="-3"/>
          <w:sz w:val="20"/>
        </w:rPr>
        <w:t xml:space="preserve">fue </w:t>
      </w:r>
      <w:r>
        <w:rPr>
          <w:spacing w:val="-4"/>
          <w:sz w:val="20"/>
        </w:rPr>
        <w:t xml:space="preserve">alegado </w:t>
      </w:r>
      <w:r>
        <w:rPr>
          <w:spacing w:val="-3"/>
          <w:sz w:val="20"/>
        </w:rPr>
        <w:t xml:space="preserve">como </w:t>
      </w:r>
      <w:r>
        <w:rPr>
          <w:spacing w:val="-4"/>
          <w:sz w:val="20"/>
        </w:rPr>
        <w:t xml:space="preserve">violado </w:t>
      </w:r>
      <w:r>
        <w:rPr>
          <w:spacing w:val="-3"/>
          <w:sz w:val="20"/>
        </w:rPr>
        <w:t xml:space="preserve">en este </w:t>
      </w:r>
      <w:r>
        <w:rPr>
          <w:spacing w:val="-4"/>
          <w:sz w:val="20"/>
        </w:rPr>
        <w:t xml:space="preserve">caso), </w:t>
      </w:r>
      <w:r>
        <w:rPr>
          <w:sz w:val="20"/>
        </w:rPr>
        <w:t xml:space="preserve">el </w:t>
      </w:r>
      <w:r>
        <w:rPr>
          <w:spacing w:val="-4"/>
          <w:sz w:val="20"/>
        </w:rPr>
        <w:t xml:space="preserve">Estado estaba obligado </w:t>
      </w:r>
      <w:r>
        <w:rPr>
          <w:sz w:val="20"/>
        </w:rPr>
        <w:t>a</w:t>
      </w:r>
      <w:r>
        <w:rPr>
          <w:spacing w:val="-21"/>
          <w:sz w:val="20"/>
        </w:rPr>
        <w:t xml:space="preserve"> </w:t>
      </w:r>
      <w:r>
        <w:rPr>
          <w:spacing w:val="-4"/>
          <w:sz w:val="20"/>
        </w:rPr>
        <w:t>suprimir</w:t>
      </w:r>
      <w:r>
        <w:rPr>
          <w:spacing w:val="-22"/>
          <w:sz w:val="20"/>
        </w:rPr>
        <w:t xml:space="preserve"> </w:t>
      </w:r>
      <w:r>
        <w:rPr>
          <w:spacing w:val="-3"/>
          <w:sz w:val="20"/>
        </w:rPr>
        <w:t>las</w:t>
      </w:r>
      <w:r>
        <w:rPr>
          <w:spacing w:val="-22"/>
          <w:sz w:val="20"/>
        </w:rPr>
        <w:t xml:space="preserve"> </w:t>
      </w:r>
      <w:r>
        <w:rPr>
          <w:spacing w:val="-4"/>
          <w:sz w:val="20"/>
        </w:rPr>
        <w:t>prácticas</w:t>
      </w:r>
      <w:r>
        <w:rPr>
          <w:spacing w:val="-21"/>
          <w:sz w:val="20"/>
        </w:rPr>
        <w:t xml:space="preserve"> </w:t>
      </w:r>
      <w:r>
        <w:rPr>
          <w:sz w:val="20"/>
        </w:rPr>
        <w:t>de</w:t>
      </w:r>
      <w:r>
        <w:rPr>
          <w:spacing w:val="-22"/>
          <w:sz w:val="20"/>
        </w:rPr>
        <w:t xml:space="preserve"> </w:t>
      </w:r>
      <w:r>
        <w:rPr>
          <w:spacing w:val="-4"/>
          <w:sz w:val="20"/>
        </w:rPr>
        <w:t>cualquier</w:t>
      </w:r>
      <w:r>
        <w:rPr>
          <w:spacing w:val="-22"/>
          <w:sz w:val="20"/>
        </w:rPr>
        <w:t xml:space="preserve"> </w:t>
      </w:r>
      <w:r>
        <w:rPr>
          <w:spacing w:val="-4"/>
          <w:sz w:val="20"/>
        </w:rPr>
        <w:t>naturaleza</w:t>
      </w:r>
      <w:r>
        <w:rPr>
          <w:spacing w:val="-20"/>
          <w:sz w:val="20"/>
        </w:rPr>
        <w:t xml:space="preserve"> </w:t>
      </w:r>
      <w:r>
        <w:rPr>
          <w:spacing w:val="-3"/>
          <w:sz w:val="20"/>
        </w:rPr>
        <w:t>que</w:t>
      </w:r>
      <w:r>
        <w:rPr>
          <w:spacing w:val="-22"/>
          <w:sz w:val="20"/>
        </w:rPr>
        <w:t xml:space="preserve"> </w:t>
      </w:r>
      <w:r>
        <w:rPr>
          <w:spacing w:val="-4"/>
          <w:sz w:val="20"/>
        </w:rPr>
        <w:t>implicaran</w:t>
      </w:r>
      <w:r>
        <w:rPr>
          <w:spacing w:val="-19"/>
          <w:sz w:val="20"/>
        </w:rPr>
        <w:t xml:space="preserve"> </w:t>
      </w:r>
      <w:r>
        <w:rPr>
          <w:spacing w:val="-2"/>
          <w:sz w:val="20"/>
        </w:rPr>
        <w:t>una</w:t>
      </w:r>
      <w:r>
        <w:rPr>
          <w:spacing w:val="-20"/>
          <w:sz w:val="20"/>
        </w:rPr>
        <w:t xml:space="preserve"> </w:t>
      </w:r>
      <w:r>
        <w:rPr>
          <w:spacing w:val="-4"/>
          <w:sz w:val="20"/>
        </w:rPr>
        <w:t>violación</w:t>
      </w:r>
      <w:r>
        <w:rPr>
          <w:spacing w:val="-23"/>
          <w:sz w:val="20"/>
        </w:rPr>
        <w:t xml:space="preserve"> </w:t>
      </w:r>
      <w:r>
        <w:rPr>
          <w:sz w:val="20"/>
        </w:rPr>
        <w:t>a</w:t>
      </w:r>
      <w:r>
        <w:rPr>
          <w:spacing w:val="-20"/>
          <w:sz w:val="20"/>
        </w:rPr>
        <w:t xml:space="preserve"> </w:t>
      </w:r>
      <w:r>
        <w:rPr>
          <w:spacing w:val="-3"/>
          <w:sz w:val="20"/>
        </w:rPr>
        <w:t>las</w:t>
      </w:r>
      <w:r>
        <w:rPr>
          <w:spacing w:val="-21"/>
          <w:sz w:val="20"/>
        </w:rPr>
        <w:t xml:space="preserve"> </w:t>
      </w:r>
      <w:r>
        <w:rPr>
          <w:spacing w:val="-4"/>
          <w:sz w:val="20"/>
        </w:rPr>
        <w:t xml:space="preserve">garantías previstas </w:t>
      </w:r>
      <w:r>
        <w:rPr>
          <w:spacing w:val="-3"/>
          <w:sz w:val="20"/>
        </w:rPr>
        <w:t xml:space="preserve">en el </w:t>
      </w:r>
      <w:r>
        <w:rPr>
          <w:spacing w:val="-4"/>
          <w:sz w:val="20"/>
        </w:rPr>
        <w:t xml:space="preserve">Pacto </w:t>
      </w:r>
      <w:r>
        <w:rPr>
          <w:sz w:val="20"/>
        </w:rPr>
        <w:t xml:space="preserve">de </w:t>
      </w:r>
      <w:r>
        <w:rPr>
          <w:spacing w:val="-4"/>
          <w:sz w:val="20"/>
        </w:rPr>
        <w:t xml:space="preserve">San José. </w:t>
      </w:r>
      <w:r>
        <w:rPr>
          <w:spacing w:val="-3"/>
          <w:sz w:val="20"/>
        </w:rPr>
        <w:t xml:space="preserve">Por </w:t>
      </w:r>
      <w:r>
        <w:rPr>
          <w:spacing w:val="-4"/>
          <w:sz w:val="20"/>
        </w:rPr>
        <w:t xml:space="preserve">tanto, </w:t>
      </w:r>
      <w:r>
        <w:rPr>
          <w:sz w:val="20"/>
        </w:rPr>
        <w:t xml:space="preserve">hubo </w:t>
      </w:r>
      <w:r>
        <w:rPr>
          <w:spacing w:val="-3"/>
          <w:sz w:val="20"/>
        </w:rPr>
        <w:t xml:space="preserve">una </w:t>
      </w:r>
      <w:r>
        <w:rPr>
          <w:spacing w:val="-4"/>
          <w:sz w:val="20"/>
        </w:rPr>
        <w:t xml:space="preserve">omisión </w:t>
      </w:r>
      <w:r>
        <w:rPr>
          <w:spacing w:val="-3"/>
          <w:sz w:val="20"/>
        </w:rPr>
        <w:t xml:space="preserve">del </w:t>
      </w:r>
      <w:r>
        <w:rPr>
          <w:spacing w:val="-4"/>
          <w:sz w:val="20"/>
        </w:rPr>
        <w:t xml:space="preserve">Estado </w:t>
      </w:r>
      <w:r>
        <w:rPr>
          <w:spacing w:val="-3"/>
          <w:sz w:val="20"/>
        </w:rPr>
        <w:t xml:space="preserve">al </w:t>
      </w:r>
      <w:r>
        <w:rPr>
          <w:sz w:val="20"/>
        </w:rPr>
        <w:t xml:space="preserve">no </w:t>
      </w:r>
      <w:r>
        <w:rPr>
          <w:spacing w:val="-4"/>
          <w:sz w:val="20"/>
        </w:rPr>
        <w:t xml:space="preserve">adoptar las medidas necesarias para garantizar </w:t>
      </w:r>
      <w:r>
        <w:rPr>
          <w:spacing w:val="-3"/>
          <w:sz w:val="20"/>
        </w:rPr>
        <w:t xml:space="preserve">la </w:t>
      </w:r>
      <w:r>
        <w:rPr>
          <w:spacing w:val="-4"/>
          <w:sz w:val="20"/>
        </w:rPr>
        <w:t xml:space="preserve">posibilidad </w:t>
      </w:r>
      <w:r>
        <w:rPr>
          <w:sz w:val="20"/>
        </w:rPr>
        <w:t xml:space="preserve">de </w:t>
      </w:r>
      <w:r>
        <w:rPr>
          <w:spacing w:val="-4"/>
          <w:sz w:val="20"/>
        </w:rPr>
        <w:t xml:space="preserve">interponer </w:t>
      </w:r>
      <w:r>
        <w:rPr>
          <w:sz w:val="20"/>
        </w:rPr>
        <w:t xml:space="preserve">un </w:t>
      </w:r>
      <w:r>
        <w:rPr>
          <w:spacing w:val="-4"/>
          <w:sz w:val="20"/>
        </w:rPr>
        <w:t xml:space="preserve">recurso judicial sencillo, rápido </w:t>
      </w:r>
      <w:r>
        <w:rPr>
          <w:sz w:val="20"/>
        </w:rPr>
        <w:t xml:space="preserve">y </w:t>
      </w:r>
      <w:r>
        <w:rPr>
          <w:spacing w:val="-4"/>
          <w:sz w:val="20"/>
        </w:rPr>
        <w:t xml:space="preserve">efectivo </w:t>
      </w:r>
      <w:r>
        <w:rPr>
          <w:spacing w:val="-3"/>
          <w:sz w:val="20"/>
        </w:rPr>
        <w:t xml:space="preserve">ante juez </w:t>
      </w:r>
      <w:r>
        <w:rPr>
          <w:sz w:val="20"/>
        </w:rPr>
        <w:t xml:space="preserve">o </w:t>
      </w:r>
      <w:r>
        <w:rPr>
          <w:spacing w:val="-4"/>
          <w:sz w:val="20"/>
        </w:rPr>
        <w:t xml:space="preserve">tribunal competente, contra </w:t>
      </w:r>
      <w:r>
        <w:rPr>
          <w:spacing w:val="-3"/>
          <w:sz w:val="20"/>
        </w:rPr>
        <w:t xml:space="preserve">actos </w:t>
      </w:r>
      <w:r>
        <w:rPr>
          <w:spacing w:val="-4"/>
          <w:sz w:val="20"/>
        </w:rPr>
        <w:t xml:space="preserve">violatorios </w:t>
      </w:r>
      <w:r>
        <w:rPr>
          <w:sz w:val="20"/>
        </w:rPr>
        <w:t xml:space="preserve">de </w:t>
      </w:r>
      <w:r>
        <w:rPr>
          <w:spacing w:val="-4"/>
          <w:sz w:val="20"/>
        </w:rPr>
        <w:t xml:space="preserve">los derechos fundamentales diferentes </w:t>
      </w:r>
      <w:r>
        <w:rPr>
          <w:spacing w:val="-3"/>
          <w:sz w:val="20"/>
        </w:rPr>
        <w:t xml:space="preserve">al debido </w:t>
      </w:r>
      <w:r>
        <w:rPr>
          <w:spacing w:val="-4"/>
          <w:sz w:val="20"/>
        </w:rPr>
        <w:t xml:space="preserve">proceso, ocurridos </w:t>
      </w:r>
      <w:r>
        <w:rPr>
          <w:spacing w:val="-3"/>
          <w:sz w:val="20"/>
        </w:rPr>
        <w:t>en e</w:t>
      </w:r>
      <w:r>
        <w:rPr>
          <w:spacing w:val="-3"/>
          <w:sz w:val="20"/>
        </w:rPr>
        <w:t xml:space="preserve">l </w:t>
      </w:r>
      <w:r>
        <w:rPr>
          <w:spacing w:val="-4"/>
          <w:sz w:val="20"/>
        </w:rPr>
        <w:t xml:space="preserve">trámite </w:t>
      </w:r>
      <w:r>
        <w:rPr>
          <w:sz w:val="20"/>
        </w:rPr>
        <w:t xml:space="preserve">de un </w:t>
      </w:r>
      <w:r>
        <w:rPr>
          <w:spacing w:val="-4"/>
          <w:sz w:val="20"/>
        </w:rPr>
        <w:t xml:space="preserve">proceso disciplinario. </w:t>
      </w:r>
      <w:r>
        <w:rPr>
          <w:spacing w:val="-3"/>
          <w:sz w:val="20"/>
        </w:rPr>
        <w:t xml:space="preserve">Esta </w:t>
      </w:r>
      <w:r>
        <w:rPr>
          <w:spacing w:val="-4"/>
          <w:sz w:val="20"/>
        </w:rPr>
        <w:t xml:space="preserve">omisión hubiera llevado </w:t>
      </w:r>
      <w:r>
        <w:rPr>
          <w:sz w:val="20"/>
        </w:rPr>
        <w:t xml:space="preserve">a </w:t>
      </w:r>
      <w:r>
        <w:rPr>
          <w:spacing w:val="-3"/>
          <w:sz w:val="20"/>
        </w:rPr>
        <w:t xml:space="preserve">una </w:t>
      </w:r>
      <w:r>
        <w:rPr>
          <w:spacing w:val="-4"/>
          <w:sz w:val="20"/>
        </w:rPr>
        <w:t xml:space="preserve">violación </w:t>
      </w:r>
      <w:r>
        <w:rPr>
          <w:spacing w:val="-2"/>
          <w:sz w:val="20"/>
        </w:rPr>
        <w:t xml:space="preserve">del </w:t>
      </w:r>
      <w:r>
        <w:rPr>
          <w:spacing w:val="-4"/>
          <w:sz w:val="20"/>
        </w:rPr>
        <w:t xml:space="preserve">artículo </w:t>
      </w:r>
      <w:r>
        <w:rPr>
          <w:sz w:val="20"/>
        </w:rPr>
        <w:t xml:space="preserve">2 de </w:t>
      </w:r>
      <w:r>
        <w:rPr>
          <w:spacing w:val="-3"/>
          <w:sz w:val="20"/>
        </w:rPr>
        <w:t xml:space="preserve">la </w:t>
      </w:r>
      <w:r>
        <w:rPr>
          <w:spacing w:val="-4"/>
          <w:sz w:val="20"/>
        </w:rPr>
        <w:t xml:space="preserve">Convención </w:t>
      </w:r>
      <w:r>
        <w:rPr>
          <w:spacing w:val="-3"/>
          <w:sz w:val="20"/>
        </w:rPr>
        <w:t xml:space="preserve">en </w:t>
      </w:r>
      <w:r>
        <w:rPr>
          <w:spacing w:val="-4"/>
          <w:sz w:val="20"/>
        </w:rPr>
        <w:t xml:space="preserve">relación </w:t>
      </w:r>
      <w:r>
        <w:rPr>
          <w:spacing w:val="-3"/>
          <w:sz w:val="20"/>
        </w:rPr>
        <w:t xml:space="preserve">con el </w:t>
      </w:r>
      <w:r>
        <w:rPr>
          <w:spacing w:val="-4"/>
          <w:sz w:val="20"/>
        </w:rPr>
        <w:t xml:space="preserve">derecho </w:t>
      </w:r>
      <w:r>
        <w:rPr>
          <w:sz w:val="20"/>
        </w:rPr>
        <w:t xml:space="preserve">a la </w:t>
      </w:r>
      <w:r>
        <w:rPr>
          <w:spacing w:val="-4"/>
          <w:sz w:val="20"/>
        </w:rPr>
        <w:t>protección</w:t>
      </w:r>
      <w:r>
        <w:rPr>
          <w:spacing w:val="-47"/>
          <w:sz w:val="20"/>
        </w:rPr>
        <w:t xml:space="preserve"> </w:t>
      </w:r>
      <w:r>
        <w:rPr>
          <w:spacing w:val="-4"/>
          <w:sz w:val="20"/>
        </w:rPr>
        <w:t>judicial.</w:t>
      </w:r>
    </w:p>
    <w:p w14:paraId="4ABA73B3" w14:textId="77777777" w:rsidR="00492688" w:rsidRDefault="00492688">
      <w:pPr>
        <w:pStyle w:val="Textoindependiente"/>
        <w:spacing w:before="1"/>
      </w:pPr>
    </w:p>
    <w:p w14:paraId="6DF56F4B" w14:textId="77777777" w:rsidR="00492688" w:rsidRDefault="00C9584B">
      <w:pPr>
        <w:pStyle w:val="Prrafodelista"/>
        <w:numPr>
          <w:ilvl w:val="0"/>
          <w:numId w:val="3"/>
        </w:numPr>
        <w:tabs>
          <w:tab w:val="left" w:pos="830"/>
        </w:tabs>
        <w:ind w:right="228" w:firstLine="0"/>
        <w:jc w:val="both"/>
        <w:rPr>
          <w:sz w:val="20"/>
        </w:rPr>
      </w:pPr>
      <w:r>
        <w:rPr>
          <w:spacing w:val="-4"/>
          <w:sz w:val="20"/>
        </w:rPr>
        <w:t>Conforme</w:t>
      </w:r>
      <w:r>
        <w:rPr>
          <w:spacing w:val="-9"/>
          <w:sz w:val="20"/>
        </w:rPr>
        <w:t xml:space="preserve"> </w:t>
      </w:r>
      <w:r>
        <w:rPr>
          <w:sz w:val="20"/>
        </w:rPr>
        <w:t>a</w:t>
      </w:r>
      <w:r>
        <w:rPr>
          <w:spacing w:val="-9"/>
          <w:sz w:val="20"/>
        </w:rPr>
        <w:t xml:space="preserve"> </w:t>
      </w:r>
      <w:r>
        <w:rPr>
          <w:spacing w:val="-3"/>
          <w:sz w:val="20"/>
        </w:rPr>
        <w:t>lo</w:t>
      </w:r>
      <w:r>
        <w:rPr>
          <w:spacing w:val="-8"/>
          <w:sz w:val="20"/>
        </w:rPr>
        <w:t xml:space="preserve"> </w:t>
      </w:r>
      <w:r>
        <w:rPr>
          <w:spacing w:val="-4"/>
          <w:sz w:val="20"/>
        </w:rPr>
        <w:t>expuesto,</w:t>
      </w:r>
      <w:r>
        <w:rPr>
          <w:spacing w:val="-10"/>
          <w:sz w:val="20"/>
        </w:rPr>
        <w:t xml:space="preserve"> </w:t>
      </w:r>
      <w:r>
        <w:rPr>
          <w:spacing w:val="-4"/>
          <w:sz w:val="20"/>
        </w:rPr>
        <w:t>estimo</w:t>
      </w:r>
      <w:r>
        <w:rPr>
          <w:spacing w:val="-10"/>
          <w:sz w:val="20"/>
        </w:rPr>
        <w:t xml:space="preserve"> </w:t>
      </w:r>
      <w:r>
        <w:rPr>
          <w:sz w:val="20"/>
        </w:rPr>
        <w:t>que</w:t>
      </w:r>
      <w:r>
        <w:rPr>
          <w:spacing w:val="-10"/>
          <w:sz w:val="20"/>
        </w:rPr>
        <w:t xml:space="preserve"> </w:t>
      </w:r>
      <w:r>
        <w:rPr>
          <w:spacing w:val="-3"/>
          <w:sz w:val="20"/>
        </w:rPr>
        <w:t>si</w:t>
      </w:r>
      <w:r>
        <w:rPr>
          <w:spacing w:val="-9"/>
          <w:sz w:val="20"/>
        </w:rPr>
        <w:t xml:space="preserve"> </w:t>
      </w:r>
      <w:r>
        <w:rPr>
          <w:spacing w:val="-3"/>
          <w:sz w:val="20"/>
        </w:rPr>
        <w:t>bien</w:t>
      </w:r>
      <w:r>
        <w:rPr>
          <w:spacing w:val="-8"/>
          <w:sz w:val="20"/>
        </w:rPr>
        <w:t xml:space="preserve"> </w:t>
      </w:r>
      <w:r>
        <w:rPr>
          <w:sz w:val="20"/>
        </w:rPr>
        <w:t>el</w:t>
      </w:r>
      <w:r>
        <w:rPr>
          <w:spacing w:val="-9"/>
          <w:sz w:val="20"/>
        </w:rPr>
        <w:t xml:space="preserve"> </w:t>
      </w:r>
      <w:r>
        <w:rPr>
          <w:spacing w:val="-3"/>
          <w:sz w:val="20"/>
        </w:rPr>
        <w:t>señor</w:t>
      </w:r>
      <w:r>
        <w:rPr>
          <w:spacing w:val="-10"/>
          <w:sz w:val="20"/>
        </w:rPr>
        <w:t xml:space="preserve"> </w:t>
      </w:r>
      <w:r>
        <w:rPr>
          <w:spacing w:val="-4"/>
          <w:sz w:val="20"/>
        </w:rPr>
        <w:t>Cordero</w:t>
      </w:r>
      <w:r>
        <w:rPr>
          <w:spacing w:val="-10"/>
          <w:sz w:val="20"/>
        </w:rPr>
        <w:t xml:space="preserve"> </w:t>
      </w:r>
      <w:r>
        <w:rPr>
          <w:spacing w:val="-4"/>
          <w:sz w:val="20"/>
        </w:rPr>
        <w:t>Bernal</w:t>
      </w:r>
      <w:r>
        <w:rPr>
          <w:spacing w:val="-9"/>
          <w:sz w:val="20"/>
        </w:rPr>
        <w:t xml:space="preserve"> </w:t>
      </w:r>
      <w:r>
        <w:rPr>
          <w:spacing w:val="-3"/>
          <w:sz w:val="20"/>
        </w:rPr>
        <w:t>tuvo</w:t>
      </w:r>
      <w:r>
        <w:rPr>
          <w:spacing w:val="-8"/>
          <w:sz w:val="20"/>
        </w:rPr>
        <w:t xml:space="preserve"> </w:t>
      </w:r>
      <w:r>
        <w:rPr>
          <w:spacing w:val="-4"/>
          <w:sz w:val="20"/>
        </w:rPr>
        <w:t>acceso</w:t>
      </w:r>
      <w:r>
        <w:rPr>
          <w:spacing w:val="-10"/>
          <w:sz w:val="20"/>
        </w:rPr>
        <w:t xml:space="preserve"> </w:t>
      </w:r>
      <w:r>
        <w:rPr>
          <w:sz w:val="20"/>
        </w:rPr>
        <w:t xml:space="preserve">al </w:t>
      </w:r>
      <w:r>
        <w:rPr>
          <w:spacing w:val="-4"/>
          <w:sz w:val="20"/>
        </w:rPr>
        <w:t xml:space="preserve">recurso </w:t>
      </w:r>
      <w:r>
        <w:rPr>
          <w:sz w:val="20"/>
        </w:rPr>
        <w:t xml:space="preserve">de </w:t>
      </w:r>
      <w:r>
        <w:rPr>
          <w:spacing w:val="-4"/>
          <w:sz w:val="20"/>
        </w:rPr>
        <w:t xml:space="preserve">amparo, </w:t>
      </w:r>
      <w:r>
        <w:rPr>
          <w:spacing w:val="-3"/>
          <w:sz w:val="20"/>
        </w:rPr>
        <w:t xml:space="preserve">este </w:t>
      </w:r>
      <w:r>
        <w:rPr>
          <w:sz w:val="20"/>
        </w:rPr>
        <w:t xml:space="preserve">no </w:t>
      </w:r>
      <w:r>
        <w:rPr>
          <w:spacing w:val="-4"/>
          <w:sz w:val="20"/>
        </w:rPr>
        <w:t xml:space="preserve">constituyó </w:t>
      </w:r>
      <w:r>
        <w:rPr>
          <w:sz w:val="20"/>
        </w:rPr>
        <w:t xml:space="preserve">un </w:t>
      </w:r>
      <w:r>
        <w:rPr>
          <w:spacing w:val="-4"/>
          <w:sz w:val="20"/>
        </w:rPr>
        <w:t xml:space="preserve">recurso judicial efectivo </w:t>
      </w:r>
      <w:r>
        <w:rPr>
          <w:spacing w:val="-3"/>
          <w:sz w:val="20"/>
        </w:rPr>
        <w:t xml:space="preserve">que </w:t>
      </w:r>
      <w:r>
        <w:rPr>
          <w:sz w:val="20"/>
        </w:rPr>
        <w:t xml:space="preserve">le </w:t>
      </w:r>
      <w:r>
        <w:rPr>
          <w:spacing w:val="-4"/>
          <w:sz w:val="20"/>
        </w:rPr>
        <w:t>permitiera</w:t>
      </w:r>
      <w:r>
        <w:rPr>
          <w:spacing w:val="62"/>
          <w:sz w:val="20"/>
        </w:rPr>
        <w:t xml:space="preserve"> </w:t>
      </w:r>
      <w:r>
        <w:rPr>
          <w:spacing w:val="-4"/>
          <w:sz w:val="20"/>
        </w:rPr>
        <w:t xml:space="preserve">exponer, </w:t>
      </w:r>
      <w:r>
        <w:rPr>
          <w:spacing w:val="-3"/>
          <w:sz w:val="20"/>
        </w:rPr>
        <w:t xml:space="preserve">ante </w:t>
      </w:r>
      <w:r>
        <w:rPr>
          <w:sz w:val="20"/>
        </w:rPr>
        <w:t xml:space="preserve">un </w:t>
      </w:r>
      <w:r>
        <w:rPr>
          <w:spacing w:val="-3"/>
          <w:sz w:val="20"/>
        </w:rPr>
        <w:t xml:space="preserve">juez </w:t>
      </w:r>
      <w:r>
        <w:rPr>
          <w:sz w:val="20"/>
        </w:rPr>
        <w:t xml:space="preserve">o </w:t>
      </w:r>
      <w:r>
        <w:rPr>
          <w:spacing w:val="-4"/>
          <w:sz w:val="20"/>
        </w:rPr>
        <w:t xml:space="preserve">tribunal competente, posibles </w:t>
      </w:r>
      <w:r>
        <w:rPr>
          <w:spacing w:val="-3"/>
          <w:sz w:val="20"/>
        </w:rPr>
        <w:t xml:space="preserve">actos </w:t>
      </w:r>
      <w:r>
        <w:rPr>
          <w:spacing w:val="-4"/>
          <w:sz w:val="20"/>
        </w:rPr>
        <w:t xml:space="preserve">violatorios </w:t>
      </w:r>
      <w:r>
        <w:rPr>
          <w:sz w:val="20"/>
        </w:rPr>
        <w:t xml:space="preserve">de </w:t>
      </w:r>
      <w:r>
        <w:rPr>
          <w:spacing w:val="-4"/>
          <w:sz w:val="20"/>
        </w:rPr>
        <w:t xml:space="preserve">derechos fundamentales diferentes </w:t>
      </w:r>
      <w:r>
        <w:rPr>
          <w:spacing w:val="-3"/>
          <w:sz w:val="20"/>
        </w:rPr>
        <w:t xml:space="preserve">al </w:t>
      </w:r>
      <w:r>
        <w:rPr>
          <w:spacing w:val="-4"/>
          <w:sz w:val="20"/>
        </w:rPr>
        <w:t>debido</w:t>
      </w:r>
      <w:r>
        <w:rPr>
          <w:spacing w:val="-24"/>
          <w:sz w:val="20"/>
        </w:rPr>
        <w:t xml:space="preserve"> </w:t>
      </w:r>
      <w:r>
        <w:rPr>
          <w:spacing w:val="-4"/>
          <w:sz w:val="20"/>
        </w:rPr>
        <w:t>proceso.</w:t>
      </w:r>
    </w:p>
    <w:p w14:paraId="7BBB8535" w14:textId="77777777" w:rsidR="00492688" w:rsidRDefault="00492688">
      <w:pPr>
        <w:pStyle w:val="Textoindependiente"/>
        <w:spacing w:before="11"/>
        <w:rPr>
          <w:sz w:val="19"/>
        </w:rPr>
      </w:pPr>
    </w:p>
    <w:p w14:paraId="63F230EC" w14:textId="77777777" w:rsidR="00492688" w:rsidRDefault="00C9584B">
      <w:pPr>
        <w:pStyle w:val="Prrafodelista"/>
        <w:numPr>
          <w:ilvl w:val="0"/>
          <w:numId w:val="1"/>
        </w:numPr>
        <w:tabs>
          <w:tab w:val="left" w:pos="3847"/>
        </w:tabs>
        <w:ind w:left="3846" w:hanging="364"/>
        <w:jc w:val="left"/>
        <w:rPr>
          <w:sz w:val="20"/>
        </w:rPr>
      </w:pPr>
      <w:r>
        <w:rPr>
          <w:sz w:val="20"/>
        </w:rPr>
        <w:t>CONCLUSIONES</w:t>
      </w:r>
    </w:p>
    <w:p w14:paraId="5D4BB283" w14:textId="77777777" w:rsidR="00492688" w:rsidRDefault="00492688">
      <w:pPr>
        <w:pStyle w:val="Textoindependiente"/>
        <w:spacing w:before="1"/>
      </w:pPr>
    </w:p>
    <w:p w14:paraId="3C0C3131" w14:textId="77777777" w:rsidR="00492688" w:rsidRDefault="00C9584B">
      <w:pPr>
        <w:pStyle w:val="Prrafodelista"/>
        <w:numPr>
          <w:ilvl w:val="0"/>
          <w:numId w:val="3"/>
        </w:numPr>
        <w:tabs>
          <w:tab w:val="left" w:pos="830"/>
        </w:tabs>
        <w:ind w:right="225" w:firstLine="0"/>
        <w:jc w:val="both"/>
        <w:rPr>
          <w:sz w:val="20"/>
        </w:rPr>
      </w:pPr>
      <w:r>
        <w:rPr>
          <w:spacing w:val="-4"/>
          <w:sz w:val="20"/>
        </w:rPr>
        <w:t xml:space="preserve">Tal </w:t>
      </w:r>
      <w:r>
        <w:rPr>
          <w:spacing w:val="-3"/>
          <w:sz w:val="20"/>
        </w:rPr>
        <w:t xml:space="preserve">como </w:t>
      </w:r>
      <w:r>
        <w:rPr>
          <w:sz w:val="20"/>
        </w:rPr>
        <w:t xml:space="preserve">he </w:t>
      </w:r>
      <w:r>
        <w:rPr>
          <w:spacing w:val="-4"/>
          <w:sz w:val="20"/>
        </w:rPr>
        <w:t xml:space="preserve">puesto </w:t>
      </w:r>
      <w:r>
        <w:rPr>
          <w:sz w:val="20"/>
        </w:rPr>
        <w:t xml:space="preserve">de </w:t>
      </w:r>
      <w:r>
        <w:rPr>
          <w:spacing w:val="-4"/>
          <w:sz w:val="20"/>
        </w:rPr>
        <w:t xml:space="preserve">manifiesto </w:t>
      </w:r>
      <w:r>
        <w:rPr>
          <w:spacing w:val="-3"/>
          <w:sz w:val="20"/>
        </w:rPr>
        <w:t xml:space="preserve">en </w:t>
      </w:r>
      <w:r>
        <w:rPr>
          <w:spacing w:val="-2"/>
          <w:sz w:val="20"/>
        </w:rPr>
        <w:t xml:space="preserve">los </w:t>
      </w:r>
      <w:r>
        <w:rPr>
          <w:spacing w:val="-4"/>
          <w:sz w:val="20"/>
        </w:rPr>
        <w:t xml:space="preserve">párrafos precedentes, considero </w:t>
      </w:r>
      <w:r>
        <w:rPr>
          <w:spacing w:val="-3"/>
          <w:sz w:val="20"/>
        </w:rPr>
        <w:t xml:space="preserve">que el caso </w:t>
      </w:r>
      <w:r>
        <w:rPr>
          <w:spacing w:val="-2"/>
          <w:sz w:val="20"/>
        </w:rPr>
        <w:t xml:space="preserve">del </w:t>
      </w:r>
      <w:r>
        <w:rPr>
          <w:spacing w:val="-3"/>
          <w:sz w:val="20"/>
        </w:rPr>
        <w:t xml:space="preserve">juez </w:t>
      </w:r>
      <w:r>
        <w:rPr>
          <w:spacing w:val="-4"/>
          <w:sz w:val="20"/>
        </w:rPr>
        <w:t xml:space="preserve">Cordero Bernal </w:t>
      </w:r>
      <w:r>
        <w:rPr>
          <w:spacing w:val="-3"/>
          <w:sz w:val="20"/>
        </w:rPr>
        <w:t xml:space="preserve">pudo ser </w:t>
      </w:r>
      <w:r>
        <w:rPr>
          <w:spacing w:val="-4"/>
          <w:sz w:val="20"/>
        </w:rPr>
        <w:t xml:space="preserve">abordado desde otras perspectivas tanto </w:t>
      </w:r>
      <w:r>
        <w:rPr>
          <w:spacing w:val="-3"/>
          <w:sz w:val="20"/>
        </w:rPr>
        <w:t xml:space="preserve">en </w:t>
      </w:r>
      <w:r>
        <w:rPr>
          <w:sz w:val="20"/>
        </w:rPr>
        <w:t xml:space="preserve">lo </w:t>
      </w:r>
      <w:r>
        <w:rPr>
          <w:spacing w:val="-3"/>
          <w:sz w:val="20"/>
        </w:rPr>
        <w:t xml:space="preserve">que </w:t>
      </w:r>
      <w:r>
        <w:rPr>
          <w:spacing w:val="-4"/>
          <w:sz w:val="20"/>
        </w:rPr>
        <w:t xml:space="preserve">refiere </w:t>
      </w:r>
      <w:r>
        <w:rPr>
          <w:sz w:val="20"/>
        </w:rPr>
        <w:t xml:space="preserve">a la </w:t>
      </w:r>
      <w:r>
        <w:rPr>
          <w:spacing w:val="-4"/>
          <w:sz w:val="20"/>
        </w:rPr>
        <w:t xml:space="preserve">independencia judicial </w:t>
      </w:r>
      <w:r>
        <w:rPr>
          <w:sz w:val="20"/>
        </w:rPr>
        <w:t xml:space="preserve">y al </w:t>
      </w:r>
      <w:r>
        <w:rPr>
          <w:spacing w:val="-4"/>
          <w:sz w:val="20"/>
        </w:rPr>
        <w:t xml:space="preserve">principio </w:t>
      </w:r>
      <w:r>
        <w:rPr>
          <w:sz w:val="20"/>
        </w:rPr>
        <w:t xml:space="preserve">de </w:t>
      </w:r>
      <w:r>
        <w:rPr>
          <w:spacing w:val="-4"/>
          <w:sz w:val="20"/>
        </w:rPr>
        <w:t xml:space="preserve">legalidad, </w:t>
      </w:r>
      <w:r>
        <w:rPr>
          <w:spacing w:val="-3"/>
          <w:sz w:val="20"/>
        </w:rPr>
        <w:t xml:space="preserve">como </w:t>
      </w:r>
      <w:r>
        <w:rPr>
          <w:sz w:val="20"/>
        </w:rPr>
        <w:t xml:space="preserve">en lo </w:t>
      </w:r>
      <w:r>
        <w:rPr>
          <w:spacing w:val="-3"/>
          <w:sz w:val="20"/>
        </w:rPr>
        <w:t xml:space="preserve">que </w:t>
      </w:r>
      <w:r>
        <w:rPr>
          <w:spacing w:val="-4"/>
          <w:sz w:val="20"/>
        </w:rPr>
        <w:t xml:space="preserve">concierne </w:t>
      </w:r>
      <w:r>
        <w:rPr>
          <w:spacing w:val="-3"/>
          <w:sz w:val="20"/>
        </w:rPr>
        <w:t xml:space="preserve">al </w:t>
      </w:r>
      <w:r>
        <w:rPr>
          <w:spacing w:val="-4"/>
          <w:sz w:val="20"/>
        </w:rPr>
        <w:t>debido</w:t>
      </w:r>
      <w:r>
        <w:rPr>
          <w:spacing w:val="-8"/>
          <w:sz w:val="20"/>
        </w:rPr>
        <w:t xml:space="preserve"> </w:t>
      </w:r>
      <w:r>
        <w:rPr>
          <w:spacing w:val="-3"/>
          <w:sz w:val="20"/>
        </w:rPr>
        <w:t>proceso</w:t>
      </w:r>
      <w:r>
        <w:rPr>
          <w:spacing w:val="-6"/>
          <w:sz w:val="20"/>
        </w:rPr>
        <w:t xml:space="preserve"> </w:t>
      </w:r>
      <w:r>
        <w:rPr>
          <w:sz w:val="20"/>
        </w:rPr>
        <w:t>y</w:t>
      </w:r>
      <w:r>
        <w:rPr>
          <w:spacing w:val="-7"/>
          <w:sz w:val="20"/>
        </w:rPr>
        <w:t xml:space="preserve"> </w:t>
      </w:r>
      <w:r>
        <w:rPr>
          <w:sz w:val="20"/>
        </w:rPr>
        <w:t>la</w:t>
      </w:r>
      <w:r>
        <w:rPr>
          <w:spacing w:val="-6"/>
          <w:sz w:val="20"/>
        </w:rPr>
        <w:t xml:space="preserve"> </w:t>
      </w:r>
      <w:r>
        <w:rPr>
          <w:spacing w:val="-4"/>
          <w:sz w:val="20"/>
        </w:rPr>
        <w:t>protección</w:t>
      </w:r>
      <w:r>
        <w:rPr>
          <w:spacing w:val="-6"/>
          <w:sz w:val="20"/>
        </w:rPr>
        <w:t xml:space="preserve"> </w:t>
      </w:r>
      <w:r>
        <w:rPr>
          <w:spacing w:val="-4"/>
          <w:sz w:val="20"/>
        </w:rPr>
        <w:t>judicial.</w:t>
      </w:r>
      <w:r>
        <w:rPr>
          <w:spacing w:val="-7"/>
          <w:sz w:val="20"/>
        </w:rPr>
        <w:t xml:space="preserve"> </w:t>
      </w:r>
      <w:r>
        <w:rPr>
          <w:sz w:val="20"/>
        </w:rPr>
        <w:t>En</w:t>
      </w:r>
      <w:r>
        <w:rPr>
          <w:spacing w:val="-2"/>
          <w:sz w:val="20"/>
        </w:rPr>
        <w:t xml:space="preserve"> </w:t>
      </w:r>
      <w:r>
        <w:rPr>
          <w:spacing w:val="-3"/>
          <w:sz w:val="20"/>
        </w:rPr>
        <w:t>la</w:t>
      </w:r>
      <w:r>
        <w:rPr>
          <w:spacing w:val="-4"/>
          <w:sz w:val="20"/>
        </w:rPr>
        <w:t xml:space="preserve"> sentencia </w:t>
      </w:r>
      <w:r>
        <w:rPr>
          <w:sz w:val="20"/>
        </w:rPr>
        <w:t>se</w:t>
      </w:r>
      <w:r>
        <w:rPr>
          <w:spacing w:val="-8"/>
          <w:sz w:val="20"/>
        </w:rPr>
        <w:t xml:space="preserve"> </w:t>
      </w:r>
      <w:r>
        <w:rPr>
          <w:spacing w:val="-3"/>
          <w:sz w:val="20"/>
        </w:rPr>
        <w:t>debió</w:t>
      </w:r>
      <w:r>
        <w:rPr>
          <w:spacing w:val="-7"/>
          <w:sz w:val="20"/>
        </w:rPr>
        <w:t xml:space="preserve"> </w:t>
      </w:r>
      <w:r>
        <w:rPr>
          <w:spacing w:val="-4"/>
          <w:sz w:val="20"/>
        </w:rPr>
        <w:t>declarar</w:t>
      </w:r>
      <w:r>
        <w:rPr>
          <w:spacing w:val="-8"/>
          <w:sz w:val="20"/>
        </w:rPr>
        <w:t xml:space="preserve"> </w:t>
      </w:r>
      <w:r>
        <w:rPr>
          <w:sz w:val="20"/>
        </w:rPr>
        <w:t>la</w:t>
      </w:r>
      <w:r>
        <w:rPr>
          <w:spacing w:val="-7"/>
          <w:sz w:val="20"/>
        </w:rPr>
        <w:t xml:space="preserve"> </w:t>
      </w:r>
      <w:r>
        <w:rPr>
          <w:spacing w:val="-4"/>
          <w:sz w:val="20"/>
        </w:rPr>
        <w:t>violación</w:t>
      </w:r>
      <w:r>
        <w:rPr>
          <w:spacing w:val="-2"/>
          <w:sz w:val="20"/>
        </w:rPr>
        <w:t xml:space="preserve"> </w:t>
      </w:r>
      <w:r>
        <w:rPr>
          <w:sz w:val="20"/>
        </w:rPr>
        <w:t>a</w:t>
      </w:r>
      <w:r>
        <w:rPr>
          <w:spacing w:val="-7"/>
          <w:sz w:val="20"/>
        </w:rPr>
        <w:t xml:space="preserve"> </w:t>
      </w:r>
      <w:r>
        <w:rPr>
          <w:spacing w:val="-2"/>
          <w:sz w:val="20"/>
        </w:rPr>
        <w:t xml:space="preserve">los </w:t>
      </w:r>
      <w:r>
        <w:rPr>
          <w:spacing w:val="-4"/>
          <w:sz w:val="20"/>
        </w:rPr>
        <w:t>artículos</w:t>
      </w:r>
      <w:r>
        <w:rPr>
          <w:spacing w:val="-9"/>
          <w:sz w:val="20"/>
        </w:rPr>
        <w:t xml:space="preserve"> </w:t>
      </w:r>
      <w:r>
        <w:rPr>
          <w:sz w:val="20"/>
        </w:rPr>
        <w:t>8,</w:t>
      </w:r>
      <w:r>
        <w:rPr>
          <w:spacing w:val="-10"/>
          <w:sz w:val="20"/>
        </w:rPr>
        <w:t xml:space="preserve"> </w:t>
      </w:r>
      <w:r>
        <w:rPr>
          <w:sz w:val="20"/>
        </w:rPr>
        <w:t>9,</w:t>
      </w:r>
      <w:r>
        <w:rPr>
          <w:spacing w:val="-10"/>
          <w:sz w:val="20"/>
        </w:rPr>
        <w:t xml:space="preserve"> </w:t>
      </w:r>
      <w:r>
        <w:rPr>
          <w:sz w:val="20"/>
        </w:rPr>
        <w:t>23</w:t>
      </w:r>
      <w:r>
        <w:rPr>
          <w:spacing w:val="-6"/>
          <w:sz w:val="20"/>
        </w:rPr>
        <w:t xml:space="preserve"> </w:t>
      </w:r>
      <w:r>
        <w:rPr>
          <w:sz w:val="20"/>
        </w:rPr>
        <w:t>y</w:t>
      </w:r>
      <w:r>
        <w:rPr>
          <w:spacing w:val="-10"/>
          <w:sz w:val="20"/>
        </w:rPr>
        <w:t xml:space="preserve"> </w:t>
      </w:r>
      <w:r>
        <w:rPr>
          <w:spacing w:val="-3"/>
          <w:sz w:val="20"/>
        </w:rPr>
        <w:t>25,</w:t>
      </w:r>
      <w:r>
        <w:rPr>
          <w:spacing w:val="-7"/>
          <w:sz w:val="20"/>
        </w:rPr>
        <w:t xml:space="preserve"> </w:t>
      </w:r>
      <w:r>
        <w:rPr>
          <w:sz w:val="20"/>
        </w:rPr>
        <w:t>en</w:t>
      </w:r>
      <w:r>
        <w:rPr>
          <w:spacing w:val="-8"/>
          <w:sz w:val="20"/>
        </w:rPr>
        <w:t xml:space="preserve"> </w:t>
      </w:r>
      <w:r>
        <w:rPr>
          <w:spacing w:val="-4"/>
          <w:sz w:val="20"/>
        </w:rPr>
        <w:t>relación</w:t>
      </w:r>
      <w:r>
        <w:rPr>
          <w:spacing w:val="-6"/>
          <w:sz w:val="20"/>
        </w:rPr>
        <w:t xml:space="preserve"> </w:t>
      </w:r>
      <w:r>
        <w:rPr>
          <w:spacing w:val="-3"/>
          <w:sz w:val="20"/>
        </w:rPr>
        <w:t>con</w:t>
      </w:r>
      <w:r>
        <w:rPr>
          <w:spacing w:val="-8"/>
          <w:sz w:val="20"/>
        </w:rPr>
        <w:t xml:space="preserve"> </w:t>
      </w:r>
      <w:r>
        <w:rPr>
          <w:spacing w:val="-2"/>
          <w:sz w:val="20"/>
        </w:rPr>
        <w:t>los</w:t>
      </w:r>
      <w:r>
        <w:rPr>
          <w:spacing w:val="-8"/>
          <w:sz w:val="20"/>
        </w:rPr>
        <w:t xml:space="preserve"> </w:t>
      </w:r>
      <w:r>
        <w:rPr>
          <w:spacing w:val="-4"/>
          <w:sz w:val="20"/>
        </w:rPr>
        <w:t>artículos</w:t>
      </w:r>
      <w:r>
        <w:rPr>
          <w:spacing w:val="-10"/>
          <w:sz w:val="20"/>
        </w:rPr>
        <w:t xml:space="preserve"> </w:t>
      </w:r>
      <w:r>
        <w:rPr>
          <w:sz w:val="20"/>
        </w:rPr>
        <w:t>1</w:t>
      </w:r>
      <w:r>
        <w:rPr>
          <w:spacing w:val="-6"/>
          <w:sz w:val="20"/>
        </w:rPr>
        <w:t xml:space="preserve"> </w:t>
      </w:r>
      <w:r>
        <w:rPr>
          <w:sz w:val="20"/>
        </w:rPr>
        <w:t>y</w:t>
      </w:r>
      <w:r>
        <w:rPr>
          <w:spacing w:val="-7"/>
          <w:sz w:val="20"/>
        </w:rPr>
        <w:t xml:space="preserve"> </w:t>
      </w:r>
      <w:r>
        <w:rPr>
          <w:sz w:val="20"/>
        </w:rPr>
        <w:t>2</w:t>
      </w:r>
      <w:r>
        <w:rPr>
          <w:spacing w:val="-9"/>
          <w:sz w:val="20"/>
        </w:rPr>
        <w:t xml:space="preserve"> </w:t>
      </w:r>
      <w:r>
        <w:rPr>
          <w:spacing w:val="-3"/>
          <w:sz w:val="20"/>
        </w:rPr>
        <w:t>del</w:t>
      </w:r>
      <w:r>
        <w:rPr>
          <w:spacing w:val="-7"/>
          <w:sz w:val="20"/>
        </w:rPr>
        <w:t xml:space="preserve"> </w:t>
      </w:r>
      <w:r>
        <w:rPr>
          <w:spacing w:val="-3"/>
          <w:sz w:val="20"/>
        </w:rPr>
        <w:t>Pacto</w:t>
      </w:r>
      <w:r>
        <w:rPr>
          <w:spacing w:val="-10"/>
          <w:sz w:val="20"/>
        </w:rPr>
        <w:t xml:space="preserve"> </w:t>
      </w:r>
      <w:r>
        <w:rPr>
          <w:sz w:val="20"/>
        </w:rPr>
        <w:t>de</w:t>
      </w:r>
      <w:r>
        <w:rPr>
          <w:spacing w:val="-8"/>
          <w:sz w:val="20"/>
        </w:rPr>
        <w:t xml:space="preserve"> </w:t>
      </w:r>
      <w:r>
        <w:rPr>
          <w:spacing w:val="-3"/>
          <w:sz w:val="20"/>
        </w:rPr>
        <w:t>San</w:t>
      </w:r>
      <w:r>
        <w:rPr>
          <w:spacing w:val="-8"/>
          <w:sz w:val="20"/>
        </w:rPr>
        <w:t xml:space="preserve"> </w:t>
      </w:r>
      <w:r>
        <w:rPr>
          <w:spacing w:val="-4"/>
          <w:sz w:val="20"/>
        </w:rPr>
        <w:t>José,</w:t>
      </w:r>
      <w:r>
        <w:rPr>
          <w:spacing w:val="-10"/>
          <w:sz w:val="20"/>
        </w:rPr>
        <w:t xml:space="preserve"> </w:t>
      </w:r>
      <w:r>
        <w:rPr>
          <w:spacing w:val="-3"/>
          <w:sz w:val="20"/>
        </w:rPr>
        <w:t>dictar</w:t>
      </w:r>
      <w:r>
        <w:rPr>
          <w:spacing w:val="-10"/>
          <w:sz w:val="20"/>
        </w:rPr>
        <w:t xml:space="preserve"> </w:t>
      </w:r>
      <w:r>
        <w:rPr>
          <w:spacing w:val="-3"/>
          <w:sz w:val="20"/>
        </w:rPr>
        <w:t xml:space="preserve">las </w:t>
      </w:r>
      <w:r>
        <w:rPr>
          <w:spacing w:val="-4"/>
          <w:sz w:val="20"/>
        </w:rPr>
        <w:t>medidas</w:t>
      </w:r>
      <w:r>
        <w:rPr>
          <w:spacing w:val="-10"/>
          <w:sz w:val="20"/>
        </w:rPr>
        <w:t xml:space="preserve"> </w:t>
      </w:r>
      <w:r>
        <w:rPr>
          <w:sz w:val="20"/>
        </w:rPr>
        <w:t>de</w:t>
      </w:r>
      <w:r>
        <w:rPr>
          <w:spacing w:val="-7"/>
          <w:sz w:val="20"/>
        </w:rPr>
        <w:t xml:space="preserve"> </w:t>
      </w:r>
      <w:r>
        <w:rPr>
          <w:spacing w:val="-5"/>
          <w:sz w:val="20"/>
        </w:rPr>
        <w:t>reparación</w:t>
      </w:r>
      <w:r>
        <w:rPr>
          <w:spacing w:val="-7"/>
          <w:sz w:val="20"/>
        </w:rPr>
        <w:t xml:space="preserve"> </w:t>
      </w:r>
      <w:r>
        <w:rPr>
          <w:spacing w:val="-2"/>
          <w:sz w:val="20"/>
        </w:rPr>
        <w:t>que</w:t>
      </w:r>
      <w:r>
        <w:rPr>
          <w:spacing w:val="-10"/>
          <w:sz w:val="20"/>
        </w:rPr>
        <w:t xml:space="preserve"> </w:t>
      </w:r>
      <w:r>
        <w:rPr>
          <w:spacing w:val="-4"/>
          <w:sz w:val="20"/>
        </w:rPr>
        <w:t>correspondieran</w:t>
      </w:r>
      <w:r>
        <w:rPr>
          <w:spacing w:val="-7"/>
          <w:sz w:val="20"/>
        </w:rPr>
        <w:t xml:space="preserve"> </w:t>
      </w:r>
      <w:r>
        <w:rPr>
          <w:sz w:val="20"/>
        </w:rPr>
        <w:t>y</w:t>
      </w:r>
      <w:r>
        <w:rPr>
          <w:spacing w:val="-9"/>
          <w:sz w:val="20"/>
        </w:rPr>
        <w:t xml:space="preserve"> </w:t>
      </w:r>
      <w:r>
        <w:rPr>
          <w:sz w:val="20"/>
        </w:rPr>
        <w:t>no</w:t>
      </w:r>
      <w:r>
        <w:rPr>
          <w:spacing w:val="-9"/>
          <w:sz w:val="20"/>
        </w:rPr>
        <w:t xml:space="preserve"> </w:t>
      </w:r>
      <w:r>
        <w:rPr>
          <w:spacing w:val="-4"/>
          <w:sz w:val="20"/>
        </w:rPr>
        <w:t>archivar</w:t>
      </w:r>
      <w:r>
        <w:rPr>
          <w:spacing w:val="-8"/>
          <w:sz w:val="20"/>
        </w:rPr>
        <w:t xml:space="preserve"> </w:t>
      </w:r>
      <w:r>
        <w:rPr>
          <w:spacing w:val="-3"/>
          <w:sz w:val="20"/>
        </w:rPr>
        <w:t>el</w:t>
      </w:r>
      <w:r>
        <w:rPr>
          <w:spacing w:val="-8"/>
          <w:sz w:val="20"/>
        </w:rPr>
        <w:t xml:space="preserve"> </w:t>
      </w:r>
      <w:r>
        <w:rPr>
          <w:spacing w:val="-3"/>
          <w:sz w:val="20"/>
        </w:rPr>
        <w:t>caso.</w:t>
      </w:r>
    </w:p>
    <w:p w14:paraId="3AC80A54" w14:textId="77777777" w:rsidR="00492688" w:rsidRDefault="00492688">
      <w:pPr>
        <w:pStyle w:val="Textoindependiente"/>
        <w:spacing w:before="1"/>
      </w:pPr>
    </w:p>
    <w:p w14:paraId="27411714" w14:textId="77777777" w:rsidR="00492688" w:rsidRDefault="00C9584B">
      <w:pPr>
        <w:pStyle w:val="Prrafodelista"/>
        <w:numPr>
          <w:ilvl w:val="0"/>
          <w:numId w:val="3"/>
        </w:numPr>
        <w:tabs>
          <w:tab w:val="left" w:pos="830"/>
        </w:tabs>
        <w:ind w:right="226" w:firstLine="0"/>
        <w:jc w:val="both"/>
        <w:rPr>
          <w:sz w:val="20"/>
        </w:rPr>
      </w:pPr>
      <w:r>
        <w:rPr>
          <w:spacing w:val="-4"/>
          <w:sz w:val="20"/>
        </w:rPr>
        <w:t xml:space="preserve">Estimo </w:t>
      </w:r>
      <w:r>
        <w:rPr>
          <w:spacing w:val="-3"/>
          <w:sz w:val="20"/>
        </w:rPr>
        <w:t xml:space="preserve">que la Corte IDH pudo haber </w:t>
      </w:r>
      <w:r>
        <w:rPr>
          <w:spacing w:val="-4"/>
          <w:sz w:val="20"/>
        </w:rPr>
        <w:t xml:space="preserve">reafirmado </w:t>
      </w:r>
      <w:r>
        <w:rPr>
          <w:spacing w:val="-3"/>
          <w:sz w:val="20"/>
        </w:rPr>
        <w:t xml:space="preserve">su </w:t>
      </w:r>
      <w:r>
        <w:rPr>
          <w:spacing w:val="-4"/>
          <w:sz w:val="20"/>
        </w:rPr>
        <w:t>jurisprudencia</w:t>
      </w:r>
      <w:r>
        <w:rPr>
          <w:spacing w:val="62"/>
          <w:sz w:val="20"/>
        </w:rPr>
        <w:t xml:space="preserve"> </w:t>
      </w:r>
      <w:r>
        <w:rPr>
          <w:spacing w:val="-4"/>
          <w:sz w:val="20"/>
        </w:rPr>
        <w:t xml:space="preserve">sobre independencia judicial </w:t>
      </w:r>
      <w:r>
        <w:rPr>
          <w:sz w:val="20"/>
        </w:rPr>
        <w:t xml:space="preserve">y </w:t>
      </w:r>
      <w:r>
        <w:rPr>
          <w:spacing w:val="-4"/>
          <w:sz w:val="20"/>
        </w:rPr>
        <w:t xml:space="preserve">profundizar </w:t>
      </w:r>
      <w:r>
        <w:rPr>
          <w:sz w:val="20"/>
        </w:rPr>
        <w:t xml:space="preserve">el </w:t>
      </w:r>
      <w:r>
        <w:rPr>
          <w:spacing w:val="-4"/>
          <w:sz w:val="20"/>
        </w:rPr>
        <w:t xml:space="preserve">análisis </w:t>
      </w:r>
      <w:r>
        <w:rPr>
          <w:spacing w:val="-3"/>
          <w:sz w:val="20"/>
        </w:rPr>
        <w:t xml:space="preserve">del grado </w:t>
      </w:r>
      <w:r>
        <w:rPr>
          <w:sz w:val="20"/>
        </w:rPr>
        <w:t xml:space="preserve">de </w:t>
      </w:r>
      <w:r>
        <w:rPr>
          <w:spacing w:val="-4"/>
          <w:sz w:val="20"/>
        </w:rPr>
        <w:t xml:space="preserve">motivación requerida </w:t>
      </w:r>
      <w:r>
        <w:rPr>
          <w:spacing w:val="-3"/>
          <w:sz w:val="20"/>
        </w:rPr>
        <w:t xml:space="preserve">en </w:t>
      </w:r>
      <w:r>
        <w:rPr>
          <w:sz w:val="20"/>
        </w:rPr>
        <w:t xml:space="preserve">un </w:t>
      </w:r>
      <w:r>
        <w:rPr>
          <w:spacing w:val="-4"/>
          <w:sz w:val="20"/>
        </w:rPr>
        <w:t xml:space="preserve">proceso administrativo sancionador cuando </w:t>
      </w:r>
      <w:r>
        <w:rPr>
          <w:spacing w:val="-3"/>
          <w:sz w:val="20"/>
        </w:rPr>
        <w:t xml:space="preserve">el </w:t>
      </w:r>
      <w:r>
        <w:rPr>
          <w:spacing w:val="-4"/>
          <w:sz w:val="20"/>
        </w:rPr>
        <w:t xml:space="preserve">órgano disciplinario aplica </w:t>
      </w:r>
      <w:r>
        <w:rPr>
          <w:spacing w:val="-3"/>
          <w:sz w:val="20"/>
        </w:rPr>
        <w:t xml:space="preserve">la </w:t>
      </w:r>
      <w:r>
        <w:rPr>
          <w:spacing w:val="-4"/>
          <w:sz w:val="20"/>
        </w:rPr>
        <w:t xml:space="preserve">sanción </w:t>
      </w:r>
      <w:r>
        <w:rPr>
          <w:spacing w:val="-3"/>
          <w:sz w:val="20"/>
        </w:rPr>
        <w:t xml:space="preserve">más </w:t>
      </w:r>
      <w:r>
        <w:rPr>
          <w:spacing w:val="-4"/>
          <w:sz w:val="20"/>
        </w:rPr>
        <w:t xml:space="preserve">severa </w:t>
      </w:r>
      <w:r>
        <w:rPr>
          <w:sz w:val="20"/>
        </w:rPr>
        <w:t xml:space="preserve">a </w:t>
      </w:r>
      <w:r>
        <w:rPr>
          <w:sz w:val="20"/>
        </w:rPr>
        <w:t xml:space="preserve">un </w:t>
      </w:r>
      <w:r>
        <w:rPr>
          <w:spacing w:val="-3"/>
          <w:sz w:val="20"/>
        </w:rPr>
        <w:t xml:space="preserve">juez basado en </w:t>
      </w:r>
      <w:r>
        <w:rPr>
          <w:spacing w:val="-4"/>
          <w:sz w:val="20"/>
        </w:rPr>
        <w:t xml:space="preserve">tipos disciplinarios abiertos </w:t>
      </w:r>
      <w:r>
        <w:rPr>
          <w:sz w:val="20"/>
        </w:rPr>
        <w:t xml:space="preserve">o </w:t>
      </w:r>
      <w:r>
        <w:rPr>
          <w:spacing w:val="-4"/>
          <w:sz w:val="20"/>
        </w:rPr>
        <w:t xml:space="preserve">indeterminados, </w:t>
      </w:r>
      <w:r>
        <w:rPr>
          <w:spacing w:val="-3"/>
          <w:sz w:val="20"/>
        </w:rPr>
        <w:t xml:space="preserve">ya que </w:t>
      </w:r>
      <w:r>
        <w:rPr>
          <w:spacing w:val="-4"/>
          <w:sz w:val="20"/>
        </w:rPr>
        <w:t xml:space="preserve">“la exigencia </w:t>
      </w:r>
      <w:r>
        <w:rPr>
          <w:sz w:val="20"/>
        </w:rPr>
        <w:t xml:space="preserve">de </w:t>
      </w:r>
      <w:r>
        <w:rPr>
          <w:spacing w:val="-4"/>
          <w:sz w:val="20"/>
        </w:rPr>
        <w:t xml:space="preserve">motivación </w:t>
      </w:r>
      <w:r>
        <w:rPr>
          <w:sz w:val="20"/>
        </w:rPr>
        <w:t xml:space="preserve">es </w:t>
      </w:r>
      <w:r>
        <w:rPr>
          <w:spacing w:val="-3"/>
          <w:sz w:val="20"/>
        </w:rPr>
        <w:t xml:space="preserve">aún mayor que en </w:t>
      </w:r>
      <w:r>
        <w:rPr>
          <w:spacing w:val="-4"/>
          <w:sz w:val="20"/>
        </w:rPr>
        <w:t xml:space="preserve">otros procesos </w:t>
      </w:r>
      <w:r>
        <w:rPr>
          <w:spacing w:val="-3"/>
          <w:sz w:val="20"/>
        </w:rPr>
        <w:t>disciplinarios”</w:t>
      </w:r>
      <w:hyperlink w:anchor="_bookmark192" w:history="1">
        <w:r>
          <w:rPr>
            <w:spacing w:val="-3"/>
            <w:position w:val="7"/>
            <w:sz w:val="13"/>
          </w:rPr>
          <w:t>47</w:t>
        </w:r>
      </w:hyperlink>
      <w:r>
        <w:rPr>
          <w:spacing w:val="-3"/>
          <w:sz w:val="20"/>
        </w:rPr>
        <w:t xml:space="preserve">. </w:t>
      </w:r>
      <w:r>
        <w:rPr>
          <w:sz w:val="20"/>
        </w:rPr>
        <w:t xml:space="preserve">No </w:t>
      </w:r>
      <w:r>
        <w:rPr>
          <w:spacing w:val="-3"/>
          <w:sz w:val="20"/>
        </w:rPr>
        <w:t xml:space="preserve">debe </w:t>
      </w:r>
      <w:r>
        <w:rPr>
          <w:spacing w:val="-4"/>
          <w:sz w:val="20"/>
        </w:rPr>
        <w:t>pasar</w:t>
      </w:r>
      <w:r>
        <w:rPr>
          <w:spacing w:val="-10"/>
          <w:sz w:val="20"/>
        </w:rPr>
        <w:t xml:space="preserve"> </w:t>
      </w:r>
      <w:r>
        <w:rPr>
          <w:spacing w:val="-4"/>
          <w:sz w:val="20"/>
        </w:rPr>
        <w:t>inadvertido</w:t>
      </w:r>
      <w:r>
        <w:rPr>
          <w:spacing w:val="-9"/>
          <w:sz w:val="20"/>
        </w:rPr>
        <w:t xml:space="preserve"> </w:t>
      </w:r>
      <w:r>
        <w:rPr>
          <w:spacing w:val="-3"/>
          <w:sz w:val="20"/>
        </w:rPr>
        <w:t>que</w:t>
      </w:r>
      <w:r>
        <w:rPr>
          <w:spacing w:val="-7"/>
          <w:sz w:val="20"/>
        </w:rPr>
        <w:t xml:space="preserve"> </w:t>
      </w:r>
      <w:r>
        <w:rPr>
          <w:sz w:val="20"/>
        </w:rPr>
        <w:t>el</w:t>
      </w:r>
      <w:r>
        <w:rPr>
          <w:spacing w:val="-5"/>
          <w:sz w:val="20"/>
        </w:rPr>
        <w:t xml:space="preserve"> </w:t>
      </w:r>
      <w:r>
        <w:rPr>
          <w:spacing w:val="-3"/>
          <w:sz w:val="20"/>
        </w:rPr>
        <w:t>señor</w:t>
      </w:r>
      <w:r>
        <w:rPr>
          <w:spacing w:val="-9"/>
          <w:sz w:val="20"/>
        </w:rPr>
        <w:t xml:space="preserve"> </w:t>
      </w:r>
      <w:r>
        <w:rPr>
          <w:spacing w:val="-4"/>
          <w:sz w:val="20"/>
        </w:rPr>
        <w:t>Cordero</w:t>
      </w:r>
      <w:r>
        <w:rPr>
          <w:spacing w:val="-8"/>
          <w:sz w:val="20"/>
        </w:rPr>
        <w:t xml:space="preserve"> </w:t>
      </w:r>
      <w:r>
        <w:rPr>
          <w:spacing w:val="-4"/>
          <w:sz w:val="20"/>
        </w:rPr>
        <w:t>Bernal</w:t>
      </w:r>
      <w:r>
        <w:rPr>
          <w:spacing w:val="-5"/>
          <w:sz w:val="20"/>
        </w:rPr>
        <w:t xml:space="preserve"> </w:t>
      </w:r>
      <w:r>
        <w:rPr>
          <w:spacing w:val="-3"/>
          <w:sz w:val="20"/>
        </w:rPr>
        <w:t>fue</w:t>
      </w:r>
      <w:r>
        <w:rPr>
          <w:spacing w:val="-7"/>
          <w:sz w:val="20"/>
        </w:rPr>
        <w:t xml:space="preserve"> </w:t>
      </w:r>
      <w:r>
        <w:rPr>
          <w:spacing w:val="-4"/>
          <w:sz w:val="20"/>
        </w:rPr>
        <w:t>absuelto</w:t>
      </w:r>
      <w:r>
        <w:rPr>
          <w:spacing w:val="-10"/>
          <w:sz w:val="20"/>
        </w:rPr>
        <w:t xml:space="preserve"> </w:t>
      </w:r>
      <w:r>
        <w:rPr>
          <w:spacing w:val="-3"/>
          <w:sz w:val="20"/>
        </w:rPr>
        <w:t>años</w:t>
      </w:r>
      <w:r>
        <w:rPr>
          <w:spacing w:val="-7"/>
          <w:sz w:val="20"/>
        </w:rPr>
        <w:t xml:space="preserve"> </w:t>
      </w:r>
      <w:r>
        <w:rPr>
          <w:spacing w:val="-3"/>
          <w:sz w:val="20"/>
        </w:rPr>
        <w:t>más</w:t>
      </w:r>
      <w:r>
        <w:rPr>
          <w:spacing w:val="-9"/>
          <w:sz w:val="20"/>
        </w:rPr>
        <w:t xml:space="preserve"> </w:t>
      </w:r>
      <w:r>
        <w:rPr>
          <w:spacing w:val="-3"/>
          <w:sz w:val="20"/>
        </w:rPr>
        <w:t>tarde</w:t>
      </w:r>
      <w:r>
        <w:rPr>
          <w:spacing w:val="-10"/>
          <w:sz w:val="20"/>
        </w:rPr>
        <w:t xml:space="preserve"> </w:t>
      </w:r>
      <w:r>
        <w:rPr>
          <w:spacing w:val="-2"/>
          <w:sz w:val="20"/>
        </w:rPr>
        <w:t>por</w:t>
      </w:r>
      <w:r>
        <w:rPr>
          <w:spacing w:val="-7"/>
          <w:sz w:val="20"/>
        </w:rPr>
        <w:t xml:space="preserve"> </w:t>
      </w:r>
      <w:r>
        <w:rPr>
          <w:spacing w:val="-3"/>
          <w:sz w:val="20"/>
        </w:rPr>
        <w:t>los</w:t>
      </w:r>
      <w:r>
        <w:rPr>
          <w:spacing w:val="-8"/>
          <w:sz w:val="20"/>
        </w:rPr>
        <w:t xml:space="preserve"> </w:t>
      </w:r>
      <w:r>
        <w:rPr>
          <w:spacing w:val="-4"/>
          <w:sz w:val="20"/>
        </w:rPr>
        <w:t xml:space="preserve">delitos </w:t>
      </w:r>
      <w:r>
        <w:rPr>
          <w:spacing w:val="-3"/>
          <w:sz w:val="20"/>
        </w:rPr>
        <w:t>que</w:t>
      </w:r>
      <w:r>
        <w:rPr>
          <w:spacing w:val="-16"/>
          <w:sz w:val="20"/>
        </w:rPr>
        <w:t xml:space="preserve"> </w:t>
      </w:r>
      <w:r>
        <w:rPr>
          <w:sz w:val="20"/>
        </w:rPr>
        <w:t>se</w:t>
      </w:r>
      <w:r>
        <w:rPr>
          <w:spacing w:val="-18"/>
          <w:sz w:val="20"/>
        </w:rPr>
        <w:t xml:space="preserve"> </w:t>
      </w:r>
      <w:r>
        <w:rPr>
          <w:sz w:val="20"/>
        </w:rPr>
        <w:t>le</w:t>
      </w:r>
      <w:r>
        <w:rPr>
          <w:spacing w:val="-18"/>
          <w:sz w:val="20"/>
        </w:rPr>
        <w:t xml:space="preserve"> </w:t>
      </w:r>
      <w:r>
        <w:rPr>
          <w:spacing w:val="-4"/>
          <w:sz w:val="20"/>
        </w:rPr>
        <w:t>imputaron</w:t>
      </w:r>
      <w:r>
        <w:rPr>
          <w:spacing w:val="-14"/>
          <w:sz w:val="20"/>
        </w:rPr>
        <w:t xml:space="preserve"> </w:t>
      </w:r>
      <w:r>
        <w:rPr>
          <w:spacing w:val="-4"/>
          <w:sz w:val="20"/>
        </w:rPr>
        <w:t>respecto</w:t>
      </w:r>
      <w:r>
        <w:rPr>
          <w:spacing w:val="-18"/>
          <w:sz w:val="20"/>
        </w:rPr>
        <w:t xml:space="preserve"> </w:t>
      </w:r>
      <w:r>
        <w:rPr>
          <w:sz w:val="20"/>
        </w:rPr>
        <w:t>de</w:t>
      </w:r>
      <w:r>
        <w:rPr>
          <w:spacing w:val="-18"/>
          <w:sz w:val="20"/>
        </w:rPr>
        <w:t xml:space="preserve"> </w:t>
      </w:r>
      <w:r>
        <w:rPr>
          <w:spacing w:val="-3"/>
          <w:sz w:val="20"/>
        </w:rPr>
        <w:t>los</w:t>
      </w:r>
      <w:r>
        <w:rPr>
          <w:spacing w:val="-15"/>
          <w:sz w:val="20"/>
        </w:rPr>
        <w:t xml:space="preserve"> </w:t>
      </w:r>
      <w:r>
        <w:rPr>
          <w:spacing w:val="-4"/>
          <w:sz w:val="20"/>
        </w:rPr>
        <w:t>mismos</w:t>
      </w:r>
      <w:r>
        <w:rPr>
          <w:spacing w:val="-21"/>
          <w:sz w:val="20"/>
        </w:rPr>
        <w:t xml:space="preserve"> </w:t>
      </w:r>
      <w:r>
        <w:rPr>
          <w:spacing w:val="-3"/>
          <w:sz w:val="20"/>
        </w:rPr>
        <w:t>hechos</w:t>
      </w:r>
      <w:r>
        <w:rPr>
          <w:spacing w:val="-17"/>
          <w:sz w:val="20"/>
        </w:rPr>
        <w:t xml:space="preserve"> </w:t>
      </w:r>
      <w:r>
        <w:rPr>
          <w:spacing w:val="-3"/>
          <w:sz w:val="20"/>
        </w:rPr>
        <w:t>sobre</w:t>
      </w:r>
      <w:r>
        <w:rPr>
          <w:spacing w:val="-18"/>
          <w:sz w:val="20"/>
        </w:rPr>
        <w:t xml:space="preserve"> </w:t>
      </w:r>
      <w:r>
        <w:rPr>
          <w:spacing w:val="-2"/>
          <w:sz w:val="20"/>
        </w:rPr>
        <w:t>los</w:t>
      </w:r>
      <w:r>
        <w:rPr>
          <w:spacing w:val="-17"/>
          <w:sz w:val="20"/>
        </w:rPr>
        <w:t xml:space="preserve"> </w:t>
      </w:r>
      <w:r>
        <w:rPr>
          <w:spacing w:val="-3"/>
          <w:sz w:val="20"/>
        </w:rPr>
        <w:t>que</w:t>
      </w:r>
      <w:r>
        <w:rPr>
          <w:spacing w:val="-19"/>
          <w:sz w:val="20"/>
        </w:rPr>
        <w:t xml:space="preserve"> </w:t>
      </w:r>
      <w:r>
        <w:rPr>
          <w:spacing w:val="-4"/>
          <w:sz w:val="20"/>
        </w:rPr>
        <w:t>sirvieron</w:t>
      </w:r>
      <w:r>
        <w:rPr>
          <w:spacing w:val="-15"/>
          <w:sz w:val="20"/>
        </w:rPr>
        <w:t xml:space="preserve"> </w:t>
      </w:r>
      <w:r>
        <w:rPr>
          <w:sz w:val="20"/>
        </w:rPr>
        <w:t>de</w:t>
      </w:r>
      <w:r>
        <w:rPr>
          <w:spacing w:val="-18"/>
          <w:sz w:val="20"/>
        </w:rPr>
        <w:t xml:space="preserve"> </w:t>
      </w:r>
      <w:r>
        <w:rPr>
          <w:spacing w:val="-4"/>
          <w:sz w:val="20"/>
        </w:rPr>
        <w:t xml:space="preserve">fundamento </w:t>
      </w:r>
      <w:r>
        <w:rPr>
          <w:spacing w:val="-3"/>
          <w:sz w:val="20"/>
        </w:rPr>
        <w:t xml:space="preserve">en el </w:t>
      </w:r>
      <w:r>
        <w:rPr>
          <w:spacing w:val="-4"/>
          <w:sz w:val="20"/>
        </w:rPr>
        <w:t xml:space="preserve">proceso disciplinario </w:t>
      </w:r>
      <w:r>
        <w:rPr>
          <w:spacing w:val="-3"/>
          <w:sz w:val="20"/>
        </w:rPr>
        <w:t xml:space="preserve">donde </w:t>
      </w:r>
      <w:r>
        <w:rPr>
          <w:spacing w:val="-4"/>
          <w:sz w:val="20"/>
        </w:rPr>
        <w:t xml:space="preserve">aplicaron </w:t>
      </w:r>
      <w:r>
        <w:rPr>
          <w:spacing w:val="-3"/>
          <w:sz w:val="20"/>
        </w:rPr>
        <w:t>la</w:t>
      </w:r>
      <w:r>
        <w:rPr>
          <w:spacing w:val="-36"/>
          <w:sz w:val="20"/>
        </w:rPr>
        <w:t xml:space="preserve"> </w:t>
      </w:r>
      <w:r>
        <w:rPr>
          <w:spacing w:val="-4"/>
          <w:sz w:val="20"/>
        </w:rPr>
        <w:t>destitución.</w:t>
      </w:r>
    </w:p>
    <w:p w14:paraId="071F1696" w14:textId="77777777" w:rsidR="00492688" w:rsidRDefault="00492688">
      <w:pPr>
        <w:pStyle w:val="Textoindependiente"/>
        <w:spacing w:before="10"/>
        <w:rPr>
          <w:sz w:val="19"/>
        </w:rPr>
      </w:pPr>
    </w:p>
    <w:p w14:paraId="4EB2346F" w14:textId="77777777" w:rsidR="00492688" w:rsidRDefault="00C9584B">
      <w:pPr>
        <w:pStyle w:val="Prrafodelista"/>
        <w:numPr>
          <w:ilvl w:val="0"/>
          <w:numId w:val="3"/>
        </w:numPr>
        <w:tabs>
          <w:tab w:val="left" w:pos="830"/>
        </w:tabs>
        <w:ind w:right="225" w:firstLine="0"/>
        <w:jc w:val="both"/>
        <w:rPr>
          <w:sz w:val="20"/>
        </w:rPr>
      </w:pPr>
      <w:r>
        <w:rPr>
          <w:sz w:val="20"/>
        </w:rPr>
        <w:t xml:space="preserve">En un </w:t>
      </w:r>
      <w:r>
        <w:rPr>
          <w:spacing w:val="-3"/>
          <w:sz w:val="20"/>
        </w:rPr>
        <w:t xml:space="preserve">proceso </w:t>
      </w:r>
      <w:r>
        <w:rPr>
          <w:spacing w:val="-4"/>
          <w:sz w:val="20"/>
        </w:rPr>
        <w:t xml:space="preserve">administrativo sancionador </w:t>
      </w:r>
      <w:r>
        <w:rPr>
          <w:sz w:val="20"/>
        </w:rPr>
        <w:t xml:space="preserve">a </w:t>
      </w:r>
      <w:r>
        <w:rPr>
          <w:spacing w:val="-4"/>
          <w:sz w:val="20"/>
        </w:rPr>
        <w:t xml:space="preserve">juzgadores </w:t>
      </w:r>
      <w:r>
        <w:rPr>
          <w:spacing w:val="-3"/>
          <w:sz w:val="20"/>
        </w:rPr>
        <w:t xml:space="preserve">en el que </w:t>
      </w:r>
      <w:r>
        <w:rPr>
          <w:sz w:val="20"/>
        </w:rPr>
        <w:t xml:space="preserve">se </w:t>
      </w:r>
      <w:r>
        <w:rPr>
          <w:spacing w:val="-4"/>
          <w:sz w:val="20"/>
        </w:rPr>
        <w:t xml:space="preserve">aplica </w:t>
      </w:r>
      <w:r>
        <w:rPr>
          <w:sz w:val="20"/>
        </w:rPr>
        <w:t xml:space="preserve">la </w:t>
      </w:r>
      <w:r>
        <w:rPr>
          <w:spacing w:val="-4"/>
          <w:sz w:val="20"/>
        </w:rPr>
        <w:t xml:space="preserve">sanción </w:t>
      </w:r>
      <w:r>
        <w:rPr>
          <w:spacing w:val="-3"/>
          <w:sz w:val="20"/>
        </w:rPr>
        <w:t xml:space="preserve">basada en </w:t>
      </w:r>
      <w:r>
        <w:rPr>
          <w:spacing w:val="-4"/>
          <w:sz w:val="20"/>
        </w:rPr>
        <w:t xml:space="preserve">conceptos indeterminados, </w:t>
      </w:r>
      <w:r>
        <w:rPr>
          <w:sz w:val="20"/>
        </w:rPr>
        <w:t xml:space="preserve">la </w:t>
      </w:r>
      <w:r>
        <w:rPr>
          <w:spacing w:val="-4"/>
          <w:sz w:val="20"/>
        </w:rPr>
        <w:t xml:space="preserve">motivación </w:t>
      </w:r>
      <w:r>
        <w:rPr>
          <w:sz w:val="20"/>
        </w:rPr>
        <w:t xml:space="preserve">no </w:t>
      </w:r>
      <w:r>
        <w:rPr>
          <w:spacing w:val="-3"/>
          <w:sz w:val="20"/>
        </w:rPr>
        <w:t xml:space="preserve">solo </w:t>
      </w:r>
      <w:r>
        <w:rPr>
          <w:sz w:val="20"/>
        </w:rPr>
        <w:t xml:space="preserve">se </w:t>
      </w:r>
      <w:r>
        <w:rPr>
          <w:spacing w:val="-4"/>
          <w:sz w:val="20"/>
        </w:rPr>
        <w:t xml:space="preserve">satisface </w:t>
      </w:r>
      <w:r>
        <w:rPr>
          <w:spacing w:val="-3"/>
          <w:sz w:val="20"/>
        </w:rPr>
        <w:t xml:space="preserve">con la </w:t>
      </w:r>
      <w:r>
        <w:rPr>
          <w:spacing w:val="-4"/>
          <w:sz w:val="20"/>
        </w:rPr>
        <w:t>mera</w:t>
      </w:r>
      <w:r>
        <w:rPr>
          <w:spacing w:val="-14"/>
          <w:sz w:val="20"/>
        </w:rPr>
        <w:t xml:space="preserve"> </w:t>
      </w:r>
      <w:r>
        <w:rPr>
          <w:spacing w:val="-4"/>
          <w:sz w:val="20"/>
        </w:rPr>
        <w:t>descripción</w:t>
      </w:r>
      <w:r>
        <w:rPr>
          <w:spacing w:val="-12"/>
          <w:sz w:val="20"/>
        </w:rPr>
        <w:t xml:space="preserve"> </w:t>
      </w:r>
      <w:r>
        <w:rPr>
          <w:sz w:val="20"/>
        </w:rPr>
        <w:t>de</w:t>
      </w:r>
      <w:r>
        <w:rPr>
          <w:spacing w:val="-12"/>
          <w:sz w:val="20"/>
        </w:rPr>
        <w:t xml:space="preserve"> </w:t>
      </w:r>
      <w:r>
        <w:rPr>
          <w:spacing w:val="-4"/>
          <w:sz w:val="20"/>
        </w:rPr>
        <w:t>hechos</w:t>
      </w:r>
      <w:r>
        <w:rPr>
          <w:spacing w:val="-11"/>
          <w:sz w:val="20"/>
        </w:rPr>
        <w:t xml:space="preserve"> </w:t>
      </w:r>
      <w:r>
        <w:rPr>
          <w:sz w:val="20"/>
        </w:rPr>
        <w:t>e</w:t>
      </w:r>
      <w:r>
        <w:rPr>
          <w:spacing w:val="-14"/>
          <w:sz w:val="20"/>
        </w:rPr>
        <w:t xml:space="preserve"> </w:t>
      </w:r>
      <w:r>
        <w:rPr>
          <w:spacing w:val="-4"/>
          <w:sz w:val="20"/>
        </w:rPr>
        <w:t>indicar</w:t>
      </w:r>
      <w:r>
        <w:rPr>
          <w:spacing w:val="-15"/>
          <w:sz w:val="20"/>
        </w:rPr>
        <w:t xml:space="preserve"> </w:t>
      </w:r>
      <w:r>
        <w:rPr>
          <w:sz w:val="20"/>
        </w:rPr>
        <w:t>la</w:t>
      </w:r>
      <w:r>
        <w:rPr>
          <w:spacing w:val="-13"/>
          <w:sz w:val="20"/>
        </w:rPr>
        <w:t xml:space="preserve"> </w:t>
      </w:r>
      <w:r>
        <w:rPr>
          <w:spacing w:val="-4"/>
          <w:sz w:val="20"/>
        </w:rPr>
        <w:t>norma</w:t>
      </w:r>
      <w:r>
        <w:rPr>
          <w:spacing w:val="-10"/>
          <w:sz w:val="20"/>
        </w:rPr>
        <w:t xml:space="preserve"> </w:t>
      </w:r>
      <w:r>
        <w:rPr>
          <w:spacing w:val="-4"/>
          <w:sz w:val="20"/>
        </w:rPr>
        <w:t>aplicada,</w:t>
      </w:r>
      <w:r>
        <w:rPr>
          <w:spacing w:val="-11"/>
          <w:sz w:val="20"/>
        </w:rPr>
        <w:t xml:space="preserve"> </w:t>
      </w:r>
      <w:r>
        <w:rPr>
          <w:spacing w:val="-4"/>
          <w:sz w:val="20"/>
        </w:rPr>
        <w:t>sino</w:t>
      </w:r>
      <w:r>
        <w:rPr>
          <w:spacing w:val="-14"/>
          <w:sz w:val="20"/>
        </w:rPr>
        <w:t xml:space="preserve"> </w:t>
      </w:r>
      <w:r>
        <w:rPr>
          <w:spacing w:val="-3"/>
          <w:sz w:val="20"/>
        </w:rPr>
        <w:t>que</w:t>
      </w:r>
      <w:r>
        <w:rPr>
          <w:spacing w:val="-9"/>
          <w:sz w:val="20"/>
        </w:rPr>
        <w:t xml:space="preserve"> </w:t>
      </w:r>
      <w:r>
        <w:rPr>
          <w:spacing w:val="-3"/>
          <w:sz w:val="20"/>
        </w:rPr>
        <w:t>es</w:t>
      </w:r>
      <w:r>
        <w:rPr>
          <w:spacing w:val="-12"/>
          <w:sz w:val="20"/>
        </w:rPr>
        <w:t xml:space="preserve"> </w:t>
      </w:r>
      <w:r>
        <w:rPr>
          <w:spacing w:val="-4"/>
          <w:sz w:val="20"/>
        </w:rPr>
        <w:t>necesario</w:t>
      </w:r>
      <w:r>
        <w:rPr>
          <w:spacing w:val="-12"/>
          <w:sz w:val="20"/>
        </w:rPr>
        <w:t xml:space="preserve"> </w:t>
      </w:r>
      <w:r>
        <w:rPr>
          <w:spacing w:val="-3"/>
          <w:sz w:val="20"/>
        </w:rPr>
        <w:t>que</w:t>
      </w:r>
      <w:r>
        <w:rPr>
          <w:spacing w:val="-12"/>
          <w:sz w:val="20"/>
        </w:rPr>
        <w:t xml:space="preserve"> </w:t>
      </w:r>
      <w:r>
        <w:rPr>
          <w:spacing w:val="-4"/>
          <w:sz w:val="20"/>
        </w:rPr>
        <w:t xml:space="preserve">existan parámetros previos objetivos </w:t>
      </w:r>
      <w:r>
        <w:rPr>
          <w:spacing w:val="-3"/>
          <w:sz w:val="20"/>
        </w:rPr>
        <w:t xml:space="preserve">que </w:t>
      </w:r>
      <w:r>
        <w:rPr>
          <w:sz w:val="20"/>
        </w:rPr>
        <w:t xml:space="preserve">le </w:t>
      </w:r>
      <w:r>
        <w:rPr>
          <w:spacing w:val="-3"/>
          <w:sz w:val="20"/>
        </w:rPr>
        <w:t xml:space="preserve">sean </w:t>
      </w:r>
      <w:r>
        <w:rPr>
          <w:sz w:val="20"/>
        </w:rPr>
        <w:t xml:space="preserve">de </w:t>
      </w:r>
      <w:r>
        <w:rPr>
          <w:spacing w:val="-4"/>
          <w:sz w:val="20"/>
        </w:rPr>
        <w:t xml:space="preserve">utilidad </w:t>
      </w:r>
      <w:r>
        <w:rPr>
          <w:spacing w:val="-3"/>
          <w:sz w:val="20"/>
        </w:rPr>
        <w:t xml:space="preserve">al </w:t>
      </w:r>
      <w:r>
        <w:rPr>
          <w:spacing w:val="-4"/>
          <w:sz w:val="20"/>
        </w:rPr>
        <w:t>órgano sancion</w:t>
      </w:r>
      <w:r>
        <w:rPr>
          <w:spacing w:val="-4"/>
          <w:sz w:val="20"/>
        </w:rPr>
        <w:t xml:space="preserve">ador </w:t>
      </w:r>
      <w:r>
        <w:rPr>
          <w:spacing w:val="-3"/>
          <w:sz w:val="20"/>
        </w:rPr>
        <w:t xml:space="preserve">para poder </w:t>
      </w:r>
      <w:r>
        <w:rPr>
          <w:spacing w:val="-4"/>
          <w:sz w:val="20"/>
        </w:rPr>
        <w:t>concluir</w:t>
      </w:r>
      <w:r>
        <w:rPr>
          <w:spacing w:val="-19"/>
          <w:sz w:val="20"/>
        </w:rPr>
        <w:t xml:space="preserve"> </w:t>
      </w:r>
      <w:r>
        <w:rPr>
          <w:spacing w:val="-3"/>
          <w:sz w:val="20"/>
        </w:rPr>
        <w:t>que</w:t>
      </w:r>
      <w:r>
        <w:rPr>
          <w:spacing w:val="-19"/>
          <w:sz w:val="20"/>
        </w:rPr>
        <w:t xml:space="preserve"> </w:t>
      </w:r>
      <w:r>
        <w:rPr>
          <w:sz w:val="20"/>
        </w:rPr>
        <w:t>la</w:t>
      </w:r>
      <w:r>
        <w:rPr>
          <w:spacing w:val="-18"/>
          <w:sz w:val="20"/>
        </w:rPr>
        <w:t xml:space="preserve"> </w:t>
      </w:r>
      <w:r>
        <w:rPr>
          <w:spacing w:val="-4"/>
          <w:sz w:val="20"/>
        </w:rPr>
        <w:t>conducta</w:t>
      </w:r>
      <w:r>
        <w:rPr>
          <w:spacing w:val="-15"/>
          <w:sz w:val="20"/>
        </w:rPr>
        <w:t xml:space="preserve"> </w:t>
      </w:r>
      <w:r>
        <w:rPr>
          <w:spacing w:val="-4"/>
          <w:sz w:val="20"/>
        </w:rPr>
        <w:t>encaja</w:t>
      </w:r>
      <w:r>
        <w:rPr>
          <w:spacing w:val="-17"/>
          <w:sz w:val="20"/>
        </w:rPr>
        <w:t xml:space="preserve"> </w:t>
      </w:r>
      <w:r>
        <w:rPr>
          <w:sz w:val="20"/>
        </w:rPr>
        <w:t>de</w:t>
      </w:r>
      <w:r>
        <w:rPr>
          <w:spacing w:val="-19"/>
          <w:sz w:val="20"/>
        </w:rPr>
        <w:t xml:space="preserve"> </w:t>
      </w:r>
      <w:r>
        <w:rPr>
          <w:spacing w:val="-4"/>
          <w:sz w:val="20"/>
        </w:rPr>
        <w:t>manera</w:t>
      </w:r>
      <w:r>
        <w:rPr>
          <w:spacing w:val="-15"/>
          <w:sz w:val="20"/>
        </w:rPr>
        <w:t xml:space="preserve"> </w:t>
      </w:r>
      <w:r>
        <w:rPr>
          <w:spacing w:val="-4"/>
          <w:sz w:val="20"/>
        </w:rPr>
        <w:t>objetiva</w:t>
      </w:r>
      <w:r>
        <w:rPr>
          <w:spacing w:val="-18"/>
          <w:sz w:val="20"/>
        </w:rPr>
        <w:t xml:space="preserve"> </w:t>
      </w:r>
      <w:r>
        <w:rPr>
          <w:spacing w:val="-3"/>
          <w:sz w:val="20"/>
        </w:rPr>
        <w:t>en</w:t>
      </w:r>
      <w:r>
        <w:rPr>
          <w:spacing w:val="-14"/>
          <w:sz w:val="20"/>
        </w:rPr>
        <w:t xml:space="preserve"> </w:t>
      </w:r>
      <w:r>
        <w:rPr>
          <w:spacing w:val="-3"/>
          <w:sz w:val="20"/>
        </w:rPr>
        <w:t>la</w:t>
      </w:r>
      <w:r>
        <w:rPr>
          <w:spacing w:val="-17"/>
          <w:sz w:val="20"/>
        </w:rPr>
        <w:t xml:space="preserve"> </w:t>
      </w:r>
      <w:r>
        <w:rPr>
          <w:spacing w:val="-4"/>
          <w:sz w:val="20"/>
        </w:rPr>
        <w:t>norma.</w:t>
      </w:r>
      <w:r>
        <w:rPr>
          <w:spacing w:val="-16"/>
          <w:sz w:val="20"/>
        </w:rPr>
        <w:t xml:space="preserve"> </w:t>
      </w:r>
      <w:r>
        <w:rPr>
          <w:spacing w:val="-4"/>
          <w:sz w:val="20"/>
        </w:rPr>
        <w:t>Además,</w:t>
      </w:r>
      <w:r>
        <w:rPr>
          <w:spacing w:val="-18"/>
          <w:sz w:val="20"/>
        </w:rPr>
        <w:t xml:space="preserve"> </w:t>
      </w:r>
      <w:r>
        <w:rPr>
          <w:spacing w:val="-3"/>
          <w:sz w:val="20"/>
        </w:rPr>
        <w:t>tal</w:t>
      </w:r>
      <w:r>
        <w:rPr>
          <w:spacing w:val="-18"/>
          <w:sz w:val="20"/>
        </w:rPr>
        <w:t xml:space="preserve"> </w:t>
      </w:r>
      <w:r>
        <w:rPr>
          <w:spacing w:val="-3"/>
          <w:sz w:val="20"/>
        </w:rPr>
        <w:t>como</w:t>
      </w:r>
      <w:r>
        <w:rPr>
          <w:spacing w:val="-19"/>
          <w:sz w:val="20"/>
        </w:rPr>
        <w:t xml:space="preserve"> </w:t>
      </w:r>
      <w:r>
        <w:rPr>
          <w:spacing w:val="-4"/>
          <w:sz w:val="20"/>
        </w:rPr>
        <w:t xml:space="preserve">sucede </w:t>
      </w:r>
      <w:r>
        <w:rPr>
          <w:spacing w:val="-3"/>
          <w:sz w:val="20"/>
        </w:rPr>
        <w:t xml:space="preserve">en </w:t>
      </w:r>
      <w:r>
        <w:rPr>
          <w:spacing w:val="-4"/>
          <w:sz w:val="20"/>
        </w:rPr>
        <w:t xml:space="preserve">este caso, </w:t>
      </w:r>
      <w:r>
        <w:rPr>
          <w:spacing w:val="-3"/>
          <w:sz w:val="20"/>
        </w:rPr>
        <w:t xml:space="preserve">si una norma </w:t>
      </w:r>
      <w:r>
        <w:rPr>
          <w:spacing w:val="-4"/>
          <w:sz w:val="20"/>
        </w:rPr>
        <w:t xml:space="preserve">contiene </w:t>
      </w:r>
      <w:r>
        <w:rPr>
          <w:spacing w:val="-3"/>
          <w:sz w:val="20"/>
        </w:rPr>
        <w:t xml:space="preserve">más </w:t>
      </w:r>
      <w:r>
        <w:rPr>
          <w:sz w:val="20"/>
        </w:rPr>
        <w:t xml:space="preserve">de un </w:t>
      </w:r>
      <w:r>
        <w:rPr>
          <w:spacing w:val="-4"/>
          <w:sz w:val="20"/>
        </w:rPr>
        <w:t xml:space="preserve">elemento </w:t>
      </w:r>
      <w:r>
        <w:rPr>
          <w:spacing w:val="-3"/>
          <w:sz w:val="20"/>
        </w:rPr>
        <w:t xml:space="preserve">abierto </w:t>
      </w:r>
      <w:r>
        <w:rPr>
          <w:sz w:val="20"/>
        </w:rPr>
        <w:t xml:space="preserve">es </w:t>
      </w:r>
      <w:r>
        <w:rPr>
          <w:spacing w:val="-4"/>
          <w:sz w:val="20"/>
        </w:rPr>
        <w:t xml:space="preserve">necesario </w:t>
      </w:r>
      <w:r>
        <w:rPr>
          <w:spacing w:val="-3"/>
          <w:sz w:val="20"/>
        </w:rPr>
        <w:t xml:space="preserve">que </w:t>
      </w:r>
      <w:r>
        <w:rPr>
          <w:sz w:val="20"/>
        </w:rPr>
        <w:t xml:space="preserve">la </w:t>
      </w:r>
      <w:r>
        <w:rPr>
          <w:spacing w:val="-4"/>
          <w:sz w:val="20"/>
        </w:rPr>
        <w:t xml:space="preserve">motivación </w:t>
      </w:r>
      <w:r>
        <w:rPr>
          <w:sz w:val="20"/>
        </w:rPr>
        <w:t xml:space="preserve">se </w:t>
      </w:r>
      <w:r>
        <w:rPr>
          <w:spacing w:val="-4"/>
          <w:sz w:val="20"/>
        </w:rPr>
        <w:t xml:space="preserve">ocupe </w:t>
      </w:r>
      <w:r>
        <w:rPr>
          <w:sz w:val="20"/>
        </w:rPr>
        <w:t xml:space="preserve">de </w:t>
      </w:r>
      <w:r>
        <w:rPr>
          <w:spacing w:val="-4"/>
          <w:sz w:val="20"/>
        </w:rPr>
        <w:t xml:space="preserve">manera pormenorizada </w:t>
      </w:r>
      <w:r>
        <w:rPr>
          <w:spacing w:val="-3"/>
          <w:sz w:val="20"/>
        </w:rPr>
        <w:t xml:space="preserve">de </w:t>
      </w:r>
      <w:r>
        <w:rPr>
          <w:spacing w:val="-4"/>
          <w:sz w:val="20"/>
        </w:rPr>
        <w:t xml:space="preserve">ello. </w:t>
      </w:r>
      <w:r>
        <w:rPr>
          <w:sz w:val="20"/>
        </w:rPr>
        <w:t xml:space="preserve">Lo </w:t>
      </w:r>
      <w:r>
        <w:rPr>
          <w:spacing w:val="-4"/>
          <w:sz w:val="20"/>
        </w:rPr>
        <w:t xml:space="preserve">anterior </w:t>
      </w:r>
      <w:r>
        <w:rPr>
          <w:sz w:val="20"/>
        </w:rPr>
        <w:t xml:space="preserve">se ve </w:t>
      </w:r>
      <w:r>
        <w:rPr>
          <w:spacing w:val="-4"/>
          <w:sz w:val="20"/>
        </w:rPr>
        <w:t xml:space="preserve">agravado </w:t>
      </w:r>
      <w:r>
        <w:rPr>
          <w:spacing w:val="-3"/>
          <w:sz w:val="20"/>
        </w:rPr>
        <w:t xml:space="preserve">en el </w:t>
      </w:r>
      <w:r>
        <w:rPr>
          <w:spacing w:val="-4"/>
          <w:sz w:val="20"/>
        </w:rPr>
        <w:t xml:space="preserve">caso, </w:t>
      </w:r>
      <w:r>
        <w:rPr>
          <w:spacing w:val="-3"/>
          <w:sz w:val="20"/>
        </w:rPr>
        <w:t xml:space="preserve">ya que al </w:t>
      </w:r>
      <w:r>
        <w:rPr>
          <w:spacing w:val="-4"/>
          <w:sz w:val="20"/>
        </w:rPr>
        <w:t xml:space="preserve">momento </w:t>
      </w:r>
      <w:r>
        <w:rPr>
          <w:sz w:val="20"/>
        </w:rPr>
        <w:t xml:space="preserve">de </w:t>
      </w:r>
      <w:r>
        <w:rPr>
          <w:spacing w:val="-2"/>
          <w:sz w:val="20"/>
        </w:rPr>
        <w:t xml:space="preserve">los </w:t>
      </w:r>
      <w:r>
        <w:rPr>
          <w:spacing w:val="-4"/>
          <w:sz w:val="20"/>
        </w:rPr>
        <w:t xml:space="preserve">hechos </w:t>
      </w:r>
      <w:r>
        <w:rPr>
          <w:sz w:val="20"/>
        </w:rPr>
        <w:t xml:space="preserve">no </w:t>
      </w:r>
      <w:r>
        <w:rPr>
          <w:spacing w:val="-4"/>
          <w:sz w:val="20"/>
        </w:rPr>
        <w:t xml:space="preserve">existía </w:t>
      </w:r>
      <w:r>
        <w:rPr>
          <w:sz w:val="20"/>
        </w:rPr>
        <w:t xml:space="preserve">un </w:t>
      </w:r>
      <w:r>
        <w:rPr>
          <w:spacing w:val="-4"/>
          <w:sz w:val="20"/>
        </w:rPr>
        <w:t>recurso judicial efectivo</w:t>
      </w:r>
      <w:r>
        <w:rPr>
          <w:spacing w:val="-18"/>
          <w:sz w:val="20"/>
        </w:rPr>
        <w:t xml:space="preserve"> </w:t>
      </w:r>
      <w:r>
        <w:rPr>
          <w:spacing w:val="-3"/>
          <w:sz w:val="20"/>
        </w:rPr>
        <w:t>que</w:t>
      </w:r>
    </w:p>
    <w:p w14:paraId="25926C27" w14:textId="651566DF" w:rsidR="00492688" w:rsidRDefault="00C9584B">
      <w:pPr>
        <w:pStyle w:val="Textoindependiente"/>
        <w:spacing w:before="5"/>
        <w:rPr>
          <w:sz w:val="18"/>
        </w:rPr>
      </w:pPr>
      <w:r>
        <w:rPr>
          <w:noProof/>
        </w:rPr>
        <mc:AlternateContent>
          <mc:Choice Requires="wps">
            <w:drawing>
              <wp:anchor distT="0" distB="0" distL="0" distR="0" simplePos="0" relativeHeight="251698176" behindDoc="1" locked="0" layoutInCell="1" allowOverlap="1" wp14:anchorId="4D67397C" wp14:editId="28DDEE8D">
                <wp:simplePos x="0" y="0"/>
                <wp:positionH relativeFrom="page">
                  <wp:posOffset>1080770</wp:posOffset>
                </wp:positionH>
                <wp:positionV relativeFrom="paragraph">
                  <wp:posOffset>170815</wp:posOffset>
                </wp:positionV>
                <wp:extent cx="182880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0A998" id="Freeform 3" o:spid="_x0000_s1026" style="position:absolute;margin-left:85.1pt;margin-top:13.45pt;width:2in;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" path="m,l2880,e" filled="f" strokeweight=".6pt">
                <v:path arrowok="t" o:connecttype="custom" o:connectlocs="0,0;1828800,0" o:connectangles="0,0"/>
                <w10:wrap type="topAndBottom" anchorx="page"/>
              </v:shape>
            </w:pict>
          </mc:Fallback>
        </mc:AlternateContent>
      </w:r>
    </w:p>
    <w:p w14:paraId="7D4BE83C" w14:textId="77777777" w:rsidR="00492688" w:rsidRDefault="00492688">
      <w:pPr>
        <w:pStyle w:val="Textoindependiente"/>
        <w:spacing w:before="1"/>
        <w:rPr>
          <w:sz w:val="6"/>
        </w:rPr>
      </w:pPr>
    </w:p>
    <w:p w14:paraId="64193E5B" w14:textId="77777777" w:rsidR="00492688" w:rsidRDefault="00C9584B">
      <w:pPr>
        <w:tabs>
          <w:tab w:val="left" w:pos="829"/>
        </w:tabs>
        <w:spacing w:before="101"/>
        <w:ind w:left="121" w:right="229"/>
        <w:rPr>
          <w:sz w:val="16"/>
        </w:rPr>
      </w:pPr>
      <w:bookmarkStart w:id="224" w:name="_bookmark192"/>
      <w:bookmarkEnd w:id="224"/>
      <w:r>
        <w:rPr>
          <w:position w:val="6"/>
          <w:sz w:val="10"/>
        </w:rPr>
        <w:t>47</w:t>
      </w:r>
      <w:r>
        <w:rPr>
          <w:position w:val="6"/>
          <w:sz w:val="10"/>
        </w:rPr>
        <w:tab/>
      </w:r>
      <w:r>
        <w:rPr>
          <w:i/>
          <w:sz w:val="16"/>
        </w:rPr>
        <w:t>Cfr. Caso López Lone y otros Vs. Honduras. Excepción Preliminar, Fondo, Reparaciones y Costas</w:t>
      </w:r>
      <w:r>
        <w:rPr>
          <w:sz w:val="16"/>
        </w:rPr>
        <w:t xml:space="preserve">. Sentencia de 5 de octubre de 2015. Serie C </w:t>
      </w:r>
      <w:r>
        <w:rPr>
          <w:sz w:val="16"/>
        </w:rPr>
        <w:t>No. 302, párr.</w:t>
      </w:r>
      <w:r>
        <w:rPr>
          <w:spacing w:val="-18"/>
          <w:sz w:val="16"/>
        </w:rPr>
        <w:t xml:space="preserve"> </w:t>
      </w:r>
      <w:r>
        <w:rPr>
          <w:sz w:val="16"/>
        </w:rPr>
        <w:t>267.</w:t>
      </w:r>
    </w:p>
    <w:p w14:paraId="377A0CF0" w14:textId="77777777" w:rsidR="00492688" w:rsidRDefault="00492688">
      <w:pPr>
        <w:pStyle w:val="Textoindependiente"/>
      </w:pPr>
    </w:p>
    <w:p w14:paraId="604F31E5" w14:textId="77777777" w:rsidR="00492688" w:rsidRDefault="00492688">
      <w:pPr>
        <w:pStyle w:val="Textoindependiente"/>
        <w:spacing w:before="4"/>
        <w:rPr>
          <w:sz w:val="19"/>
        </w:rPr>
      </w:pPr>
    </w:p>
    <w:p w14:paraId="593A0ECF" w14:textId="77777777" w:rsidR="00492688" w:rsidRDefault="00C9584B">
      <w:pPr>
        <w:spacing w:before="52"/>
        <w:ind w:left="18" w:right="126"/>
        <w:jc w:val="center"/>
        <w:rPr>
          <w:rFonts w:ascii="Calibri"/>
          <w:sz w:val="24"/>
        </w:rPr>
      </w:pPr>
      <w:r>
        <w:rPr>
          <w:rFonts w:ascii="Calibri"/>
          <w:sz w:val="24"/>
        </w:rPr>
        <w:t>14</w:t>
      </w:r>
    </w:p>
    <w:p w14:paraId="2356F544" w14:textId="77777777" w:rsidR="00492688" w:rsidRDefault="00492688">
      <w:pPr>
        <w:jc w:val="center"/>
        <w:rPr>
          <w:rFonts w:ascii="Calibri"/>
          <w:sz w:val="24"/>
        </w:rPr>
        <w:sectPr w:rsidR="00492688">
          <w:pgSz w:w="12240" w:h="15840"/>
          <w:pgMar w:top="1460" w:right="1580" w:bottom="280" w:left="1580" w:header="720" w:footer="720" w:gutter="0"/>
          <w:cols w:space="720"/>
        </w:sectPr>
      </w:pPr>
    </w:p>
    <w:p w14:paraId="5A0BF1EA" w14:textId="77777777" w:rsidR="00492688" w:rsidRDefault="00C9584B">
      <w:pPr>
        <w:pStyle w:val="Textoindependiente"/>
        <w:spacing w:before="71"/>
        <w:ind w:left="121" w:right="227"/>
        <w:jc w:val="both"/>
      </w:pPr>
      <w:r>
        <w:rPr>
          <w:spacing w:val="-4"/>
        </w:rPr>
        <w:lastRenderedPageBreak/>
        <w:t>permitiera</w:t>
      </w:r>
      <w:r>
        <w:rPr>
          <w:spacing w:val="-15"/>
        </w:rPr>
        <w:t xml:space="preserve"> </w:t>
      </w:r>
      <w:r>
        <w:t>el</w:t>
      </w:r>
      <w:r>
        <w:rPr>
          <w:spacing w:val="-16"/>
        </w:rPr>
        <w:t xml:space="preserve"> </w:t>
      </w:r>
      <w:r>
        <w:rPr>
          <w:spacing w:val="-4"/>
        </w:rPr>
        <w:t>análisis</w:t>
      </w:r>
      <w:r>
        <w:rPr>
          <w:spacing w:val="-17"/>
        </w:rPr>
        <w:t xml:space="preserve"> </w:t>
      </w:r>
      <w:r>
        <w:t>de</w:t>
      </w:r>
      <w:r>
        <w:rPr>
          <w:spacing w:val="-18"/>
        </w:rPr>
        <w:t xml:space="preserve"> </w:t>
      </w:r>
      <w:r>
        <w:rPr>
          <w:spacing w:val="-2"/>
        </w:rPr>
        <w:t>los</w:t>
      </w:r>
      <w:r>
        <w:rPr>
          <w:spacing w:val="-17"/>
        </w:rPr>
        <w:t xml:space="preserve"> </w:t>
      </w:r>
      <w:r>
        <w:rPr>
          <w:spacing w:val="-4"/>
        </w:rPr>
        <w:t>derechos</w:t>
      </w:r>
      <w:r>
        <w:rPr>
          <w:spacing w:val="-15"/>
        </w:rPr>
        <w:t xml:space="preserve"> </w:t>
      </w:r>
      <w:r>
        <w:rPr>
          <w:spacing w:val="-4"/>
        </w:rPr>
        <w:t>fundamentales</w:t>
      </w:r>
      <w:r>
        <w:rPr>
          <w:spacing w:val="-16"/>
        </w:rPr>
        <w:t xml:space="preserve"> </w:t>
      </w:r>
      <w:r>
        <w:rPr>
          <w:spacing w:val="-3"/>
        </w:rPr>
        <w:t>en</w:t>
      </w:r>
      <w:r>
        <w:rPr>
          <w:spacing w:val="-15"/>
        </w:rPr>
        <w:t xml:space="preserve"> </w:t>
      </w:r>
      <w:r>
        <w:rPr>
          <w:spacing w:val="-3"/>
        </w:rPr>
        <w:t>juego,</w:t>
      </w:r>
      <w:r>
        <w:rPr>
          <w:spacing w:val="-15"/>
        </w:rPr>
        <w:t xml:space="preserve"> </w:t>
      </w:r>
      <w:r>
        <w:rPr>
          <w:spacing w:val="-4"/>
        </w:rPr>
        <w:t>sino</w:t>
      </w:r>
      <w:r>
        <w:rPr>
          <w:spacing w:val="-15"/>
        </w:rPr>
        <w:t xml:space="preserve"> </w:t>
      </w:r>
      <w:r>
        <w:rPr>
          <w:spacing w:val="-3"/>
        </w:rPr>
        <w:t>sólo</w:t>
      </w:r>
      <w:r>
        <w:rPr>
          <w:spacing w:val="-15"/>
        </w:rPr>
        <w:t xml:space="preserve"> </w:t>
      </w:r>
      <w:r>
        <w:rPr>
          <w:spacing w:val="-4"/>
        </w:rPr>
        <w:t>respecto</w:t>
      </w:r>
      <w:r>
        <w:rPr>
          <w:spacing w:val="-16"/>
        </w:rPr>
        <w:t xml:space="preserve"> </w:t>
      </w:r>
      <w:r>
        <w:rPr>
          <w:spacing w:val="-3"/>
        </w:rPr>
        <w:t>al</w:t>
      </w:r>
      <w:r>
        <w:rPr>
          <w:spacing w:val="-16"/>
        </w:rPr>
        <w:t xml:space="preserve"> </w:t>
      </w:r>
      <w:r>
        <w:rPr>
          <w:spacing w:val="-3"/>
        </w:rPr>
        <w:t xml:space="preserve">debido </w:t>
      </w:r>
      <w:r>
        <w:rPr>
          <w:spacing w:val="-4"/>
        </w:rPr>
        <w:t xml:space="preserve">proceso, cuestión </w:t>
      </w:r>
      <w:r>
        <w:rPr>
          <w:spacing w:val="-3"/>
        </w:rPr>
        <w:t xml:space="preserve">que años más </w:t>
      </w:r>
      <w:r>
        <w:rPr>
          <w:spacing w:val="-4"/>
        </w:rPr>
        <w:t xml:space="preserve">tarde </w:t>
      </w:r>
      <w:r>
        <w:rPr>
          <w:spacing w:val="-3"/>
        </w:rPr>
        <w:t xml:space="preserve">fue </w:t>
      </w:r>
      <w:r>
        <w:rPr>
          <w:spacing w:val="-4"/>
        </w:rPr>
        <w:t xml:space="preserve">permitida </w:t>
      </w:r>
      <w:r>
        <w:rPr>
          <w:spacing w:val="-2"/>
        </w:rPr>
        <w:t xml:space="preserve">por </w:t>
      </w:r>
      <w:r>
        <w:t xml:space="preserve">la </w:t>
      </w:r>
      <w:r>
        <w:rPr>
          <w:spacing w:val="-4"/>
        </w:rPr>
        <w:t xml:space="preserve">jurisprudencia nacional, como indicó </w:t>
      </w:r>
      <w:r>
        <w:rPr>
          <w:spacing w:val="-3"/>
        </w:rPr>
        <w:t xml:space="preserve">el </w:t>
      </w:r>
      <w:r>
        <w:rPr>
          <w:spacing w:val="-4"/>
        </w:rPr>
        <w:t xml:space="preserve">Estado </w:t>
      </w:r>
      <w:r>
        <w:rPr>
          <w:spacing w:val="-3"/>
        </w:rPr>
        <w:t xml:space="preserve">en la </w:t>
      </w:r>
      <w:r>
        <w:rPr>
          <w:spacing w:val="-4"/>
        </w:rPr>
        <w:t xml:space="preserve">información suministrada </w:t>
      </w:r>
      <w:r>
        <w:rPr>
          <w:spacing w:val="-3"/>
        </w:rPr>
        <w:t xml:space="preserve">al </w:t>
      </w:r>
      <w:r>
        <w:rPr>
          <w:spacing w:val="-4"/>
        </w:rPr>
        <w:t>Tribunal</w:t>
      </w:r>
      <w:r>
        <w:rPr>
          <w:spacing w:val="-39"/>
        </w:rPr>
        <w:t xml:space="preserve"> </w:t>
      </w:r>
      <w:r>
        <w:rPr>
          <w:spacing w:val="-4"/>
        </w:rPr>
        <w:t>Interamericano.</w:t>
      </w:r>
    </w:p>
    <w:p w14:paraId="174C9166" w14:textId="77777777" w:rsidR="00492688" w:rsidRDefault="00492688">
      <w:pPr>
        <w:pStyle w:val="Textoindependiente"/>
      </w:pPr>
    </w:p>
    <w:p w14:paraId="6F72C567" w14:textId="77777777" w:rsidR="00492688" w:rsidRDefault="00C9584B">
      <w:pPr>
        <w:pStyle w:val="Prrafodelista"/>
        <w:numPr>
          <w:ilvl w:val="0"/>
          <w:numId w:val="3"/>
        </w:numPr>
        <w:tabs>
          <w:tab w:val="left" w:pos="830"/>
        </w:tabs>
        <w:ind w:right="226" w:firstLine="0"/>
        <w:jc w:val="both"/>
        <w:rPr>
          <w:sz w:val="20"/>
        </w:rPr>
      </w:pPr>
      <w:r>
        <w:rPr>
          <w:sz w:val="20"/>
        </w:rPr>
        <w:t xml:space="preserve">En un </w:t>
      </w:r>
      <w:r>
        <w:rPr>
          <w:spacing w:val="-3"/>
          <w:sz w:val="20"/>
        </w:rPr>
        <w:t xml:space="preserve">Estado </w:t>
      </w:r>
      <w:r>
        <w:rPr>
          <w:spacing w:val="-4"/>
          <w:sz w:val="20"/>
        </w:rPr>
        <w:t xml:space="preserve">constitucional </w:t>
      </w:r>
      <w:r>
        <w:rPr>
          <w:sz w:val="20"/>
        </w:rPr>
        <w:t xml:space="preserve">y </w:t>
      </w:r>
      <w:r>
        <w:rPr>
          <w:spacing w:val="-4"/>
          <w:sz w:val="20"/>
        </w:rPr>
        <w:t xml:space="preserve">democrático </w:t>
      </w:r>
      <w:r>
        <w:rPr>
          <w:sz w:val="20"/>
        </w:rPr>
        <w:t xml:space="preserve">de </w:t>
      </w:r>
      <w:r>
        <w:rPr>
          <w:spacing w:val="-4"/>
          <w:sz w:val="20"/>
        </w:rPr>
        <w:t xml:space="preserve">derecho </w:t>
      </w:r>
      <w:r>
        <w:rPr>
          <w:sz w:val="20"/>
        </w:rPr>
        <w:t xml:space="preserve">es </w:t>
      </w:r>
      <w:r>
        <w:rPr>
          <w:spacing w:val="-4"/>
          <w:sz w:val="20"/>
        </w:rPr>
        <w:t xml:space="preserve">preciso extremar </w:t>
      </w:r>
      <w:r>
        <w:rPr>
          <w:spacing w:val="-3"/>
          <w:sz w:val="20"/>
        </w:rPr>
        <w:t xml:space="preserve">las </w:t>
      </w:r>
      <w:r>
        <w:rPr>
          <w:spacing w:val="-4"/>
          <w:sz w:val="20"/>
        </w:rPr>
        <w:t>precauciones</w:t>
      </w:r>
      <w:r>
        <w:rPr>
          <w:spacing w:val="-18"/>
          <w:sz w:val="20"/>
        </w:rPr>
        <w:t xml:space="preserve"> </w:t>
      </w:r>
      <w:r>
        <w:rPr>
          <w:spacing w:val="-3"/>
          <w:sz w:val="20"/>
        </w:rPr>
        <w:t>para</w:t>
      </w:r>
      <w:r>
        <w:rPr>
          <w:spacing w:val="-16"/>
          <w:sz w:val="20"/>
        </w:rPr>
        <w:t xml:space="preserve"> </w:t>
      </w:r>
      <w:r>
        <w:rPr>
          <w:spacing w:val="-3"/>
          <w:sz w:val="20"/>
        </w:rPr>
        <w:t>que</w:t>
      </w:r>
      <w:r>
        <w:rPr>
          <w:spacing w:val="-20"/>
          <w:sz w:val="20"/>
        </w:rPr>
        <w:t xml:space="preserve"> </w:t>
      </w:r>
      <w:r>
        <w:rPr>
          <w:sz w:val="20"/>
        </w:rPr>
        <w:t>las</w:t>
      </w:r>
      <w:r>
        <w:rPr>
          <w:spacing w:val="-18"/>
          <w:sz w:val="20"/>
        </w:rPr>
        <w:t xml:space="preserve"> </w:t>
      </w:r>
      <w:r>
        <w:rPr>
          <w:spacing w:val="-4"/>
          <w:sz w:val="20"/>
        </w:rPr>
        <w:t>medidas</w:t>
      </w:r>
      <w:r>
        <w:rPr>
          <w:spacing w:val="-17"/>
          <w:sz w:val="20"/>
        </w:rPr>
        <w:t xml:space="preserve"> </w:t>
      </w:r>
      <w:r>
        <w:rPr>
          <w:spacing w:val="-4"/>
          <w:sz w:val="20"/>
        </w:rPr>
        <w:t>sancionatorias</w:t>
      </w:r>
      <w:r>
        <w:rPr>
          <w:spacing w:val="-17"/>
          <w:sz w:val="20"/>
        </w:rPr>
        <w:t xml:space="preserve"> </w:t>
      </w:r>
      <w:r>
        <w:rPr>
          <w:spacing w:val="-3"/>
          <w:sz w:val="20"/>
        </w:rPr>
        <w:t>que</w:t>
      </w:r>
      <w:r>
        <w:rPr>
          <w:spacing w:val="-19"/>
          <w:sz w:val="20"/>
        </w:rPr>
        <w:t xml:space="preserve"> </w:t>
      </w:r>
      <w:r>
        <w:rPr>
          <w:sz w:val="20"/>
        </w:rPr>
        <w:t>se</w:t>
      </w:r>
      <w:r>
        <w:rPr>
          <w:spacing w:val="-18"/>
          <w:sz w:val="20"/>
        </w:rPr>
        <w:t xml:space="preserve"> </w:t>
      </w:r>
      <w:r>
        <w:rPr>
          <w:spacing w:val="-4"/>
          <w:sz w:val="20"/>
        </w:rPr>
        <w:t>adopten</w:t>
      </w:r>
      <w:r>
        <w:rPr>
          <w:spacing w:val="-16"/>
          <w:sz w:val="20"/>
        </w:rPr>
        <w:t xml:space="preserve"> </w:t>
      </w:r>
      <w:r>
        <w:rPr>
          <w:spacing w:val="-3"/>
          <w:sz w:val="20"/>
        </w:rPr>
        <w:t>sean</w:t>
      </w:r>
      <w:r>
        <w:rPr>
          <w:spacing w:val="-13"/>
          <w:sz w:val="20"/>
        </w:rPr>
        <w:t xml:space="preserve"> </w:t>
      </w:r>
      <w:r>
        <w:rPr>
          <w:spacing w:val="-3"/>
          <w:sz w:val="20"/>
        </w:rPr>
        <w:t>en</w:t>
      </w:r>
      <w:r>
        <w:rPr>
          <w:spacing w:val="-15"/>
          <w:sz w:val="20"/>
        </w:rPr>
        <w:t xml:space="preserve"> </w:t>
      </w:r>
      <w:r>
        <w:rPr>
          <w:spacing w:val="-4"/>
          <w:sz w:val="20"/>
        </w:rPr>
        <w:t>estricto</w:t>
      </w:r>
      <w:r>
        <w:rPr>
          <w:spacing w:val="-19"/>
          <w:sz w:val="20"/>
        </w:rPr>
        <w:t xml:space="preserve"> </w:t>
      </w:r>
      <w:r>
        <w:rPr>
          <w:spacing w:val="-4"/>
          <w:sz w:val="20"/>
        </w:rPr>
        <w:t xml:space="preserve">respeto </w:t>
      </w:r>
      <w:r>
        <w:rPr>
          <w:sz w:val="20"/>
        </w:rPr>
        <w:t xml:space="preserve">a </w:t>
      </w:r>
      <w:r>
        <w:rPr>
          <w:spacing w:val="-2"/>
          <w:sz w:val="20"/>
        </w:rPr>
        <w:t xml:space="preserve">los </w:t>
      </w:r>
      <w:r>
        <w:rPr>
          <w:spacing w:val="-4"/>
          <w:sz w:val="20"/>
        </w:rPr>
        <w:t xml:space="preserve">derechos básicos </w:t>
      </w:r>
      <w:r>
        <w:rPr>
          <w:sz w:val="20"/>
        </w:rPr>
        <w:t xml:space="preserve">de </w:t>
      </w:r>
      <w:r>
        <w:rPr>
          <w:spacing w:val="-3"/>
          <w:sz w:val="20"/>
        </w:rPr>
        <w:t xml:space="preserve">las </w:t>
      </w:r>
      <w:r>
        <w:rPr>
          <w:spacing w:val="-4"/>
          <w:sz w:val="20"/>
        </w:rPr>
        <w:t xml:space="preserve">personas </w:t>
      </w:r>
      <w:r>
        <w:rPr>
          <w:sz w:val="20"/>
        </w:rPr>
        <w:t xml:space="preserve">y </w:t>
      </w:r>
      <w:r>
        <w:rPr>
          <w:spacing w:val="-4"/>
          <w:sz w:val="20"/>
        </w:rPr>
        <w:t xml:space="preserve">previa </w:t>
      </w:r>
      <w:r>
        <w:rPr>
          <w:spacing w:val="-3"/>
          <w:sz w:val="20"/>
        </w:rPr>
        <w:t xml:space="preserve">una </w:t>
      </w:r>
      <w:r>
        <w:rPr>
          <w:spacing w:val="-4"/>
          <w:sz w:val="20"/>
        </w:rPr>
        <w:t xml:space="preserve">cuidadosa verificación </w:t>
      </w:r>
      <w:r>
        <w:rPr>
          <w:sz w:val="20"/>
        </w:rPr>
        <w:t xml:space="preserve">de la </w:t>
      </w:r>
      <w:r>
        <w:rPr>
          <w:spacing w:val="-4"/>
          <w:sz w:val="20"/>
        </w:rPr>
        <w:t xml:space="preserve">efectiva existencia </w:t>
      </w:r>
      <w:r>
        <w:rPr>
          <w:sz w:val="20"/>
        </w:rPr>
        <w:t xml:space="preserve">de </w:t>
      </w:r>
      <w:r>
        <w:rPr>
          <w:spacing w:val="-3"/>
          <w:sz w:val="20"/>
        </w:rPr>
        <w:t xml:space="preserve">la </w:t>
      </w:r>
      <w:r>
        <w:rPr>
          <w:spacing w:val="-4"/>
          <w:sz w:val="20"/>
        </w:rPr>
        <w:t xml:space="preserve">conducta </w:t>
      </w:r>
      <w:r>
        <w:rPr>
          <w:sz w:val="20"/>
        </w:rPr>
        <w:t>ilícita</w:t>
      </w:r>
      <w:hyperlink w:anchor="_bookmark193" w:history="1">
        <w:r>
          <w:rPr>
            <w:position w:val="7"/>
            <w:sz w:val="13"/>
          </w:rPr>
          <w:t>48</w:t>
        </w:r>
      </w:hyperlink>
      <w:r>
        <w:rPr>
          <w:sz w:val="20"/>
        </w:rPr>
        <w:t xml:space="preserve">. Lo </w:t>
      </w:r>
      <w:r>
        <w:rPr>
          <w:spacing w:val="-4"/>
          <w:sz w:val="20"/>
        </w:rPr>
        <w:t xml:space="preserve">anterior </w:t>
      </w:r>
      <w:r>
        <w:rPr>
          <w:sz w:val="20"/>
        </w:rPr>
        <w:t xml:space="preserve">es </w:t>
      </w:r>
      <w:r>
        <w:rPr>
          <w:spacing w:val="-4"/>
          <w:sz w:val="20"/>
        </w:rPr>
        <w:t xml:space="preserve">especialmente relevante cuando </w:t>
      </w:r>
      <w:r>
        <w:rPr>
          <w:spacing w:val="-3"/>
          <w:sz w:val="20"/>
        </w:rPr>
        <w:t xml:space="preserve">la </w:t>
      </w:r>
      <w:r>
        <w:rPr>
          <w:spacing w:val="-4"/>
          <w:sz w:val="20"/>
        </w:rPr>
        <w:t xml:space="preserve">independencia judicial </w:t>
      </w:r>
      <w:r>
        <w:rPr>
          <w:sz w:val="20"/>
        </w:rPr>
        <w:t xml:space="preserve">se </w:t>
      </w:r>
      <w:r>
        <w:rPr>
          <w:spacing w:val="-4"/>
          <w:sz w:val="20"/>
        </w:rPr>
        <w:t>encu</w:t>
      </w:r>
      <w:r>
        <w:rPr>
          <w:spacing w:val="-4"/>
          <w:sz w:val="20"/>
        </w:rPr>
        <w:t xml:space="preserve">entra </w:t>
      </w:r>
      <w:r>
        <w:rPr>
          <w:spacing w:val="-3"/>
          <w:sz w:val="20"/>
        </w:rPr>
        <w:t xml:space="preserve">en juego, al </w:t>
      </w:r>
      <w:r>
        <w:rPr>
          <w:spacing w:val="-4"/>
          <w:sz w:val="20"/>
        </w:rPr>
        <w:t xml:space="preserve">involucrarse </w:t>
      </w:r>
      <w:r>
        <w:rPr>
          <w:spacing w:val="-3"/>
          <w:sz w:val="20"/>
        </w:rPr>
        <w:t xml:space="preserve">las </w:t>
      </w:r>
      <w:r>
        <w:rPr>
          <w:spacing w:val="-4"/>
          <w:sz w:val="20"/>
        </w:rPr>
        <w:t xml:space="preserve">garantías </w:t>
      </w:r>
      <w:r>
        <w:rPr>
          <w:sz w:val="20"/>
        </w:rPr>
        <w:t xml:space="preserve">de </w:t>
      </w:r>
      <w:r>
        <w:rPr>
          <w:spacing w:val="-5"/>
          <w:sz w:val="20"/>
        </w:rPr>
        <w:t xml:space="preserve">estabilidad </w:t>
      </w:r>
      <w:r>
        <w:rPr>
          <w:sz w:val="20"/>
        </w:rPr>
        <w:t xml:space="preserve">e </w:t>
      </w:r>
      <w:r>
        <w:rPr>
          <w:spacing w:val="-4"/>
          <w:sz w:val="20"/>
        </w:rPr>
        <w:t xml:space="preserve">inamovilidad </w:t>
      </w:r>
      <w:r>
        <w:rPr>
          <w:spacing w:val="-2"/>
          <w:sz w:val="20"/>
        </w:rPr>
        <w:t xml:space="preserve">del </w:t>
      </w:r>
      <w:r>
        <w:rPr>
          <w:spacing w:val="-4"/>
          <w:sz w:val="20"/>
        </w:rPr>
        <w:t xml:space="preserve">juzgador. </w:t>
      </w:r>
      <w:r>
        <w:rPr>
          <w:sz w:val="20"/>
        </w:rPr>
        <w:t xml:space="preserve">El </w:t>
      </w:r>
      <w:r>
        <w:rPr>
          <w:spacing w:val="-4"/>
          <w:sz w:val="20"/>
        </w:rPr>
        <w:t xml:space="preserve">principio </w:t>
      </w:r>
      <w:r>
        <w:rPr>
          <w:sz w:val="20"/>
        </w:rPr>
        <w:t xml:space="preserve">de </w:t>
      </w:r>
      <w:r>
        <w:rPr>
          <w:spacing w:val="-4"/>
          <w:sz w:val="20"/>
        </w:rPr>
        <w:t xml:space="preserve">legalidad preside </w:t>
      </w:r>
      <w:r>
        <w:rPr>
          <w:sz w:val="20"/>
        </w:rPr>
        <w:t xml:space="preserve">la </w:t>
      </w:r>
      <w:r>
        <w:rPr>
          <w:spacing w:val="-4"/>
          <w:sz w:val="20"/>
        </w:rPr>
        <w:t xml:space="preserve">actuación </w:t>
      </w:r>
      <w:r>
        <w:rPr>
          <w:sz w:val="20"/>
        </w:rPr>
        <w:t xml:space="preserve">de </w:t>
      </w:r>
      <w:r>
        <w:rPr>
          <w:spacing w:val="-2"/>
          <w:sz w:val="20"/>
        </w:rPr>
        <w:t xml:space="preserve">los </w:t>
      </w:r>
      <w:r>
        <w:rPr>
          <w:spacing w:val="-4"/>
          <w:sz w:val="20"/>
        </w:rPr>
        <w:t xml:space="preserve">órganos del Estado, </w:t>
      </w:r>
      <w:r>
        <w:rPr>
          <w:spacing w:val="-3"/>
          <w:sz w:val="20"/>
        </w:rPr>
        <w:t xml:space="preserve">en sus </w:t>
      </w:r>
      <w:r>
        <w:rPr>
          <w:spacing w:val="-4"/>
          <w:sz w:val="20"/>
        </w:rPr>
        <w:t xml:space="preserve">respectivas competencias, particularmente cuando viene </w:t>
      </w:r>
      <w:r>
        <w:rPr>
          <w:sz w:val="20"/>
        </w:rPr>
        <w:t xml:space="preserve">al </w:t>
      </w:r>
      <w:r>
        <w:rPr>
          <w:spacing w:val="-3"/>
          <w:sz w:val="20"/>
        </w:rPr>
        <w:t xml:space="preserve">caso el </w:t>
      </w:r>
      <w:r>
        <w:rPr>
          <w:spacing w:val="-4"/>
          <w:sz w:val="20"/>
        </w:rPr>
        <w:t xml:space="preserve">ejercicio </w:t>
      </w:r>
      <w:r>
        <w:rPr>
          <w:spacing w:val="-3"/>
          <w:sz w:val="20"/>
        </w:rPr>
        <w:t>del poder</w:t>
      </w:r>
      <w:r>
        <w:rPr>
          <w:spacing w:val="-3"/>
          <w:sz w:val="20"/>
        </w:rPr>
        <w:t xml:space="preserve"> </w:t>
      </w:r>
      <w:r>
        <w:rPr>
          <w:spacing w:val="-4"/>
          <w:sz w:val="20"/>
        </w:rPr>
        <w:t xml:space="preserve">punitivo </w:t>
      </w:r>
      <w:r>
        <w:rPr>
          <w:spacing w:val="-3"/>
          <w:sz w:val="20"/>
        </w:rPr>
        <w:t xml:space="preserve">en el que </w:t>
      </w:r>
      <w:r>
        <w:rPr>
          <w:sz w:val="20"/>
        </w:rPr>
        <w:t xml:space="preserve">se </w:t>
      </w:r>
      <w:r>
        <w:rPr>
          <w:spacing w:val="-4"/>
          <w:sz w:val="20"/>
        </w:rPr>
        <w:t xml:space="preserve">manifiesta, </w:t>
      </w:r>
      <w:r>
        <w:rPr>
          <w:spacing w:val="-3"/>
          <w:sz w:val="20"/>
        </w:rPr>
        <w:t xml:space="preserve">con </w:t>
      </w:r>
      <w:r>
        <w:rPr>
          <w:spacing w:val="-4"/>
          <w:sz w:val="20"/>
        </w:rPr>
        <w:t xml:space="preserve">máxima fuerza, </w:t>
      </w:r>
      <w:r>
        <w:rPr>
          <w:spacing w:val="-2"/>
          <w:sz w:val="20"/>
        </w:rPr>
        <w:t xml:space="preserve">una </w:t>
      </w:r>
      <w:r>
        <w:rPr>
          <w:sz w:val="20"/>
        </w:rPr>
        <w:t xml:space="preserve">de </w:t>
      </w:r>
      <w:r>
        <w:rPr>
          <w:spacing w:val="-3"/>
          <w:sz w:val="20"/>
        </w:rPr>
        <w:t xml:space="preserve">las </w:t>
      </w:r>
      <w:r>
        <w:rPr>
          <w:spacing w:val="-4"/>
          <w:sz w:val="20"/>
        </w:rPr>
        <w:t xml:space="preserve">sanciones </w:t>
      </w:r>
      <w:r>
        <w:rPr>
          <w:spacing w:val="-3"/>
          <w:sz w:val="20"/>
        </w:rPr>
        <w:t xml:space="preserve">más </w:t>
      </w:r>
      <w:r>
        <w:rPr>
          <w:spacing w:val="-4"/>
          <w:sz w:val="20"/>
        </w:rPr>
        <w:t xml:space="preserve">intensas del </w:t>
      </w:r>
      <w:r>
        <w:rPr>
          <w:spacing w:val="-3"/>
          <w:sz w:val="20"/>
        </w:rPr>
        <w:t xml:space="preserve">Estado </w:t>
      </w:r>
      <w:r>
        <w:rPr>
          <w:spacing w:val="-4"/>
          <w:sz w:val="20"/>
        </w:rPr>
        <w:t xml:space="preserve">frente </w:t>
      </w:r>
      <w:r>
        <w:rPr>
          <w:sz w:val="20"/>
        </w:rPr>
        <w:t>a</w:t>
      </w:r>
      <w:r>
        <w:rPr>
          <w:spacing w:val="-52"/>
          <w:sz w:val="20"/>
        </w:rPr>
        <w:t xml:space="preserve"> </w:t>
      </w:r>
      <w:r>
        <w:rPr>
          <w:spacing w:val="-3"/>
          <w:sz w:val="20"/>
        </w:rPr>
        <w:t xml:space="preserve">la </w:t>
      </w:r>
      <w:r>
        <w:rPr>
          <w:spacing w:val="-4"/>
          <w:sz w:val="20"/>
        </w:rPr>
        <w:t xml:space="preserve">judicatura: </w:t>
      </w:r>
      <w:r>
        <w:rPr>
          <w:spacing w:val="-3"/>
          <w:sz w:val="20"/>
        </w:rPr>
        <w:t>la destitución</w:t>
      </w:r>
      <w:hyperlink w:anchor="_bookmark194" w:history="1">
        <w:r>
          <w:rPr>
            <w:spacing w:val="-3"/>
            <w:position w:val="7"/>
            <w:sz w:val="13"/>
          </w:rPr>
          <w:t>49</w:t>
        </w:r>
      </w:hyperlink>
      <w:r>
        <w:rPr>
          <w:spacing w:val="-3"/>
          <w:sz w:val="20"/>
        </w:rPr>
        <w:t>.</w:t>
      </w:r>
    </w:p>
    <w:p w14:paraId="210BE7F9" w14:textId="77777777" w:rsidR="00492688" w:rsidRDefault="00492688">
      <w:pPr>
        <w:pStyle w:val="Textoindependiente"/>
        <w:rPr>
          <w:sz w:val="24"/>
        </w:rPr>
      </w:pPr>
    </w:p>
    <w:p w14:paraId="60CEF021" w14:textId="77777777" w:rsidR="00492688" w:rsidRDefault="00492688">
      <w:pPr>
        <w:pStyle w:val="Textoindependiente"/>
        <w:rPr>
          <w:sz w:val="24"/>
        </w:rPr>
      </w:pPr>
    </w:p>
    <w:p w14:paraId="7DDF166C" w14:textId="77777777" w:rsidR="00492688" w:rsidRDefault="00492688">
      <w:pPr>
        <w:pStyle w:val="Textoindependiente"/>
        <w:spacing w:before="1"/>
        <w:rPr>
          <w:sz w:val="32"/>
        </w:rPr>
      </w:pPr>
    </w:p>
    <w:p w14:paraId="726C37C6" w14:textId="77777777" w:rsidR="00492688" w:rsidRDefault="00C9584B">
      <w:pPr>
        <w:pStyle w:val="Textoindependiente"/>
        <w:spacing w:line="243" w:lineRule="exact"/>
        <w:ind w:left="5247"/>
      </w:pPr>
      <w:r>
        <w:t>Eduardo Ferrer Mac-Gregor Poisot</w:t>
      </w:r>
    </w:p>
    <w:p w14:paraId="3CA4A196" w14:textId="77777777" w:rsidR="00492688" w:rsidRDefault="00C9584B">
      <w:pPr>
        <w:pStyle w:val="Textoindependiente"/>
        <w:spacing w:line="243" w:lineRule="exact"/>
        <w:ind w:left="6867"/>
      </w:pPr>
      <w:r>
        <w:t>Juez</w:t>
      </w:r>
    </w:p>
    <w:p w14:paraId="12D7DEAC" w14:textId="77777777" w:rsidR="00492688" w:rsidRDefault="00492688">
      <w:pPr>
        <w:pStyle w:val="Textoindependiente"/>
        <w:rPr>
          <w:sz w:val="24"/>
        </w:rPr>
      </w:pPr>
    </w:p>
    <w:p w14:paraId="7E862487" w14:textId="77777777" w:rsidR="00492688" w:rsidRDefault="00492688">
      <w:pPr>
        <w:pStyle w:val="Textoindependiente"/>
        <w:rPr>
          <w:sz w:val="24"/>
        </w:rPr>
      </w:pPr>
    </w:p>
    <w:p w14:paraId="7B344A26" w14:textId="77777777" w:rsidR="00492688" w:rsidRDefault="00492688">
      <w:pPr>
        <w:pStyle w:val="Textoindependiente"/>
        <w:spacing w:before="11"/>
        <w:rPr>
          <w:sz w:val="31"/>
        </w:rPr>
      </w:pPr>
    </w:p>
    <w:p w14:paraId="200D7E6E" w14:textId="77777777" w:rsidR="00492688" w:rsidRDefault="00C9584B">
      <w:pPr>
        <w:pStyle w:val="Textoindependiente"/>
        <w:spacing w:before="1"/>
        <w:ind w:left="891" w:right="6282" w:hanging="771"/>
      </w:pPr>
      <w:r>
        <w:t>Pablo Saavedra Alessandri Secretario</w:t>
      </w:r>
    </w:p>
    <w:p w14:paraId="40B807B8" w14:textId="77777777" w:rsidR="00492688" w:rsidRDefault="00492688">
      <w:pPr>
        <w:pStyle w:val="Textoindependiente"/>
      </w:pPr>
    </w:p>
    <w:p w14:paraId="6F0CFBCD" w14:textId="77777777" w:rsidR="00492688" w:rsidRDefault="00492688">
      <w:pPr>
        <w:pStyle w:val="Textoindependiente"/>
      </w:pPr>
    </w:p>
    <w:p w14:paraId="6024DF22" w14:textId="77777777" w:rsidR="00492688" w:rsidRDefault="00492688">
      <w:pPr>
        <w:pStyle w:val="Textoindependiente"/>
      </w:pPr>
    </w:p>
    <w:p w14:paraId="0190F857" w14:textId="77777777" w:rsidR="00492688" w:rsidRDefault="00492688">
      <w:pPr>
        <w:pStyle w:val="Textoindependiente"/>
      </w:pPr>
    </w:p>
    <w:p w14:paraId="3193E50B" w14:textId="77777777" w:rsidR="00492688" w:rsidRDefault="00492688">
      <w:pPr>
        <w:pStyle w:val="Textoindependiente"/>
      </w:pPr>
    </w:p>
    <w:p w14:paraId="11C69CC2" w14:textId="77777777" w:rsidR="00492688" w:rsidRDefault="00492688">
      <w:pPr>
        <w:pStyle w:val="Textoindependiente"/>
      </w:pPr>
    </w:p>
    <w:p w14:paraId="0B788194" w14:textId="77777777" w:rsidR="00492688" w:rsidRDefault="00492688">
      <w:pPr>
        <w:pStyle w:val="Textoindependiente"/>
      </w:pPr>
    </w:p>
    <w:p w14:paraId="290FC45A" w14:textId="77777777" w:rsidR="00492688" w:rsidRDefault="00492688">
      <w:pPr>
        <w:pStyle w:val="Textoindependiente"/>
      </w:pPr>
    </w:p>
    <w:p w14:paraId="5CEC67A7" w14:textId="77777777" w:rsidR="00492688" w:rsidRDefault="00492688">
      <w:pPr>
        <w:pStyle w:val="Textoindependiente"/>
      </w:pPr>
    </w:p>
    <w:p w14:paraId="745167A4" w14:textId="77777777" w:rsidR="00492688" w:rsidRDefault="00492688">
      <w:pPr>
        <w:pStyle w:val="Textoindependiente"/>
      </w:pPr>
    </w:p>
    <w:p w14:paraId="7201EB5F" w14:textId="77777777" w:rsidR="00492688" w:rsidRDefault="00492688">
      <w:pPr>
        <w:pStyle w:val="Textoindependiente"/>
      </w:pPr>
    </w:p>
    <w:p w14:paraId="4EAF91D3" w14:textId="77777777" w:rsidR="00492688" w:rsidRDefault="00492688">
      <w:pPr>
        <w:pStyle w:val="Textoindependiente"/>
      </w:pPr>
    </w:p>
    <w:p w14:paraId="407A1E4C" w14:textId="77777777" w:rsidR="00492688" w:rsidRDefault="00492688">
      <w:pPr>
        <w:pStyle w:val="Textoindependiente"/>
      </w:pPr>
    </w:p>
    <w:p w14:paraId="27E930DD" w14:textId="77777777" w:rsidR="00492688" w:rsidRDefault="00492688">
      <w:pPr>
        <w:pStyle w:val="Textoindependiente"/>
      </w:pPr>
    </w:p>
    <w:p w14:paraId="38044D4D" w14:textId="77777777" w:rsidR="00492688" w:rsidRDefault="00492688">
      <w:pPr>
        <w:pStyle w:val="Textoindependiente"/>
      </w:pPr>
    </w:p>
    <w:p w14:paraId="18165399" w14:textId="77777777" w:rsidR="00492688" w:rsidRDefault="00492688">
      <w:pPr>
        <w:pStyle w:val="Textoindependiente"/>
      </w:pPr>
    </w:p>
    <w:p w14:paraId="2B91D925" w14:textId="77777777" w:rsidR="00492688" w:rsidRDefault="00492688">
      <w:pPr>
        <w:pStyle w:val="Textoindependiente"/>
      </w:pPr>
    </w:p>
    <w:p w14:paraId="15441BA3" w14:textId="77777777" w:rsidR="00492688" w:rsidRDefault="00492688">
      <w:pPr>
        <w:pStyle w:val="Textoindependiente"/>
      </w:pPr>
    </w:p>
    <w:p w14:paraId="70E502B8" w14:textId="77777777" w:rsidR="00492688" w:rsidRDefault="00492688">
      <w:pPr>
        <w:pStyle w:val="Textoindependiente"/>
      </w:pPr>
    </w:p>
    <w:p w14:paraId="1CA64A20" w14:textId="77777777" w:rsidR="00492688" w:rsidRDefault="00492688">
      <w:pPr>
        <w:pStyle w:val="Textoindependiente"/>
      </w:pPr>
    </w:p>
    <w:p w14:paraId="32767C13" w14:textId="77777777" w:rsidR="00492688" w:rsidRDefault="00492688">
      <w:pPr>
        <w:pStyle w:val="Textoindependiente"/>
      </w:pPr>
    </w:p>
    <w:p w14:paraId="0682C590" w14:textId="77777777" w:rsidR="00492688" w:rsidRDefault="00492688">
      <w:pPr>
        <w:pStyle w:val="Textoindependiente"/>
      </w:pPr>
    </w:p>
    <w:p w14:paraId="61E1E4ED" w14:textId="77777777" w:rsidR="00492688" w:rsidRDefault="00492688">
      <w:pPr>
        <w:pStyle w:val="Textoindependiente"/>
      </w:pPr>
    </w:p>
    <w:p w14:paraId="32183A1B" w14:textId="574D46B2" w:rsidR="00492688" w:rsidRDefault="00C9584B">
      <w:pPr>
        <w:pStyle w:val="Textoindependiente"/>
        <w:spacing w:before="3"/>
        <w:rPr>
          <w:sz w:val="14"/>
        </w:rPr>
      </w:pPr>
      <w:r>
        <w:rPr>
          <w:noProof/>
        </w:rPr>
        <mc:AlternateContent>
          <mc:Choice Requires="wps">
            <w:drawing>
              <wp:anchor distT="0" distB="0" distL="0" distR="0" simplePos="0" relativeHeight="251699200" behindDoc="1" locked="0" layoutInCell="1" allowOverlap="1" wp14:anchorId="0C1535F2" wp14:editId="5CCA4887">
                <wp:simplePos x="0" y="0"/>
                <wp:positionH relativeFrom="page">
                  <wp:posOffset>1080770</wp:posOffset>
                </wp:positionH>
                <wp:positionV relativeFrom="paragraph">
                  <wp:posOffset>139065</wp:posOffset>
                </wp:positionV>
                <wp:extent cx="18288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C9AC3" id="Freeform 2" o:spid="_x0000_s1026" style="position:absolute;margin-left:85.1pt;margin-top:10.95pt;width:2in;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" path="m,l2880,e" filled="f" strokeweight=".21131mm">
                <v:path arrowok="t" o:connecttype="custom" o:connectlocs="0,0;1828800,0" o:connectangles="0,0"/>
                <w10:wrap type="topAndBottom" anchorx="page"/>
              </v:shape>
            </w:pict>
          </mc:Fallback>
        </mc:AlternateContent>
      </w:r>
    </w:p>
    <w:p w14:paraId="6679E7C3" w14:textId="77777777" w:rsidR="00492688" w:rsidRDefault="00492688">
      <w:pPr>
        <w:pStyle w:val="Textoindependiente"/>
        <w:spacing w:before="10"/>
        <w:rPr>
          <w:sz w:val="5"/>
        </w:rPr>
      </w:pPr>
    </w:p>
    <w:p w14:paraId="6DBD0864" w14:textId="77777777" w:rsidR="00492688" w:rsidRDefault="00C9584B">
      <w:pPr>
        <w:tabs>
          <w:tab w:val="left" w:pos="829"/>
        </w:tabs>
        <w:spacing w:before="101"/>
        <w:ind w:left="121" w:right="229"/>
        <w:rPr>
          <w:sz w:val="16"/>
        </w:rPr>
      </w:pPr>
      <w:bookmarkStart w:id="225" w:name="_bookmark193"/>
      <w:bookmarkEnd w:id="225"/>
      <w:r>
        <w:rPr>
          <w:position w:val="6"/>
          <w:sz w:val="10"/>
        </w:rPr>
        <w:t>48</w:t>
      </w:r>
      <w:r>
        <w:rPr>
          <w:position w:val="6"/>
          <w:sz w:val="10"/>
        </w:rPr>
        <w:tab/>
      </w:r>
      <w:r>
        <w:rPr>
          <w:i/>
          <w:sz w:val="16"/>
        </w:rPr>
        <w:t>Cfr. Caso Baena Ricardo y otros Vs. Panamá. Fondo, Reparaciones y Costas</w:t>
      </w:r>
      <w:r>
        <w:rPr>
          <w:sz w:val="16"/>
        </w:rPr>
        <w:t>. Sentencia de 2 de febrero de 2001. Serie C No. 72, párr.</w:t>
      </w:r>
      <w:r>
        <w:rPr>
          <w:spacing w:val="-14"/>
          <w:sz w:val="16"/>
        </w:rPr>
        <w:t xml:space="preserve"> </w:t>
      </w:r>
      <w:r>
        <w:rPr>
          <w:sz w:val="16"/>
        </w:rPr>
        <w:t>106.</w:t>
      </w:r>
    </w:p>
    <w:p w14:paraId="07F7DB65" w14:textId="77777777" w:rsidR="00492688" w:rsidRDefault="00C9584B">
      <w:pPr>
        <w:tabs>
          <w:tab w:val="left" w:pos="829"/>
        </w:tabs>
        <w:spacing w:before="101"/>
        <w:ind w:left="121"/>
        <w:rPr>
          <w:sz w:val="16"/>
        </w:rPr>
      </w:pPr>
      <w:bookmarkStart w:id="226" w:name="_bookmark194"/>
      <w:bookmarkEnd w:id="226"/>
      <w:r>
        <w:rPr>
          <w:position w:val="6"/>
          <w:sz w:val="10"/>
        </w:rPr>
        <w:t>49</w:t>
      </w:r>
      <w:r>
        <w:rPr>
          <w:position w:val="6"/>
          <w:sz w:val="10"/>
        </w:rPr>
        <w:tab/>
      </w:r>
      <w:r>
        <w:rPr>
          <w:i/>
          <w:sz w:val="16"/>
        </w:rPr>
        <w:t>Cfr. Mutatis mutandis,</w:t>
      </w:r>
      <w:r>
        <w:rPr>
          <w:i/>
          <w:spacing w:val="-2"/>
          <w:sz w:val="16"/>
        </w:rPr>
        <w:t xml:space="preserve"> </w:t>
      </w:r>
      <w:r>
        <w:rPr>
          <w:i/>
          <w:sz w:val="16"/>
        </w:rPr>
        <w:t>ídem</w:t>
      </w:r>
      <w:r>
        <w:rPr>
          <w:sz w:val="16"/>
        </w:rPr>
        <w:t>.</w:t>
      </w:r>
    </w:p>
    <w:p w14:paraId="4AA856EE" w14:textId="77777777" w:rsidR="00492688" w:rsidRDefault="00492688">
      <w:pPr>
        <w:pStyle w:val="Textoindependiente"/>
      </w:pPr>
    </w:p>
    <w:p w14:paraId="371BCCDE" w14:textId="77777777" w:rsidR="00492688" w:rsidRDefault="00492688">
      <w:pPr>
        <w:pStyle w:val="Textoindependiente"/>
        <w:spacing w:before="4"/>
        <w:rPr>
          <w:sz w:val="19"/>
        </w:rPr>
      </w:pPr>
    </w:p>
    <w:p w14:paraId="408F2369" w14:textId="77777777" w:rsidR="00492688" w:rsidRDefault="00C9584B">
      <w:pPr>
        <w:spacing w:before="52"/>
        <w:ind w:left="18" w:right="126"/>
        <w:jc w:val="center"/>
        <w:rPr>
          <w:rFonts w:ascii="Calibri"/>
          <w:sz w:val="24"/>
        </w:rPr>
      </w:pPr>
      <w:r>
        <w:rPr>
          <w:rFonts w:ascii="Calibri"/>
          <w:sz w:val="24"/>
        </w:rPr>
        <w:t>15</w:t>
      </w:r>
    </w:p>
    <w:sectPr w:rsidR="00492688">
      <w:pgSz w:w="12240" w:h="15840"/>
      <w:pgMar w:top="146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360"/>
    <w:multiLevelType w:val="hybridMultilevel"/>
    <w:tmpl w:val="6E6698E2"/>
    <w:lvl w:ilvl="0" w:tplc="8F48368E">
      <w:start w:val="1"/>
      <w:numFmt w:val="upperLetter"/>
      <w:lvlText w:val="%1."/>
      <w:lvlJc w:val="left"/>
      <w:pPr>
        <w:ind w:left="602" w:hanging="481"/>
        <w:jc w:val="left"/>
      </w:pPr>
      <w:rPr>
        <w:rFonts w:ascii="Verdana" w:eastAsia="Verdana" w:hAnsi="Verdana" w:cs="Verdana" w:hint="default"/>
        <w:b/>
        <w:bCs/>
        <w:spacing w:val="-2"/>
        <w:w w:val="99"/>
        <w:sz w:val="20"/>
        <w:szCs w:val="20"/>
      </w:rPr>
    </w:lvl>
    <w:lvl w:ilvl="1" w:tplc="6E669DB4">
      <w:numFmt w:val="bullet"/>
      <w:lvlText w:val="•"/>
      <w:lvlJc w:val="left"/>
      <w:pPr>
        <w:ind w:left="1448" w:hanging="481"/>
      </w:pPr>
      <w:rPr>
        <w:rFonts w:hint="default"/>
      </w:rPr>
    </w:lvl>
    <w:lvl w:ilvl="2" w:tplc="6F36D7A8">
      <w:numFmt w:val="bullet"/>
      <w:lvlText w:val="•"/>
      <w:lvlJc w:val="left"/>
      <w:pPr>
        <w:ind w:left="2296" w:hanging="481"/>
      </w:pPr>
      <w:rPr>
        <w:rFonts w:hint="default"/>
      </w:rPr>
    </w:lvl>
    <w:lvl w:ilvl="3" w:tplc="E80EE646">
      <w:numFmt w:val="bullet"/>
      <w:lvlText w:val="•"/>
      <w:lvlJc w:val="left"/>
      <w:pPr>
        <w:ind w:left="3144" w:hanging="481"/>
      </w:pPr>
      <w:rPr>
        <w:rFonts w:hint="default"/>
      </w:rPr>
    </w:lvl>
    <w:lvl w:ilvl="4" w:tplc="AE103EEE">
      <w:numFmt w:val="bullet"/>
      <w:lvlText w:val="•"/>
      <w:lvlJc w:val="left"/>
      <w:pPr>
        <w:ind w:left="3992" w:hanging="481"/>
      </w:pPr>
      <w:rPr>
        <w:rFonts w:hint="default"/>
      </w:rPr>
    </w:lvl>
    <w:lvl w:ilvl="5" w:tplc="972E6762">
      <w:numFmt w:val="bullet"/>
      <w:lvlText w:val="•"/>
      <w:lvlJc w:val="left"/>
      <w:pPr>
        <w:ind w:left="4840" w:hanging="481"/>
      </w:pPr>
      <w:rPr>
        <w:rFonts w:hint="default"/>
      </w:rPr>
    </w:lvl>
    <w:lvl w:ilvl="6" w:tplc="B584FC80">
      <w:numFmt w:val="bullet"/>
      <w:lvlText w:val="•"/>
      <w:lvlJc w:val="left"/>
      <w:pPr>
        <w:ind w:left="5688" w:hanging="481"/>
      </w:pPr>
      <w:rPr>
        <w:rFonts w:hint="default"/>
      </w:rPr>
    </w:lvl>
    <w:lvl w:ilvl="7" w:tplc="7F7090C0">
      <w:numFmt w:val="bullet"/>
      <w:lvlText w:val="•"/>
      <w:lvlJc w:val="left"/>
      <w:pPr>
        <w:ind w:left="6536" w:hanging="481"/>
      </w:pPr>
      <w:rPr>
        <w:rFonts w:hint="default"/>
      </w:rPr>
    </w:lvl>
    <w:lvl w:ilvl="8" w:tplc="B4F0FF8C">
      <w:numFmt w:val="bullet"/>
      <w:lvlText w:val="•"/>
      <w:lvlJc w:val="left"/>
      <w:pPr>
        <w:ind w:left="7384" w:hanging="481"/>
      </w:pPr>
      <w:rPr>
        <w:rFonts w:hint="default"/>
      </w:rPr>
    </w:lvl>
  </w:abstractNum>
  <w:abstractNum w:abstractNumId="1" w15:restartNumberingAfterBreak="0">
    <w:nsid w:val="0AD1294B"/>
    <w:multiLevelType w:val="hybridMultilevel"/>
    <w:tmpl w:val="9F0AA9A4"/>
    <w:lvl w:ilvl="0" w:tplc="67CA4442">
      <w:start w:val="1"/>
      <w:numFmt w:val="upperLetter"/>
      <w:lvlText w:val="%1."/>
      <w:lvlJc w:val="left"/>
      <w:pPr>
        <w:ind w:left="841" w:hanging="348"/>
        <w:jc w:val="left"/>
      </w:pPr>
      <w:rPr>
        <w:rFonts w:ascii="Verdana" w:eastAsia="Verdana" w:hAnsi="Verdana" w:cs="Verdana" w:hint="default"/>
        <w:b/>
        <w:bCs/>
        <w:spacing w:val="-2"/>
        <w:w w:val="99"/>
        <w:sz w:val="20"/>
        <w:szCs w:val="20"/>
      </w:rPr>
    </w:lvl>
    <w:lvl w:ilvl="1" w:tplc="2C4002B4">
      <w:start w:val="1"/>
      <w:numFmt w:val="decimal"/>
      <w:lvlText w:val="%1.%2"/>
      <w:lvlJc w:val="left"/>
      <w:pPr>
        <w:ind w:left="829" w:hanging="528"/>
        <w:jc w:val="left"/>
      </w:pPr>
      <w:rPr>
        <w:rFonts w:ascii="Verdana" w:eastAsia="Verdana" w:hAnsi="Verdana" w:cs="Verdana" w:hint="default"/>
        <w:b/>
        <w:bCs/>
        <w:i/>
        <w:w w:val="99"/>
        <w:sz w:val="20"/>
        <w:szCs w:val="20"/>
      </w:rPr>
    </w:lvl>
    <w:lvl w:ilvl="2" w:tplc="1D48D920">
      <w:numFmt w:val="bullet"/>
      <w:lvlText w:val="•"/>
      <w:lvlJc w:val="left"/>
      <w:pPr>
        <w:ind w:left="1755" w:hanging="528"/>
      </w:pPr>
      <w:rPr>
        <w:rFonts w:hint="default"/>
      </w:rPr>
    </w:lvl>
    <w:lvl w:ilvl="3" w:tplc="45706B3E">
      <w:numFmt w:val="bullet"/>
      <w:lvlText w:val="•"/>
      <w:lvlJc w:val="left"/>
      <w:pPr>
        <w:ind w:left="2671" w:hanging="528"/>
      </w:pPr>
      <w:rPr>
        <w:rFonts w:hint="default"/>
      </w:rPr>
    </w:lvl>
    <w:lvl w:ilvl="4" w:tplc="9C2480BC">
      <w:numFmt w:val="bullet"/>
      <w:lvlText w:val="•"/>
      <w:lvlJc w:val="left"/>
      <w:pPr>
        <w:ind w:left="3586" w:hanging="528"/>
      </w:pPr>
      <w:rPr>
        <w:rFonts w:hint="default"/>
      </w:rPr>
    </w:lvl>
    <w:lvl w:ilvl="5" w:tplc="4C86125C">
      <w:numFmt w:val="bullet"/>
      <w:lvlText w:val="•"/>
      <w:lvlJc w:val="left"/>
      <w:pPr>
        <w:ind w:left="4502" w:hanging="528"/>
      </w:pPr>
      <w:rPr>
        <w:rFonts w:hint="default"/>
      </w:rPr>
    </w:lvl>
    <w:lvl w:ilvl="6" w:tplc="9034B95E">
      <w:numFmt w:val="bullet"/>
      <w:lvlText w:val="•"/>
      <w:lvlJc w:val="left"/>
      <w:pPr>
        <w:ind w:left="5417" w:hanging="528"/>
      </w:pPr>
      <w:rPr>
        <w:rFonts w:hint="default"/>
      </w:rPr>
    </w:lvl>
    <w:lvl w:ilvl="7" w:tplc="00E4962C">
      <w:numFmt w:val="bullet"/>
      <w:lvlText w:val="•"/>
      <w:lvlJc w:val="left"/>
      <w:pPr>
        <w:ind w:left="6333" w:hanging="528"/>
      </w:pPr>
      <w:rPr>
        <w:rFonts w:hint="default"/>
      </w:rPr>
    </w:lvl>
    <w:lvl w:ilvl="8" w:tplc="972870C0">
      <w:numFmt w:val="bullet"/>
      <w:lvlText w:val="•"/>
      <w:lvlJc w:val="left"/>
      <w:pPr>
        <w:ind w:left="7248" w:hanging="528"/>
      </w:pPr>
      <w:rPr>
        <w:rFonts w:hint="default"/>
      </w:rPr>
    </w:lvl>
  </w:abstractNum>
  <w:abstractNum w:abstractNumId="2" w15:restartNumberingAfterBreak="0">
    <w:nsid w:val="194656E0"/>
    <w:multiLevelType w:val="hybridMultilevel"/>
    <w:tmpl w:val="15E0ADBA"/>
    <w:lvl w:ilvl="0" w:tplc="2F9267EC">
      <w:start w:val="2"/>
      <w:numFmt w:val="upperRoman"/>
      <w:lvlText w:val="%1."/>
      <w:lvlJc w:val="left"/>
      <w:pPr>
        <w:ind w:left="2893" w:hanging="310"/>
        <w:jc w:val="right"/>
      </w:pPr>
      <w:rPr>
        <w:rFonts w:ascii="Verdana" w:eastAsia="Verdana" w:hAnsi="Verdana" w:cs="Verdana" w:hint="default"/>
        <w:w w:val="99"/>
        <w:sz w:val="20"/>
        <w:szCs w:val="20"/>
      </w:rPr>
    </w:lvl>
    <w:lvl w:ilvl="1" w:tplc="68B2DF5A">
      <w:numFmt w:val="bullet"/>
      <w:lvlText w:val="•"/>
      <w:lvlJc w:val="left"/>
      <w:pPr>
        <w:ind w:left="3518" w:hanging="310"/>
      </w:pPr>
      <w:rPr>
        <w:rFonts w:hint="default"/>
      </w:rPr>
    </w:lvl>
    <w:lvl w:ilvl="2" w:tplc="FE28FBF0">
      <w:numFmt w:val="bullet"/>
      <w:lvlText w:val="•"/>
      <w:lvlJc w:val="left"/>
      <w:pPr>
        <w:ind w:left="4136" w:hanging="310"/>
      </w:pPr>
      <w:rPr>
        <w:rFonts w:hint="default"/>
      </w:rPr>
    </w:lvl>
    <w:lvl w:ilvl="3" w:tplc="ABBE116E">
      <w:numFmt w:val="bullet"/>
      <w:lvlText w:val="•"/>
      <w:lvlJc w:val="left"/>
      <w:pPr>
        <w:ind w:left="4754" w:hanging="310"/>
      </w:pPr>
      <w:rPr>
        <w:rFonts w:hint="default"/>
      </w:rPr>
    </w:lvl>
    <w:lvl w:ilvl="4" w:tplc="F0720376">
      <w:numFmt w:val="bullet"/>
      <w:lvlText w:val="•"/>
      <w:lvlJc w:val="left"/>
      <w:pPr>
        <w:ind w:left="5372" w:hanging="310"/>
      </w:pPr>
      <w:rPr>
        <w:rFonts w:hint="default"/>
      </w:rPr>
    </w:lvl>
    <w:lvl w:ilvl="5" w:tplc="3C6A2744">
      <w:numFmt w:val="bullet"/>
      <w:lvlText w:val="•"/>
      <w:lvlJc w:val="left"/>
      <w:pPr>
        <w:ind w:left="5990" w:hanging="310"/>
      </w:pPr>
      <w:rPr>
        <w:rFonts w:hint="default"/>
      </w:rPr>
    </w:lvl>
    <w:lvl w:ilvl="6" w:tplc="C1FA2DCE">
      <w:numFmt w:val="bullet"/>
      <w:lvlText w:val="•"/>
      <w:lvlJc w:val="left"/>
      <w:pPr>
        <w:ind w:left="6608" w:hanging="310"/>
      </w:pPr>
      <w:rPr>
        <w:rFonts w:hint="default"/>
      </w:rPr>
    </w:lvl>
    <w:lvl w:ilvl="7" w:tplc="9496A5F0">
      <w:numFmt w:val="bullet"/>
      <w:lvlText w:val="•"/>
      <w:lvlJc w:val="left"/>
      <w:pPr>
        <w:ind w:left="7226" w:hanging="310"/>
      </w:pPr>
      <w:rPr>
        <w:rFonts w:hint="default"/>
      </w:rPr>
    </w:lvl>
    <w:lvl w:ilvl="8" w:tplc="8812B7F4">
      <w:numFmt w:val="bullet"/>
      <w:lvlText w:val="•"/>
      <w:lvlJc w:val="left"/>
      <w:pPr>
        <w:ind w:left="7844" w:hanging="310"/>
      </w:pPr>
      <w:rPr>
        <w:rFonts w:hint="default"/>
      </w:rPr>
    </w:lvl>
  </w:abstractNum>
  <w:abstractNum w:abstractNumId="3" w15:restartNumberingAfterBreak="0">
    <w:nsid w:val="1F181EF3"/>
    <w:multiLevelType w:val="hybridMultilevel"/>
    <w:tmpl w:val="EA38EFAC"/>
    <w:lvl w:ilvl="0" w:tplc="1A4297FC">
      <w:start w:val="1"/>
      <w:numFmt w:val="upperLetter"/>
      <w:lvlText w:val="%1."/>
      <w:lvlJc w:val="left"/>
      <w:pPr>
        <w:ind w:left="841" w:hanging="348"/>
        <w:jc w:val="left"/>
      </w:pPr>
      <w:rPr>
        <w:rFonts w:ascii="Verdana" w:eastAsia="Verdana" w:hAnsi="Verdana" w:cs="Verdana" w:hint="default"/>
        <w:b/>
        <w:bCs/>
        <w:spacing w:val="-2"/>
        <w:w w:val="99"/>
        <w:sz w:val="20"/>
        <w:szCs w:val="20"/>
      </w:rPr>
    </w:lvl>
    <w:lvl w:ilvl="1" w:tplc="23D29866">
      <w:start w:val="1"/>
      <w:numFmt w:val="decimal"/>
      <w:lvlText w:val="%1.%2."/>
      <w:lvlJc w:val="left"/>
      <w:pPr>
        <w:ind w:left="829" w:hanging="612"/>
        <w:jc w:val="left"/>
      </w:pPr>
      <w:rPr>
        <w:rFonts w:ascii="Verdana" w:eastAsia="Verdana" w:hAnsi="Verdana" w:cs="Verdana" w:hint="default"/>
        <w:b/>
        <w:bCs/>
        <w:i/>
        <w:spacing w:val="-2"/>
        <w:w w:val="99"/>
        <w:sz w:val="20"/>
        <w:szCs w:val="20"/>
      </w:rPr>
    </w:lvl>
    <w:lvl w:ilvl="2" w:tplc="0BD67B5A">
      <w:numFmt w:val="bullet"/>
      <w:lvlText w:val="•"/>
      <w:lvlJc w:val="left"/>
      <w:pPr>
        <w:ind w:left="1755" w:hanging="612"/>
      </w:pPr>
      <w:rPr>
        <w:rFonts w:hint="default"/>
      </w:rPr>
    </w:lvl>
    <w:lvl w:ilvl="3" w:tplc="AE00CAC4">
      <w:numFmt w:val="bullet"/>
      <w:lvlText w:val="•"/>
      <w:lvlJc w:val="left"/>
      <w:pPr>
        <w:ind w:left="2671" w:hanging="612"/>
      </w:pPr>
      <w:rPr>
        <w:rFonts w:hint="default"/>
      </w:rPr>
    </w:lvl>
    <w:lvl w:ilvl="4" w:tplc="6A604C00">
      <w:numFmt w:val="bullet"/>
      <w:lvlText w:val="•"/>
      <w:lvlJc w:val="left"/>
      <w:pPr>
        <w:ind w:left="3586" w:hanging="612"/>
      </w:pPr>
      <w:rPr>
        <w:rFonts w:hint="default"/>
      </w:rPr>
    </w:lvl>
    <w:lvl w:ilvl="5" w:tplc="F49EF7F0">
      <w:numFmt w:val="bullet"/>
      <w:lvlText w:val="•"/>
      <w:lvlJc w:val="left"/>
      <w:pPr>
        <w:ind w:left="4502" w:hanging="612"/>
      </w:pPr>
      <w:rPr>
        <w:rFonts w:hint="default"/>
      </w:rPr>
    </w:lvl>
    <w:lvl w:ilvl="6" w:tplc="5C382B52">
      <w:numFmt w:val="bullet"/>
      <w:lvlText w:val="•"/>
      <w:lvlJc w:val="left"/>
      <w:pPr>
        <w:ind w:left="5417" w:hanging="612"/>
      </w:pPr>
      <w:rPr>
        <w:rFonts w:hint="default"/>
      </w:rPr>
    </w:lvl>
    <w:lvl w:ilvl="7" w:tplc="313C276E">
      <w:numFmt w:val="bullet"/>
      <w:lvlText w:val="•"/>
      <w:lvlJc w:val="left"/>
      <w:pPr>
        <w:ind w:left="6333" w:hanging="612"/>
      </w:pPr>
      <w:rPr>
        <w:rFonts w:hint="default"/>
      </w:rPr>
    </w:lvl>
    <w:lvl w:ilvl="8" w:tplc="15605F58">
      <w:numFmt w:val="bullet"/>
      <w:lvlText w:val="•"/>
      <w:lvlJc w:val="left"/>
      <w:pPr>
        <w:ind w:left="7248" w:hanging="612"/>
      </w:pPr>
      <w:rPr>
        <w:rFonts w:hint="default"/>
      </w:rPr>
    </w:lvl>
  </w:abstractNum>
  <w:abstractNum w:abstractNumId="4" w15:restartNumberingAfterBreak="0">
    <w:nsid w:val="20977B07"/>
    <w:multiLevelType w:val="hybridMultilevel"/>
    <w:tmpl w:val="093A5F02"/>
    <w:lvl w:ilvl="0" w:tplc="40CC53C2">
      <w:start w:val="1"/>
      <w:numFmt w:val="upperLetter"/>
      <w:lvlText w:val="%1."/>
      <w:lvlJc w:val="left"/>
      <w:pPr>
        <w:ind w:left="123" w:hanging="481"/>
        <w:jc w:val="left"/>
      </w:pPr>
      <w:rPr>
        <w:rFonts w:ascii="Verdana" w:eastAsia="Verdana" w:hAnsi="Verdana" w:cs="Verdana" w:hint="default"/>
        <w:b/>
        <w:bCs/>
        <w:spacing w:val="-2"/>
        <w:w w:val="99"/>
        <w:sz w:val="20"/>
        <w:szCs w:val="20"/>
      </w:rPr>
    </w:lvl>
    <w:lvl w:ilvl="1" w:tplc="9412F300">
      <w:start w:val="1"/>
      <w:numFmt w:val="decimal"/>
      <w:lvlText w:val="%1.%2"/>
      <w:lvlJc w:val="left"/>
      <w:pPr>
        <w:ind w:left="785" w:hanging="423"/>
        <w:jc w:val="left"/>
      </w:pPr>
      <w:rPr>
        <w:rFonts w:ascii="Verdana" w:eastAsia="Verdana" w:hAnsi="Verdana" w:cs="Verdana" w:hint="default"/>
        <w:spacing w:val="-1"/>
        <w:w w:val="99"/>
        <w:sz w:val="20"/>
        <w:szCs w:val="20"/>
      </w:rPr>
    </w:lvl>
    <w:lvl w:ilvl="2" w:tplc="CC2EBE9A">
      <w:numFmt w:val="bullet"/>
      <w:lvlText w:val="•"/>
      <w:lvlJc w:val="left"/>
      <w:pPr>
        <w:ind w:left="1702" w:hanging="423"/>
      </w:pPr>
      <w:rPr>
        <w:rFonts w:hint="default"/>
      </w:rPr>
    </w:lvl>
    <w:lvl w:ilvl="3" w:tplc="95BE44C2">
      <w:numFmt w:val="bullet"/>
      <w:lvlText w:val="•"/>
      <w:lvlJc w:val="left"/>
      <w:pPr>
        <w:ind w:left="2624" w:hanging="423"/>
      </w:pPr>
      <w:rPr>
        <w:rFonts w:hint="default"/>
      </w:rPr>
    </w:lvl>
    <w:lvl w:ilvl="4" w:tplc="4A0C4348">
      <w:numFmt w:val="bullet"/>
      <w:lvlText w:val="•"/>
      <w:lvlJc w:val="left"/>
      <w:pPr>
        <w:ind w:left="3546" w:hanging="423"/>
      </w:pPr>
      <w:rPr>
        <w:rFonts w:hint="default"/>
      </w:rPr>
    </w:lvl>
    <w:lvl w:ilvl="5" w:tplc="9B2A2AE4">
      <w:numFmt w:val="bullet"/>
      <w:lvlText w:val="•"/>
      <w:lvlJc w:val="left"/>
      <w:pPr>
        <w:ind w:left="4468" w:hanging="423"/>
      </w:pPr>
      <w:rPr>
        <w:rFonts w:hint="default"/>
      </w:rPr>
    </w:lvl>
    <w:lvl w:ilvl="6" w:tplc="BDC6F85C">
      <w:numFmt w:val="bullet"/>
      <w:lvlText w:val="•"/>
      <w:lvlJc w:val="left"/>
      <w:pPr>
        <w:ind w:left="5391" w:hanging="423"/>
      </w:pPr>
      <w:rPr>
        <w:rFonts w:hint="default"/>
      </w:rPr>
    </w:lvl>
    <w:lvl w:ilvl="7" w:tplc="8B3E6D6A">
      <w:numFmt w:val="bullet"/>
      <w:lvlText w:val="•"/>
      <w:lvlJc w:val="left"/>
      <w:pPr>
        <w:ind w:left="6313" w:hanging="423"/>
      </w:pPr>
      <w:rPr>
        <w:rFonts w:hint="default"/>
      </w:rPr>
    </w:lvl>
    <w:lvl w:ilvl="8" w:tplc="175693F8">
      <w:numFmt w:val="bullet"/>
      <w:lvlText w:val="•"/>
      <w:lvlJc w:val="left"/>
      <w:pPr>
        <w:ind w:left="7235" w:hanging="423"/>
      </w:pPr>
      <w:rPr>
        <w:rFonts w:hint="default"/>
      </w:rPr>
    </w:lvl>
  </w:abstractNum>
  <w:abstractNum w:abstractNumId="5" w15:restartNumberingAfterBreak="0">
    <w:nsid w:val="21876C23"/>
    <w:multiLevelType w:val="hybridMultilevel"/>
    <w:tmpl w:val="A60C8A0E"/>
    <w:lvl w:ilvl="0" w:tplc="C8260C1E">
      <w:start w:val="1"/>
      <w:numFmt w:val="decimal"/>
      <w:lvlText w:val="%1."/>
      <w:lvlJc w:val="left"/>
      <w:pPr>
        <w:ind w:left="121" w:hanging="567"/>
        <w:jc w:val="left"/>
      </w:pPr>
      <w:rPr>
        <w:rFonts w:ascii="Verdana" w:eastAsia="Verdana" w:hAnsi="Verdana" w:cs="Verdana" w:hint="default"/>
        <w:w w:val="99"/>
        <w:sz w:val="20"/>
        <w:szCs w:val="20"/>
      </w:rPr>
    </w:lvl>
    <w:lvl w:ilvl="1" w:tplc="2EE6B754">
      <w:start w:val="1"/>
      <w:numFmt w:val="lowerLetter"/>
      <w:lvlText w:val="%2."/>
      <w:lvlJc w:val="left"/>
      <w:pPr>
        <w:ind w:left="1115" w:hanging="360"/>
        <w:jc w:val="left"/>
      </w:pPr>
      <w:rPr>
        <w:rFonts w:ascii="Verdana" w:eastAsia="Verdana" w:hAnsi="Verdana" w:cs="Verdana" w:hint="default"/>
        <w:w w:val="99"/>
        <w:sz w:val="20"/>
        <w:szCs w:val="20"/>
      </w:rPr>
    </w:lvl>
    <w:lvl w:ilvl="2" w:tplc="7EF64950">
      <w:numFmt w:val="bullet"/>
      <w:lvlText w:val="•"/>
      <w:lvlJc w:val="left"/>
      <w:pPr>
        <w:ind w:left="2004" w:hanging="360"/>
      </w:pPr>
      <w:rPr>
        <w:rFonts w:hint="default"/>
      </w:rPr>
    </w:lvl>
    <w:lvl w:ilvl="3" w:tplc="19AC2A2A">
      <w:numFmt w:val="bullet"/>
      <w:lvlText w:val="•"/>
      <w:lvlJc w:val="left"/>
      <w:pPr>
        <w:ind w:left="2888" w:hanging="360"/>
      </w:pPr>
      <w:rPr>
        <w:rFonts w:hint="default"/>
      </w:rPr>
    </w:lvl>
    <w:lvl w:ilvl="4" w:tplc="FFC24D3A">
      <w:numFmt w:val="bullet"/>
      <w:lvlText w:val="•"/>
      <w:lvlJc w:val="left"/>
      <w:pPr>
        <w:ind w:left="3773" w:hanging="360"/>
      </w:pPr>
      <w:rPr>
        <w:rFonts w:hint="default"/>
      </w:rPr>
    </w:lvl>
    <w:lvl w:ilvl="5" w:tplc="FCA862BA">
      <w:numFmt w:val="bullet"/>
      <w:lvlText w:val="•"/>
      <w:lvlJc w:val="left"/>
      <w:pPr>
        <w:ind w:left="4657" w:hanging="360"/>
      </w:pPr>
      <w:rPr>
        <w:rFonts w:hint="default"/>
      </w:rPr>
    </w:lvl>
    <w:lvl w:ilvl="6" w:tplc="12244766">
      <w:numFmt w:val="bullet"/>
      <w:lvlText w:val="•"/>
      <w:lvlJc w:val="left"/>
      <w:pPr>
        <w:ind w:left="5542" w:hanging="360"/>
      </w:pPr>
      <w:rPr>
        <w:rFonts w:hint="default"/>
      </w:rPr>
    </w:lvl>
    <w:lvl w:ilvl="7" w:tplc="68B2DFCC">
      <w:numFmt w:val="bullet"/>
      <w:lvlText w:val="•"/>
      <w:lvlJc w:val="left"/>
      <w:pPr>
        <w:ind w:left="6426" w:hanging="360"/>
      </w:pPr>
      <w:rPr>
        <w:rFonts w:hint="default"/>
      </w:rPr>
    </w:lvl>
    <w:lvl w:ilvl="8" w:tplc="2B6C3F32">
      <w:numFmt w:val="bullet"/>
      <w:lvlText w:val="•"/>
      <w:lvlJc w:val="left"/>
      <w:pPr>
        <w:ind w:left="7311" w:hanging="360"/>
      </w:pPr>
      <w:rPr>
        <w:rFonts w:hint="default"/>
      </w:rPr>
    </w:lvl>
  </w:abstractNum>
  <w:abstractNum w:abstractNumId="6" w15:restartNumberingAfterBreak="0">
    <w:nsid w:val="2BEF270F"/>
    <w:multiLevelType w:val="hybridMultilevel"/>
    <w:tmpl w:val="46382CD8"/>
    <w:lvl w:ilvl="0" w:tplc="C07A9490">
      <w:start w:val="1"/>
      <w:numFmt w:val="decimal"/>
      <w:lvlText w:val="%1."/>
      <w:lvlJc w:val="left"/>
      <w:pPr>
        <w:ind w:left="121" w:hanging="567"/>
        <w:jc w:val="left"/>
      </w:pPr>
      <w:rPr>
        <w:rFonts w:ascii="Verdana" w:eastAsia="Verdana" w:hAnsi="Verdana" w:cs="Verdana" w:hint="default"/>
        <w:w w:val="99"/>
        <w:sz w:val="20"/>
        <w:szCs w:val="20"/>
      </w:rPr>
    </w:lvl>
    <w:lvl w:ilvl="1" w:tplc="013CDA32">
      <w:numFmt w:val="bullet"/>
      <w:lvlText w:val="•"/>
      <w:lvlJc w:val="left"/>
      <w:pPr>
        <w:ind w:left="1016" w:hanging="567"/>
      </w:pPr>
      <w:rPr>
        <w:rFonts w:hint="default"/>
      </w:rPr>
    </w:lvl>
    <w:lvl w:ilvl="2" w:tplc="5094951A">
      <w:numFmt w:val="bullet"/>
      <w:lvlText w:val="•"/>
      <w:lvlJc w:val="left"/>
      <w:pPr>
        <w:ind w:left="1912" w:hanging="567"/>
      </w:pPr>
      <w:rPr>
        <w:rFonts w:hint="default"/>
      </w:rPr>
    </w:lvl>
    <w:lvl w:ilvl="3" w:tplc="718EDA2E">
      <w:numFmt w:val="bullet"/>
      <w:lvlText w:val="•"/>
      <w:lvlJc w:val="left"/>
      <w:pPr>
        <w:ind w:left="2808" w:hanging="567"/>
      </w:pPr>
      <w:rPr>
        <w:rFonts w:hint="default"/>
      </w:rPr>
    </w:lvl>
    <w:lvl w:ilvl="4" w:tplc="C55AC24A">
      <w:numFmt w:val="bullet"/>
      <w:lvlText w:val="•"/>
      <w:lvlJc w:val="left"/>
      <w:pPr>
        <w:ind w:left="3704" w:hanging="567"/>
      </w:pPr>
      <w:rPr>
        <w:rFonts w:hint="default"/>
      </w:rPr>
    </w:lvl>
    <w:lvl w:ilvl="5" w:tplc="01568674">
      <w:numFmt w:val="bullet"/>
      <w:lvlText w:val="•"/>
      <w:lvlJc w:val="left"/>
      <w:pPr>
        <w:ind w:left="4600" w:hanging="567"/>
      </w:pPr>
      <w:rPr>
        <w:rFonts w:hint="default"/>
      </w:rPr>
    </w:lvl>
    <w:lvl w:ilvl="6" w:tplc="8C8A225C">
      <w:numFmt w:val="bullet"/>
      <w:lvlText w:val="•"/>
      <w:lvlJc w:val="left"/>
      <w:pPr>
        <w:ind w:left="5496" w:hanging="567"/>
      </w:pPr>
      <w:rPr>
        <w:rFonts w:hint="default"/>
      </w:rPr>
    </w:lvl>
    <w:lvl w:ilvl="7" w:tplc="986049A0">
      <w:numFmt w:val="bullet"/>
      <w:lvlText w:val="•"/>
      <w:lvlJc w:val="left"/>
      <w:pPr>
        <w:ind w:left="6392" w:hanging="567"/>
      </w:pPr>
      <w:rPr>
        <w:rFonts w:hint="default"/>
      </w:rPr>
    </w:lvl>
    <w:lvl w:ilvl="8" w:tplc="16620A90">
      <w:numFmt w:val="bullet"/>
      <w:lvlText w:val="•"/>
      <w:lvlJc w:val="left"/>
      <w:pPr>
        <w:ind w:left="7288" w:hanging="567"/>
      </w:pPr>
      <w:rPr>
        <w:rFonts w:hint="default"/>
      </w:rPr>
    </w:lvl>
  </w:abstractNum>
  <w:abstractNum w:abstractNumId="7" w15:restartNumberingAfterBreak="0">
    <w:nsid w:val="32A63D32"/>
    <w:multiLevelType w:val="hybridMultilevel"/>
    <w:tmpl w:val="BBFEB126"/>
    <w:lvl w:ilvl="0" w:tplc="8F067A0C">
      <w:start w:val="1"/>
      <w:numFmt w:val="upperLetter"/>
      <w:lvlText w:val="%1."/>
      <w:lvlJc w:val="left"/>
      <w:pPr>
        <w:ind w:left="122" w:hanging="481"/>
        <w:jc w:val="left"/>
      </w:pPr>
      <w:rPr>
        <w:rFonts w:ascii="Verdana" w:eastAsia="Verdana" w:hAnsi="Verdana" w:cs="Verdana" w:hint="default"/>
        <w:b/>
        <w:bCs/>
        <w:spacing w:val="-2"/>
        <w:w w:val="99"/>
        <w:sz w:val="20"/>
        <w:szCs w:val="20"/>
      </w:rPr>
    </w:lvl>
    <w:lvl w:ilvl="1" w:tplc="B2D2CE62">
      <w:start w:val="1"/>
      <w:numFmt w:val="decimal"/>
      <w:lvlText w:val="%1.%2."/>
      <w:lvlJc w:val="left"/>
      <w:pPr>
        <w:ind w:left="839" w:hanging="478"/>
        <w:jc w:val="left"/>
      </w:pPr>
      <w:rPr>
        <w:rFonts w:ascii="Verdana" w:eastAsia="Verdana" w:hAnsi="Verdana" w:cs="Verdana" w:hint="default"/>
        <w:spacing w:val="-1"/>
        <w:w w:val="99"/>
        <w:sz w:val="20"/>
        <w:szCs w:val="20"/>
      </w:rPr>
    </w:lvl>
    <w:lvl w:ilvl="2" w:tplc="2FB46C62">
      <w:numFmt w:val="bullet"/>
      <w:lvlText w:val="•"/>
      <w:lvlJc w:val="left"/>
      <w:pPr>
        <w:ind w:left="1755" w:hanging="478"/>
      </w:pPr>
      <w:rPr>
        <w:rFonts w:hint="default"/>
      </w:rPr>
    </w:lvl>
    <w:lvl w:ilvl="3" w:tplc="6BE24BFA">
      <w:numFmt w:val="bullet"/>
      <w:lvlText w:val="•"/>
      <w:lvlJc w:val="left"/>
      <w:pPr>
        <w:ind w:left="2671" w:hanging="478"/>
      </w:pPr>
      <w:rPr>
        <w:rFonts w:hint="default"/>
      </w:rPr>
    </w:lvl>
    <w:lvl w:ilvl="4" w:tplc="3224DC12">
      <w:numFmt w:val="bullet"/>
      <w:lvlText w:val="•"/>
      <w:lvlJc w:val="left"/>
      <w:pPr>
        <w:ind w:left="3586" w:hanging="478"/>
      </w:pPr>
      <w:rPr>
        <w:rFonts w:hint="default"/>
      </w:rPr>
    </w:lvl>
    <w:lvl w:ilvl="5" w:tplc="32C4FEE8">
      <w:numFmt w:val="bullet"/>
      <w:lvlText w:val="•"/>
      <w:lvlJc w:val="left"/>
      <w:pPr>
        <w:ind w:left="4502" w:hanging="478"/>
      </w:pPr>
      <w:rPr>
        <w:rFonts w:hint="default"/>
      </w:rPr>
    </w:lvl>
    <w:lvl w:ilvl="6" w:tplc="B4AE2D56">
      <w:numFmt w:val="bullet"/>
      <w:lvlText w:val="•"/>
      <w:lvlJc w:val="left"/>
      <w:pPr>
        <w:ind w:left="5417" w:hanging="478"/>
      </w:pPr>
      <w:rPr>
        <w:rFonts w:hint="default"/>
      </w:rPr>
    </w:lvl>
    <w:lvl w:ilvl="7" w:tplc="8116A3D2">
      <w:numFmt w:val="bullet"/>
      <w:lvlText w:val="•"/>
      <w:lvlJc w:val="left"/>
      <w:pPr>
        <w:ind w:left="6333" w:hanging="478"/>
      </w:pPr>
      <w:rPr>
        <w:rFonts w:hint="default"/>
      </w:rPr>
    </w:lvl>
    <w:lvl w:ilvl="8" w:tplc="4468D7B0">
      <w:numFmt w:val="bullet"/>
      <w:lvlText w:val="•"/>
      <w:lvlJc w:val="left"/>
      <w:pPr>
        <w:ind w:left="7248" w:hanging="478"/>
      </w:pPr>
      <w:rPr>
        <w:rFonts w:hint="default"/>
      </w:rPr>
    </w:lvl>
  </w:abstractNum>
  <w:abstractNum w:abstractNumId="8" w15:restartNumberingAfterBreak="0">
    <w:nsid w:val="386249FC"/>
    <w:multiLevelType w:val="hybridMultilevel"/>
    <w:tmpl w:val="3B384932"/>
    <w:lvl w:ilvl="0" w:tplc="59AA2290">
      <w:start w:val="1"/>
      <w:numFmt w:val="decimal"/>
      <w:lvlText w:val="%1."/>
      <w:lvlJc w:val="left"/>
      <w:pPr>
        <w:ind w:left="121" w:hanging="708"/>
        <w:jc w:val="left"/>
      </w:pPr>
      <w:rPr>
        <w:rFonts w:ascii="Verdana" w:eastAsia="Verdana" w:hAnsi="Verdana" w:cs="Verdana" w:hint="default"/>
        <w:w w:val="99"/>
        <w:sz w:val="20"/>
        <w:szCs w:val="20"/>
      </w:rPr>
    </w:lvl>
    <w:lvl w:ilvl="1" w:tplc="7084FDF6">
      <w:start w:val="1"/>
      <w:numFmt w:val="upperRoman"/>
      <w:lvlText w:val="%2."/>
      <w:lvlJc w:val="left"/>
      <w:pPr>
        <w:ind w:left="568" w:hanging="226"/>
        <w:jc w:val="left"/>
      </w:pPr>
      <w:rPr>
        <w:rFonts w:ascii="Verdana" w:eastAsia="Verdana" w:hAnsi="Verdana" w:cs="Verdana" w:hint="default"/>
        <w:w w:val="99"/>
        <w:sz w:val="20"/>
        <w:szCs w:val="20"/>
      </w:rPr>
    </w:lvl>
    <w:lvl w:ilvl="2" w:tplc="677A2AAC">
      <w:numFmt w:val="bullet"/>
      <w:lvlText w:val="•"/>
      <w:lvlJc w:val="left"/>
      <w:pPr>
        <w:ind w:left="1506" w:hanging="226"/>
      </w:pPr>
      <w:rPr>
        <w:rFonts w:hint="default"/>
      </w:rPr>
    </w:lvl>
    <w:lvl w:ilvl="3" w:tplc="6024CF30">
      <w:numFmt w:val="bullet"/>
      <w:lvlText w:val="•"/>
      <w:lvlJc w:val="left"/>
      <w:pPr>
        <w:ind w:left="2453" w:hanging="226"/>
      </w:pPr>
      <w:rPr>
        <w:rFonts w:hint="default"/>
      </w:rPr>
    </w:lvl>
    <w:lvl w:ilvl="4" w:tplc="E3446BA8">
      <w:numFmt w:val="bullet"/>
      <w:lvlText w:val="•"/>
      <w:lvlJc w:val="left"/>
      <w:pPr>
        <w:ind w:left="3400" w:hanging="226"/>
      </w:pPr>
      <w:rPr>
        <w:rFonts w:hint="default"/>
      </w:rPr>
    </w:lvl>
    <w:lvl w:ilvl="5" w:tplc="A2841546">
      <w:numFmt w:val="bullet"/>
      <w:lvlText w:val="•"/>
      <w:lvlJc w:val="left"/>
      <w:pPr>
        <w:ind w:left="4346" w:hanging="226"/>
      </w:pPr>
      <w:rPr>
        <w:rFonts w:hint="default"/>
      </w:rPr>
    </w:lvl>
    <w:lvl w:ilvl="6" w:tplc="71CAF634">
      <w:numFmt w:val="bullet"/>
      <w:lvlText w:val="•"/>
      <w:lvlJc w:val="left"/>
      <w:pPr>
        <w:ind w:left="5293" w:hanging="226"/>
      </w:pPr>
      <w:rPr>
        <w:rFonts w:hint="default"/>
      </w:rPr>
    </w:lvl>
    <w:lvl w:ilvl="7" w:tplc="E8780140">
      <w:numFmt w:val="bullet"/>
      <w:lvlText w:val="•"/>
      <w:lvlJc w:val="left"/>
      <w:pPr>
        <w:ind w:left="6240" w:hanging="226"/>
      </w:pPr>
      <w:rPr>
        <w:rFonts w:hint="default"/>
      </w:rPr>
    </w:lvl>
    <w:lvl w:ilvl="8" w:tplc="4EBAA90C">
      <w:numFmt w:val="bullet"/>
      <w:lvlText w:val="•"/>
      <w:lvlJc w:val="left"/>
      <w:pPr>
        <w:ind w:left="7186" w:hanging="226"/>
      </w:pPr>
      <w:rPr>
        <w:rFonts w:hint="default"/>
      </w:rPr>
    </w:lvl>
  </w:abstractNum>
  <w:abstractNum w:abstractNumId="9" w15:restartNumberingAfterBreak="0">
    <w:nsid w:val="57FF0C2A"/>
    <w:multiLevelType w:val="hybridMultilevel"/>
    <w:tmpl w:val="C3F64034"/>
    <w:lvl w:ilvl="0" w:tplc="890AAE18">
      <w:start w:val="272"/>
      <w:numFmt w:val="decimal"/>
      <w:lvlText w:val="%1."/>
      <w:lvlJc w:val="left"/>
      <w:pPr>
        <w:ind w:left="829" w:hanging="418"/>
        <w:jc w:val="left"/>
      </w:pPr>
      <w:rPr>
        <w:rFonts w:ascii="Verdana" w:eastAsia="Verdana" w:hAnsi="Verdana" w:cs="Verdana" w:hint="default"/>
        <w:spacing w:val="-2"/>
        <w:w w:val="100"/>
        <w:sz w:val="16"/>
        <w:szCs w:val="16"/>
      </w:rPr>
    </w:lvl>
    <w:lvl w:ilvl="1" w:tplc="3ACC36AE">
      <w:numFmt w:val="bullet"/>
      <w:lvlText w:val="•"/>
      <w:lvlJc w:val="left"/>
      <w:pPr>
        <w:ind w:left="1646" w:hanging="418"/>
      </w:pPr>
      <w:rPr>
        <w:rFonts w:hint="default"/>
      </w:rPr>
    </w:lvl>
    <w:lvl w:ilvl="2" w:tplc="21506424">
      <w:numFmt w:val="bullet"/>
      <w:lvlText w:val="•"/>
      <w:lvlJc w:val="left"/>
      <w:pPr>
        <w:ind w:left="2472" w:hanging="418"/>
      </w:pPr>
      <w:rPr>
        <w:rFonts w:hint="default"/>
      </w:rPr>
    </w:lvl>
    <w:lvl w:ilvl="3" w:tplc="17CA088A">
      <w:numFmt w:val="bullet"/>
      <w:lvlText w:val="•"/>
      <w:lvlJc w:val="left"/>
      <w:pPr>
        <w:ind w:left="3298" w:hanging="418"/>
      </w:pPr>
      <w:rPr>
        <w:rFonts w:hint="default"/>
      </w:rPr>
    </w:lvl>
    <w:lvl w:ilvl="4" w:tplc="EA02E408">
      <w:numFmt w:val="bullet"/>
      <w:lvlText w:val="•"/>
      <w:lvlJc w:val="left"/>
      <w:pPr>
        <w:ind w:left="4124" w:hanging="418"/>
      </w:pPr>
      <w:rPr>
        <w:rFonts w:hint="default"/>
      </w:rPr>
    </w:lvl>
    <w:lvl w:ilvl="5" w:tplc="8FB48438">
      <w:numFmt w:val="bullet"/>
      <w:lvlText w:val="•"/>
      <w:lvlJc w:val="left"/>
      <w:pPr>
        <w:ind w:left="4950" w:hanging="418"/>
      </w:pPr>
      <w:rPr>
        <w:rFonts w:hint="default"/>
      </w:rPr>
    </w:lvl>
    <w:lvl w:ilvl="6" w:tplc="C84EF4E8">
      <w:numFmt w:val="bullet"/>
      <w:lvlText w:val="•"/>
      <w:lvlJc w:val="left"/>
      <w:pPr>
        <w:ind w:left="5776" w:hanging="418"/>
      </w:pPr>
      <w:rPr>
        <w:rFonts w:hint="default"/>
      </w:rPr>
    </w:lvl>
    <w:lvl w:ilvl="7" w:tplc="21AC337E">
      <w:numFmt w:val="bullet"/>
      <w:lvlText w:val="•"/>
      <w:lvlJc w:val="left"/>
      <w:pPr>
        <w:ind w:left="6602" w:hanging="418"/>
      </w:pPr>
      <w:rPr>
        <w:rFonts w:hint="default"/>
      </w:rPr>
    </w:lvl>
    <w:lvl w:ilvl="8" w:tplc="DED88EB0">
      <w:numFmt w:val="bullet"/>
      <w:lvlText w:val="•"/>
      <w:lvlJc w:val="left"/>
      <w:pPr>
        <w:ind w:left="7428" w:hanging="418"/>
      </w:pPr>
      <w:rPr>
        <w:rFonts w:hint="default"/>
      </w:rPr>
    </w:lvl>
  </w:abstractNum>
  <w:abstractNum w:abstractNumId="10" w15:restartNumberingAfterBreak="0">
    <w:nsid w:val="58DB0382"/>
    <w:multiLevelType w:val="hybridMultilevel"/>
    <w:tmpl w:val="69649A3E"/>
    <w:lvl w:ilvl="0" w:tplc="D7DCC592">
      <w:start w:val="1"/>
      <w:numFmt w:val="decimal"/>
      <w:lvlText w:val="%1."/>
      <w:lvlJc w:val="left"/>
      <w:pPr>
        <w:ind w:left="1047" w:hanging="219"/>
        <w:jc w:val="left"/>
      </w:pPr>
      <w:rPr>
        <w:rFonts w:ascii="Verdana" w:eastAsia="Verdana" w:hAnsi="Verdana" w:cs="Verdana" w:hint="default"/>
        <w:spacing w:val="0"/>
        <w:w w:val="100"/>
        <w:sz w:val="16"/>
        <w:szCs w:val="16"/>
      </w:rPr>
    </w:lvl>
    <w:lvl w:ilvl="1" w:tplc="F3FCCDC4">
      <w:numFmt w:val="bullet"/>
      <w:lvlText w:val="•"/>
      <w:lvlJc w:val="left"/>
      <w:pPr>
        <w:ind w:left="1844" w:hanging="219"/>
      </w:pPr>
      <w:rPr>
        <w:rFonts w:hint="default"/>
      </w:rPr>
    </w:lvl>
    <w:lvl w:ilvl="2" w:tplc="92B22E74">
      <w:numFmt w:val="bullet"/>
      <w:lvlText w:val="•"/>
      <w:lvlJc w:val="left"/>
      <w:pPr>
        <w:ind w:left="2648" w:hanging="219"/>
      </w:pPr>
      <w:rPr>
        <w:rFonts w:hint="default"/>
      </w:rPr>
    </w:lvl>
    <w:lvl w:ilvl="3" w:tplc="6E58C368">
      <w:numFmt w:val="bullet"/>
      <w:lvlText w:val="•"/>
      <w:lvlJc w:val="left"/>
      <w:pPr>
        <w:ind w:left="3452" w:hanging="219"/>
      </w:pPr>
      <w:rPr>
        <w:rFonts w:hint="default"/>
      </w:rPr>
    </w:lvl>
    <w:lvl w:ilvl="4" w:tplc="E9B8ECD8">
      <w:numFmt w:val="bullet"/>
      <w:lvlText w:val="•"/>
      <w:lvlJc w:val="left"/>
      <w:pPr>
        <w:ind w:left="4256" w:hanging="219"/>
      </w:pPr>
      <w:rPr>
        <w:rFonts w:hint="default"/>
      </w:rPr>
    </w:lvl>
    <w:lvl w:ilvl="5" w:tplc="CFCEBDA2">
      <w:numFmt w:val="bullet"/>
      <w:lvlText w:val="•"/>
      <w:lvlJc w:val="left"/>
      <w:pPr>
        <w:ind w:left="5060" w:hanging="219"/>
      </w:pPr>
      <w:rPr>
        <w:rFonts w:hint="default"/>
      </w:rPr>
    </w:lvl>
    <w:lvl w:ilvl="6" w:tplc="91CAA0BC">
      <w:numFmt w:val="bullet"/>
      <w:lvlText w:val="•"/>
      <w:lvlJc w:val="left"/>
      <w:pPr>
        <w:ind w:left="5864" w:hanging="219"/>
      </w:pPr>
      <w:rPr>
        <w:rFonts w:hint="default"/>
      </w:rPr>
    </w:lvl>
    <w:lvl w:ilvl="7" w:tplc="D8444B12">
      <w:numFmt w:val="bullet"/>
      <w:lvlText w:val="•"/>
      <w:lvlJc w:val="left"/>
      <w:pPr>
        <w:ind w:left="6668" w:hanging="219"/>
      </w:pPr>
      <w:rPr>
        <w:rFonts w:hint="default"/>
      </w:rPr>
    </w:lvl>
    <w:lvl w:ilvl="8" w:tplc="5892427C">
      <w:numFmt w:val="bullet"/>
      <w:lvlText w:val="•"/>
      <w:lvlJc w:val="left"/>
      <w:pPr>
        <w:ind w:left="7472" w:hanging="219"/>
      </w:pPr>
      <w:rPr>
        <w:rFonts w:hint="default"/>
      </w:rPr>
    </w:lvl>
  </w:abstractNum>
  <w:abstractNum w:abstractNumId="11" w15:restartNumberingAfterBreak="0">
    <w:nsid w:val="5CFB5010"/>
    <w:multiLevelType w:val="hybridMultilevel"/>
    <w:tmpl w:val="67A6A790"/>
    <w:lvl w:ilvl="0" w:tplc="DCB23A6C">
      <w:start w:val="1"/>
      <w:numFmt w:val="upperLetter"/>
      <w:lvlText w:val="%1."/>
      <w:lvlJc w:val="left"/>
      <w:pPr>
        <w:ind w:left="829" w:hanging="348"/>
        <w:jc w:val="left"/>
      </w:pPr>
      <w:rPr>
        <w:rFonts w:ascii="Verdana" w:eastAsia="Verdana" w:hAnsi="Verdana" w:cs="Verdana" w:hint="default"/>
        <w:b/>
        <w:bCs/>
        <w:spacing w:val="-2"/>
        <w:w w:val="99"/>
        <w:sz w:val="20"/>
        <w:szCs w:val="20"/>
      </w:rPr>
    </w:lvl>
    <w:lvl w:ilvl="1" w:tplc="A0380F16">
      <w:numFmt w:val="bullet"/>
      <w:lvlText w:val="•"/>
      <w:lvlJc w:val="left"/>
      <w:pPr>
        <w:ind w:left="1646" w:hanging="348"/>
      </w:pPr>
      <w:rPr>
        <w:rFonts w:hint="default"/>
      </w:rPr>
    </w:lvl>
    <w:lvl w:ilvl="2" w:tplc="FADEA6DC">
      <w:numFmt w:val="bullet"/>
      <w:lvlText w:val="•"/>
      <w:lvlJc w:val="left"/>
      <w:pPr>
        <w:ind w:left="2472" w:hanging="348"/>
      </w:pPr>
      <w:rPr>
        <w:rFonts w:hint="default"/>
      </w:rPr>
    </w:lvl>
    <w:lvl w:ilvl="3" w:tplc="E1AE7ED4">
      <w:numFmt w:val="bullet"/>
      <w:lvlText w:val="•"/>
      <w:lvlJc w:val="left"/>
      <w:pPr>
        <w:ind w:left="3298" w:hanging="348"/>
      </w:pPr>
      <w:rPr>
        <w:rFonts w:hint="default"/>
      </w:rPr>
    </w:lvl>
    <w:lvl w:ilvl="4" w:tplc="2110DC22">
      <w:numFmt w:val="bullet"/>
      <w:lvlText w:val="•"/>
      <w:lvlJc w:val="left"/>
      <w:pPr>
        <w:ind w:left="4124" w:hanging="348"/>
      </w:pPr>
      <w:rPr>
        <w:rFonts w:hint="default"/>
      </w:rPr>
    </w:lvl>
    <w:lvl w:ilvl="5" w:tplc="B932566E">
      <w:numFmt w:val="bullet"/>
      <w:lvlText w:val="•"/>
      <w:lvlJc w:val="left"/>
      <w:pPr>
        <w:ind w:left="4950" w:hanging="348"/>
      </w:pPr>
      <w:rPr>
        <w:rFonts w:hint="default"/>
      </w:rPr>
    </w:lvl>
    <w:lvl w:ilvl="6" w:tplc="1CF8DA72">
      <w:numFmt w:val="bullet"/>
      <w:lvlText w:val="•"/>
      <w:lvlJc w:val="left"/>
      <w:pPr>
        <w:ind w:left="5776" w:hanging="348"/>
      </w:pPr>
      <w:rPr>
        <w:rFonts w:hint="default"/>
      </w:rPr>
    </w:lvl>
    <w:lvl w:ilvl="7" w:tplc="DA103E0E">
      <w:numFmt w:val="bullet"/>
      <w:lvlText w:val="•"/>
      <w:lvlJc w:val="left"/>
      <w:pPr>
        <w:ind w:left="6602" w:hanging="348"/>
      </w:pPr>
      <w:rPr>
        <w:rFonts w:hint="default"/>
      </w:rPr>
    </w:lvl>
    <w:lvl w:ilvl="8" w:tplc="27AC668E">
      <w:numFmt w:val="bullet"/>
      <w:lvlText w:val="•"/>
      <w:lvlJc w:val="left"/>
      <w:pPr>
        <w:ind w:left="7428" w:hanging="348"/>
      </w:pPr>
      <w:rPr>
        <w:rFonts w:hint="default"/>
      </w:rPr>
    </w:lvl>
  </w:abstractNum>
  <w:abstractNum w:abstractNumId="12" w15:restartNumberingAfterBreak="0">
    <w:nsid w:val="5E4E1C28"/>
    <w:multiLevelType w:val="hybridMultilevel"/>
    <w:tmpl w:val="C526D99E"/>
    <w:lvl w:ilvl="0" w:tplc="0CE4CF98">
      <w:start w:val="1"/>
      <w:numFmt w:val="upperLetter"/>
      <w:lvlText w:val="%1."/>
      <w:lvlJc w:val="left"/>
      <w:pPr>
        <w:ind w:left="829" w:hanging="348"/>
        <w:jc w:val="left"/>
      </w:pPr>
      <w:rPr>
        <w:rFonts w:ascii="Verdana" w:eastAsia="Verdana" w:hAnsi="Verdana" w:cs="Verdana" w:hint="default"/>
        <w:b/>
        <w:bCs/>
        <w:spacing w:val="-2"/>
        <w:w w:val="99"/>
        <w:sz w:val="20"/>
        <w:szCs w:val="20"/>
      </w:rPr>
    </w:lvl>
    <w:lvl w:ilvl="1" w:tplc="B5F05DD8">
      <w:start w:val="1"/>
      <w:numFmt w:val="decimal"/>
      <w:lvlText w:val="%1.%2"/>
      <w:lvlJc w:val="left"/>
      <w:pPr>
        <w:ind w:left="829" w:hanging="440"/>
        <w:jc w:val="left"/>
      </w:pPr>
      <w:rPr>
        <w:rFonts w:ascii="Verdana" w:eastAsia="Verdana" w:hAnsi="Verdana" w:cs="Verdana" w:hint="default"/>
        <w:b/>
        <w:bCs/>
        <w:i/>
        <w:spacing w:val="-1"/>
        <w:w w:val="99"/>
        <w:sz w:val="20"/>
        <w:szCs w:val="20"/>
      </w:rPr>
    </w:lvl>
    <w:lvl w:ilvl="2" w:tplc="BFCC717C">
      <w:numFmt w:val="bullet"/>
      <w:lvlText w:val="•"/>
      <w:lvlJc w:val="left"/>
      <w:pPr>
        <w:ind w:left="2472" w:hanging="440"/>
      </w:pPr>
      <w:rPr>
        <w:rFonts w:hint="default"/>
      </w:rPr>
    </w:lvl>
    <w:lvl w:ilvl="3" w:tplc="0F384A84">
      <w:numFmt w:val="bullet"/>
      <w:lvlText w:val="•"/>
      <w:lvlJc w:val="left"/>
      <w:pPr>
        <w:ind w:left="3298" w:hanging="440"/>
      </w:pPr>
      <w:rPr>
        <w:rFonts w:hint="default"/>
      </w:rPr>
    </w:lvl>
    <w:lvl w:ilvl="4" w:tplc="325ECEE8">
      <w:numFmt w:val="bullet"/>
      <w:lvlText w:val="•"/>
      <w:lvlJc w:val="left"/>
      <w:pPr>
        <w:ind w:left="4124" w:hanging="440"/>
      </w:pPr>
      <w:rPr>
        <w:rFonts w:hint="default"/>
      </w:rPr>
    </w:lvl>
    <w:lvl w:ilvl="5" w:tplc="4F7C9D80">
      <w:numFmt w:val="bullet"/>
      <w:lvlText w:val="•"/>
      <w:lvlJc w:val="left"/>
      <w:pPr>
        <w:ind w:left="4950" w:hanging="440"/>
      </w:pPr>
      <w:rPr>
        <w:rFonts w:hint="default"/>
      </w:rPr>
    </w:lvl>
    <w:lvl w:ilvl="6" w:tplc="E5A22086">
      <w:numFmt w:val="bullet"/>
      <w:lvlText w:val="•"/>
      <w:lvlJc w:val="left"/>
      <w:pPr>
        <w:ind w:left="5776" w:hanging="440"/>
      </w:pPr>
      <w:rPr>
        <w:rFonts w:hint="default"/>
      </w:rPr>
    </w:lvl>
    <w:lvl w:ilvl="7" w:tplc="0EB81EE0">
      <w:numFmt w:val="bullet"/>
      <w:lvlText w:val="•"/>
      <w:lvlJc w:val="left"/>
      <w:pPr>
        <w:ind w:left="6602" w:hanging="440"/>
      </w:pPr>
      <w:rPr>
        <w:rFonts w:hint="default"/>
      </w:rPr>
    </w:lvl>
    <w:lvl w:ilvl="8" w:tplc="EE640518">
      <w:numFmt w:val="bullet"/>
      <w:lvlText w:val="•"/>
      <w:lvlJc w:val="left"/>
      <w:pPr>
        <w:ind w:left="7428" w:hanging="440"/>
      </w:pPr>
      <w:rPr>
        <w:rFonts w:hint="default"/>
      </w:rPr>
    </w:lvl>
  </w:abstractNum>
  <w:abstractNum w:abstractNumId="13" w15:restartNumberingAfterBreak="0">
    <w:nsid w:val="63992474"/>
    <w:multiLevelType w:val="hybridMultilevel"/>
    <w:tmpl w:val="6922B998"/>
    <w:lvl w:ilvl="0" w:tplc="B288BD9A">
      <w:start w:val="1"/>
      <w:numFmt w:val="decimal"/>
      <w:lvlText w:val="%1."/>
      <w:lvlJc w:val="left"/>
      <w:pPr>
        <w:ind w:left="121" w:hanging="567"/>
        <w:jc w:val="left"/>
      </w:pPr>
      <w:rPr>
        <w:rFonts w:ascii="Verdana" w:eastAsia="Verdana" w:hAnsi="Verdana" w:cs="Verdana" w:hint="default"/>
        <w:w w:val="99"/>
        <w:sz w:val="20"/>
        <w:szCs w:val="20"/>
      </w:rPr>
    </w:lvl>
    <w:lvl w:ilvl="1" w:tplc="670CB3F0">
      <w:numFmt w:val="bullet"/>
      <w:lvlText w:val="•"/>
      <w:lvlJc w:val="left"/>
      <w:pPr>
        <w:ind w:left="1016" w:hanging="567"/>
      </w:pPr>
      <w:rPr>
        <w:rFonts w:hint="default"/>
      </w:rPr>
    </w:lvl>
    <w:lvl w:ilvl="2" w:tplc="9044EDA6">
      <w:numFmt w:val="bullet"/>
      <w:lvlText w:val="•"/>
      <w:lvlJc w:val="left"/>
      <w:pPr>
        <w:ind w:left="1912" w:hanging="567"/>
      </w:pPr>
      <w:rPr>
        <w:rFonts w:hint="default"/>
      </w:rPr>
    </w:lvl>
    <w:lvl w:ilvl="3" w:tplc="B498C190">
      <w:numFmt w:val="bullet"/>
      <w:lvlText w:val="•"/>
      <w:lvlJc w:val="left"/>
      <w:pPr>
        <w:ind w:left="2808" w:hanging="567"/>
      </w:pPr>
      <w:rPr>
        <w:rFonts w:hint="default"/>
      </w:rPr>
    </w:lvl>
    <w:lvl w:ilvl="4" w:tplc="2EC20F94">
      <w:numFmt w:val="bullet"/>
      <w:lvlText w:val="•"/>
      <w:lvlJc w:val="left"/>
      <w:pPr>
        <w:ind w:left="3704" w:hanging="567"/>
      </w:pPr>
      <w:rPr>
        <w:rFonts w:hint="default"/>
      </w:rPr>
    </w:lvl>
    <w:lvl w:ilvl="5" w:tplc="157A676C">
      <w:numFmt w:val="bullet"/>
      <w:lvlText w:val="•"/>
      <w:lvlJc w:val="left"/>
      <w:pPr>
        <w:ind w:left="4600" w:hanging="567"/>
      </w:pPr>
      <w:rPr>
        <w:rFonts w:hint="default"/>
      </w:rPr>
    </w:lvl>
    <w:lvl w:ilvl="6" w:tplc="1C6A61A6">
      <w:numFmt w:val="bullet"/>
      <w:lvlText w:val="•"/>
      <w:lvlJc w:val="left"/>
      <w:pPr>
        <w:ind w:left="5496" w:hanging="567"/>
      </w:pPr>
      <w:rPr>
        <w:rFonts w:hint="default"/>
      </w:rPr>
    </w:lvl>
    <w:lvl w:ilvl="7" w:tplc="A7306EDE">
      <w:numFmt w:val="bullet"/>
      <w:lvlText w:val="•"/>
      <w:lvlJc w:val="left"/>
      <w:pPr>
        <w:ind w:left="6392" w:hanging="567"/>
      </w:pPr>
      <w:rPr>
        <w:rFonts w:hint="default"/>
      </w:rPr>
    </w:lvl>
    <w:lvl w:ilvl="8" w:tplc="9DC8ADAE">
      <w:numFmt w:val="bullet"/>
      <w:lvlText w:val="•"/>
      <w:lvlJc w:val="left"/>
      <w:pPr>
        <w:ind w:left="7288" w:hanging="567"/>
      </w:pPr>
      <w:rPr>
        <w:rFonts w:hint="default"/>
      </w:rPr>
    </w:lvl>
  </w:abstractNum>
  <w:abstractNum w:abstractNumId="14" w15:restartNumberingAfterBreak="0">
    <w:nsid w:val="758D03D3"/>
    <w:multiLevelType w:val="hybridMultilevel"/>
    <w:tmpl w:val="B11C2CD4"/>
    <w:lvl w:ilvl="0" w:tplc="2ABCB176">
      <w:start w:val="1"/>
      <w:numFmt w:val="upperLetter"/>
      <w:lvlText w:val="%1."/>
      <w:lvlJc w:val="left"/>
      <w:pPr>
        <w:ind w:left="602" w:hanging="481"/>
        <w:jc w:val="left"/>
      </w:pPr>
      <w:rPr>
        <w:rFonts w:ascii="Verdana" w:eastAsia="Verdana" w:hAnsi="Verdana" w:cs="Verdana" w:hint="default"/>
        <w:b/>
        <w:bCs/>
        <w:spacing w:val="-2"/>
        <w:w w:val="99"/>
        <w:sz w:val="20"/>
        <w:szCs w:val="20"/>
      </w:rPr>
    </w:lvl>
    <w:lvl w:ilvl="1" w:tplc="9EBE490A">
      <w:start w:val="1"/>
      <w:numFmt w:val="decimal"/>
      <w:lvlText w:val="%1.%2"/>
      <w:lvlJc w:val="left"/>
      <w:pPr>
        <w:ind w:left="362" w:hanging="406"/>
        <w:jc w:val="left"/>
      </w:pPr>
      <w:rPr>
        <w:rFonts w:ascii="Verdana" w:eastAsia="Verdana" w:hAnsi="Verdana" w:cs="Verdana" w:hint="default"/>
        <w:spacing w:val="-1"/>
        <w:w w:val="99"/>
        <w:sz w:val="20"/>
        <w:szCs w:val="20"/>
      </w:rPr>
    </w:lvl>
    <w:lvl w:ilvl="2" w:tplc="80B6432A">
      <w:numFmt w:val="bullet"/>
      <w:lvlText w:val="•"/>
      <w:lvlJc w:val="left"/>
      <w:pPr>
        <w:ind w:left="1542" w:hanging="406"/>
      </w:pPr>
      <w:rPr>
        <w:rFonts w:hint="default"/>
      </w:rPr>
    </w:lvl>
    <w:lvl w:ilvl="3" w:tplc="00C62092">
      <w:numFmt w:val="bullet"/>
      <w:lvlText w:val="•"/>
      <w:lvlJc w:val="left"/>
      <w:pPr>
        <w:ind w:left="2484" w:hanging="406"/>
      </w:pPr>
      <w:rPr>
        <w:rFonts w:hint="default"/>
      </w:rPr>
    </w:lvl>
    <w:lvl w:ilvl="4" w:tplc="E7A2DF32">
      <w:numFmt w:val="bullet"/>
      <w:lvlText w:val="•"/>
      <w:lvlJc w:val="left"/>
      <w:pPr>
        <w:ind w:left="3426" w:hanging="406"/>
      </w:pPr>
      <w:rPr>
        <w:rFonts w:hint="default"/>
      </w:rPr>
    </w:lvl>
    <w:lvl w:ilvl="5" w:tplc="29145B02">
      <w:numFmt w:val="bullet"/>
      <w:lvlText w:val="•"/>
      <w:lvlJc w:val="left"/>
      <w:pPr>
        <w:ind w:left="4368" w:hanging="406"/>
      </w:pPr>
      <w:rPr>
        <w:rFonts w:hint="default"/>
      </w:rPr>
    </w:lvl>
    <w:lvl w:ilvl="6" w:tplc="E6EA4D0E">
      <w:numFmt w:val="bullet"/>
      <w:lvlText w:val="•"/>
      <w:lvlJc w:val="left"/>
      <w:pPr>
        <w:ind w:left="5311" w:hanging="406"/>
      </w:pPr>
      <w:rPr>
        <w:rFonts w:hint="default"/>
      </w:rPr>
    </w:lvl>
    <w:lvl w:ilvl="7" w:tplc="6C988CCA">
      <w:numFmt w:val="bullet"/>
      <w:lvlText w:val="•"/>
      <w:lvlJc w:val="left"/>
      <w:pPr>
        <w:ind w:left="6253" w:hanging="406"/>
      </w:pPr>
      <w:rPr>
        <w:rFonts w:hint="default"/>
      </w:rPr>
    </w:lvl>
    <w:lvl w:ilvl="8" w:tplc="854884EE">
      <w:numFmt w:val="bullet"/>
      <w:lvlText w:val="•"/>
      <w:lvlJc w:val="left"/>
      <w:pPr>
        <w:ind w:left="7195" w:hanging="406"/>
      </w:pPr>
      <w:rPr>
        <w:rFonts w:hint="default"/>
      </w:rPr>
    </w:lvl>
  </w:abstractNum>
  <w:abstractNum w:abstractNumId="15" w15:restartNumberingAfterBreak="0">
    <w:nsid w:val="7800582E"/>
    <w:multiLevelType w:val="hybridMultilevel"/>
    <w:tmpl w:val="26305F92"/>
    <w:lvl w:ilvl="0" w:tplc="F0ACADF4">
      <w:start w:val="1"/>
      <w:numFmt w:val="upperLetter"/>
      <w:lvlText w:val="%1."/>
      <w:lvlJc w:val="left"/>
      <w:pPr>
        <w:ind w:left="603" w:hanging="481"/>
        <w:jc w:val="left"/>
      </w:pPr>
      <w:rPr>
        <w:rFonts w:ascii="Verdana" w:eastAsia="Verdana" w:hAnsi="Verdana" w:cs="Verdana" w:hint="default"/>
        <w:b/>
        <w:bCs/>
        <w:spacing w:val="-2"/>
        <w:w w:val="99"/>
        <w:sz w:val="20"/>
        <w:szCs w:val="20"/>
      </w:rPr>
    </w:lvl>
    <w:lvl w:ilvl="1" w:tplc="18D639FC">
      <w:numFmt w:val="bullet"/>
      <w:lvlText w:val="•"/>
      <w:lvlJc w:val="left"/>
      <w:pPr>
        <w:ind w:left="1448" w:hanging="481"/>
      </w:pPr>
      <w:rPr>
        <w:rFonts w:hint="default"/>
      </w:rPr>
    </w:lvl>
    <w:lvl w:ilvl="2" w:tplc="F1F6094C">
      <w:numFmt w:val="bullet"/>
      <w:lvlText w:val="•"/>
      <w:lvlJc w:val="left"/>
      <w:pPr>
        <w:ind w:left="2296" w:hanging="481"/>
      </w:pPr>
      <w:rPr>
        <w:rFonts w:hint="default"/>
      </w:rPr>
    </w:lvl>
    <w:lvl w:ilvl="3" w:tplc="F7F2A93C">
      <w:numFmt w:val="bullet"/>
      <w:lvlText w:val="•"/>
      <w:lvlJc w:val="left"/>
      <w:pPr>
        <w:ind w:left="3144" w:hanging="481"/>
      </w:pPr>
      <w:rPr>
        <w:rFonts w:hint="default"/>
      </w:rPr>
    </w:lvl>
    <w:lvl w:ilvl="4" w:tplc="E82ED99C">
      <w:numFmt w:val="bullet"/>
      <w:lvlText w:val="•"/>
      <w:lvlJc w:val="left"/>
      <w:pPr>
        <w:ind w:left="3992" w:hanging="481"/>
      </w:pPr>
      <w:rPr>
        <w:rFonts w:hint="default"/>
      </w:rPr>
    </w:lvl>
    <w:lvl w:ilvl="5" w:tplc="BB8C8FE4">
      <w:numFmt w:val="bullet"/>
      <w:lvlText w:val="•"/>
      <w:lvlJc w:val="left"/>
      <w:pPr>
        <w:ind w:left="4840" w:hanging="481"/>
      </w:pPr>
      <w:rPr>
        <w:rFonts w:hint="default"/>
      </w:rPr>
    </w:lvl>
    <w:lvl w:ilvl="6" w:tplc="9D58C57A">
      <w:numFmt w:val="bullet"/>
      <w:lvlText w:val="•"/>
      <w:lvlJc w:val="left"/>
      <w:pPr>
        <w:ind w:left="5688" w:hanging="481"/>
      </w:pPr>
      <w:rPr>
        <w:rFonts w:hint="default"/>
      </w:rPr>
    </w:lvl>
    <w:lvl w:ilvl="7" w:tplc="8B66298E">
      <w:numFmt w:val="bullet"/>
      <w:lvlText w:val="•"/>
      <w:lvlJc w:val="left"/>
      <w:pPr>
        <w:ind w:left="6536" w:hanging="481"/>
      </w:pPr>
      <w:rPr>
        <w:rFonts w:hint="default"/>
      </w:rPr>
    </w:lvl>
    <w:lvl w:ilvl="8" w:tplc="97C297CC">
      <w:numFmt w:val="bullet"/>
      <w:lvlText w:val="•"/>
      <w:lvlJc w:val="left"/>
      <w:pPr>
        <w:ind w:left="7384" w:hanging="481"/>
      </w:pPr>
      <w:rPr>
        <w:rFonts w:hint="default"/>
      </w:rPr>
    </w:lvl>
  </w:abstractNum>
  <w:abstractNum w:abstractNumId="16" w15:restartNumberingAfterBreak="0">
    <w:nsid w:val="7C9F3A11"/>
    <w:multiLevelType w:val="hybridMultilevel"/>
    <w:tmpl w:val="B0624CCE"/>
    <w:lvl w:ilvl="0" w:tplc="D4E4BBA6">
      <w:start w:val="1"/>
      <w:numFmt w:val="upperLetter"/>
      <w:lvlText w:val="%1."/>
      <w:lvlJc w:val="left"/>
      <w:pPr>
        <w:ind w:left="829" w:hanging="348"/>
        <w:jc w:val="left"/>
      </w:pPr>
      <w:rPr>
        <w:rFonts w:ascii="Verdana" w:eastAsia="Verdana" w:hAnsi="Verdana" w:cs="Verdana" w:hint="default"/>
        <w:b/>
        <w:bCs/>
        <w:spacing w:val="-2"/>
        <w:w w:val="99"/>
        <w:sz w:val="20"/>
        <w:szCs w:val="20"/>
      </w:rPr>
    </w:lvl>
    <w:lvl w:ilvl="1" w:tplc="490A5AD4">
      <w:numFmt w:val="bullet"/>
      <w:lvlText w:val="•"/>
      <w:lvlJc w:val="left"/>
      <w:pPr>
        <w:ind w:left="1646" w:hanging="348"/>
      </w:pPr>
      <w:rPr>
        <w:rFonts w:hint="default"/>
      </w:rPr>
    </w:lvl>
    <w:lvl w:ilvl="2" w:tplc="F5F2D7E4">
      <w:numFmt w:val="bullet"/>
      <w:lvlText w:val="•"/>
      <w:lvlJc w:val="left"/>
      <w:pPr>
        <w:ind w:left="2472" w:hanging="348"/>
      </w:pPr>
      <w:rPr>
        <w:rFonts w:hint="default"/>
      </w:rPr>
    </w:lvl>
    <w:lvl w:ilvl="3" w:tplc="F276508C">
      <w:numFmt w:val="bullet"/>
      <w:lvlText w:val="•"/>
      <w:lvlJc w:val="left"/>
      <w:pPr>
        <w:ind w:left="3298" w:hanging="348"/>
      </w:pPr>
      <w:rPr>
        <w:rFonts w:hint="default"/>
      </w:rPr>
    </w:lvl>
    <w:lvl w:ilvl="4" w:tplc="5F70AD74">
      <w:numFmt w:val="bullet"/>
      <w:lvlText w:val="•"/>
      <w:lvlJc w:val="left"/>
      <w:pPr>
        <w:ind w:left="4124" w:hanging="348"/>
      </w:pPr>
      <w:rPr>
        <w:rFonts w:hint="default"/>
      </w:rPr>
    </w:lvl>
    <w:lvl w:ilvl="5" w:tplc="BFB4FCBC">
      <w:numFmt w:val="bullet"/>
      <w:lvlText w:val="•"/>
      <w:lvlJc w:val="left"/>
      <w:pPr>
        <w:ind w:left="4950" w:hanging="348"/>
      </w:pPr>
      <w:rPr>
        <w:rFonts w:hint="default"/>
      </w:rPr>
    </w:lvl>
    <w:lvl w:ilvl="6" w:tplc="52469E94">
      <w:numFmt w:val="bullet"/>
      <w:lvlText w:val="•"/>
      <w:lvlJc w:val="left"/>
      <w:pPr>
        <w:ind w:left="5776" w:hanging="348"/>
      </w:pPr>
      <w:rPr>
        <w:rFonts w:hint="default"/>
      </w:rPr>
    </w:lvl>
    <w:lvl w:ilvl="7" w:tplc="0310F558">
      <w:numFmt w:val="bullet"/>
      <w:lvlText w:val="•"/>
      <w:lvlJc w:val="left"/>
      <w:pPr>
        <w:ind w:left="6602" w:hanging="348"/>
      </w:pPr>
      <w:rPr>
        <w:rFonts w:hint="default"/>
      </w:rPr>
    </w:lvl>
    <w:lvl w:ilvl="8" w:tplc="C58E895E">
      <w:numFmt w:val="bullet"/>
      <w:lvlText w:val="•"/>
      <w:lvlJc w:val="left"/>
      <w:pPr>
        <w:ind w:left="7428" w:hanging="348"/>
      </w:pPr>
      <w:rPr>
        <w:rFonts w:hint="default"/>
      </w:rPr>
    </w:lvl>
  </w:abstractNum>
  <w:abstractNum w:abstractNumId="17" w15:restartNumberingAfterBreak="0">
    <w:nsid w:val="7D3F2E70"/>
    <w:multiLevelType w:val="hybridMultilevel"/>
    <w:tmpl w:val="742E8C06"/>
    <w:lvl w:ilvl="0" w:tplc="530204C0">
      <w:start w:val="1"/>
      <w:numFmt w:val="upperRoman"/>
      <w:lvlText w:val="%1"/>
      <w:lvlJc w:val="left"/>
      <w:pPr>
        <w:ind w:left="296" w:hanging="176"/>
        <w:jc w:val="left"/>
      </w:pPr>
      <w:rPr>
        <w:rFonts w:ascii="Verdana" w:eastAsia="Verdana" w:hAnsi="Verdana" w:cs="Verdana" w:hint="default"/>
        <w:b/>
        <w:bCs/>
        <w:w w:val="99"/>
        <w:sz w:val="20"/>
        <w:szCs w:val="20"/>
      </w:rPr>
    </w:lvl>
    <w:lvl w:ilvl="1" w:tplc="89760C08">
      <w:start w:val="1"/>
      <w:numFmt w:val="decimal"/>
      <w:lvlText w:val="%1-%2"/>
      <w:lvlJc w:val="left"/>
      <w:pPr>
        <w:ind w:left="122" w:hanging="677"/>
        <w:jc w:val="left"/>
      </w:pPr>
      <w:rPr>
        <w:rFonts w:ascii="Verdana" w:eastAsia="Verdana" w:hAnsi="Verdana" w:cs="Verdana" w:hint="default"/>
        <w:b/>
        <w:bCs/>
        <w:spacing w:val="-1"/>
        <w:w w:val="99"/>
        <w:sz w:val="20"/>
        <w:szCs w:val="20"/>
      </w:rPr>
    </w:lvl>
    <w:lvl w:ilvl="2" w:tplc="CC3C9A74">
      <w:numFmt w:val="bullet"/>
      <w:lvlText w:val="•"/>
      <w:lvlJc w:val="left"/>
      <w:pPr>
        <w:ind w:left="1275" w:hanging="677"/>
      </w:pPr>
      <w:rPr>
        <w:rFonts w:hint="default"/>
      </w:rPr>
    </w:lvl>
    <w:lvl w:ilvl="3" w:tplc="EB48BFA6">
      <w:numFmt w:val="bullet"/>
      <w:lvlText w:val="•"/>
      <w:lvlJc w:val="left"/>
      <w:pPr>
        <w:ind w:left="2251" w:hanging="677"/>
      </w:pPr>
      <w:rPr>
        <w:rFonts w:hint="default"/>
      </w:rPr>
    </w:lvl>
    <w:lvl w:ilvl="4" w:tplc="EB106C28">
      <w:numFmt w:val="bullet"/>
      <w:lvlText w:val="•"/>
      <w:lvlJc w:val="left"/>
      <w:pPr>
        <w:ind w:left="3226" w:hanging="677"/>
      </w:pPr>
      <w:rPr>
        <w:rFonts w:hint="default"/>
      </w:rPr>
    </w:lvl>
    <w:lvl w:ilvl="5" w:tplc="99B67200">
      <w:numFmt w:val="bullet"/>
      <w:lvlText w:val="•"/>
      <w:lvlJc w:val="left"/>
      <w:pPr>
        <w:ind w:left="4202" w:hanging="677"/>
      </w:pPr>
      <w:rPr>
        <w:rFonts w:hint="default"/>
      </w:rPr>
    </w:lvl>
    <w:lvl w:ilvl="6" w:tplc="F87EAC1A">
      <w:numFmt w:val="bullet"/>
      <w:lvlText w:val="•"/>
      <w:lvlJc w:val="left"/>
      <w:pPr>
        <w:ind w:left="5177" w:hanging="677"/>
      </w:pPr>
      <w:rPr>
        <w:rFonts w:hint="default"/>
      </w:rPr>
    </w:lvl>
    <w:lvl w:ilvl="7" w:tplc="16AE99E2">
      <w:numFmt w:val="bullet"/>
      <w:lvlText w:val="•"/>
      <w:lvlJc w:val="left"/>
      <w:pPr>
        <w:ind w:left="6153" w:hanging="677"/>
      </w:pPr>
      <w:rPr>
        <w:rFonts w:hint="default"/>
      </w:rPr>
    </w:lvl>
    <w:lvl w:ilvl="8" w:tplc="002AB9E6">
      <w:numFmt w:val="bullet"/>
      <w:lvlText w:val="•"/>
      <w:lvlJc w:val="left"/>
      <w:pPr>
        <w:ind w:left="7128" w:hanging="677"/>
      </w:pPr>
      <w:rPr>
        <w:rFonts w:hint="default"/>
      </w:rPr>
    </w:lvl>
  </w:abstractNum>
  <w:num w:numId="1">
    <w:abstractNumId w:val="2"/>
  </w:num>
  <w:num w:numId="2">
    <w:abstractNumId w:val="9"/>
  </w:num>
  <w:num w:numId="3">
    <w:abstractNumId w:val="8"/>
  </w:num>
  <w:num w:numId="4">
    <w:abstractNumId w:val="13"/>
  </w:num>
  <w:num w:numId="5">
    <w:abstractNumId w:val="6"/>
  </w:num>
  <w:num w:numId="6">
    <w:abstractNumId w:val="11"/>
  </w:num>
  <w:num w:numId="7">
    <w:abstractNumId w:val="12"/>
  </w:num>
  <w:num w:numId="8">
    <w:abstractNumId w:val="10"/>
  </w:num>
  <w:num w:numId="9">
    <w:abstractNumId w:val="1"/>
  </w:num>
  <w:num w:numId="10">
    <w:abstractNumId w:val="16"/>
  </w:num>
  <w:num w:numId="11">
    <w:abstractNumId w:val="3"/>
  </w:num>
  <w:num w:numId="12">
    <w:abstractNumId w:val="5"/>
  </w:num>
  <w:num w:numId="13">
    <w:abstractNumId w:val="15"/>
  </w:num>
  <w:num w:numId="14">
    <w:abstractNumId w:val="14"/>
  </w:num>
  <w:num w:numId="15">
    <w:abstractNumId w:val="4"/>
  </w:num>
  <w:num w:numId="16">
    <w:abstractNumId w:val="0"/>
  </w:num>
  <w:num w:numId="17">
    <w:abstractNumId w:val="7"/>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688"/>
    <w:rsid w:val="00492688"/>
    <w:rsid w:val="00C958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00C0"/>
  <w15:docId w15:val="{9D124D1C-E14C-4AEB-A1E6-7602DBAB1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Ttulo1">
    <w:name w:val="heading 1"/>
    <w:basedOn w:val="Normal"/>
    <w:uiPriority w:val="9"/>
    <w:qFormat/>
    <w:pPr>
      <w:ind w:left="124"/>
      <w:jc w:val="center"/>
      <w:outlineLvl w:val="0"/>
    </w:pPr>
    <w:rPr>
      <w:b/>
      <w:bCs/>
      <w:sz w:val="20"/>
      <w:szCs w:val="20"/>
    </w:rPr>
  </w:style>
  <w:style w:type="paragraph" w:styleId="Ttulo2">
    <w:name w:val="heading 2"/>
    <w:basedOn w:val="Normal"/>
    <w:uiPriority w:val="9"/>
    <w:unhideWhenUsed/>
    <w:qFormat/>
    <w:pPr>
      <w:ind w:left="829"/>
      <w:outlineLvl w:val="1"/>
    </w:pPr>
    <w:rPr>
      <w:b/>
      <w:bCs/>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36"/>
      <w:ind w:left="602" w:hanging="481"/>
    </w:pPr>
    <w:rPr>
      <w:b/>
      <w:bCs/>
      <w:sz w:val="20"/>
      <w:szCs w:val="20"/>
    </w:rPr>
  </w:style>
  <w:style w:type="paragraph" w:styleId="TDC2">
    <w:name w:val="toc 2"/>
    <w:basedOn w:val="Normal"/>
    <w:uiPriority w:val="1"/>
    <w:qFormat/>
    <w:pPr>
      <w:ind w:left="785" w:hanging="478"/>
    </w:pPr>
    <w:rPr>
      <w:sz w:val="20"/>
      <w:szCs w:val="20"/>
    </w:r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2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m.coe.int/1680747c00" TargetMode="External"/><Relationship Id="rId13" Type="http://schemas.openxmlformats.org/officeDocument/2006/relationships/hyperlink" Target="https://rm.coe.int/1680747c9c" TargetMode="External"/><Relationship Id="rId3" Type="http://schemas.openxmlformats.org/officeDocument/2006/relationships/settings" Target="settings.xml"/><Relationship Id="rId7" Type="http://schemas.openxmlformats.org/officeDocument/2006/relationships/hyperlink" Target="http://www.corteidh.or.cr/docs/asuntos/corderobernal_15_09_20.pdf" TargetMode="External"/><Relationship Id="rId12" Type="http://schemas.openxmlformats.org/officeDocument/2006/relationships/hyperlink" Target="https://undocs.org/es/A/HRC/23/43/Add.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rteidh.or.cr/docs/comunicados/cp_28_2020.pdf" TargetMode="External"/><Relationship Id="rId11" Type="http://schemas.openxmlformats.org/officeDocument/2006/relationships/hyperlink" Target="https://undocs.org/es/A/HRC/23/43/Add.1" TargetMode="External"/><Relationship Id="rId5" Type="http://schemas.openxmlformats.org/officeDocument/2006/relationships/hyperlink" Target="http://www.corteidh.or.cr/docs/comunicados/cp_18_2020.pdf" TargetMode="External"/><Relationship Id="rId15" Type="http://schemas.openxmlformats.org/officeDocument/2006/relationships/fontTable" Target="fontTable.xml"/><Relationship Id="rId10" Type="http://schemas.openxmlformats.org/officeDocument/2006/relationships/hyperlink" Target="https://undocs.org/es/A/HRC/26/32" TargetMode="External"/><Relationship Id="rId4" Type="http://schemas.openxmlformats.org/officeDocument/2006/relationships/webSettings" Target="webSettings.xml"/><Relationship Id="rId9" Type="http://schemas.openxmlformats.org/officeDocument/2006/relationships/hyperlink" Target="http://curia.europa.eu/juris/document/document" TargetMode="External"/><Relationship Id="rId14" Type="http://schemas.openxmlformats.org/officeDocument/2006/relationships/hyperlink" Target="https://www2.ohchr.org/english/bodies/hrcouncil/docs/11session/A.HRC.11.41_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27094</Words>
  <Characters>149020</Characters>
  <Application>Microsoft Office Word</Application>
  <DocSecurity>0</DocSecurity>
  <Lines>1241</Lines>
  <Paragraphs>351</Paragraphs>
  <ScaleCrop>false</ScaleCrop>
  <Company/>
  <LinksUpToDate>false</LinksUpToDate>
  <CharactersWithSpaces>175763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2021-04-16T20:53:00Z</dcterms:created>
  <dcterms:modified xsi:type="dcterms:W3CDTF">2021-04-16T20:53:00Z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2021-03-26T00:00:00Z</vt:filetime>
  </property>
  <property fmtid="{D5CDD505-2E9C-101B-9397-08002B2CF9AE}" pid="3" name="Creator">
    <vt:lpwstr>Acrobat PDFMaker 19 for Word</vt:lpwstr>
  </property>
  <property fmtid="{D5CDD505-2E9C-101B-9397-08002B2CF9AE}" pid="4" name="LastSaved">
    <vt:filetime>2021-03-26T00:00:00Z</vt:filetime>
  </property>
</Properties>
</file>