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D028F" w14:textId="0D000780" w:rsidR="00553094" w:rsidRPr="003E5B6C" w:rsidRDefault="00553094" w:rsidP="00E97AA8">
      <w:pPr>
        <w:rPr>
          <w:lang w:val="es-ES"/>
        </w:rPr>
      </w:pPr>
    </w:p>
    <w:p w14:paraId="2FD7FF04" w14:textId="0DE0EA3F" w:rsidR="007E7781" w:rsidRPr="00A16FFF" w:rsidRDefault="00016191" w:rsidP="00C41CF4">
      <w:pPr>
        <w:jc w:val="center"/>
        <w:rPr>
          <w:b/>
          <w:lang w:val="es-ES_tradnl"/>
        </w:rPr>
      </w:pPr>
      <w:bookmarkStart w:id="0" w:name="_Hlk69392276"/>
      <w:r w:rsidRPr="00A16FFF">
        <w:rPr>
          <w:b/>
          <w:lang w:val="es-ES_tradnl"/>
        </w:rPr>
        <w:t xml:space="preserve">RESOLUCIÓN </w:t>
      </w:r>
      <w:r w:rsidR="00FF6AD7" w:rsidRPr="00A16FFF">
        <w:rPr>
          <w:b/>
          <w:lang w:val="es-ES_tradnl"/>
        </w:rPr>
        <w:t>DE</w:t>
      </w:r>
      <w:r w:rsidR="00106103" w:rsidRPr="00A16FFF">
        <w:rPr>
          <w:b/>
          <w:lang w:val="es-ES_tradnl"/>
        </w:rPr>
        <w:t xml:space="preserve"> </w:t>
      </w:r>
      <w:r w:rsidR="00FF6AD7" w:rsidRPr="00A16FFF">
        <w:rPr>
          <w:b/>
          <w:lang w:val="es-ES_tradnl"/>
        </w:rPr>
        <w:t>L</w:t>
      </w:r>
      <w:r w:rsidR="00106103" w:rsidRPr="00A16FFF">
        <w:rPr>
          <w:b/>
          <w:lang w:val="es-ES_tradnl"/>
        </w:rPr>
        <w:t>A PRESIDENTA</w:t>
      </w:r>
      <w:r w:rsidR="007E7781" w:rsidRPr="00A16FFF">
        <w:rPr>
          <w:b/>
          <w:lang w:val="es-ES_tradnl"/>
        </w:rPr>
        <w:t xml:space="preserve"> </w:t>
      </w:r>
      <w:r w:rsidRPr="00A16FFF">
        <w:rPr>
          <w:b/>
          <w:lang w:val="es-ES_tradnl"/>
        </w:rPr>
        <w:t>DE LA</w:t>
      </w:r>
    </w:p>
    <w:p w14:paraId="0C5F18D8" w14:textId="77777777" w:rsidR="00FF6AD7" w:rsidRPr="00A16FFF" w:rsidRDefault="00016191" w:rsidP="00C41CF4">
      <w:pPr>
        <w:jc w:val="center"/>
        <w:rPr>
          <w:b/>
          <w:lang w:val="es-ES_tradnl"/>
        </w:rPr>
      </w:pPr>
      <w:r w:rsidRPr="00A16FFF">
        <w:rPr>
          <w:b/>
          <w:lang w:val="es-ES_tradnl"/>
        </w:rPr>
        <w:t>CORTE INTERAMERICANA DE DERECHOS HUMANOS</w:t>
      </w:r>
    </w:p>
    <w:p w14:paraId="653C319A" w14:textId="77777777" w:rsidR="00DF5305" w:rsidRPr="00A16FFF" w:rsidRDefault="00DF5305" w:rsidP="00C41CF4">
      <w:pPr>
        <w:jc w:val="center"/>
        <w:rPr>
          <w:b/>
          <w:lang w:val="es-ES_tradnl"/>
        </w:rPr>
      </w:pPr>
    </w:p>
    <w:p w14:paraId="1E1F28CE" w14:textId="0411B2B3" w:rsidR="00DF5305" w:rsidRPr="00A16FFF" w:rsidRDefault="00016191" w:rsidP="00FF7896">
      <w:pPr>
        <w:jc w:val="center"/>
        <w:rPr>
          <w:b/>
          <w:lang w:val="es-ES_tradnl"/>
        </w:rPr>
      </w:pPr>
      <w:r w:rsidRPr="00A16FFF">
        <w:rPr>
          <w:b/>
          <w:lang w:val="es-ES_tradnl"/>
        </w:rPr>
        <w:t>DE</w:t>
      </w:r>
      <w:r w:rsidR="00093B23" w:rsidRPr="00A16FFF">
        <w:rPr>
          <w:b/>
          <w:lang w:val="es-ES_tradnl"/>
        </w:rPr>
        <w:t xml:space="preserve"> </w:t>
      </w:r>
      <w:r w:rsidR="00977E05">
        <w:rPr>
          <w:b/>
          <w:lang w:val="es-ES_tradnl"/>
        </w:rPr>
        <w:t>12</w:t>
      </w:r>
      <w:r w:rsidR="00FF7896" w:rsidRPr="00A16FFF">
        <w:rPr>
          <w:b/>
          <w:lang w:val="es-ES_tradnl"/>
        </w:rPr>
        <w:t xml:space="preserve"> DE </w:t>
      </w:r>
      <w:r w:rsidR="0091746C">
        <w:rPr>
          <w:b/>
          <w:lang w:val="es-ES_tradnl"/>
        </w:rPr>
        <w:t>ABRIL</w:t>
      </w:r>
      <w:r w:rsidR="0091746C" w:rsidRPr="00A16FFF">
        <w:rPr>
          <w:b/>
          <w:lang w:val="es-ES_tradnl"/>
        </w:rPr>
        <w:t xml:space="preserve"> </w:t>
      </w:r>
      <w:r w:rsidR="00106103" w:rsidRPr="00A16FFF">
        <w:rPr>
          <w:b/>
          <w:lang w:val="es-ES_tradnl"/>
        </w:rPr>
        <w:t xml:space="preserve">DE </w:t>
      </w:r>
      <w:r w:rsidR="00CC4B93" w:rsidRPr="00A16FFF">
        <w:rPr>
          <w:b/>
          <w:lang w:val="es-ES_tradnl"/>
        </w:rPr>
        <w:t>2021</w:t>
      </w:r>
    </w:p>
    <w:p w14:paraId="3871CDDC" w14:textId="77777777" w:rsidR="0016379E" w:rsidRPr="00A16FFF" w:rsidRDefault="0016379E" w:rsidP="00C41CF4">
      <w:pPr>
        <w:jc w:val="center"/>
        <w:rPr>
          <w:b/>
          <w:lang w:val="es-ES_tradnl"/>
        </w:rPr>
      </w:pPr>
    </w:p>
    <w:p w14:paraId="541CAB36" w14:textId="46A96747" w:rsidR="006709EC" w:rsidRPr="00A16FFF" w:rsidRDefault="00895A6A" w:rsidP="00C41CF4">
      <w:pPr>
        <w:jc w:val="center"/>
        <w:rPr>
          <w:b/>
          <w:caps/>
          <w:lang w:val="es-ES_tradnl"/>
        </w:rPr>
      </w:pPr>
      <w:r w:rsidRPr="00A16FFF">
        <w:rPr>
          <w:b/>
          <w:caps/>
          <w:lang w:val="es-ES_tradnl"/>
        </w:rPr>
        <w:t xml:space="preserve">Caso </w:t>
      </w:r>
      <w:r w:rsidR="00E021A8">
        <w:rPr>
          <w:b/>
          <w:caps/>
          <w:lang w:val="es-ES_tradnl"/>
        </w:rPr>
        <w:t>PALACIO URRUTIA</w:t>
      </w:r>
      <w:r w:rsidR="004B6D68">
        <w:rPr>
          <w:b/>
          <w:caps/>
          <w:lang w:val="es-ES_tradnl"/>
        </w:rPr>
        <w:t xml:space="preserve"> Y OTROS</w:t>
      </w:r>
      <w:r w:rsidR="00E021A8">
        <w:rPr>
          <w:b/>
          <w:caps/>
          <w:lang w:val="es-ES_tradnl"/>
        </w:rPr>
        <w:t xml:space="preserve"> VS. ECUADOR</w:t>
      </w:r>
    </w:p>
    <w:p w14:paraId="7DFE88D4" w14:textId="7A7F17C5" w:rsidR="002C0961" w:rsidRPr="00A16FFF" w:rsidRDefault="002C0961" w:rsidP="00C41CF4">
      <w:pPr>
        <w:jc w:val="center"/>
        <w:rPr>
          <w:b/>
          <w:caps/>
          <w:lang w:val="es-ES_tradnl"/>
        </w:rPr>
      </w:pPr>
    </w:p>
    <w:p w14:paraId="3A0BF325" w14:textId="368FA3A3" w:rsidR="008A6894" w:rsidRPr="00A16FFF" w:rsidRDefault="008A6894" w:rsidP="00C41CF4">
      <w:pPr>
        <w:jc w:val="center"/>
        <w:rPr>
          <w:b/>
          <w:lang w:val="es-ES_tradnl"/>
        </w:rPr>
      </w:pPr>
    </w:p>
    <w:p w14:paraId="317E7E9B" w14:textId="77777777" w:rsidR="00016191" w:rsidRPr="00A16FFF" w:rsidRDefault="00016191" w:rsidP="0078329C">
      <w:pPr>
        <w:spacing w:line="240" w:lineRule="auto"/>
        <w:rPr>
          <w:b/>
          <w:lang w:val="es-ES_tradnl"/>
        </w:rPr>
      </w:pPr>
      <w:r w:rsidRPr="00A16FFF">
        <w:rPr>
          <w:b/>
          <w:lang w:val="es-ES_tradnl"/>
        </w:rPr>
        <w:t>VISTO:</w:t>
      </w:r>
    </w:p>
    <w:p w14:paraId="70F282D6" w14:textId="77777777" w:rsidR="00BF78B5" w:rsidRPr="00A16FFF" w:rsidRDefault="00BF78B5" w:rsidP="0078329C">
      <w:pPr>
        <w:spacing w:line="240" w:lineRule="auto"/>
        <w:rPr>
          <w:lang w:val="es-ES_tradnl"/>
        </w:rPr>
      </w:pPr>
    </w:p>
    <w:p w14:paraId="00E8AC79" w14:textId="6B90FB00" w:rsidR="006C2730" w:rsidRDefault="00016191" w:rsidP="0078329C">
      <w:pPr>
        <w:pStyle w:val="Sinespaciado"/>
        <w:ind w:left="0" w:right="23" w:firstLine="0"/>
        <w:contextualSpacing w:val="0"/>
        <w:rPr>
          <w:lang w:val="es-ES_tradnl" w:eastAsia="es-ES"/>
        </w:rPr>
      </w:pPr>
      <w:r w:rsidRPr="00A16FFF">
        <w:rPr>
          <w:lang w:val="es-ES_tradnl"/>
        </w:rPr>
        <w:t>El escrito de sometimiento del caso y el Informe de Fondo de la Comisión Interamericana de Derechos Humanos (en adelante “la Comisión Interamericana” o “la Comisión”)</w:t>
      </w:r>
      <w:r w:rsidR="004B6D68">
        <w:rPr>
          <w:lang w:val="es-ES_tradnl"/>
        </w:rPr>
        <w:t xml:space="preserve">; </w:t>
      </w:r>
      <w:r w:rsidRPr="00A16FFF">
        <w:rPr>
          <w:lang w:val="es-ES_tradnl"/>
        </w:rPr>
        <w:t>el escrito de solicitudes, argumentos y pruebas</w:t>
      </w:r>
      <w:r w:rsidR="00844163" w:rsidRPr="00A16FFF">
        <w:rPr>
          <w:lang w:val="es-ES_tradnl"/>
        </w:rPr>
        <w:t xml:space="preserve"> </w:t>
      </w:r>
      <w:r w:rsidR="0078329C">
        <w:rPr>
          <w:lang w:val="es-ES_tradnl"/>
        </w:rPr>
        <w:t>(en adelante</w:t>
      </w:r>
      <w:r w:rsidRPr="00A16FFF">
        <w:rPr>
          <w:lang w:val="es-ES_tradnl"/>
        </w:rPr>
        <w:t xml:space="preserve"> “escrito de solicitudes y argumentos”) </w:t>
      </w:r>
      <w:r w:rsidR="00093B23" w:rsidRPr="00A16FFF">
        <w:rPr>
          <w:lang w:val="es-ES_tradnl"/>
        </w:rPr>
        <w:t>de</w:t>
      </w:r>
      <w:r w:rsidR="00106103" w:rsidRPr="00A16FFF">
        <w:rPr>
          <w:lang w:val="es-ES_tradnl"/>
        </w:rPr>
        <w:t xml:space="preserve"> </w:t>
      </w:r>
      <w:r w:rsidR="00EB4920" w:rsidRPr="00A16FFF">
        <w:rPr>
          <w:lang w:val="es-ES_tradnl"/>
        </w:rPr>
        <w:t>l</w:t>
      </w:r>
      <w:r w:rsidR="00F64A68">
        <w:rPr>
          <w:lang w:val="es-ES_tradnl"/>
        </w:rPr>
        <w:t>o</w:t>
      </w:r>
      <w:r w:rsidR="00EB4920" w:rsidRPr="00A16FFF">
        <w:rPr>
          <w:lang w:val="es-ES_tradnl"/>
        </w:rPr>
        <w:t xml:space="preserve">s representantes </w:t>
      </w:r>
      <w:r w:rsidR="00482C53" w:rsidRPr="00A16FFF">
        <w:rPr>
          <w:lang w:val="es-ES_tradnl"/>
        </w:rPr>
        <w:t>de la</w:t>
      </w:r>
      <w:r w:rsidR="004E76A1" w:rsidRPr="00A16FFF">
        <w:rPr>
          <w:lang w:val="es-ES_tradnl"/>
        </w:rPr>
        <w:t>s presuntas</w:t>
      </w:r>
      <w:r w:rsidR="00482C53" w:rsidRPr="00A16FFF">
        <w:rPr>
          <w:lang w:val="es-ES_tradnl"/>
        </w:rPr>
        <w:t xml:space="preserve"> víctima</w:t>
      </w:r>
      <w:r w:rsidR="004E76A1" w:rsidRPr="00A16FFF">
        <w:rPr>
          <w:lang w:val="es-ES_tradnl"/>
        </w:rPr>
        <w:t>s</w:t>
      </w:r>
      <w:r w:rsidRPr="00A16FFF">
        <w:rPr>
          <w:lang w:val="es-ES_tradnl"/>
        </w:rPr>
        <w:t xml:space="preserve"> (en adelante “</w:t>
      </w:r>
      <w:r w:rsidR="007A5EE8" w:rsidRPr="00A16FFF">
        <w:rPr>
          <w:lang w:val="es-ES_tradnl"/>
        </w:rPr>
        <w:t>l</w:t>
      </w:r>
      <w:r w:rsidR="00F64A68">
        <w:rPr>
          <w:lang w:val="es-ES_tradnl"/>
        </w:rPr>
        <w:t>o</w:t>
      </w:r>
      <w:r w:rsidR="007A5EE8" w:rsidRPr="00A16FFF">
        <w:rPr>
          <w:lang w:val="es-ES_tradnl"/>
        </w:rPr>
        <w:t>s representantes</w:t>
      </w:r>
      <w:r w:rsidR="00895A6A" w:rsidRPr="00A16FFF">
        <w:rPr>
          <w:lang w:val="es-ES_tradnl"/>
        </w:rPr>
        <w:t>”)</w:t>
      </w:r>
      <w:r w:rsidR="00B02A4F">
        <w:rPr>
          <w:lang w:val="es-ES_tradnl"/>
        </w:rPr>
        <w:t>,</w:t>
      </w:r>
      <w:r w:rsidR="00FA5977">
        <w:rPr>
          <w:lang w:val="es-ES_tradnl"/>
        </w:rPr>
        <w:t xml:space="preserve"> </w:t>
      </w:r>
      <w:r w:rsidR="00B02A4F">
        <w:rPr>
          <w:lang w:val="es-ES_tradnl"/>
        </w:rPr>
        <w:t>y</w:t>
      </w:r>
      <w:r w:rsidR="004B6D68">
        <w:rPr>
          <w:lang w:val="es-ES_tradnl"/>
        </w:rPr>
        <w:t xml:space="preserve"> el escrito de contestación </w:t>
      </w:r>
      <w:r w:rsidR="0078329C">
        <w:rPr>
          <w:lang w:val="es-ES_tradnl"/>
        </w:rPr>
        <w:t>al sometimiento del caso y al escrito de solicitudes y argumentos (en adelante “escrito de contestación”).</w:t>
      </w:r>
    </w:p>
    <w:p w14:paraId="77C2A23A" w14:textId="77777777" w:rsidR="0078329C" w:rsidRPr="00A16FFF" w:rsidRDefault="0078329C" w:rsidP="0078329C">
      <w:pPr>
        <w:pStyle w:val="Sinespaciado"/>
        <w:numPr>
          <w:ilvl w:val="0"/>
          <w:numId w:val="0"/>
        </w:numPr>
        <w:ind w:right="23"/>
        <w:contextualSpacing w:val="0"/>
        <w:rPr>
          <w:lang w:val="es-ES_tradnl" w:eastAsia="es-ES"/>
        </w:rPr>
      </w:pPr>
    </w:p>
    <w:p w14:paraId="3E90071D" w14:textId="17643D6E" w:rsidR="00657907" w:rsidRPr="00657907" w:rsidRDefault="0078329C" w:rsidP="00095C3B">
      <w:pPr>
        <w:pStyle w:val="Sinespaciado"/>
        <w:ind w:left="0" w:right="23" w:firstLine="0"/>
        <w:contextualSpacing w:val="0"/>
        <w:rPr>
          <w:b/>
          <w:lang w:val="es-ES_tradnl"/>
        </w:rPr>
      </w:pPr>
      <w:r w:rsidRPr="00657907">
        <w:rPr>
          <w:lang w:val="es-ES_tradnl"/>
        </w:rPr>
        <w:t>Las listas definitivas de declarantes presentadas por los representantes, el Estado y la Comisión, y las correspondientes observaciones a dichas listas presentad</w:t>
      </w:r>
      <w:r w:rsidR="00657907" w:rsidRPr="00657907">
        <w:rPr>
          <w:lang w:val="es-ES_tradnl"/>
        </w:rPr>
        <w:t xml:space="preserve">as por las partes y la Comisión, </w:t>
      </w:r>
      <w:r w:rsidR="00B02A4F">
        <w:rPr>
          <w:lang w:val="es-ES_tradnl"/>
        </w:rPr>
        <w:t>así como</w:t>
      </w:r>
      <w:r w:rsidR="00657907" w:rsidRPr="00657907">
        <w:rPr>
          <w:lang w:val="es-ES_tradnl"/>
        </w:rPr>
        <w:t xml:space="preserve"> las </w:t>
      </w:r>
      <w:r w:rsidR="00B02A4F">
        <w:rPr>
          <w:lang w:val="es-ES_tradnl"/>
        </w:rPr>
        <w:t xml:space="preserve">observaciones </w:t>
      </w:r>
      <w:r w:rsidR="00657907" w:rsidRPr="00657907">
        <w:rPr>
          <w:lang w:val="es-ES_tradnl"/>
        </w:rPr>
        <w:t>realizadas por los peritos Mauricio Santiago Sosa Chiriboga,</w:t>
      </w:r>
      <w:r w:rsidR="00C41D45">
        <w:rPr>
          <w:lang w:val="es-ES_tradnl"/>
        </w:rPr>
        <w:t xml:space="preserve"> </w:t>
      </w:r>
      <w:r w:rsidR="00C41D45" w:rsidRPr="00657907">
        <w:rPr>
          <w:lang w:val="es-ES_tradnl"/>
        </w:rPr>
        <w:t>Juan Pablo Albán</w:t>
      </w:r>
      <w:r w:rsidR="00095C3B">
        <w:rPr>
          <w:lang w:val="es-ES_tradnl"/>
        </w:rPr>
        <w:t xml:space="preserve"> </w:t>
      </w:r>
      <w:proofErr w:type="spellStart"/>
      <w:r w:rsidR="0091746C">
        <w:rPr>
          <w:lang w:val="es-ES_tradnl"/>
        </w:rPr>
        <w:t>Alencastro</w:t>
      </w:r>
      <w:proofErr w:type="spellEnd"/>
      <w:r w:rsidR="00240830">
        <w:rPr>
          <w:lang w:val="es-ES_tradnl"/>
        </w:rPr>
        <w:t>,</w:t>
      </w:r>
      <w:r w:rsidR="00C41D45">
        <w:rPr>
          <w:lang w:val="es-ES_tradnl"/>
        </w:rPr>
        <w:t xml:space="preserve"> y</w:t>
      </w:r>
      <w:r w:rsidR="00657907" w:rsidRPr="00657907">
        <w:rPr>
          <w:lang w:val="es-ES_tradnl"/>
        </w:rPr>
        <w:t xml:space="preserve"> </w:t>
      </w:r>
      <w:r w:rsidR="00C41D45">
        <w:rPr>
          <w:lang w:val="es-ES_tradnl"/>
        </w:rPr>
        <w:t>Santiago Cantón</w:t>
      </w:r>
      <w:r w:rsidR="00240830">
        <w:rPr>
          <w:lang w:val="es-ES_tradnl"/>
        </w:rPr>
        <w:t>,</w:t>
      </w:r>
      <w:r w:rsidR="00C41D45">
        <w:rPr>
          <w:lang w:val="es-ES_tradnl"/>
        </w:rPr>
        <w:t xml:space="preserve"> </w:t>
      </w:r>
      <w:r w:rsidR="00657907">
        <w:rPr>
          <w:lang w:val="es-ES_tradnl"/>
        </w:rPr>
        <w:t>respecto de las respectivas recusaciones presentadas en su contra.</w:t>
      </w:r>
    </w:p>
    <w:p w14:paraId="39096A93" w14:textId="77777777" w:rsidR="00657907" w:rsidRPr="00A11C8C" w:rsidRDefault="00657907" w:rsidP="0060416C">
      <w:pPr>
        <w:pStyle w:val="Prrafodelista"/>
        <w:ind w:left="0"/>
        <w:contextualSpacing w:val="0"/>
        <w:rPr>
          <w:lang w:val="es-ES_tradnl"/>
        </w:rPr>
      </w:pPr>
    </w:p>
    <w:p w14:paraId="3ACF6B32" w14:textId="52376890" w:rsidR="006B5876" w:rsidRDefault="0060416C" w:rsidP="0060416C">
      <w:pPr>
        <w:pStyle w:val="Prrafodelista"/>
        <w:ind w:left="0"/>
        <w:contextualSpacing w:val="0"/>
        <w:rPr>
          <w:b/>
          <w:lang w:val="es-ES_tradnl"/>
        </w:rPr>
      </w:pPr>
      <w:r>
        <w:rPr>
          <w:b/>
          <w:lang w:val="es-ES_tradnl"/>
        </w:rPr>
        <w:t>CONSIDERANDO QUE:</w:t>
      </w:r>
    </w:p>
    <w:p w14:paraId="0BE6A4A4" w14:textId="77777777" w:rsidR="0060416C" w:rsidRPr="00A11C8C" w:rsidRDefault="0060416C" w:rsidP="0060416C">
      <w:pPr>
        <w:pStyle w:val="Prrafodelista"/>
        <w:ind w:left="0"/>
        <w:contextualSpacing w:val="0"/>
        <w:rPr>
          <w:lang w:val="es-ES_tradnl"/>
        </w:rPr>
      </w:pPr>
    </w:p>
    <w:p w14:paraId="77287E56" w14:textId="05DB7C4A" w:rsidR="00C41CF4" w:rsidRPr="0060416C" w:rsidRDefault="00902AB2" w:rsidP="0060416C">
      <w:pPr>
        <w:pStyle w:val="Sinespaciado"/>
        <w:ind w:left="0" w:right="23" w:firstLine="0"/>
        <w:contextualSpacing w:val="0"/>
        <w:rPr>
          <w:rFonts w:cs="Times New Roman"/>
          <w:lang w:val="es-ES_tradnl"/>
        </w:rPr>
      </w:pPr>
      <w:r w:rsidRPr="00A16FFF">
        <w:rPr>
          <w:lang w:val="es-ES_tradnl"/>
        </w:rPr>
        <w:t>El ofrecimiento y la admisión de la prueba, así como la citación de presuntas víctimas, testigos y peritos, se encuentran regulados en los artículos 35.1.f, 40.2.c, 41.1.c, 46,</w:t>
      </w:r>
      <w:r w:rsidR="00B400D6" w:rsidRPr="00A16FFF">
        <w:rPr>
          <w:lang w:val="es-ES_tradnl"/>
        </w:rPr>
        <w:t xml:space="preserve"> 47,</w:t>
      </w:r>
      <w:r w:rsidRPr="00A16FFF">
        <w:rPr>
          <w:lang w:val="es-ES_tradnl"/>
        </w:rPr>
        <w:t xml:space="preserve"> 48,</w:t>
      </w:r>
      <w:r w:rsidR="00D85549" w:rsidRPr="00A16FFF">
        <w:rPr>
          <w:lang w:val="es-ES_tradnl"/>
        </w:rPr>
        <w:t xml:space="preserve"> 49,</w:t>
      </w:r>
      <w:r w:rsidRPr="00A16FFF">
        <w:rPr>
          <w:lang w:val="es-ES_tradnl"/>
        </w:rPr>
        <w:t xml:space="preserve"> 50</w:t>
      </w:r>
      <w:r w:rsidR="00FA5977">
        <w:rPr>
          <w:lang w:val="es-ES_tradnl"/>
        </w:rPr>
        <w:t>, 52.3</w:t>
      </w:r>
      <w:r w:rsidRPr="00A16FFF">
        <w:rPr>
          <w:lang w:val="es-ES_tradnl"/>
        </w:rPr>
        <w:t xml:space="preserve"> y 57 del Reglamento de la Corte Interamericana de Derechos Humanos (en adelan</w:t>
      </w:r>
      <w:r w:rsidR="0060416C">
        <w:rPr>
          <w:lang w:val="es-ES_tradnl"/>
        </w:rPr>
        <w:t>te</w:t>
      </w:r>
      <w:r w:rsidR="00FA5977">
        <w:rPr>
          <w:lang w:val="es-ES_tradnl"/>
        </w:rPr>
        <w:t>,</w:t>
      </w:r>
      <w:r w:rsidR="0060416C">
        <w:rPr>
          <w:lang w:val="es-ES_tradnl"/>
        </w:rPr>
        <w:t xml:space="preserve"> </w:t>
      </w:r>
      <w:r w:rsidR="00FA5977">
        <w:rPr>
          <w:lang w:val="es-ES_tradnl"/>
        </w:rPr>
        <w:t>“el Reglamento” o “el Reglamento de la Corte”</w:t>
      </w:r>
      <w:r w:rsidR="0060416C">
        <w:rPr>
          <w:lang w:val="es-ES_tradnl"/>
        </w:rPr>
        <w:t>).</w:t>
      </w:r>
    </w:p>
    <w:p w14:paraId="4117B6DF" w14:textId="77777777" w:rsidR="0060416C" w:rsidRPr="00A16FFF" w:rsidRDefault="0060416C" w:rsidP="0060416C">
      <w:pPr>
        <w:pStyle w:val="Sinespaciado"/>
        <w:numPr>
          <w:ilvl w:val="0"/>
          <w:numId w:val="0"/>
        </w:numPr>
        <w:ind w:right="23"/>
        <w:contextualSpacing w:val="0"/>
        <w:rPr>
          <w:rFonts w:cs="Times New Roman"/>
          <w:lang w:val="es-ES_tradnl"/>
        </w:rPr>
      </w:pPr>
    </w:p>
    <w:p w14:paraId="0E896978" w14:textId="5E1683F9" w:rsidR="00325C8E" w:rsidRPr="00A82AFA" w:rsidRDefault="00902AB2" w:rsidP="00325C8E">
      <w:pPr>
        <w:pStyle w:val="Sinespaciado"/>
        <w:tabs>
          <w:tab w:val="clear" w:pos="567"/>
        </w:tabs>
        <w:ind w:left="0" w:right="23" w:firstLine="0"/>
        <w:contextualSpacing w:val="0"/>
        <w:rPr>
          <w:rFonts w:cs="Times New Roman"/>
          <w:lang w:val="es-ES_tradnl"/>
        </w:rPr>
      </w:pPr>
      <w:r w:rsidRPr="00A16FFF">
        <w:rPr>
          <w:lang w:val="es-ES_tradnl"/>
        </w:rPr>
        <w:t xml:space="preserve">La Comisión </w:t>
      </w:r>
      <w:r w:rsidR="003264BA" w:rsidRPr="00A16FFF">
        <w:rPr>
          <w:lang w:val="es-ES_tradnl"/>
        </w:rPr>
        <w:t xml:space="preserve">ofreció </w:t>
      </w:r>
      <w:r w:rsidR="00AB490A">
        <w:rPr>
          <w:lang w:val="es-ES_tradnl"/>
        </w:rPr>
        <w:t>dos</w:t>
      </w:r>
      <w:r w:rsidR="003264BA" w:rsidRPr="00A16FFF">
        <w:rPr>
          <w:lang w:val="es-ES_tradnl"/>
        </w:rPr>
        <w:t xml:space="preserve"> </w:t>
      </w:r>
      <w:r w:rsidR="00AB490A">
        <w:rPr>
          <w:lang w:val="es-ES_tradnl"/>
        </w:rPr>
        <w:t>declaraciones</w:t>
      </w:r>
      <w:r w:rsidR="00275652" w:rsidRPr="00A16FFF">
        <w:rPr>
          <w:lang w:val="es-ES_tradnl"/>
        </w:rPr>
        <w:t xml:space="preserve"> pericial</w:t>
      </w:r>
      <w:r w:rsidR="00AB490A">
        <w:rPr>
          <w:lang w:val="es-ES_tradnl"/>
        </w:rPr>
        <w:t>es</w:t>
      </w:r>
      <w:r w:rsidR="00BF73D3" w:rsidRPr="00A16FFF">
        <w:rPr>
          <w:lang w:val="es-ES_tradnl"/>
        </w:rPr>
        <w:t>,</w:t>
      </w:r>
      <w:r w:rsidR="00556AD4">
        <w:rPr>
          <w:lang w:val="es-ES_tradnl"/>
        </w:rPr>
        <w:t xml:space="preserve"> y solicitó la sustitución de uno de</w:t>
      </w:r>
      <w:r w:rsidR="00335D11">
        <w:rPr>
          <w:lang w:val="es-ES_tradnl"/>
        </w:rPr>
        <w:t xml:space="preserve"> los peritos ofrecidos</w:t>
      </w:r>
      <w:r w:rsidR="00556AD4">
        <w:rPr>
          <w:lang w:val="es-ES_tradnl"/>
        </w:rPr>
        <w:t xml:space="preserve"> debido a su fallecimiento</w:t>
      </w:r>
      <w:r w:rsidR="00240830">
        <w:rPr>
          <w:lang w:val="es-ES_tradnl"/>
        </w:rPr>
        <w:t>,</w:t>
      </w:r>
      <w:r w:rsidR="0091746C">
        <w:rPr>
          <w:lang w:val="es-ES_tradnl"/>
        </w:rPr>
        <w:t xml:space="preserve"> mediant</w:t>
      </w:r>
      <w:r w:rsidR="00A11C8C">
        <w:rPr>
          <w:lang w:val="es-ES_tradnl"/>
        </w:rPr>
        <w:t>e escrito de 3 de enero de 2020</w:t>
      </w:r>
      <w:r w:rsidR="0091746C">
        <w:rPr>
          <w:lang w:val="es-ES_tradnl"/>
        </w:rPr>
        <w:t>, solicitud que fue reiterada en su lista definitiva</w:t>
      </w:r>
      <w:r w:rsidR="00556AD4">
        <w:rPr>
          <w:lang w:val="es-ES_tradnl"/>
        </w:rPr>
        <w:t>;</w:t>
      </w:r>
      <w:r w:rsidR="00BF73D3" w:rsidRPr="00A16FFF">
        <w:rPr>
          <w:lang w:val="es-ES_tradnl"/>
        </w:rPr>
        <w:t xml:space="preserve"> l</w:t>
      </w:r>
      <w:r w:rsidR="00275652" w:rsidRPr="00A16FFF">
        <w:rPr>
          <w:lang w:val="es-ES_tradnl"/>
        </w:rPr>
        <w:t>o</w:t>
      </w:r>
      <w:r w:rsidR="00EB4920" w:rsidRPr="00A16FFF">
        <w:rPr>
          <w:lang w:val="es-ES_tradnl"/>
        </w:rPr>
        <w:t xml:space="preserve">s representantes </w:t>
      </w:r>
      <w:r w:rsidR="003264BA" w:rsidRPr="00A16FFF">
        <w:rPr>
          <w:lang w:val="es-ES_tradnl"/>
        </w:rPr>
        <w:t>ofrecieron las declaraciones de</w:t>
      </w:r>
      <w:r w:rsidR="00275652" w:rsidRPr="00A16FFF">
        <w:rPr>
          <w:lang w:val="es-ES_tradnl"/>
        </w:rPr>
        <w:t xml:space="preserve"> la</w:t>
      </w:r>
      <w:r w:rsidR="00556AD4">
        <w:rPr>
          <w:lang w:val="es-ES_tradnl"/>
        </w:rPr>
        <w:t>s</w:t>
      </w:r>
      <w:r w:rsidR="0091746C">
        <w:rPr>
          <w:lang w:val="es-ES_tradnl"/>
        </w:rPr>
        <w:t xml:space="preserve"> cuatro</w:t>
      </w:r>
      <w:r w:rsidR="00275652" w:rsidRPr="00A16FFF">
        <w:rPr>
          <w:lang w:val="es-ES_tradnl"/>
        </w:rPr>
        <w:t xml:space="preserve"> presunta</w:t>
      </w:r>
      <w:r w:rsidR="00556AD4">
        <w:rPr>
          <w:lang w:val="es-ES_tradnl"/>
        </w:rPr>
        <w:t>s</w:t>
      </w:r>
      <w:r w:rsidR="00275652" w:rsidRPr="00A16FFF">
        <w:rPr>
          <w:lang w:val="es-ES_tradnl"/>
        </w:rPr>
        <w:t xml:space="preserve"> víctima</w:t>
      </w:r>
      <w:r w:rsidR="00556AD4">
        <w:rPr>
          <w:lang w:val="es-ES_tradnl"/>
        </w:rPr>
        <w:t>s</w:t>
      </w:r>
      <w:r w:rsidR="00275652" w:rsidRPr="00A16FFF">
        <w:rPr>
          <w:lang w:val="es-ES_tradnl"/>
        </w:rPr>
        <w:t>, cuatro testigos</w:t>
      </w:r>
      <w:r w:rsidR="00335D11">
        <w:rPr>
          <w:lang w:val="es-ES_tradnl"/>
        </w:rPr>
        <w:t>,</w:t>
      </w:r>
      <w:r w:rsidR="00313DAF" w:rsidRPr="00A16FFF">
        <w:rPr>
          <w:lang w:val="es-ES_tradnl"/>
        </w:rPr>
        <w:t xml:space="preserve"> </w:t>
      </w:r>
      <w:r w:rsidR="00556AD4">
        <w:rPr>
          <w:lang w:val="es-ES_tradnl"/>
        </w:rPr>
        <w:t>cinco</w:t>
      </w:r>
      <w:r w:rsidR="00313DAF" w:rsidRPr="00A16FFF">
        <w:rPr>
          <w:lang w:val="es-ES_tradnl"/>
        </w:rPr>
        <w:t xml:space="preserve"> </w:t>
      </w:r>
      <w:r w:rsidR="00275652" w:rsidRPr="00A16FFF">
        <w:rPr>
          <w:lang w:val="es-ES_tradnl"/>
        </w:rPr>
        <w:t>peritos</w:t>
      </w:r>
      <w:r w:rsidR="00BF73D3" w:rsidRPr="00A16FFF">
        <w:rPr>
          <w:lang w:val="es-ES_tradnl"/>
        </w:rPr>
        <w:t>, y</w:t>
      </w:r>
      <w:r w:rsidR="00335D11">
        <w:rPr>
          <w:lang w:val="es-ES_tradnl"/>
        </w:rPr>
        <w:t xml:space="preserve"> el traslado de</w:t>
      </w:r>
      <w:r w:rsidR="00A11C8C">
        <w:rPr>
          <w:lang w:val="es-ES_tradnl"/>
        </w:rPr>
        <w:t xml:space="preserve"> un peritaje</w:t>
      </w:r>
      <w:r w:rsidR="008E5D6A">
        <w:rPr>
          <w:lang w:val="es-ES_tradnl"/>
        </w:rPr>
        <w:t>,</w:t>
      </w:r>
      <w:r w:rsidR="00335D11">
        <w:rPr>
          <w:lang w:val="es-ES_tradnl"/>
        </w:rPr>
        <w:t xml:space="preserve"> y</w:t>
      </w:r>
      <w:r w:rsidR="00BF73D3" w:rsidRPr="00A16FFF">
        <w:rPr>
          <w:lang w:val="es-ES_tradnl"/>
        </w:rPr>
        <w:t xml:space="preserve"> el </w:t>
      </w:r>
      <w:r w:rsidR="00313DAF" w:rsidRPr="00A16FFF">
        <w:rPr>
          <w:lang w:val="es-ES_tradnl"/>
        </w:rPr>
        <w:t xml:space="preserve">Estado </w:t>
      </w:r>
      <w:r w:rsidR="00556AD4">
        <w:rPr>
          <w:lang w:val="es-ES_tradnl"/>
        </w:rPr>
        <w:t>ofreció</w:t>
      </w:r>
      <w:r w:rsidR="00F67E89" w:rsidRPr="00A16FFF">
        <w:rPr>
          <w:lang w:val="es-ES_tradnl"/>
        </w:rPr>
        <w:t xml:space="preserve"> la declaración de </w:t>
      </w:r>
      <w:r w:rsidR="00556AD4">
        <w:rPr>
          <w:lang w:val="es-ES_tradnl"/>
        </w:rPr>
        <w:t>dos</w:t>
      </w:r>
      <w:r w:rsidR="00F67E89" w:rsidRPr="00A16FFF">
        <w:rPr>
          <w:lang w:val="es-ES_tradnl"/>
        </w:rPr>
        <w:t xml:space="preserve"> peritos</w:t>
      </w:r>
      <w:r w:rsidR="00313DAF" w:rsidRPr="00A16FFF">
        <w:rPr>
          <w:lang w:val="es-ES_tradnl"/>
        </w:rPr>
        <w:t>.</w:t>
      </w:r>
    </w:p>
    <w:p w14:paraId="1D32F1F8" w14:textId="77777777" w:rsidR="00A82AFA" w:rsidRPr="00A82AFA" w:rsidRDefault="00A82AFA" w:rsidP="00A82AFA">
      <w:pPr>
        <w:rPr>
          <w:rFonts w:cs="Times New Roman"/>
          <w:lang w:val="es-ES_tradnl"/>
        </w:rPr>
      </w:pPr>
    </w:p>
    <w:p w14:paraId="63078451" w14:textId="654CEB9C" w:rsidR="00A82AFA" w:rsidRPr="00A82AFA" w:rsidRDefault="00A82AFA" w:rsidP="00325C8E">
      <w:pPr>
        <w:pStyle w:val="Sinespaciado"/>
        <w:tabs>
          <w:tab w:val="clear" w:pos="567"/>
        </w:tabs>
        <w:ind w:left="0" w:right="23" w:firstLine="0"/>
        <w:contextualSpacing w:val="0"/>
        <w:rPr>
          <w:rFonts w:cs="Times New Roman"/>
          <w:lang w:val="es-ES_tradnl"/>
        </w:rPr>
      </w:pPr>
      <w:r w:rsidRPr="00A82AFA">
        <w:rPr>
          <w:rFonts w:cs="Times New Roman"/>
          <w:lang w:val="es-ES_tradnl"/>
        </w:rPr>
        <w:t>El Estado, en su escrito de contestación, solicitó a la Corte</w:t>
      </w:r>
      <w:r w:rsidR="00FA5977">
        <w:rPr>
          <w:rFonts w:cs="Times New Roman"/>
          <w:lang w:val="es-ES_tradnl"/>
        </w:rPr>
        <w:t xml:space="preserve"> Interamericana de Derechos Humanos (en adelante, “la Corte”)</w:t>
      </w:r>
      <w:r w:rsidRPr="00A82AFA">
        <w:rPr>
          <w:rFonts w:cs="Times New Roman"/>
          <w:lang w:val="es-ES_tradnl"/>
        </w:rPr>
        <w:t xml:space="preserve"> rechazar la solicitud de los representantes del traslado de</w:t>
      </w:r>
      <w:r w:rsidR="00335D11">
        <w:rPr>
          <w:rFonts w:cs="Times New Roman"/>
          <w:lang w:val="es-ES_tradnl"/>
        </w:rPr>
        <w:t>l peritaje de Alfredo Mor</w:t>
      </w:r>
      <w:r w:rsidR="00EE321C">
        <w:rPr>
          <w:rFonts w:cs="Times New Roman"/>
          <w:lang w:val="es-ES_tradnl"/>
        </w:rPr>
        <w:t>a</w:t>
      </w:r>
      <w:r w:rsidR="00335D11">
        <w:rPr>
          <w:rFonts w:cs="Times New Roman"/>
          <w:lang w:val="es-ES_tradnl"/>
        </w:rPr>
        <w:t>les Hernández</w:t>
      </w:r>
      <w:r w:rsidRPr="00A82AFA">
        <w:rPr>
          <w:rFonts w:cs="Times New Roman"/>
          <w:lang w:val="es-ES_tradnl"/>
        </w:rPr>
        <w:t xml:space="preserve"> </w:t>
      </w:r>
      <w:r w:rsidR="00335D11">
        <w:rPr>
          <w:rFonts w:cs="Times New Roman"/>
          <w:lang w:val="es-ES_tradnl"/>
        </w:rPr>
        <w:t xml:space="preserve">en </w:t>
      </w:r>
      <w:r w:rsidRPr="00A82AFA">
        <w:rPr>
          <w:rFonts w:cs="Times New Roman"/>
          <w:lang w:val="es-ES_tradnl"/>
        </w:rPr>
        <w:t xml:space="preserve">el </w:t>
      </w:r>
      <w:r w:rsidR="00011B41">
        <w:rPr>
          <w:rFonts w:cs="Times New Roman"/>
          <w:i/>
          <w:lang w:val="es-ES_tradnl"/>
        </w:rPr>
        <w:t>C</w:t>
      </w:r>
      <w:r w:rsidRPr="00A82AFA">
        <w:rPr>
          <w:rFonts w:cs="Times New Roman"/>
          <w:i/>
          <w:lang w:val="es-ES_tradnl"/>
        </w:rPr>
        <w:t xml:space="preserve">aso </w:t>
      </w:r>
      <w:r w:rsidRPr="00A82AFA">
        <w:rPr>
          <w:rFonts w:cs="Arial"/>
          <w:i/>
          <w:shd w:val="clear" w:color="auto" w:fill="FFFFFF"/>
        </w:rPr>
        <w:t>Granier y otros (Radio Caracas Televisión) Vs. Venezuela</w:t>
      </w:r>
      <w:r>
        <w:rPr>
          <w:rFonts w:cs="Arial"/>
          <w:shd w:val="clear" w:color="auto" w:fill="FFFFFF"/>
        </w:rPr>
        <w:t>.</w:t>
      </w:r>
    </w:p>
    <w:p w14:paraId="40BC059E" w14:textId="77777777" w:rsidR="00325C8E" w:rsidRPr="00325C8E" w:rsidRDefault="00325C8E" w:rsidP="00325C8E">
      <w:pPr>
        <w:rPr>
          <w:rFonts w:cs="Times New Roman"/>
          <w:lang w:val="es-ES_tradnl"/>
        </w:rPr>
      </w:pPr>
    </w:p>
    <w:p w14:paraId="145CA1E8" w14:textId="73AE1C15" w:rsidR="00325C8E" w:rsidRPr="00325C8E" w:rsidRDefault="00556AD4" w:rsidP="00325C8E">
      <w:pPr>
        <w:pStyle w:val="Sinespaciado"/>
        <w:tabs>
          <w:tab w:val="clear" w:pos="567"/>
        </w:tabs>
        <w:ind w:left="0" w:right="23" w:firstLine="0"/>
        <w:contextualSpacing w:val="0"/>
        <w:rPr>
          <w:rFonts w:cs="Times New Roman"/>
          <w:lang w:val="es-ES_tradnl"/>
        </w:rPr>
      </w:pPr>
      <w:r>
        <w:rPr>
          <w:rFonts w:cs="Times New Roman"/>
          <w:lang w:val="es-ES_tradnl"/>
        </w:rPr>
        <w:t xml:space="preserve">La Comisión, en su lista definitiva, reiteró el ofrecimiento de la prueba ofrecida mediante el sometimiento de la Corte en lo que respecta a un peritaje, y solicitó que este fuera recibido en audiencia pública. Asimismo, reiteró su solicitud para la sustitución del </w:t>
      </w:r>
      <w:r w:rsidR="00E1514B">
        <w:rPr>
          <w:rFonts w:cs="Times New Roman"/>
          <w:lang w:val="es-ES_tradnl"/>
        </w:rPr>
        <w:t>segundo peritaje ofrecido mediante el sometimiento</w:t>
      </w:r>
      <w:r w:rsidR="00335D11">
        <w:rPr>
          <w:rFonts w:cs="Times New Roman"/>
          <w:lang w:val="es-ES_tradnl"/>
        </w:rPr>
        <w:t xml:space="preserve">, el cual sería rendido mediante declaración jurada </w:t>
      </w:r>
      <w:r w:rsidR="00335D11">
        <w:rPr>
          <w:lang w:val="es-ES_tradnl"/>
        </w:rPr>
        <w:t>(</w:t>
      </w:r>
      <w:r w:rsidR="00335D11">
        <w:rPr>
          <w:i/>
          <w:lang w:val="es-ES_tradnl"/>
        </w:rPr>
        <w:t>affidavit</w:t>
      </w:r>
      <w:r w:rsidR="00335D11">
        <w:rPr>
          <w:lang w:val="es-ES_tradnl"/>
        </w:rPr>
        <w:t>)</w:t>
      </w:r>
      <w:r>
        <w:rPr>
          <w:rFonts w:cs="Times New Roman"/>
          <w:lang w:val="es-ES_tradnl"/>
        </w:rPr>
        <w:t>.</w:t>
      </w:r>
      <w:r w:rsidR="004A1F2A">
        <w:rPr>
          <w:rFonts w:cs="Times New Roman"/>
          <w:lang w:val="es-ES_tradnl"/>
        </w:rPr>
        <w:t xml:space="preserve"> Adicionalmente, la Comisión manifestó no tener observaciones a las listas definitivas de las partes, </w:t>
      </w:r>
      <w:r w:rsidR="004A1F2A">
        <w:t>pero solicitó la oportunidad de formular preguntas a dos peritos propuestos por los representantes.</w:t>
      </w:r>
    </w:p>
    <w:p w14:paraId="5CA2AA07" w14:textId="2D805349" w:rsidR="0060416C" w:rsidRPr="00A16FFF" w:rsidRDefault="0060416C" w:rsidP="0060416C">
      <w:pPr>
        <w:pStyle w:val="Sinespaciado"/>
        <w:numPr>
          <w:ilvl w:val="0"/>
          <w:numId w:val="0"/>
        </w:numPr>
        <w:tabs>
          <w:tab w:val="clear" w:pos="567"/>
        </w:tabs>
        <w:ind w:right="23"/>
        <w:contextualSpacing w:val="0"/>
        <w:rPr>
          <w:rFonts w:cs="Times New Roman"/>
          <w:lang w:val="es-ES_tradnl"/>
        </w:rPr>
      </w:pPr>
    </w:p>
    <w:p w14:paraId="003399B4" w14:textId="069A406F" w:rsidR="00313DAF" w:rsidRDefault="00EB4920" w:rsidP="0060416C">
      <w:pPr>
        <w:pStyle w:val="Sinespaciado"/>
        <w:ind w:left="0" w:right="23" w:firstLine="0"/>
        <w:contextualSpacing w:val="0"/>
        <w:rPr>
          <w:lang w:val="es-ES_tradnl"/>
        </w:rPr>
      </w:pPr>
      <w:r w:rsidRPr="00A16FFF">
        <w:rPr>
          <w:lang w:val="es-ES_tradnl"/>
        </w:rPr>
        <w:t>L</w:t>
      </w:r>
      <w:r w:rsidR="00BF73D3" w:rsidRPr="00A16FFF">
        <w:rPr>
          <w:lang w:val="es-ES_tradnl"/>
        </w:rPr>
        <w:t>o</w:t>
      </w:r>
      <w:r w:rsidR="00E1514B">
        <w:rPr>
          <w:lang w:val="es-ES_tradnl"/>
        </w:rPr>
        <w:t xml:space="preserve">s representantes, en su lista definitiva, </w:t>
      </w:r>
      <w:r w:rsidR="00335D11">
        <w:rPr>
          <w:lang w:val="es-ES_tradnl"/>
        </w:rPr>
        <w:t>reiteraron</w:t>
      </w:r>
      <w:r w:rsidR="00213BBF">
        <w:rPr>
          <w:lang w:val="es-ES_tradnl"/>
        </w:rPr>
        <w:t xml:space="preserve"> que dos declaraciones y dos </w:t>
      </w:r>
      <w:bookmarkEnd w:id="0"/>
      <w:r w:rsidR="00213BBF">
        <w:rPr>
          <w:lang w:val="es-ES_tradnl"/>
        </w:rPr>
        <w:lastRenderedPageBreak/>
        <w:t>peritajes ofrecidos en su escrito de solicitudes y argumentos fueran rendidos en audiencia pública, y solicitaron que las declaraciones de dos presuntas víctimas, cuatro testigos, y tres peritos se rindieran mediante declaración jurada (</w:t>
      </w:r>
      <w:r w:rsidR="00213BBF">
        <w:rPr>
          <w:i/>
          <w:lang w:val="es-ES_tradnl"/>
        </w:rPr>
        <w:t>affidavit</w:t>
      </w:r>
      <w:r w:rsidR="00213BBF">
        <w:rPr>
          <w:lang w:val="es-ES_tradnl"/>
        </w:rPr>
        <w:t>). Adicionalmente, en sus observaciones a las listas definitivas,</w:t>
      </w:r>
      <w:r w:rsidR="006C7A8D">
        <w:rPr>
          <w:lang w:val="es-ES_tradnl"/>
        </w:rPr>
        <w:t xml:space="preserve"> objetaron la pertinencia de un peritaje,</w:t>
      </w:r>
      <w:r w:rsidR="00213BBF">
        <w:rPr>
          <w:lang w:val="es-ES_tradnl"/>
        </w:rPr>
        <w:t xml:space="preserve"> </w:t>
      </w:r>
      <w:r w:rsidR="006C7A8D">
        <w:rPr>
          <w:lang w:val="es-ES_tradnl"/>
        </w:rPr>
        <w:t>recusaron a Mauricio Santiago Sosa</w:t>
      </w:r>
      <w:r w:rsidR="008E5D6A">
        <w:rPr>
          <w:lang w:val="es-ES_tradnl"/>
        </w:rPr>
        <w:t xml:space="preserve"> Chiriboga</w:t>
      </w:r>
      <w:r w:rsidR="006C7A8D">
        <w:rPr>
          <w:lang w:val="es-ES_tradnl"/>
        </w:rPr>
        <w:t>, perito propuesto por el Estado, y solicitaron</w:t>
      </w:r>
      <w:r w:rsidR="00CC26D8">
        <w:rPr>
          <w:lang w:val="es-ES_tradnl"/>
        </w:rPr>
        <w:t xml:space="preserve"> que se concrete el objeto de ambos peritajes ofrecidos por el Estado</w:t>
      </w:r>
      <w:r w:rsidR="00213BBF">
        <w:rPr>
          <w:lang w:val="es-ES_tradnl"/>
        </w:rPr>
        <w:t>.</w:t>
      </w:r>
    </w:p>
    <w:p w14:paraId="0484F5D8" w14:textId="77777777" w:rsidR="00213BBF" w:rsidRPr="00213BBF" w:rsidRDefault="00213BBF" w:rsidP="00213BBF">
      <w:pPr>
        <w:rPr>
          <w:lang w:val="es-ES_tradnl"/>
        </w:rPr>
      </w:pPr>
    </w:p>
    <w:p w14:paraId="1870E606" w14:textId="49030B3B" w:rsidR="00213BBF" w:rsidRDefault="00213BBF" w:rsidP="0060416C">
      <w:pPr>
        <w:pStyle w:val="Sinespaciado"/>
        <w:ind w:left="0" w:right="23" w:firstLine="0"/>
        <w:contextualSpacing w:val="0"/>
        <w:rPr>
          <w:lang w:val="es-ES_tradnl"/>
        </w:rPr>
      </w:pPr>
      <w:r>
        <w:rPr>
          <w:lang w:val="es-ES_tradnl"/>
        </w:rPr>
        <w:t xml:space="preserve">El Estado, en su lista definitiva, solicitó que las declaraciones de los dos peritos ofrecidos </w:t>
      </w:r>
      <w:r w:rsidR="00095C3B">
        <w:rPr>
          <w:lang w:val="es-ES_tradnl"/>
        </w:rPr>
        <w:t xml:space="preserve">en su escrito de contestación </w:t>
      </w:r>
      <w:r>
        <w:rPr>
          <w:lang w:val="es-ES_tradnl"/>
        </w:rPr>
        <w:t xml:space="preserve">fueran </w:t>
      </w:r>
      <w:r w:rsidR="00CC26D8">
        <w:rPr>
          <w:lang w:val="es-ES_tradnl"/>
        </w:rPr>
        <w:t>rendidas</w:t>
      </w:r>
      <w:r>
        <w:rPr>
          <w:lang w:val="es-ES_tradnl"/>
        </w:rPr>
        <w:t xml:space="preserve"> mediante declaración jurada </w:t>
      </w:r>
      <w:r>
        <w:rPr>
          <w:i/>
          <w:lang w:val="es-ES_tradnl"/>
        </w:rPr>
        <w:t>(affidavit</w:t>
      </w:r>
      <w:r>
        <w:rPr>
          <w:lang w:val="es-ES_tradnl"/>
        </w:rPr>
        <w:t xml:space="preserve">). </w:t>
      </w:r>
      <w:r w:rsidR="00CC26D8">
        <w:rPr>
          <w:lang w:val="es-ES_tradnl"/>
        </w:rPr>
        <w:t xml:space="preserve">En sus observaciones a las listas definitivas, el Estado </w:t>
      </w:r>
      <w:r w:rsidR="006C7A8D">
        <w:rPr>
          <w:lang w:val="es-ES_tradnl"/>
        </w:rPr>
        <w:t xml:space="preserve">recusó a Santiago Cantón y Juan Pablo Albán </w:t>
      </w:r>
      <w:proofErr w:type="spellStart"/>
      <w:r w:rsidR="006C7A8D">
        <w:rPr>
          <w:lang w:val="es-ES_tradnl"/>
        </w:rPr>
        <w:t>Alencastro</w:t>
      </w:r>
      <w:proofErr w:type="spellEnd"/>
      <w:r w:rsidR="006C7A8D">
        <w:rPr>
          <w:lang w:val="es-ES_tradnl"/>
        </w:rPr>
        <w:t xml:space="preserve">, peritos propuestos por los representantes, </w:t>
      </w:r>
      <w:r w:rsidR="00CC26D8">
        <w:rPr>
          <w:lang w:val="es-ES_tradnl"/>
        </w:rPr>
        <w:t xml:space="preserve">presentó diversas objeciones respecto a la admisibilidad </w:t>
      </w:r>
      <w:r w:rsidR="009D52E0">
        <w:rPr>
          <w:lang w:val="es-ES_tradnl"/>
        </w:rPr>
        <w:t xml:space="preserve">de </w:t>
      </w:r>
      <w:r w:rsidR="006C7A8D">
        <w:rPr>
          <w:lang w:val="es-ES_tradnl"/>
        </w:rPr>
        <w:t xml:space="preserve">las declaraciones </w:t>
      </w:r>
      <w:r w:rsidR="00A82AFA">
        <w:rPr>
          <w:lang w:val="es-ES_tradnl"/>
        </w:rPr>
        <w:t>de cuatro testigos,</w:t>
      </w:r>
      <w:r w:rsidR="009D52E0">
        <w:rPr>
          <w:lang w:val="es-ES_tradnl"/>
        </w:rPr>
        <w:t xml:space="preserve"> </w:t>
      </w:r>
      <w:r w:rsidR="00A82AFA">
        <w:rPr>
          <w:lang w:val="es-ES_tradnl"/>
        </w:rPr>
        <w:t xml:space="preserve">y </w:t>
      </w:r>
      <w:r w:rsidR="009D52E0">
        <w:rPr>
          <w:lang w:val="es-ES_tradnl"/>
        </w:rPr>
        <w:t>reiteró su postura respecto al rechazo del traslado de un peritaje</w:t>
      </w:r>
      <w:r w:rsidR="00A82AFA">
        <w:rPr>
          <w:lang w:val="es-ES_tradnl"/>
        </w:rPr>
        <w:t>.</w:t>
      </w:r>
    </w:p>
    <w:p w14:paraId="72AAF3EF" w14:textId="77777777" w:rsidR="005E37D4" w:rsidRPr="005E37D4" w:rsidRDefault="005E37D4" w:rsidP="005E37D4">
      <w:pPr>
        <w:rPr>
          <w:lang w:val="es-ES_tradnl"/>
        </w:rPr>
      </w:pPr>
    </w:p>
    <w:p w14:paraId="5EB94729" w14:textId="1DBC2B81" w:rsidR="005E37D4" w:rsidRDefault="005E37D4" w:rsidP="0060416C">
      <w:pPr>
        <w:pStyle w:val="Sinespaciado"/>
        <w:ind w:left="0" w:right="23" w:firstLine="0"/>
        <w:contextualSpacing w:val="0"/>
        <w:rPr>
          <w:lang w:val="es-ES_tradnl"/>
        </w:rPr>
      </w:pPr>
      <w:r>
        <w:rPr>
          <w:lang w:val="es-ES_tradnl"/>
        </w:rPr>
        <w:t>Los peritos recusados por el Estado y los representantes presentaron sus respuestas a las recusaciones en su contra.</w:t>
      </w:r>
    </w:p>
    <w:p w14:paraId="78C56AEA" w14:textId="7C397A53" w:rsidR="00325C8E" w:rsidRPr="00A16FFF" w:rsidRDefault="00325C8E" w:rsidP="00325C8E">
      <w:pPr>
        <w:pStyle w:val="Sinespaciado"/>
        <w:numPr>
          <w:ilvl w:val="0"/>
          <w:numId w:val="0"/>
        </w:numPr>
        <w:ind w:right="23"/>
        <w:contextualSpacing w:val="0"/>
        <w:rPr>
          <w:lang w:val="es-ES_tradnl"/>
        </w:rPr>
      </w:pPr>
    </w:p>
    <w:p w14:paraId="589DA984" w14:textId="6F0D6C60" w:rsidR="00766C3F" w:rsidRDefault="003D1F38" w:rsidP="0060416C">
      <w:pPr>
        <w:pStyle w:val="Sinespaciado"/>
        <w:ind w:left="0" w:right="23" w:firstLine="0"/>
        <w:contextualSpacing w:val="0"/>
        <w:rPr>
          <w:lang w:val="es-ES_tradnl"/>
        </w:rPr>
      </w:pPr>
      <w:r w:rsidRPr="00A16FFF">
        <w:rPr>
          <w:lang w:val="es-ES_tradnl"/>
        </w:rPr>
        <w:t>Por</w:t>
      </w:r>
      <w:r w:rsidR="00B91DF7" w:rsidRPr="00A16FFF">
        <w:rPr>
          <w:lang w:val="es-ES_tradnl"/>
        </w:rPr>
        <w:t xml:space="preserve"> </w:t>
      </w:r>
      <w:r w:rsidR="00766C3F" w:rsidRPr="00A16FFF">
        <w:rPr>
          <w:lang w:val="es-ES_tradnl"/>
        </w:rPr>
        <w:t>otra parte, la Presidenta advierte que la situación originada a causa de la pandemia por la propagación del COVID-19, cuyos efectos son de público conocimiento y persisten en la actualidad, conlleva obstáculos notorios para llevar a cabo una audiencia pública en la sede del Tribunal. Resulta incierto el momento en que dichos obstáculos, que constituyen razones de fuerz</w:t>
      </w:r>
      <w:r w:rsidR="005E37D4">
        <w:rPr>
          <w:lang w:val="es-ES_tradnl"/>
        </w:rPr>
        <w:t>a mayor, puedan ser subsanados.</w:t>
      </w:r>
    </w:p>
    <w:p w14:paraId="71039C9A" w14:textId="304A57D7" w:rsidR="005E37D4" w:rsidRPr="00A16FFF" w:rsidRDefault="005E37D4" w:rsidP="005E37D4">
      <w:pPr>
        <w:pStyle w:val="Sinespaciado"/>
        <w:numPr>
          <w:ilvl w:val="0"/>
          <w:numId w:val="0"/>
        </w:numPr>
        <w:ind w:right="23"/>
        <w:contextualSpacing w:val="0"/>
        <w:rPr>
          <w:lang w:val="es-ES_tradnl"/>
        </w:rPr>
      </w:pPr>
    </w:p>
    <w:p w14:paraId="1E4FBE7B" w14:textId="3DAEB13E" w:rsidR="00766C3F" w:rsidRDefault="00766C3F" w:rsidP="0060416C">
      <w:pPr>
        <w:pStyle w:val="Sinespaciado"/>
        <w:ind w:left="0" w:right="23" w:firstLine="0"/>
        <w:contextualSpacing w:val="0"/>
        <w:rPr>
          <w:lang w:val="es-ES_tradnl"/>
        </w:rPr>
      </w:pPr>
      <w:r w:rsidRPr="00A16FFF">
        <w:rPr>
          <w:lang w:val="es-ES_tradnl"/>
        </w:rPr>
        <w:t>En virtud de lo anterior, la Presidenta ha decidido, en consulta con el Pleno de la Corte, que es necesario convocar a una audiencia pública durante la cual se recibirán las declaraciones que sean admitidas para ser realizadas en la audiencia pública, así como los alegatos y observaciones finales orales, por medio de una plataforma de videoconferencia.</w:t>
      </w:r>
    </w:p>
    <w:p w14:paraId="71D2764E" w14:textId="51B1577D" w:rsidR="005E37D4" w:rsidRPr="00A16FFF" w:rsidRDefault="005E37D4" w:rsidP="005E37D4">
      <w:pPr>
        <w:pStyle w:val="Sinespaciado"/>
        <w:numPr>
          <w:ilvl w:val="0"/>
          <w:numId w:val="0"/>
        </w:numPr>
        <w:ind w:right="23"/>
        <w:contextualSpacing w:val="0"/>
        <w:rPr>
          <w:lang w:val="es-ES_tradnl"/>
        </w:rPr>
      </w:pPr>
    </w:p>
    <w:p w14:paraId="4308DB62" w14:textId="6919E403" w:rsidR="00E31FB7" w:rsidRPr="005E37D4" w:rsidRDefault="00E31FB7" w:rsidP="0060416C">
      <w:pPr>
        <w:pStyle w:val="Sinespaciado"/>
        <w:ind w:left="0" w:right="23" w:firstLine="0"/>
        <w:contextualSpacing w:val="0"/>
        <w:rPr>
          <w:lang w:val="es-ES_tradnl"/>
        </w:rPr>
      </w:pPr>
      <w:r w:rsidRPr="00A16FFF">
        <w:rPr>
          <w:lang w:val="es-ES_tradnl"/>
        </w:rPr>
        <w:t>La Presidenta considera conveniente recabar las declaraciones ofrecidas por las partes que no han sido objetadas a efecto de que el Tribunal aprecie su valor en la debida oportunidad procesal, dentro del contexto del acervo probatorio existente y según las reglas de la sana crítica. Por consiguiente, la Presidenta admite la</w:t>
      </w:r>
      <w:r w:rsidR="005E37D4">
        <w:rPr>
          <w:lang w:val="es-ES_tradnl"/>
        </w:rPr>
        <w:t>s declaraciones</w:t>
      </w:r>
      <w:r w:rsidRPr="00A16FFF">
        <w:rPr>
          <w:lang w:val="es-ES_tradnl"/>
        </w:rPr>
        <w:t xml:space="preserve"> de la</w:t>
      </w:r>
      <w:r w:rsidR="005E37D4">
        <w:rPr>
          <w:lang w:val="es-ES_tradnl"/>
        </w:rPr>
        <w:t>s</w:t>
      </w:r>
      <w:r w:rsidRPr="00A16FFF">
        <w:rPr>
          <w:lang w:val="es-ES_tradnl"/>
        </w:rPr>
        <w:t xml:space="preserve"> presunta</w:t>
      </w:r>
      <w:r w:rsidR="005E37D4">
        <w:rPr>
          <w:lang w:val="es-ES_tradnl"/>
        </w:rPr>
        <w:t>s</w:t>
      </w:r>
      <w:r w:rsidRPr="00A16FFF">
        <w:rPr>
          <w:lang w:val="es-ES_tradnl"/>
        </w:rPr>
        <w:t xml:space="preserve"> víctima</w:t>
      </w:r>
      <w:r w:rsidR="005E37D4">
        <w:rPr>
          <w:lang w:val="es-ES_tradnl"/>
        </w:rPr>
        <w:t>s Emilio Palacio Urrutia, César Enrique Pérez Barriga, Carlos Nicolás Pérez Lapentti</w:t>
      </w:r>
      <w:r w:rsidRPr="00A16FFF">
        <w:rPr>
          <w:lang w:val="es-ES_tradnl"/>
        </w:rPr>
        <w:t>,</w:t>
      </w:r>
      <w:r w:rsidR="005E37D4">
        <w:rPr>
          <w:lang w:val="es-ES_tradnl"/>
        </w:rPr>
        <w:t xml:space="preserve"> y Carlos Eduardo Pérez Barriga,</w:t>
      </w:r>
      <w:r w:rsidRPr="00A16FFF">
        <w:rPr>
          <w:lang w:val="es-ES_tradnl"/>
        </w:rPr>
        <w:t xml:space="preserve"> </w:t>
      </w:r>
      <w:r>
        <w:rPr>
          <w:lang w:val="es-ES_tradnl"/>
        </w:rPr>
        <w:t xml:space="preserve">y </w:t>
      </w:r>
      <w:r w:rsidRPr="00A16FFF">
        <w:rPr>
          <w:lang w:val="es-ES_tradnl"/>
        </w:rPr>
        <w:t>la</w:t>
      </w:r>
      <w:r w:rsidR="005E37D4">
        <w:rPr>
          <w:lang w:val="es-ES_tradnl"/>
        </w:rPr>
        <w:t>s declaraciones</w:t>
      </w:r>
      <w:r w:rsidRPr="00A16FFF">
        <w:rPr>
          <w:lang w:val="es-ES_tradnl"/>
        </w:rPr>
        <w:t xml:space="preserve"> pericial</w:t>
      </w:r>
      <w:r w:rsidR="005E37D4">
        <w:rPr>
          <w:lang w:val="es-ES_tradnl"/>
        </w:rPr>
        <w:t>es</w:t>
      </w:r>
      <w:r w:rsidRPr="00A16FFF">
        <w:rPr>
          <w:lang w:val="es-ES_tradnl"/>
        </w:rPr>
        <w:t xml:space="preserve"> de </w:t>
      </w:r>
      <w:r w:rsidR="005E37D4">
        <w:rPr>
          <w:lang w:val="es-ES_tradnl"/>
        </w:rPr>
        <w:t>Fausto Ortiz de la Cadena, Manuel García, y Juan José Fabre Plaza</w:t>
      </w:r>
      <w:r w:rsidRPr="00A16FFF">
        <w:rPr>
          <w:lang w:val="es-ES_tradnl"/>
        </w:rPr>
        <w:t>,</w:t>
      </w:r>
      <w:r>
        <w:rPr>
          <w:lang w:val="es-ES_tradnl"/>
        </w:rPr>
        <w:t xml:space="preserve"> </w:t>
      </w:r>
      <w:r w:rsidRPr="00A16FFF">
        <w:rPr>
          <w:lang w:val="es-ES_tradnl"/>
        </w:rPr>
        <w:t>todas propuestas por l</w:t>
      </w:r>
      <w:r>
        <w:rPr>
          <w:lang w:val="es-ES_tradnl"/>
        </w:rPr>
        <w:t>o</w:t>
      </w:r>
      <w:r w:rsidR="005E37D4">
        <w:rPr>
          <w:lang w:val="es-ES_tradnl"/>
        </w:rPr>
        <w:t>s representantes, y la declaración pericial de Gloria Paulina Serrano Ojeda, ofrecida por el Estado.</w:t>
      </w:r>
      <w:r w:rsidRPr="00A16FFF">
        <w:rPr>
          <w:lang w:val="es-ES_tradnl"/>
        </w:rPr>
        <w:t xml:space="preserve"> </w:t>
      </w:r>
      <w:r w:rsidRPr="00A16FFF">
        <w:rPr>
          <w:rFonts w:cs="Times New Roman"/>
          <w:lang w:val="es-ES_tradnl"/>
        </w:rPr>
        <w:t>El objeto y modalidad de esa</w:t>
      </w:r>
      <w:r>
        <w:rPr>
          <w:rFonts w:cs="Times New Roman"/>
          <w:lang w:val="es-ES_tradnl"/>
        </w:rPr>
        <w:t>s</w:t>
      </w:r>
      <w:r w:rsidRPr="00A16FFF">
        <w:rPr>
          <w:rFonts w:cs="Times New Roman"/>
          <w:lang w:val="es-ES_tradnl"/>
        </w:rPr>
        <w:t xml:space="preserve"> declaraci</w:t>
      </w:r>
      <w:r>
        <w:rPr>
          <w:rFonts w:cs="Times New Roman"/>
          <w:lang w:val="es-ES_tradnl"/>
        </w:rPr>
        <w:t>ones</w:t>
      </w:r>
      <w:r w:rsidRPr="00A16FFF">
        <w:rPr>
          <w:rFonts w:cs="Times New Roman"/>
          <w:lang w:val="es-ES_tradnl"/>
        </w:rPr>
        <w:t xml:space="preserve"> será</w:t>
      </w:r>
      <w:r>
        <w:rPr>
          <w:rFonts w:cs="Times New Roman"/>
          <w:lang w:val="es-ES_tradnl"/>
        </w:rPr>
        <w:t>n</w:t>
      </w:r>
      <w:r w:rsidRPr="00A16FFF">
        <w:rPr>
          <w:rFonts w:cs="Times New Roman"/>
          <w:lang w:val="es-ES_tradnl"/>
        </w:rPr>
        <w:t xml:space="preserve"> determinada</w:t>
      </w:r>
      <w:r>
        <w:rPr>
          <w:rFonts w:cs="Times New Roman"/>
          <w:lang w:val="es-ES_tradnl"/>
        </w:rPr>
        <w:t>s</w:t>
      </w:r>
      <w:r w:rsidRPr="00A16FFF">
        <w:rPr>
          <w:rFonts w:cs="Times New Roman"/>
          <w:lang w:val="es-ES_tradnl"/>
        </w:rPr>
        <w:t xml:space="preserve"> en la parte resolutiva</w:t>
      </w:r>
      <w:r>
        <w:rPr>
          <w:rFonts w:cs="Times New Roman"/>
          <w:lang w:val="es-ES_tradnl"/>
        </w:rPr>
        <w:t>.</w:t>
      </w:r>
    </w:p>
    <w:p w14:paraId="595A68D4" w14:textId="140FE694" w:rsidR="005E37D4" w:rsidRPr="00A16FFF" w:rsidRDefault="005E37D4" w:rsidP="005E37D4">
      <w:pPr>
        <w:pStyle w:val="Sinespaciado"/>
        <w:numPr>
          <w:ilvl w:val="0"/>
          <w:numId w:val="0"/>
        </w:numPr>
        <w:ind w:right="23"/>
        <w:contextualSpacing w:val="0"/>
        <w:rPr>
          <w:lang w:val="es-ES_tradnl"/>
        </w:rPr>
      </w:pPr>
    </w:p>
    <w:p w14:paraId="5C223F3F" w14:textId="5A226BBA" w:rsidR="00E97AA8" w:rsidRPr="00D26DFD" w:rsidRDefault="007F3AAA" w:rsidP="0060416C">
      <w:pPr>
        <w:pStyle w:val="Sinespaciado"/>
        <w:ind w:left="0" w:right="23" w:firstLine="0"/>
        <w:contextualSpacing w:val="0"/>
        <w:rPr>
          <w:lang w:val="es-ES_tradnl"/>
        </w:rPr>
      </w:pPr>
      <w:r w:rsidRPr="00A16FFF">
        <w:rPr>
          <w:lang w:val="es-ES_tradnl"/>
        </w:rPr>
        <w:t>Tomando en cuenta los alegatos de las partes y la Comisión</w:t>
      </w:r>
      <w:r w:rsidR="00A52D5F" w:rsidRPr="00A16FFF">
        <w:rPr>
          <w:lang w:val="es-ES_tradnl"/>
        </w:rPr>
        <w:t>, esta Presidencia</w:t>
      </w:r>
      <w:r w:rsidRPr="00A16FFF">
        <w:rPr>
          <w:lang w:val="es-ES_tradnl"/>
        </w:rPr>
        <w:t xml:space="preserve"> </w:t>
      </w:r>
      <w:r w:rsidR="00902AB2" w:rsidRPr="00A16FFF">
        <w:rPr>
          <w:lang w:val="es-ES_tradnl"/>
        </w:rPr>
        <w:t>procederá a examinar en forma particular:</w:t>
      </w:r>
      <w:r w:rsidR="00F20A17" w:rsidRPr="00A16FFF">
        <w:rPr>
          <w:lang w:val="es-ES_tradnl"/>
        </w:rPr>
        <w:t xml:space="preserve"> </w:t>
      </w:r>
      <w:r w:rsidR="00BF73D3" w:rsidRPr="00A16FFF">
        <w:rPr>
          <w:lang w:val="es-ES_tradnl"/>
        </w:rPr>
        <w:t xml:space="preserve">a) </w:t>
      </w:r>
      <w:r w:rsidR="00393673">
        <w:rPr>
          <w:lang w:val="es-ES_tradnl"/>
        </w:rPr>
        <w:t>la admisibilidad de la prueba pericial ofrecida por la Comisión</w:t>
      </w:r>
      <w:r w:rsidR="001409D0">
        <w:rPr>
          <w:lang w:val="es-ES_tradnl"/>
        </w:rPr>
        <w:t xml:space="preserve"> Interamericana</w:t>
      </w:r>
      <w:r w:rsidR="00393673">
        <w:rPr>
          <w:lang w:val="es-ES_tradnl"/>
        </w:rPr>
        <w:t>; b)</w:t>
      </w:r>
      <w:r w:rsidR="00BC6875">
        <w:rPr>
          <w:lang w:val="es-ES_tradnl"/>
        </w:rPr>
        <w:t xml:space="preserve"> </w:t>
      </w:r>
      <w:r w:rsidR="00095C3B">
        <w:rPr>
          <w:lang w:val="es-ES_tradnl"/>
        </w:rPr>
        <w:t xml:space="preserve">la </w:t>
      </w:r>
      <w:r w:rsidR="002F1900">
        <w:rPr>
          <w:lang w:val="es-ES_tradnl"/>
        </w:rPr>
        <w:t>admisibilidad de</w:t>
      </w:r>
      <w:r w:rsidR="00393673">
        <w:rPr>
          <w:lang w:val="es-ES_tradnl"/>
        </w:rPr>
        <w:t xml:space="preserve"> los testimonios de Leonardo Terán Parral, Gustavo Cortés </w:t>
      </w:r>
      <w:proofErr w:type="spellStart"/>
      <w:r w:rsidR="00393673">
        <w:rPr>
          <w:lang w:val="es-ES_tradnl"/>
        </w:rPr>
        <w:t>Galecio</w:t>
      </w:r>
      <w:proofErr w:type="spellEnd"/>
      <w:r w:rsidR="00393673">
        <w:rPr>
          <w:lang w:val="es-ES_tradnl"/>
        </w:rPr>
        <w:t xml:space="preserve">, Sugey </w:t>
      </w:r>
      <w:proofErr w:type="spellStart"/>
      <w:r w:rsidR="00393673">
        <w:rPr>
          <w:lang w:val="es-ES_tradnl"/>
        </w:rPr>
        <w:t>Hajjar</w:t>
      </w:r>
      <w:proofErr w:type="spellEnd"/>
      <w:r w:rsidR="00393673">
        <w:rPr>
          <w:lang w:val="es-ES_tradnl"/>
        </w:rPr>
        <w:t xml:space="preserve"> Sánchez, y </w:t>
      </w:r>
      <w:proofErr w:type="spellStart"/>
      <w:r w:rsidR="00393673">
        <w:rPr>
          <w:lang w:val="es-ES_tradnl"/>
        </w:rPr>
        <w:t>Mindy</w:t>
      </w:r>
      <w:proofErr w:type="spellEnd"/>
      <w:r w:rsidR="00393673">
        <w:rPr>
          <w:lang w:val="es-ES_tradnl"/>
        </w:rPr>
        <w:t xml:space="preserve"> </w:t>
      </w:r>
      <w:r w:rsidR="00C40501">
        <w:rPr>
          <w:lang w:val="es-ES_tradnl"/>
        </w:rPr>
        <w:t xml:space="preserve">de </w:t>
      </w:r>
      <w:r w:rsidR="00393673">
        <w:rPr>
          <w:lang w:val="es-ES_tradnl"/>
        </w:rPr>
        <w:t>Palacio</w:t>
      </w:r>
      <w:r w:rsidR="00482043">
        <w:rPr>
          <w:lang w:val="es-ES_tradnl"/>
        </w:rPr>
        <w:t>, y</w:t>
      </w:r>
      <w:r w:rsidR="002F1900">
        <w:rPr>
          <w:lang w:val="es-ES_tradnl"/>
        </w:rPr>
        <w:t xml:space="preserve"> de </w:t>
      </w:r>
      <w:r w:rsidR="00607534" w:rsidRPr="00A16FFF">
        <w:rPr>
          <w:lang w:val="es-ES_tradnl"/>
        </w:rPr>
        <w:t>l</w:t>
      </w:r>
      <w:r w:rsidR="00393673">
        <w:rPr>
          <w:lang w:val="es-ES_tradnl"/>
        </w:rPr>
        <w:t>os</w:t>
      </w:r>
      <w:r w:rsidR="00607534" w:rsidRPr="00A16FFF">
        <w:rPr>
          <w:lang w:val="es-ES_tradnl"/>
        </w:rPr>
        <w:t xml:space="preserve"> peritaje</w:t>
      </w:r>
      <w:r w:rsidR="00393673">
        <w:rPr>
          <w:lang w:val="es-ES_tradnl"/>
        </w:rPr>
        <w:t>s</w:t>
      </w:r>
      <w:r w:rsidR="00607534" w:rsidRPr="00A16FFF">
        <w:rPr>
          <w:lang w:val="es-ES_tradnl"/>
        </w:rPr>
        <w:t xml:space="preserve"> de</w:t>
      </w:r>
      <w:r w:rsidR="00095C3B">
        <w:rPr>
          <w:lang w:val="es-ES_tradnl"/>
        </w:rPr>
        <w:t xml:space="preserve"> Juan Pablo Albán</w:t>
      </w:r>
      <w:r w:rsidR="00095C3B" w:rsidRPr="00A16FFF">
        <w:rPr>
          <w:lang w:val="es-ES_tradnl"/>
        </w:rPr>
        <w:t xml:space="preserve"> </w:t>
      </w:r>
      <w:proofErr w:type="spellStart"/>
      <w:r w:rsidR="004E1BAE">
        <w:rPr>
          <w:lang w:val="es-ES_tradnl"/>
        </w:rPr>
        <w:t>Alencastro</w:t>
      </w:r>
      <w:proofErr w:type="spellEnd"/>
      <w:r w:rsidR="004E1BAE">
        <w:rPr>
          <w:lang w:val="es-ES_tradnl"/>
        </w:rPr>
        <w:t xml:space="preserve"> </w:t>
      </w:r>
      <w:r w:rsidR="00095C3B">
        <w:rPr>
          <w:lang w:val="es-ES_tradnl"/>
        </w:rPr>
        <w:t>y</w:t>
      </w:r>
      <w:r w:rsidR="00607534" w:rsidRPr="00A16FFF">
        <w:rPr>
          <w:lang w:val="es-ES_tradnl"/>
        </w:rPr>
        <w:t xml:space="preserve"> </w:t>
      </w:r>
      <w:r w:rsidR="00095C3B">
        <w:rPr>
          <w:lang w:val="es-ES_tradnl"/>
        </w:rPr>
        <w:t>Santiago Cantón</w:t>
      </w:r>
      <w:r w:rsidR="00482043">
        <w:rPr>
          <w:lang w:val="es-ES_tradnl"/>
        </w:rPr>
        <w:t>,</w:t>
      </w:r>
      <w:r w:rsidR="00482043" w:rsidRPr="00A16FFF">
        <w:rPr>
          <w:lang w:val="es-ES_tradnl"/>
        </w:rPr>
        <w:t xml:space="preserve"> ofrecido</w:t>
      </w:r>
      <w:r w:rsidR="00482043">
        <w:rPr>
          <w:lang w:val="es-ES_tradnl"/>
        </w:rPr>
        <w:t>s</w:t>
      </w:r>
      <w:r w:rsidR="00482043" w:rsidRPr="00A16FFF">
        <w:rPr>
          <w:lang w:val="es-ES_tradnl"/>
        </w:rPr>
        <w:t xml:space="preserve"> por l</w:t>
      </w:r>
      <w:r w:rsidR="00482043">
        <w:rPr>
          <w:lang w:val="es-ES_tradnl"/>
        </w:rPr>
        <w:t>o</w:t>
      </w:r>
      <w:r w:rsidR="00482043" w:rsidRPr="00A16FFF">
        <w:rPr>
          <w:lang w:val="es-ES_tradnl"/>
        </w:rPr>
        <w:t>s representantes</w:t>
      </w:r>
      <w:r w:rsidR="00482043">
        <w:rPr>
          <w:lang w:val="es-ES_tradnl"/>
        </w:rPr>
        <w:t>,</w:t>
      </w:r>
      <w:r w:rsidR="002F1900">
        <w:rPr>
          <w:lang w:val="es-ES_tradnl"/>
        </w:rPr>
        <w:t xml:space="preserve"> </w:t>
      </w:r>
      <w:r w:rsidR="00095C3B">
        <w:rPr>
          <w:lang w:val="es-ES_tradnl"/>
        </w:rPr>
        <w:t>así como</w:t>
      </w:r>
      <w:r w:rsidR="00BC6875">
        <w:rPr>
          <w:lang w:val="es-ES_tradnl"/>
        </w:rPr>
        <w:t xml:space="preserve"> </w:t>
      </w:r>
      <w:r w:rsidR="00393673">
        <w:rPr>
          <w:lang w:val="es-ES_tradnl"/>
        </w:rPr>
        <w:t>la solicitud de traslado de un peritaje</w:t>
      </w:r>
      <w:r w:rsidR="00C74CCD" w:rsidRPr="00A16FFF">
        <w:rPr>
          <w:lang w:val="es-ES_tradnl"/>
        </w:rPr>
        <w:t xml:space="preserve">; </w:t>
      </w:r>
      <w:r w:rsidR="00240830">
        <w:rPr>
          <w:lang w:val="es-ES_tradnl"/>
        </w:rPr>
        <w:t>c</w:t>
      </w:r>
      <w:r w:rsidR="00BF73D3" w:rsidRPr="00A16FFF">
        <w:rPr>
          <w:lang w:val="es-ES_tradnl"/>
        </w:rPr>
        <w:t>)</w:t>
      </w:r>
      <w:r w:rsidR="00095C3B">
        <w:rPr>
          <w:lang w:val="es-ES_tradnl"/>
        </w:rPr>
        <w:t xml:space="preserve"> la</w:t>
      </w:r>
      <w:r w:rsidR="00BF73D3" w:rsidRPr="00A16FFF">
        <w:rPr>
          <w:lang w:val="es-ES_tradnl"/>
        </w:rPr>
        <w:t xml:space="preserve"> </w:t>
      </w:r>
      <w:r w:rsidR="002F1900">
        <w:rPr>
          <w:lang w:val="es-ES_tradnl"/>
        </w:rPr>
        <w:t>admisibilidad</w:t>
      </w:r>
      <w:r w:rsidR="00393673">
        <w:rPr>
          <w:lang w:val="es-ES_tradnl"/>
        </w:rPr>
        <w:t xml:space="preserve"> del peritaje de Mauricio Santiago Sosa</w:t>
      </w:r>
      <w:r w:rsidR="008E5D6A">
        <w:rPr>
          <w:lang w:val="es-ES_tradnl"/>
        </w:rPr>
        <w:t xml:space="preserve"> Chiriboga</w:t>
      </w:r>
      <w:r w:rsidR="00095C3B">
        <w:rPr>
          <w:lang w:val="es-ES_tradnl"/>
        </w:rPr>
        <w:t>, ofrecido por el Estado</w:t>
      </w:r>
      <w:r w:rsidR="00B17E2B">
        <w:rPr>
          <w:lang w:val="es-ES_tradnl"/>
        </w:rPr>
        <w:t>,</w:t>
      </w:r>
      <w:r w:rsidR="00240830">
        <w:rPr>
          <w:lang w:val="es-ES_tradnl"/>
        </w:rPr>
        <w:t xml:space="preserve"> y d</w:t>
      </w:r>
      <w:r w:rsidR="00A93BB6">
        <w:rPr>
          <w:lang w:val="es-ES_tradnl"/>
        </w:rPr>
        <w:t xml:space="preserve">) </w:t>
      </w:r>
      <w:r w:rsidR="00A93BB6">
        <w:t>la solicitud de la Comisión de interrogar a los peritos propuestos por los representantes</w:t>
      </w:r>
      <w:r w:rsidR="00DF62D2" w:rsidRPr="00A16FFF">
        <w:rPr>
          <w:rFonts w:eastAsia="Calibri" w:cs="Verdana"/>
          <w:lang w:val="es-ES_tradnl"/>
        </w:rPr>
        <w:t>.</w:t>
      </w:r>
    </w:p>
    <w:p w14:paraId="565F08CE" w14:textId="019CB8EB" w:rsidR="00D26DFD" w:rsidRPr="00A16FFF" w:rsidRDefault="00D26DFD" w:rsidP="00D26DFD">
      <w:pPr>
        <w:pStyle w:val="Sinespaciado"/>
        <w:numPr>
          <w:ilvl w:val="0"/>
          <w:numId w:val="0"/>
        </w:numPr>
        <w:ind w:right="23"/>
        <w:contextualSpacing w:val="0"/>
        <w:rPr>
          <w:lang w:val="es-ES_tradnl"/>
        </w:rPr>
      </w:pPr>
    </w:p>
    <w:p w14:paraId="0602A350" w14:textId="2CC771D1" w:rsidR="00D26DFD" w:rsidRPr="00205B18" w:rsidRDefault="00607534" w:rsidP="00D26DFD">
      <w:pPr>
        <w:pStyle w:val="Ttulo1"/>
        <w:ind w:left="1134" w:hanging="567"/>
        <w:rPr>
          <w:lang w:val="es-ES_tradnl"/>
        </w:rPr>
      </w:pPr>
      <w:r w:rsidRPr="00205B18">
        <w:rPr>
          <w:lang w:val="es-ES_tradnl"/>
        </w:rPr>
        <w:t xml:space="preserve">Admisibilidad </w:t>
      </w:r>
      <w:r w:rsidR="001409D0" w:rsidRPr="00205B18">
        <w:rPr>
          <w:lang w:val="es-ES_tradnl"/>
        </w:rPr>
        <w:t>de la prueba pericial ofrecida por la Comisión Interamericana</w:t>
      </w:r>
    </w:p>
    <w:p w14:paraId="7F8BF9E5" w14:textId="77777777" w:rsidR="00D26DFD" w:rsidRPr="00D26DFD" w:rsidRDefault="00D26DFD" w:rsidP="00D26DFD">
      <w:pPr>
        <w:rPr>
          <w:highlight w:val="yellow"/>
          <w:lang w:val="es-ES_tradnl"/>
        </w:rPr>
      </w:pPr>
    </w:p>
    <w:p w14:paraId="32C301CE" w14:textId="0CFF7228" w:rsidR="00DB3AFF" w:rsidRPr="00DB3AFF" w:rsidRDefault="00D26DFD" w:rsidP="00D26DFD">
      <w:pPr>
        <w:pStyle w:val="Sinespaciado"/>
        <w:ind w:left="0" w:firstLine="0"/>
        <w:rPr>
          <w:lang w:val="es-CL"/>
        </w:rPr>
      </w:pPr>
      <w:r w:rsidRPr="00D26DFD">
        <w:lastRenderedPageBreak/>
        <w:t xml:space="preserve">La </w:t>
      </w:r>
      <w:r w:rsidRPr="00D26DFD">
        <w:rPr>
          <w:b/>
          <w:i/>
        </w:rPr>
        <w:t>Comisión</w:t>
      </w:r>
      <w:r w:rsidR="001409D0">
        <w:t xml:space="preserve"> ofreció, como prueba pericial, </w:t>
      </w:r>
      <w:r w:rsidRPr="00D26DFD">
        <w:t>las declaraciones de</w:t>
      </w:r>
      <w:r w:rsidR="001409D0">
        <w:t xml:space="preserve"> </w:t>
      </w:r>
      <w:proofErr w:type="spellStart"/>
      <w:r w:rsidR="001409D0">
        <w:t>Toby</w:t>
      </w:r>
      <w:proofErr w:type="spellEnd"/>
      <w:r w:rsidR="001409D0">
        <w:t xml:space="preserve"> Daniel Mendel</w:t>
      </w:r>
      <w:r w:rsidR="003B2EF4">
        <w:rPr>
          <w:rStyle w:val="Refdenotaalpie"/>
        </w:rPr>
        <w:footnoteReference w:id="1"/>
      </w:r>
      <w:r w:rsidR="001409D0">
        <w:t xml:space="preserve"> y Leandro </w:t>
      </w:r>
      <w:proofErr w:type="spellStart"/>
      <w:r w:rsidR="001409D0">
        <w:t>Despouy</w:t>
      </w:r>
      <w:proofErr w:type="spellEnd"/>
      <w:r w:rsidRPr="009A4354">
        <w:rPr>
          <w:rStyle w:val="Refdenotaalpie"/>
          <w:rFonts w:cs="Arial"/>
        </w:rPr>
        <w:footnoteReference w:id="2"/>
      </w:r>
      <w:r w:rsidRPr="00D26DFD">
        <w:t>, indicó el objeto de su declaración, y adjuntó su</w:t>
      </w:r>
      <w:r w:rsidR="00095C3B">
        <w:t>s</w:t>
      </w:r>
      <w:r w:rsidRPr="00D26DFD">
        <w:t xml:space="preserve"> hoja</w:t>
      </w:r>
      <w:r w:rsidR="00095C3B">
        <w:t>s</w:t>
      </w:r>
      <w:r w:rsidRPr="00D26DFD">
        <w:t xml:space="preserve"> de vida.</w:t>
      </w:r>
      <w:r w:rsidR="00DB3AFF">
        <w:t xml:space="preserve"> Posteriormente, la Comisión solicitó a la Corte la sustitución del perito propuesto, Leandro </w:t>
      </w:r>
      <w:proofErr w:type="spellStart"/>
      <w:r w:rsidR="00DB3AFF">
        <w:t>Despouy</w:t>
      </w:r>
      <w:proofErr w:type="spellEnd"/>
      <w:r w:rsidR="00DB3AFF">
        <w:t>, debido a su fa</w:t>
      </w:r>
      <w:r w:rsidR="00095C3B">
        <w:t xml:space="preserve">llecimiento, por Marina </w:t>
      </w:r>
      <w:proofErr w:type="spellStart"/>
      <w:r w:rsidR="00095C3B">
        <w:t>Brilman</w:t>
      </w:r>
      <w:proofErr w:type="spellEnd"/>
      <w:r w:rsidR="00DB3AFF">
        <w:t>.</w:t>
      </w:r>
      <w:r w:rsidRPr="00D26DFD">
        <w:rPr>
          <w:rFonts w:cs="Verdana"/>
          <w:lang w:bidi="en-US"/>
        </w:rPr>
        <w:t xml:space="preserve"> </w:t>
      </w:r>
      <w:r w:rsidR="00DB3AFF">
        <w:rPr>
          <w:rFonts w:cs="Verdana"/>
          <w:lang w:bidi="en-US"/>
        </w:rPr>
        <w:t xml:space="preserve">Los </w:t>
      </w:r>
      <w:r w:rsidR="00DB3AFF" w:rsidRPr="00DB3AFF">
        <w:rPr>
          <w:rFonts w:cs="Verdana"/>
          <w:b/>
          <w:i/>
          <w:lang w:bidi="en-US"/>
        </w:rPr>
        <w:t>representantes</w:t>
      </w:r>
      <w:r w:rsidR="00DB3AFF">
        <w:rPr>
          <w:rFonts w:cs="Verdana"/>
          <w:lang w:bidi="en-US"/>
        </w:rPr>
        <w:t xml:space="preserve"> manifestaron estar de acuerdo en la lista de declarantes ofrecida por la Comisión, así como en la sustitución del perito. </w:t>
      </w:r>
      <w:r w:rsidR="00DB3AFF">
        <w:t>E</w:t>
      </w:r>
      <w:r w:rsidRPr="00D26DFD">
        <w:t xml:space="preserve">l </w:t>
      </w:r>
      <w:r w:rsidRPr="00D26DFD">
        <w:rPr>
          <w:b/>
          <w:i/>
        </w:rPr>
        <w:t>Estado</w:t>
      </w:r>
      <w:r w:rsidR="00DB3AFF">
        <w:t xml:space="preserve"> manifestó que no habría sido traslad</w:t>
      </w:r>
      <w:r w:rsidR="000E3401">
        <w:t xml:space="preserve">ada la hoja de vida de la señora </w:t>
      </w:r>
      <w:proofErr w:type="spellStart"/>
      <w:r w:rsidR="000E3401">
        <w:t>Brilman</w:t>
      </w:r>
      <w:proofErr w:type="spellEnd"/>
      <w:r w:rsidR="00DB3AFF">
        <w:t xml:space="preserve"> propuesta por la Comisión, por lo que </w:t>
      </w:r>
      <w:r w:rsidR="00095C3B">
        <w:t>solicitó</w:t>
      </w:r>
      <w:r w:rsidR="00DB3AFF">
        <w:t xml:space="preserve"> que la misma le fuera notificada para poder presentar sus observaciones</w:t>
      </w:r>
      <w:r w:rsidR="002D4465">
        <w:t xml:space="preserve"> en un nuevo plazo</w:t>
      </w:r>
      <w:r w:rsidR="00DB3AFF">
        <w:t>.</w:t>
      </w:r>
    </w:p>
    <w:p w14:paraId="4DF6B01C" w14:textId="77777777" w:rsidR="00DB3AFF" w:rsidRPr="00DB3AFF" w:rsidRDefault="00DB3AFF" w:rsidP="00DB3AFF">
      <w:pPr>
        <w:pStyle w:val="Sinespaciado"/>
        <w:numPr>
          <w:ilvl w:val="0"/>
          <w:numId w:val="0"/>
        </w:numPr>
        <w:rPr>
          <w:lang w:val="es-CL"/>
        </w:rPr>
      </w:pPr>
    </w:p>
    <w:p w14:paraId="088498CE" w14:textId="2659902F" w:rsidR="00DB3AFF" w:rsidRPr="00DB3AFF" w:rsidRDefault="00DB3AFF" w:rsidP="00D26DFD">
      <w:pPr>
        <w:pStyle w:val="Sinespaciado"/>
        <w:ind w:left="0" w:firstLine="0"/>
        <w:rPr>
          <w:lang w:val="es-CL"/>
        </w:rPr>
      </w:pPr>
      <w:r>
        <w:rPr>
          <w:lang w:val="es-CL"/>
        </w:rPr>
        <w:t xml:space="preserve">En relación con lo anterior, la Presidenta </w:t>
      </w:r>
      <w:r w:rsidR="000E3401">
        <w:rPr>
          <w:lang w:val="es-CL"/>
        </w:rPr>
        <w:t>nota que, t</w:t>
      </w:r>
      <w:r w:rsidR="002D4465">
        <w:rPr>
          <w:lang w:val="es-CL"/>
        </w:rPr>
        <w:t>al como fue indicado</w:t>
      </w:r>
      <w:r w:rsidR="000E3401">
        <w:rPr>
          <w:lang w:val="es-CL"/>
        </w:rPr>
        <w:t xml:space="preserve"> mediante carta de la Secretaría </w:t>
      </w:r>
      <w:r w:rsidR="002D4465">
        <w:rPr>
          <w:lang w:val="es-CL"/>
        </w:rPr>
        <w:t xml:space="preserve">de la Corte </w:t>
      </w:r>
      <w:r w:rsidR="000E3401">
        <w:rPr>
          <w:lang w:val="es-CL"/>
        </w:rPr>
        <w:t xml:space="preserve">de </w:t>
      </w:r>
      <w:r w:rsidR="002D4465">
        <w:rPr>
          <w:lang w:val="es-CL"/>
        </w:rPr>
        <w:t xml:space="preserve">23 de febrero de 2021, la hoja de vida de la señora </w:t>
      </w:r>
      <w:proofErr w:type="spellStart"/>
      <w:r w:rsidR="002D4465">
        <w:rPr>
          <w:lang w:val="es-CL"/>
        </w:rPr>
        <w:t>Brilman</w:t>
      </w:r>
      <w:proofErr w:type="spellEnd"/>
      <w:r w:rsidR="002D4465">
        <w:rPr>
          <w:lang w:val="es-CL"/>
        </w:rPr>
        <w:t xml:space="preserve"> fue transmitida al Estado el 18 de febrero de 2020, junto con la notificación de la solicitud de sustitución del perito </w:t>
      </w:r>
      <w:proofErr w:type="spellStart"/>
      <w:r w:rsidR="002D4465">
        <w:rPr>
          <w:lang w:val="es-CL"/>
        </w:rPr>
        <w:t>Despo</w:t>
      </w:r>
      <w:r w:rsidR="00234D9B">
        <w:rPr>
          <w:lang w:val="es-CL"/>
        </w:rPr>
        <w:t>u</w:t>
      </w:r>
      <w:r w:rsidR="002D4465">
        <w:rPr>
          <w:lang w:val="es-CL"/>
        </w:rPr>
        <w:t>y</w:t>
      </w:r>
      <w:proofErr w:type="spellEnd"/>
      <w:r w:rsidR="002D4465">
        <w:rPr>
          <w:lang w:val="es-CL"/>
        </w:rPr>
        <w:t>, presentada por la Comisión</w:t>
      </w:r>
      <w:r w:rsidR="00561A41">
        <w:rPr>
          <w:lang w:val="es-CL"/>
        </w:rPr>
        <w:t>, por lo que no resultab</w:t>
      </w:r>
      <w:r w:rsidR="002D4465">
        <w:rPr>
          <w:lang w:val="es-CL"/>
        </w:rPr>
        <w:t>a procedente su solicitud de ampliación del plazo para la presentación de ob</w:t>
      </w:r>
      <w:r w:rsidR="00C40501">
        <w:rPr>
          <w:lang w:val="es-CL"/>
        </w:rPr>
        <w:t>servaciones</w:t>
      </w:r>
      <w:r w:rsidR="002D4465">
        <w:rPr>
          <w:lang w:val="es-CL"/>
        </w:rPr>
        <w:t>.</w:t>
      </w:r>
      <w:r w:rsidR="00561A41">
        <w:rPr>
          <w:lang w:val="es-CL"/>
        </w:rPr>
        <w:t xml:space="preserve"> De esta forma, el Estado contó con amplias posibilidades para presentar sus observaciones a la solicitud de sustitución del perito de la Comisión.</w:t>
      </w:r>
      <w:r w:rsidR="002D4465">
        <w:rPr>
          <w:lang w:val="es-CL"/>
        </w:rPr>
        <w:t xml:space="preserve"> Asimismo, </w:t>
      </w:r>
      <w:r w:rsidR="003B2EF4">
        <w:rPr>
          <w:lang w:val="es-CL"/>
        </w:rPr>
        <w:t>la Presidenta</w:t>
      </w:r>
      <w:r w:rsidR="002D4465">
        <w:rPr>
          <w:lang w:val="es-CL"/>
        </w:rPr>
        <w:t xml:space="preserve"> </w:t>
      </w:r>
      <w:r w:rsidR="00561A41">
        <w:rPr>
          <w:lang w:val="es-CL"/>
        </w:rPr>
        <w:t xml:space="preserve">hace notar que </w:t>
      </w:r>
      <w:r w:rsidR="00095C3B">
        <w:rPr>
          <w:lang w:val="es-CL"/>
        </w:rPr>
        <w:t>la Comisión explicó</w:t>
      </w:r>
      <w:r w:rsidR="00561A41">
        <w:rPr>
          <w:lang w:val="es-CL"/>
        </w:rPr>
        <w:t xml:space="preserve"> que la sustitución del perito se debió a que el mismo había fallecido, individualizaron a la señora </w:t>
      </w:r>
      <w:proofErr w:type="spellStart"/>
      <w:r w:rsidR="00561A41">
        <w:rPr>
          <w:lang w:val="es-CL"/>
        </w:rPr>
        <w:t>Brilman</w:t>
      </w:r>
      <w:proofErr w:type="spellEnd"/>
      <w:r w:rsidR="00561A41">
        <w:rPr>
          <w:lang w:val="es-CL"/>
        </w:rPr>
        <w:t xml:space="preserve"> como </w:t>
      </w:r>
      <w:r w:rsidR="00205B18">
        <w:rPr>
          <w:lang w:val="es-CL"/>
        </w:rPr>
        <w:t xml:space="preserve">la </w:t>
      </w:r>
      <w:r w:rsidR="00561A41">
        <w:rPr>
          <w:lang w:val="es-CL"/>
        </w:rPr>
        <w:t>perita</w:t>
      </w:r>
      <w:r w:rsidR="00205B18">
        <w:rPr>
          <w:lang w:val="es-CL"/>
        </w:rPr>
        <w:t xml:space="preserve"> que le sustituiría</w:t>
      </w:r>
      <w:r w:rsidR="00561A41">
        <w:rPr>
          <w:lang w:val="es-CL"/>
        </w:rPr>
        <w:t xml:space="preserve">, e indicaron que el objeto de su declaración sería el mismo que aquel ofrecido inicialmente. En ese sentido, </w:t>
      </w:r>
      <w:r w:rsidR="00ED2826">
        <w:rPr>
          <w:lang w:val="es-CL"/>
        </w:rPr>
        <w:t>la Presidenta considera cumplidos</w:t>
      </w:r>
      <w:r w:rsidR="00561A41">
        <w:rPr>
          <w:lang w:val="es-CL"/>
        </w:rPr>
        <w:t xml:space="preserve"> los requisitos previstos en el artículo 49 del Reglamento</w:t>
      </w:r>
      <w:r w:rsidR="00C40501">
        <w:rPr>
          <w:lang w:val="es-CL"/>
        </w:rPr>
        <w:t xml:space="preserve"> de la Corte</w:t>
      </w:r>
      <w:r w:rsidR="00C40501">
        <w:rPr>
          <w:rStyle w:val="Refdenotaalpie"/>
          <w:lang w:val="es-CL"/>
        </w:rPr>
        <w:footnoteReference w:id="3"/>
      </w:r>
      <w:r w:rsidR="00205B18">
        <w:rPr>
          <w:lang w:val="es-CL"/>
        </w:rPr>
        <w:t xml:space="preserve"> para la sustitución de declarantes</w:t>
      </w:r>
      <w:r w:rsidR="00561A41">
        <w:rPr>
          <w:lang w:val="es-CL"/>
        </w:rPr>
        <w:t xml:space="preserve">, </w:t>
      </w:r>
      <w:r w:rsidR="00ED2826">
        <w:rPr>
          <w:lang w:val="es-CL"/>
        </w:rPr>
        <w:t>por lo que</w:t>
      </w:r>
      <w:r w:rsidR="00205B18">
        <w:rPr>
          <w:lang w:val="es-CL"/>
        </w:rPr>
        <w:t xml:space="preserve"> admite la sustitución</w:t>
      </w:r>
      <w:r w:rsidR="003B2EF4">
        <w:rPr>
          <w:lang w:val="es-CL"/>
        </w:rPr>
        <w:t xml:space="preserve"> en el ofrecimiento</w:t>
      </w:r>
      <w:r w:rsidR="00205B18">
        <w:rPr>
          <w:lang w:val="es-CL"/>
        </w:rPr>
        <w:t xml:space="preserve"> del peritaje de Leandro </w:t>
      </w:r>
      <w:proofErr w:type="spellStart"/>
      <w:r w:rsidR="00205B18">
        <w:rPr>
          <w:lang w:val="es-CL"/>
        </w:rPr>
        <w:t>Despouy</w:t>
      </w:r>
      <w:proofErr w:type="spellEnd"/>
      <w:r w:rsidR="00205B18">
        <w:rPr>
          <w:lang w:val="es-CL"/>
        </w:rPr>
        <w:t xml:space="preserve"> por el de Marina </w:t>
      </w:r>
      <w:proofErr w:type="spellStart"/>
      <w:r w:rsidR="00205B18">
        <w:rPr>
          <w:lang w:val="es-CL"/>
        </w:rPr>
        <w:t>Brilman</w:t>
      </w:r>
      <w:proofErr w:type="spellEnd"/>
      <w:r w:rsidR="00205B18">
        <w:rPr>
          <w:lang w:val="es-CL"/>
        </w:rPr>
        <w:t>.</w:t>
      </w:r>
    </w:p>
    <w:p w14:paraId="3E3D746E" w14:textId="77777777" w:rsidR="00DB3AFF" w:rsidRDefault="00DB3AFF" w:rsidP="00DB3AFF">
      <w:pPr>
        <w:pStyle w:val="Sinespaciado"/>
        <w:numPr>
          <w:ilvl w:val="0"/>
          <w:numId w:val="0"/>
        </w:numPr>
        <w:rPr>
          <w:lang w:val="es-CL"/>
        </w:rPr>
      </w:pPr>
    </w:p>
    <w:p w14:paraId="1CB0F7F5" w14:textId="54399BC3" w:rsidR="00D26DFD" w:rsidRPr="00C40501" w:rsidRDefault="0089559C" w:rsidP="00D26DFD">
      <w:pPr>
        <w:pStyle w:val="Sinespaciado"/>
        <w:ind w:left="0" w:firstLine="0"/>
        <w:rPr>
          <w:lang w:val="es-CL"/>
        </w:rPr>
      </w:pPr>
      <w:r w:rsidRPr="00C40501">
        <w:rPr>
          <w:lang w:val="es-CL"/>
        </w:rPr>
        <w:t>Dicho lo anterior, l</w:t>
      </w:r>
      <w:r w:rsidR="00DB3AFF" w:rsidRPr="00C40501">
        <w:t>a Presidenta</w:t>
      </w:r>
      <w:r w:rsidR="00D26DFD" w:rsidRPr="00C40501">
        <w:t xml:space="preserve"> procederá a analizar la admisibilidad de</w:t>
      </w:r>
      <w:r w:rsidR="00DB3AFF" w:rsidRPr="00C40501">
        <w:t xml:space="preserve"> </w:t>
      </w:r>
      <w:r w:rsidR="00D26DFD" w:rsidRPr="00C40501">
        <w:t>l</w:t>
      </w:r>
      <w:r w:rsidR="00DB3AFF" w:rsidRPr="00C40501">
        <w:t>os</w:t>
      </w:r>
      <w:r w:rsidR="00D26DFD" w:rsidRPr="00C40501">
        <w:t xml:space="preserve"> peritaje</w:t>
      </w:r>
      <w:r w:rsidR="00DB3AFF" w:rsidRPr="00C40501">
        <w:t>s</w:t>
      </w:r>
      <w:r w:rsidR="00D26DFD" w:rsidRPr="00C40501">
        <w:t xml:space="preserve"> </w:t>
      </w:r>
      <w:r w:rsidR="00DB3AFF" w:rsidRPr="00C40501">
        <w:t>ofrecidos</w:t>
      </w:r>
      <w:r w:rsidR="00205B18" w:rsidRPr="00C40501">
        <w:t xml:space="preserve"> por la Comisión,</w:t>
      </w:r>
      <w:r w:rsidR="00DB3AFF" w:rsidRPr="00C40501">
        <w:t xml:space="preserve"> </w:t>
      </w:r>
      <w:r w:rsidR="00D26DFD" w:rsidRPr="00C40501">
        <w:rPr>
          <w:lang w:val="es-ES_tradnl"/>
        </w:rPr>
        <w:t>con fundamento en el artículo 35.1.f del Reglamento de la Corte</w:t>
      </w:r>
      <w:r w:rsidR="00D26DFD" w:rsidRPr="00C40501">
        <w:rPr>
          <w:vertAlign w:val="superscript"/>
          <w:lang w:val="es-ES_tradnl"/>
        </w:rPr>
        <w:footnoteReference w:id="4"/>
      </w:r>
      <w:r w:rsidR="00D26DFD" w:rsidRPr="00C40501">
        <w:rPr>
          <w:lang w:val="es-ES_tradnl"/>
        </w:rPr>
        <w:t>, en donde se supedita el eventual ofrecimiento de peritos cuando se afecte de manera relevante el orden público interamericano de los derechos humanos, lo cual corresponde a la Comisión sustentar</w:t>
      </w:r>
      <w:r w:rsidR="00D26DFD" w:rsidRPr="00C40501">
        <w:rPr>
          <w:vertAlign w:val="superscript"/>
          <w:lang w:val="es-ES_tradnl"/>
        </w:rPr>
        <w:footnoteReference w:id="5"/>
      </w:r>
      <w:r w:rsidR="00D26DFD" w:rsidRPr="00C40501">
        <w:t>.</w:t>
      </w:r>
    </w:p>
    <w:p w14:paraId="4C2532BE" w14:textId="77777777" w:rsidR="00D26DFD" w:rsidRPr="009A4354" w:rsidRDefault="00D26DFD" w:rsidP="00D26DFD">
      <w:pPr>
        <w:pStyle w:val="Prrafodelista"/>
        <w:spacing w:line="240" w:lineRule="auto"/>
        <w:ind w:left="0"/>
        <w:jc w:val="both"/>
        <w:rPr>
          <w:rFonts w:cs="Arial"/>
          <w:lang w:val="es-CL"/>
        </w:rPr>
      </w:pPr>
    </w:p>
    <w:p w14:paraId="4A187A77" w14:textId="53E2E41D" w:rsidR="00D26DFD" w:rsidRPr="00205B18" w:rsidRDefault="00D26DFD" w:rsidP="00DB3AFF">
      <w:pPr>
        <w:pStyle w:val="Sinespaciado"/>
        <w:ind w:left="0" w:firstLine="0"/>
        <w:rPr>
          <w:rFonts w:cs="Arial"/>
          <w:lang w:val="es-CL"/>
        </w:rPr>
      </w:pPr>
      <w:r w:rsidRPr="009A4354">
        <w:rPr>
          <w:rFonts w:cs="Arial"/>
        </w:rPr>
        <w:t>Según la Comisión, este caso involucra cuestiones de orde</w:t>
      </w:r>
      <w:r>
        <w:rPr>
          <w:rFonts w:cs="Arial"/>
        </w:rPr>
        <w:t xml:space="preserve">n público interamericano, </w:t>
      </w:r>
      <w:r>
        <w:rPr>
          <w:rFonts w:cs="Arial"/>
        </w:rPr>
        <w:lastRenderedPageBreak/>
        <w:t>pues:</w:t>
      </w:r>
    </w:p>
    <w:p w14:paraId="21715658" w14:textId="445CD847" w:rsidR="00205B18" w:rsidRDefault="00205B18" w:rsidP="00205B18">
      <w:pPr>
        <w:pStyle w:val="Sinespaciado"/>
        <w:numPr>
          <w:ilvl w:val="0"/>
          <w:numId w:val="0"/>
        </w:numPr>
        <w:rPr>
          <w:rFonts w:cs="Arial"/>
          <w:bCs w:val="0"/>
          <w:iCs w:val="0"/>
          <w:lang w:val="es-CL"/>
        </w:rPr>
      </w:pPr>
    </w:p>
    <w:p w14:paraId="38E1F987" w14:textId="593709DF" w:rsidR="00205B18" w:rsidRPr="00205B18" w:rsidRDefault="00205B18" w:rsidP="00205B18">
      <w:pPr>
        <w:autoSpaceDE w:val="0"/>
        <w:autoSpaceDN w:val="0"/>
        <w:adjustRightInd w:val="0"/>
        <w:spacing w:line="240" w:lineRule="auto"/>
        <w:ind w:left="709" w:right="1182"/>
        <w:jc w:val="both"/>
        <w:rPr>
          <w:rFonts w:cs="Arial"/>
          <w:sz w:val="18"/>
          <w:szCs w:val="18"/>
          <w:lang w:val="es-CL"/>
        </w:rPr>
      </w:pPr>
      <w:r w:rsidRPr="00205B18">
        <w:rPr>
          <w:rFonts w:cs="Times New Roman"/>
          <w:color w:val="2F2F2F"/>
          <w:sz w:val="18"/>
          <w:szCs w:val="18"/>
          <w:lang w:val="es-ES_tradnl"/>
        </w:rPr>
        <w:t xml:space="preserve">“[…] versa sobre </w:t>
      </w:r>
      <w:r w:rsidRPr="00205B18">
        <w:rPr>
          <w:rFonts w:cs="Times New Roman"/>
          <w:color w:val="1B1B1B"/>
          <w:sz w:val="18"/>
          <w:szCs w:val="18"/>
          <w:lang w:val="es-ES_tradnl"/>
        </w:rPr>
        <w:t xml:space="preserve">la </w:t>
      </w:r>
      <w:r w:rsidRPr="00205B18">
        <w:rPr>
          <w:rFonts w:cs="Times New Roman"/>
          <w:color w:val="2F2F2F"/>
          <w:sz w:val="18"/>
          <w:szCs w:val="18"/>
          <w:lang w:val="es-ES_tradnl"/>
        </w:rPr>
        <w:t xml:space="preserve">condena </w:t>
      </w:r>
      <w:r w:rsidRPr="00205B18">
        <w:rPr>
          <w:rFonts w:cs="Times New Roman"/>
          <w:color w:val="1B1B1B"/>
          <w:sz w:val="18"/>
          <w:szCs w:val="18"/>
          <w:lang w:val="es-ES_tradnl"/>
        </w:rPr>
        <w:t xml:space="preserve">penal </w:t>
      </w:r>
      <w:r w:rsidRPr="00205B18">
        <w:rPr>
          <w:rFonts w:cs="Times New Roman"/>
          <w:color w:val="2F2F2F"/>
          <w:sz w:val="18"/>
          <w:szCs w:val="18"/>
          <w:lang w:val="es-ES_tradnl"/>
        </w:rPr>
        <w:t xml:space="preserve">y </w:t>
      </w:r>
      <w:r w:rsidRPr="00205B18">
        <w:rPr>
          <w:rFonts w:cs="Times New Roman"/>
          <w:color w:val="1B1B1B"/>
          <w:sz w:val="18"/>
          <w:szCs w:val="18"/>
          <w:lang w:val="es-ES_tradnl"/>
        </w:rPr>
        <w:t xml:space="preserve">civil </w:t>
      </w:r>
      <w:r w:rsidRPr="00205B18">
        <w:rPr>
          <w:rFonts w:cs="Times New Roman"/>
          <w:color w:val="2F2F2F"/>
          <w:sz w:val="18"/>
          <w:szCs w:val="18"/>
          <w:lang w:val="es-ES_tradnl"/>
        </w:rPr>
        <w:t xml:space="preserve">en contra </w:t>
      </w:r>
      <w:r w:rsidRPr="00205B18">
        <w:rPr>
          <w:rFonts w:cs="Times New Roman"/>
          <w:color w:val="1B1B1B"/>
          <w:sz w:val="18"/>
          <w:szCs w:val="18"/>
          <w:lang w:val="es-ES_tradnl"/>
        </w:rPr>
        <w:t>de un periodi</w:t>
      </w:r>
      <w:r w:rsidRPr="00205B18">
        <w:rPr>
          <w:rFonts w:cs="Times New Roman"/>
          <w:color w:val="494949"/>
          <w:sz w:val="18"/>
          <w:szCs w:val="18"/>
          <w:lang w:val="es-ES_tradnl"/>
        </w:rPr>
        <w:t>s</w:t>
      </w:r>
      <w:r w:rsidRPr="00205B18">
        <w:rPr>
          <w:rFonts w:cs="Times New Roman"/>
          <w:color w:val="1B1B1B"/>
          <w:sz w:val="18"/>
          <w:szCs w:val="18"/>
          <w:lang w:val="es-ES_tradnl"/>
        </w:rPr>
        <w:t xml:space="preserve">ta </w:t>
      </w:r>
      <w:r w:rsidRPr="00205B18">
        <w:rPr>
          <w:rFonts w:cs="Times New Roman"/>
          <w:color w:val="2F2F2F"/>
          <w:sz w:val="18"/>
          <w:szCs w:val="18"/>
          <w:lang w:val="es-ES_tradnl"/>
        </w:rPr>
        <w:t xml:space="preserve">y </w:t>
      </w:r>
      <w:r w:rsidRPr="00205B18">
        <w:rPr>
          <w:rFonts w:cs="Times New Roman"/>
          <w:color w:val="1B1B1B"/>
          <w:sz w:val="18"/>
          <w:szCs w:val="18"/>
          <w:lang w:val="es-ES_tradnl"/>
        </w:rPr>
        <w:t xml:space="preserve">tres directivos de un diario por la publicación de un </w:t>
      </w:r>
      <w:r w:rsidRPr="00205B18">
        <w:rPr>
          <w:rFonts w:cs="Times New Roman"/>
          <w:color w:val="2F2F2F"/>
          <w:sz w:val="18"/>
          <w:szCs w:val="18"/>
          <w:lang w:val="es-ES_tradnl"/>
        </w:rPr>
        <w:t xml:space="preserve">artículo </w:t>
      </w:r>
      <w:r w:rsidRPr="00205B18">
        <w:rPr>
          <w:rFonts w:cs="Times New Roman"/>
          <w:color w:val="1B1B1B"/>
          <w:sz w:val="18"/>
          <w:szCs w:val="18"/>
          <w:lang w:val="es-ES_tradnl"/>
        </w:rPr>
        <w:t xml:space="preserve">de opinión de </w:t>
      </w:r>
      <w:r w:rsidRPr="00205B18">
        <w:rPr>
          <w:rFonts w:cs="Times New Roman"/>
          <w:color w:val="2F2F2F"/>
          <w:sz w:val="18"/>
          <w:szCs w:val="18"/>
          <w:lang w:val="es-ES_tradnl"/>
        </w:rPr>
        <w:t xml:space="preserve">elevado </w:t>
      </w:r>
      <w:r w:rsidRPr="00205B18">
        <w:rPr>
          <w:rFonts w:cs="Times New Roman"/>
          <w:color w:val="1B1B1B"/>
          <w:sz w:val="18"/>
          <w:szCs w:val="18"/>
          <w:lang w:val="es-ES_tradnl"/>
        </w:rPr>
        <w:t xml:space="preserve">interés público. El mismo permitiría </w:t>
      </w:r>
      <w:r w:rsidRPr="00205B18">
        <w:rPr>
          <w:rFonts w:cs="Times New Roman"/>
          <w:color w:val="2F2F2F"/>
          <w:sz w:val="18"/>
          <w:szCs w:val="18"/>
          <w:lang w:val="es-ES_tradnl"/>
        </w:rPr>
        <w:t xml:space="preserve">a </w:t>
      </w:r>
      <w:r w:rsidRPr="00205B18">
        <w:rPr>
          <w:rFonts w:cs="Times New Roman"/>
          <w:color w:val="1B1B1B"/>
          <w:sz w:val="18"/>
          <w:szCs w:val="18"/>
          <w:lang w:val="es-ES_tradnl"/>
        </w:rPr>
        <w:t xml:space="preserve">la Corte </w:t>
      </w:r>
      <w:proofErr w:type="spellStart"/>
      <w:r w:rsidRPr="00205B18">
        <w:rPr>
          <w:rFonts w:cs="Times New Roman"/>
          <w:color w:val="1B1B1B"/>
          <w:sz w:val="18"/>
          <w:szCs w:val="18"/>
          <w:lang w:val="es-ES_tradnl"/>
        </w:rPr>
        <w:t>lnteramericana</w:t>
      </w:r>
      <w:proofErr w:type="spellEnd"/>
      <w:r w:rsidRPr="00205B18">
        <w:rPr>
          <w:rFonts w:cs="Times New Roman"/>
          <w:color w:val="1B1B1B"/>
          <w:sz w:val="18"/>
          <w:szCs w:val="18"/>
          <w:lang w:val="es-ES_tradnl"/>
        </w:rPr>
        <w:t xml:space="preserve"> desarrollar </w:t>
      </w:r>
      <w:r w:rsidRPr="00205B18">
        <w:rPr>
          <w:rFonts w:cs="Times New Roman"/>
          <w:color w:val="2F2F2F"/>
          <w:sz w:val="18"/>
          <w:szCs w:val="18"/>
          <w:lang w:val="es-ES_tradnl"/>
        </w:rPr>
        <w:t xml:space="preserve">y consolidar </w:t>
      </w:r>
      <w:r w:rsidRPr="00205B18">
        <w:rPr>
          <w:rFonts w:cs="Times New Roman"/>
          <w:color w:val="1B1B1B"/>
          <w:sz w:val="18"/>
          <w:szCs w:val="18"/>
          <w:lang w:val="es-ES_tradnl"/>
        </w:rPr>
        <w:t xml:space="preserve">su jurisprudencia </w:t>
      </w:r>
      <w:r w:rsidRPr="00205B18">
        <w:rPr>
          <w:rFonts w:cs="Times New Roman"/>
          <w:color w:val="2F2F2F"/>
          <w:sz w:val="18"/>
          <w:szCs w:val="18"/>
          <w:lang w:val="es-ES_tradnl"/>
        </w:rPr>
        <w:t xml:space="preserve">en </w:t>
      </w:r>
      <w:r w:rsidRPr="00205B18">
        <w:rPr>
          <w:rFonts w:cs="Times New Roman"/>
          <w:color w:val="1B1B1B"/>
          <w:sz w:val="18"/>
          <w:szCs w:val="18"/>
          <w:lang w:val="es-ES_tradnl"/>
        </w:rPr>
        <w:t xml:space="preserve">materia de libertad de </w:t>
      </w:r>
      <w:r w:rsidRPr="00205B18">
        <w:rPr>
          <w:rFonts w:cs="Times New Roman"/>
          <w:color w:val="2F2F2F"/>
          <w:sz w:val="18"/>
          <w:szCs w:val="18"/>
          <w:lang w:val="es-ES_tradnl"/>
        </w:rPr>
        <w:t xml:space="preserve">expresión, </w:t>
      </w:r>
      <w:r w:rsidRPr="00205B18">
        <w:rPr>
          <w:rFonts w:cs="Times New Roman"/>
          <w:color w:val="1B1B1B"/>
          <w:sz w:val="18"/>
          <w:szCs w:val="18"/>
          <w:lang w:val="es-ES_tradnl"/>
        </w:rPr>
        <w:t xml:space="preserve">en particular, respecto </w:t>
      </w:r>
      <w:r w:rsidRPr="00205B18">
        <w:rPr>
          <w:rFonts w:cs="Times New Roman"/>
          <w:color w:val="2F2F2F"/>
          <w:sz w:val="18"/>
          <w:szCs w:val="18"/>
          <w:lang w:val="es-ES_tradnl"/>
        </w:rPr>
        <w:t xml:space="preserve">a </w:t>
      </w:r>
      <w:r w:rsidRPr="00205B18">
        <w:rPr>
          <w:rFonts w:cs="Times New Roman"/>
          <w:color w:val="1B1B1B"/>
          <w:sz w:val="18"/>
          <w:szCs w:val="18"/>
          <w:lang w:val="es-ES_tradnl"/>
        </w:rPr>
        <w:t xml:space="preserve">la utilización del derecho penal para </w:t>
      </w:r>
      <w:r w:rsidRPr="00205B18">
        <w:rPr>
          <w:rFonts w:cs="Times New Roman"/>
          <w:color w:val="2F2F2F"/>
          <w:sz w:val="18"/>
          <w:szCs w:val="18"/>
          <w:lang w:val="es-ES_tradnl"/>
        </w:rPr>
        <w:t xml:space="preserve">sancionar el ejercicio </w:t>
      </w:r>
      <w:r w:rsidRPr="00205B18">
        <w:rPr>
          <w:rFonts w:cs="Times New Roman"/>
          <w:color w:val="1B1B1B"/>
          <w:sz w:val="18"/>
          <w:szCs w:val="18"/>
          <w:lang w:val="es-ES_tradnl"/>
        </w:rPr>
        <w:t xml:space="preserve">de la libertad de expresión </w:t>
      </w:r>
      <w:r w:rsidRPr="00205B18">
        <w:rPr>
          <w:rFonts w:cs="Times New Roman"/>
          <w:color w:val="2F2F2F"/>
          <w:sz w:val="18"/>
          <w:szCs w:val="18"/>
          <w:lang w:val="es-ES_tradnl"/>
        </w:rPr>
        <w:t xml:space="preserve">en </w:t>
      </w:r>
      <w:r w:rsidRPr="00205B18">
        <w:rPr>
          <w:rFonts w:cs="Times New Roman"/>
          <w:color w:val="1B1B1B"/>
          <w:sz w:val="18"/>
          <w:szCs w:val="18"/>
          <w:lang w:val="es-ES_tradnl"/>
        </w:rPr>
        <w:t xml:space="preserve">temas de </w:t>
      </w:r>
      <w:r w:rsidRPr="00205B18">
        <w:rPr>
          <w:rFonts w:cs="Times New Roman"/>
          <w:color w:val="2F2F2F"/>
          <w:sz w:val="18"/>
          <w:szCs w:val="18"/>
          <w:lang w:val="es-ES_tradnl"/>
        </w:rPr>
        <w:t xml:space="preserve">elevado </w:t>
      </w:r>
      <w:r w:rsidRPr="00205B18">
        <w:rPr>
          <w:rFonts w:cs="Times New Roman"/>
          <w:color w:val="1B1B1B"/>
          <w:sz w:val="18"/>
          <w:szCs w:val="18"/>
          <w:lang w:val="es-ES_tradnl"/>
        </w:rPr>
        <w:t xml:space="preserve">interés público </w:t>
      </w:r>
      <w:r w:rsidRPr="00205B18">
        <w:rPr>
          <w:rFonts w:cs="Times New Roman"/>
          <w:color w:val="2F2F2F"/>
          <w:sz w:val="18"/>
          <w:szCs w:val="18"/>
          <w:lang w:val="es-ES_tradnl"/>
        </w:rPr>
        <w:t xml:space="preserve">en contra de </w:t>
      </w:r>
      <w:r w:rsidRPr="00205B18">
        <w:rPr>
          <w:rFonts w:cs="Times New Roman"/>
          <w:color w:val="1B1B1B"/>
          <w:sz w:val="18"/>
          <w:szCs w:val="18"/>
          <w:lang w:val="es-ES_tradnl"/>
        </w:rPr>
        <w:t xml:space="preserve">la más </w:t>
      </w:r>
      <w:r w:rsidRPr="00205B18">
        <w:rPr>
          <w:rFonts w:cs="Times New Roman"/>
          <w:color w:val="2F2F2F"/>
          <w:sz w:val="18"/>
          <w:szCs w:val="18"/>
          <w:lang w:val="es-ES_tradnl"/>
        </w:rPr>
        <w:t xml:space="preserve">alta autoridad </w:t>
      </w:r>
      <w:r w:rsidRPr="00205B18">
        <w:rPr>
          <w:rFonts w:cs="Times New Roman"/>
          <w:color w:val="1B1B1B"/>
          <w:sz w:val="18"/>
          <w:szCs w:val="18"/>
          <w:lang w:val="es-ES_tradnl"/>
        </w:rPr>
        <w:t xml:space="preserve">de un Estado como lo es el presidente de la República, </w:t>
      </w:r>
      <w:r w:rsidRPr="00205B18">
        <w:rPr>
          <w:rFonts w:cs="Times New Roman"/>
          <w:color w:val="2F2F2F"/>
          <w:sz w:val="18"/>
          <w:szCs w:val="18"/>
          <w:lang w:val="es-ES_tradnl"/>
        </w:rPr>
        <w:t xml:space="preserve">en </w:t>
      </w:r>
      <w:r w:rsidRPr="00205B18">
        <w:rPr>
          <w:rFonts w:cs="Times New Roman"/>
          <w:color w:val="1B1B1B"/>
          <w:sz w:val="18"/>
          <w:szCs w:val="18"/>
          <w:lang w:val="es-ES_tradnl"/>
        </w:rPr>
        <w:t xml:space="preserve">contextos </w:t>
      </w:r>
      <w:r w:rsidRPr="00205B18">
        <w:rPr>
          <w:rFonts w:cs="Times New Roman"/>
          <w:color w:val="2F2F2F"/>
          <w:sz w:val="18"/>
          <w:szCs w:val="18"/>
          <w:lang w:val="es-ES_tradnl"/>
        </w:rPr>
        <w:t xml:space="preserve">como el </w:t>
      </w:r>
      <w:r w:rsidRPr="00205B18">
        <w:rPr>
          <w:rFonts w:cs="Times New Roman"/>
          <w:color w:val="1B1B1B"/>
          <w:sz w:val="18"/>
          <w:szCs w:val="18"/>
          <w:lang w:val="es-ES_tradnl"/>
        </w:rPr>
        <w:t xml:space="preserve">presente, que incluía una </w:t>
      </w:r>
      <w:r w:rsidRPr="00205B18">
        <w:rPr>
          <w:rFonts w:cs="Times New Roman"/>
          <w:color w:val="2F2F2F"/>
          <w:sz w:val="18"/>
          <w:szCs w:val="18"/>
          <w:lang w:val="es-ES_tradnl"/>
        </w:rPr>
        <w:t xml:space="preserve">serie </w:t>
      </w:r>
      <w:r w:rsidRPr="00205B18">
        <w:rPr>
          <w:rFonts w:cs="Times New Roman"/>
          <w:color w:val="1B1B1B"/>
          <w:sz w:val="18"/>
          <w:szCs w:val="18"/>
          <w:lang w:val="es-ES_tradnl"/>
        </w:rPr>
        <w:t xml:space="preserve">de </w:t>
      </w:r>
      <w:r w:rsidRPr="00205B18">
        <w:rPr>
          <w:rFonts w:cs="Times New Roman"/>
          <w:color w:val="2F2F2F"/>
          <w:sz w:val="18"/>
          <w:szCs w:val="18"/>
          <w:lang w:val="es-ES_tradnl"/>
        </w:rPr>
        <w:t xml:space="preserve">actos </w:t>
      </w:r>
      <w:r w:rsidRPr="00205B18">
        <w:rPr>
          <w:rFonts w:cs="Times New Roman"/>
          <w:color w:val="1B1B1B"/>
          <w:sz w:val="18"/>
          <w:szCs w:val="18"/>
          <w:lang w:val="es-ES_tradnl"/>
        </w:rPr>
        <w:t xml:space="preserve">y medidas </w:t>
      </w:r>
      <w:r w:rsidRPr="00205B18">
        <w:rPr>
          <w:rFonts w:cs="Times New Roman"/>
          <w:color w:val="2F2F2F"/>
          <w:sz w:val="18"/>
          <w:szCs w:val="18"/>
          <w:lang w:val="es-ES_tradnl"/>
        </w:rPr>
        <w:t xml:space="preserve">estatales </w:t>
      </w:r>
      <w:r w:rsidRPr="00205B18">
        <w:rPr>
          <w:rFonts w:cs="Times New Roman"/>
          <w:color w:val="1B1B1B"/>
          <w:sz w:val="18"/>
          <w:szCs w:val="18"/>
          <w:lang w:val="es-ES_tradnl"/>
        </w:rPr>
        <w:t xml:space="preserve">que </w:t>
      </w:r>
      <w:r w:rsidRPr="00205B18">
        <w:rPr>
          <w:rFonts w:cs="Times New Roman"/>
          <w:color w:val="2F2F2F"/>
          <w:sz w:val="18"/>
          <w:szCs w:val="18"/>
          <w:lang w:val="es-ES_tradnl"/>
        </w:rPr>
        <w:t xml:space="preserve">se apartaron </w:t>
      </w:r>
      <w:r w:rsidRPr="00205B18">
        <w:rPr>
          <w:rFonts w:cs="Times New Roman"/>
          <w:color w:val="1B1B1B"/>
          <w:sz w:val="18"/>
          <w:szCs w:val="18"/>
          <w:lang w:val="es-ES_tradnl"/>
        </w:rPr>
        <w:t xml:space="preserve">de los </w:t>
      </w:r>
      <w:r w:rsidRPr="00205B18">
        <w:rPr>
          <w:rFonts w:cs="Times New Roman"/>
          <w:color w:val="2F2F2F"/>
          <w:sz w:val="18"/>
          <w:szCs w:val="18"/>
          <w:lang w:val="es-ES_tradnl"/>
        </w:rPr>
        <w:t xml:space="preserve">estándares </w:t>
      </w:r>
      <w:r w:rsidRPr="00205B18">
        <w:rPr>
          <w:rFonts w:cs="Times New Roman"/>
          <w:color w:val="1B1B1B"/>
          <w:sz w:val="18"/>
          <w:szCs w:val="18"/>
          <w:lang w:val="es-ES_tradnl"/>
        </w:rPr>
        <w:t xml:space="preserve">internacionales de libertad de </w:t>
      </w:r>
      <w:r w:rsidRPr="00205B18">
        <w:rPr>
          <w:rFonts w:cs="Times New Roman"/>
          <w:color w:val="2F2F2F"/>
          <w:sz w:val="18"/>
          <w:szCs w:val="18"/>
          <w:lang w:val="es-ES_tradnl"/>
        </w:rPr>
        <w:t xml:space="preserve">expresión. </w:t>
      </w:r>
      <w:r w:rsidRPr="00205B18">
        <w:rPr>
          <w:rFonts w:cs="Times New Roman"/>
          <w:color w:val="1B1B1B"/>
          <w:sz w:val="18"/>
          <w:szCs w:val="18"/>
          <w:lang w:val="es-ES_tradnl"/>
        </w:rPr>
        <w:t xml:space="preserve">Asimismo, </w:t>
      </w:r>
      <w:r w:rsidRPr="00205B18">
        <w:rPr>
          <w:rFonts w:cs="Times New Roman"/>
          <w:color w:val="2F2F2F"/>
          <w:sz w:val="18"/>
          <w:szCs w:val="18"/>
          <w:lang w:val="es-ES_tradnl"/>
        </w:rPr>
        <w:t xml:space="preserve">este caso </w:t>
      </w:r>
      <w:r w:rsidRPr="00205B18">
        <w:rPr>
          <w:rFonts w:cs="Times New Roman"/>
          <w:color w:val="1B1B1B"/>
          <w:sz w:val="18"/>
          <w:szCs w:val="18"/>
          <w:lang w:val="es-ES_tradnl"/>
        </w:rPr>
        <w:t xml:space="preserve">permitiría </w:t>
      </w:r>
      <w:r w:rsidRPr="00205B18">
        <w:rPr>
          <w:rFonts w:cs="Times New Roman"/>
          <w:color w:val="2F2F2F"/>
          <w:sz w:val="18"/>
          <w:szCs w:val="18"/>
          <w:lang w:val="es-ES_tradnl"/>
        </w:rPr>
        <w:t xml:space="preserve">a </w:t>
      </w:r>
      <w:r w:rsidRPr="00205B18">
        <w:rPr>
          <w:rFonts w:cs="Times New Roman"/>
          <w:color w:val="1B1B1B"/>
          <w:sz w:val="18"/>
          <w:szCs w:val="18"/>
          <w:lang w:val="es-ES_tradnl"/>
        </w:rPr>
        <w:t xml:space="preserve">la Corte </w:t>
      </w:r>
      <w:r w:rsidRPr="00205B18">
        <w:rPr>
          <w:rFonts w:cs="Times New Roman"/>
          <w:color w:val="2F2F2F"/>
          <w:sz w:val="18"/>
          <w:szCs w:val="18"/>
          <w:lang w:val="es-ES_tradnl"/>
        </w:rPr>
        <w:t xml:space="preserve">ahondar su </w:t>
      </w:r>
      <w:r w:rsidRPr="00205B18">
        <w:rPr>
          <w:rFonts w:cs="Times New Roman"/>
          <w:color w:val="1B1B1B"/>
          <w:sz w:val="18"/>
          <w:szCs w:val="18"/>
          <w:lang w:val="es-ES_tradnl"/>
        </w:rPr>
        <w:t xml:space="preserve">jurisprudencia </w:t>
      </w:r>
      <w:r w:rsidRPr="00205B18">
        <w:rPr>
          <w:rFonts w:cs="Times New Roman"/>
          <w:color w:val="2F2F2F"/>
          <w:sz w:val="18"/>
          <w:szCs w:val="18"/>
          <w:lang w:val="es-ES_tradnl"/>
        </w:rPr>
        <w:t xml:space="preserve">en </w:t>
      </w:r>
      <w:r w:rsidRPr="00205B18">
        <w:rPr>
          <w:rFonts w:cs="Times New Roman"/>
          <w:color w:val="1B1B1B"/>
          <w:sz w:val="18"/>
          <w:szCs w:val="18"/>
          <w:lang w:val="es-ES_tradnl"/>
        </w:rPr>
        <w:t xml:space="preserve">materia de proporcionalidad de </w:t>
      </w:r>
      <w:r w:rsidRPr="00205B18">
        <w:rPr>
          <w:rFonts w:cs="Times New Roman"/>
          <w:color w:val="2F2F2F"/>
          <w:sz w:val="18"/>
          <w:szCs w:val="18"/>
          <w:lang w:val="es-ES_tradnl"/>
        </w:rPr>
        <w:t xml:space="preserve">sanciones </w:t>
      </w:r>
      <w:r w:rsidRPr="00205B18">
        <w:rPr>
          <w:rFonts w:cs="Times New Roman"/>
          <w:color w:val="1B1B1B"/>
          <w:sz w:val="18"/>
          <w:szCs w:val="18"/>
          <w:lang w:val="es-ES_tradnl"/>
        </w:rPr>
        <w:t xml:space="preserve">civiles, </w:t>
      </w:r>
      <w:r w:rsidRPr="00205B18">
        <w:rPr>
          <w:rFonts w:cs="Times New Roman"/>
          <w:color w:val="2F2F2F"/>
          <w:sz w:val="18"/>
          <w:szCs w:val="18"/>
          <w:lang w:val="es-ES_tradnl"/>
        </w:rPr>
        <w:t xml:space="preserve">y </w:t>
      </w:r>
      <w:r w:rsidRPr="00205B18">
        <w:rPr>
          <w:rFonts w:cs="Times New Roman"/>
          <w:color w:val="1B1B1B"/>
          <w:sz w:val="18"/>
          <w:szCs w:val="18"/>
          <w:lang w:val="es-ES_tradnl"/>
        </w:rPr>
        <w:t xml:space="preserve">la aplicación de </w:t>
      </w:r>
      <w:r w:rsidRPr="00205B18">
        <w:rPr>
          <w:rFonts w:cs="Times New Roman"/>
          <w:color w:val="2F2F2F"/>
          <w:sz w:val="18"/>
          <w:szCs w:val="18"/>
          <w:lang w:val="es-ES_tradnl"/>
        </w:rPr>
        <w:t xml:space="preserve">sanciones </w:t>
      </w:r>
      <w:r w:rsidRPr="00205B18">
        <w:rPr>
          <w:rFonts w:cs="Times New Roman"/>
          <w:color w:val="1B1B1B"/>
          <w:sz w:val="18"/>
          <w:szCs w:val="18"/>
          <w:lang w:val="es-ES_tradnl"/>
        </w:rPr>
        <w:t xml:space="preserve">penales </w:t>
      </w:r>
      <w:r w:rsidRPr="00205B18">
        <w:rPr>
          <w:rFonts w:cs="Times New Roman"/>
          <w:color w:val="2F2F2F"/>
          <w:sz w:val="18"/>
          <w:szCs w:val="18"/>
          <w:lang w:val="es-ES_tradnl"/>
        </w:rPr>
        <w:t xml:space="preserve">y civiles </w:t>
      </w:r>
      <w:r w:rsidRPr="00205B18">
        <w:rPr>
          <w:rFonts w:cs="Times New Roman"/>
          <w:color w:val="1B1B1B"/>
          <w:sz w:val="18"/>
          <w:szCs w:val="18"/>
          <w:lang w:val="es-ES_tradnl"/>
        </w:rPr>
        <w:t xml:space="preserve">por responsabilidad objetiva </w:t>
      </w:r>
      <w:r w:rsidRPr="00205B18">
        <w:rPr>
          <w:rFonts w:cs="Times New Roman"/>
          <w:color w:val="2F2F2F"/>
          <w:sz w:val="18"/>
          <w:szCs w:val="18"/>
          <w:lang w:val="es-ES_tradnl"/>
        </w:rPr>
        <w:t xml:space="preserve">en </w:t>
      </w:r>
      <w:r w:rsidRPr="00205B18">
        <w:rPr>
          <w:rFonts w:cs="Times New Roman"/>
          <w:color w:val="1B1B1B"/>
          <w:sz w:val="18"/>
          <w:szCs w:val="18"/>
          <w:lang w:val="es-ES_tradnl"/>
        </w:rPr>
        <w:t xml:space="preserve">contra de los directivos de un medio de comunicación en relación con </w:t>
      </w:r>
      <w:r w:rsidRPr="00205B18">
        <w:rPr>
          <w:rFonts w:cs="Times New Roman"/>
          <w:color w:val="2F2F2F"/>
          <w:sz w:val="18"/>
          <w:szCs w:val="18"/>
          <w:lang w:val="es-ES_tradnl"/>
        </w:rPr>
        <w:t xml:space="preserve">su </w:t>
      </w:r>
      <w:r w:rsidRPr="00205B18">
        <w:rPr>
          <w:rFonts w:cs="Times New Roman"/>
          <w:color w:val="1B1B1B"/>
          <w:sz w:val="18"/>
          <w:szCs w:val="18"/>
          <w:lang w:val="es-ES_tradnl"/>
        </w:rPr>
        <w:t xml:space="preserve">derecho </w:t>
      </w:r>
      <w:r w:rsidRPr="00205B18">
        <w:rPr>
          <w:rFonts w:cs="Times New Roman"/>
          <w:color w:val="2F2F2F"/>
          <w:sz w:val="18"/>
          <w:szCs w:val="18"/>
          <w:lang w:val="es-ES_tradnl"/>
        </w:rPr>
        <w:t xml:space="preserve">a </w:t>
      </w:r>
      <w:r w:rsidRPr="00205B18">
        <w:rPr>
          <w:rFonts w:cs="Times New Roman"/>
          <w:color w:val="1B1B1B"/>
          <w:sz w:val="18"/>
          <w:szCs w:val="18"/>
          <w:lang w:val="es-ES_tradnl"/>
        </w:rPr>
        <w:t xml:space="preserve">la libertad de expresión. De igual manera, la Corte podrá consolidar </w:t>
      </w:r>
      <w:r w:rsidRPr="00205B18">
        <w:rPr>
          <w:rFonts w:cs="Times New Roman"/>
          <w:color w:val="2F2F2F"/>
          <w:sz w:val="18"/>
          <w:szCs w:val="18"/>
          <w:lang w:val="es-ES_tradnl"/>
        </w:rPr>
        <w:t xml:space="preserve">su </w:t>
      </w:r>
      <w:r w:rsidRPr="00205B18">
        <w:rPr>
          <w:rFonts w:cs="Times New Roman"/>
          <w:color w:val="1B1B1B"/>
          <w:sz w:val="18"/>
          <w:szCs w:val="18"/>
          <w:lang w:val="es-ES_tradnl"/>
        </w:rPr>
        <w:t xml:space="preserve">jurisprudencia </w:t>
      </w:r>
      <w:r w:rsidRPr="00205B18">
        <w:rPr>
          <w:rFonts w:cs="Times New Roman"/>
          <w:color w:val="2F2F2F"/>
          <w:sz w:val="18"/>
          <w:szCs w:val="18"/>
          <w:lang w:val="es-ES_tradnl"/>
        </w:rPr>
        <w:t xml:space="preserve">en </w:t>
      </w:r>
      <w:r w:rsidRPr="00205B18">
        <w:rPr>
          <w:rFonts w:cs="Times New Roman"/>
          <w:color w:val="1B1B1B"/>
          <w:sz w:val="18"/>
          <w:szCs w:val="18"/>
          <w:lang w:val="es-ES_tradnl"/>
        </w:rPr>
        <w:t>materia de independencia e imparcialidad de lo</w:t>
      </w:r>
      <w:r w:rsidRPr="00205B18">
        <w:rPr>
          <w:rFonts w:cs="Times New Roman"/>
          <w:color w:val="494949"/>
          <w:sz w:val="18"/>
          <w:szCs w:val="18"/>
          <w:lang w:val="es-ES_tradnl"/>
        </w:rPr>
        <w:t xml:space="preserve">s </w:t>
      </w:r>
      <w:r w:rsidRPr="00205B18">
        <w:rPr>
          <w:rFonts w:cs="Times New Roman"/>
          <w:color w:val="2F2F2F"/>
          <w:sz w:val="18"/>
          <w:szCs w:val="18"/>
          <w:lang w:val="es-ES_tradnl"/>
        </w:rPr>
        <w:t xml:space="preserve">órganos </w:t>
      </w:r>
      <w:r w:rsidRPr="00205B18">
        <w:rPr>
          <w:rFonts w:cs="Times New Roman"/>
          <w:color w:val="1B1B1B"/>
          <w:sz w:val="18"/>
          <w:szCs w:val="18"/>
          <w:lang w:val="es-ES_tradnl"/>
        </w:rPr>
        <w:t xml:space="preserve">judiciales </w:t>
      </w:r>
      <w:r w:rsidRPr="00205B18">
        <w:rPr>
          <w:rFonts w:cs="Times New Roman"/>
          <w:color w:val="2F2F2F"/>
          <w:sz w:val="18"/>
          <w:szCs w:val="18"/>
          <w:lang w:val="es-ES_tradnl"/>
        </w:rPr>
        <w:t xml:space="preserve">en situaciones en </w:t>
      </w:r>
      <w:r w:rsidRPr="00205B18">
        <w:rPr>
          <w:rFonts w:cs="Times New Roman"/>
          <w:color w:val="1B1B1B"/>
          <w:sz w:val="18"/>
          <w:szCs w:val="18"/>
          <w:lang w:val="es-ES_tradnl"/>
        </w:rPr>
        <w:t xml:space="preserve">las que </w:t>
      </w:r>
      <w:r w:rsidRPr="00205B18">
        <w:rPr>
          <w:rFonts w:cs="Times New Roman"/>
          <w:color w:val="2F2F2F"/>
          <w:sz w:val="18"/>
          <w:szCs w:val="18"/>
          <w:lang w:val="es-ES_tradnl"/>
        </w:rPr>
        <w:t xml:space="preserve">existirían </w:t>
      </w:r>
      <w:r w:rsidRPr="00205B18">
        <w:rPr>
          <w:rFonts w:cs="Times New Roman"/>
          <w:color w:val="1B1B1B"/>
          <w:sz w:val="18"/>
          <w:szCs w:val="18"/>
          <w:lang w:val="es-ES_tradnl"/>
        </w:rPr>
        <w:t xml:space="preserve">presiones </w:t>
      </w:r>
      <w:r w:rsidRPr="00205B18">
        <w:rPr>
          <w:rFonts w:cs="Times New Roman"/>
          <w:color w:val="2F2F2F"/>
          <w:sz w:val="18"/>
          <w:szCs w:val="18"/>
          <w:lang w:val="es-ES_tradnl"/>
        </w:rPr>
        <w:t xml:space="preserve">externas </w:t>
      </w:r>
      <w:r w:rsidRPr="00205B18">
        <w:rPr>
          <w:rFonts w:cs="Times New Roman"/>
          <w:color w:val="1B1B1B"/>
          <w:sz w:val="18"/>
          <w:szCs w:val="18"/>
          <w:lang w:val="es-ES_tradnl"/>
        </w:rPr>
        <w:t>por parte de uno de los poderes del Estado</w:t>
      </w:r>
      <w:r w:rsidR="00196564">
        <w:rPr>
          <w:rFonts w:cs="Times New Roman"/>
          <w:color w:val="1B1B1B"/>
          <w:sz w:val="18"/>
          <w:szCs w:val="18"/>
          <w:lang w:val="es-ES_tradnl"/>
        </w:rPr>
        <w:t>”</w:t>
      </w:r>
      <w:r w:rsidRPr="00205B18">
        <w:rPr>
          <w:rFonts w:cs="Times New Roman"/>
          <w:color w:val="1B1B1B"/>
          <w:sz w:val="18"/>
          <w:szCs w:val="18"/>
          <w:lang w:val="es-ES_tradnl"/>
        </w:rPr>
        <w:t>.</w:t>
      </w:r>
    </w:p>
    <w:p w14:paraId="281F0019" w14:textId="77777777" w:rsidR="00D26DFD" w:rsidRPr="009A4354" w:rsidRDefault="00D26DFD" w:rsidP="00D26DFD">
      <w:pPr>
        <w:pStyle w:val="Prrafodelista"/>
        <w:spacing w:line="240" w:lineRule="auto"/>
        <w:ind w:left="0"/>
        <w:jc w:val="both"/>
        <w:rPr>
          <w:rFonts w:cs="Arial"/>
          <w:lang w:val="es-CL"/>
        </w:rPr>
      </w:pPr>
    </w:p>
    <w:p w14:paraId="69AFA64B" w14:textId="796BA8C9" w:rsidR="005F130F" w:rsidRDefault="00C40501" w:rsidP="005F130F">
      <w:pPr>
        <w:pStyle w:val="Sinespaciado"/>
        <w:ind w:left="0" w:firstLine="0"/>
      </w:pPr>
      <w:r>
        <w:t>L</w:t>
      </w:r>
      <w:r w:rsidR="00B91801">
        <w:t>a Presidenta</w:t>
      </w:r>
      <w:r w:rsidR="00D26DFD" w:rsidRPr="009A4354">
        <w:t xml:space="preserve"> considera que </w:t>
      </w:r>
      <w:r w:rsidR="005F130F">
        <w:t>los peritajes propuestos pueden contribuir a fortalecer las capacidades de protección del sistema interamericano de derechos humanos</w:t>
      </w:r>
      <w:r>
        <w:t>,</w:t>
      </w:r>
      <w:r w:rsidR="005F130F">
        <w:t xml:space="preserve"> </w:t>
      </w:r>
      <w:r w:rsidR="00ED2826">
        <w:t>al referirse</w:t>
      </w:r>
      <w:r w:rsidR="00D26DFD" w:rsidRPr="009A4354">
        <w:t xml:space="preserve"> a </w:t>
      </w:r>
      <w:r w:rsidR="00D26DFD">
        <w:t xml:space="preserve">las obligaciones </w:t>
      </w:r>
      <w:r w:rsidR="005F130F">
        <w:t>de</w:t>
      </w:r>
      <w:r w:rsidR="00D26DFD">
        <w:t xml:space="preserve"> los Estados </w:t>
      </w:r>
      <w:r w:rsidR="0089559C">
        <w:t xml:space="preserve">en el respeto y garantía de </w:t>
      </w:r>
      <w:r>
        <w:t xml:space="preserve">los derechos </w:t>
      </w:r>
      <w:r w:rsidR="005F130F">
        <w:t>cuando puedan existir restricciones indirectas</w:t>
      </w:r>
      <w:r>
        <w:t xml:space="preserve"> a la libertad de expresión</w:t>
      </w:r>
      <w:r w:rsidR="0089559C">
        <w:t>,</w:t>
      </w:r>
      <w:r w:rsidR="005F130F">
        <w:t xml:space="preserve"> así como las garantías </w:t>
      </w:r>
      <w:r w:rsidR="00ED2826">
        <w:t>en</w:t>
      </w:r>
      <w:r w:rsidR="00AB0957">
        <w:t xml:space="preserve"> procesos penales o civiles</w:t>
      </w:r>
      <w:r w:rsidR="00ED2826">
        <w:t xml:space="preserve"> seguidos</w:t>
      </w:r>
      <w:r w:rsidR="00AB0957">
        <w:t xml:space="preserve"> en contra de directivos de medios de comunicación como resultado de la publicación de artículos de opinión</w:t>
      </w:r>
      <w:r w:rsidR="00D26DFD" w:rsidRPr="00B20D9C">
        <w:t>.</w:t>
      </w:r>
      <w:r w:rsidR="005F130F">
        <w:t xml:space="preserve"> Esto trasciende los intereses de las partes en el litigio y los hechos específicos del caso</w:t>
      </w:r>
      <w:r w:rsidR="00316774">
        <w:t>,</w:t>
      </w:r>
      <w:r w:rsidR="005F130F">
        <w:t xml:space="preserve"> por lo que</w:t>
      </w:r>
      <w:r w:rsidR="00316774">
        <w:t xml:space="preserve"> l</w:t>
      </w:r>
      <w:r w:rsidR="00ED2826">
        <w:t>a Presidenta</w:t>
      </w:r>
      <w:r w:rsidR="00D26DFD" w:rsidRPr="009A4354">
        <w:t xml:space="preserve"> advierte que</w:t>
      </w:r>
      <w:r w:rsidR="00D26DFD">
        <w:t xml:space="preserve"> esta cuestión </w:t>
      </w:r>
      <w:r w:rsidR="005F130F">
        <w:t>se encuentra relacionad</w:t>
      </w:r>
      <w:r w:rsidR="004E1BAE">
        <w:t>a</w:t>
      </w:r>
      <w:r w:rsidR="005F130F">
        <w:t xml:space="preserve"> con el orden público interamericano en los términos del artículo 35.1 del Reglamento</w:t>
      </w:r>
      <w:r w:rsidR="00316774">
        <w:t>.</w:t>
      </w:r>
    </w:p>
    <w:p w14:paraId="31C128E7" w14:textId="77777777" w:rsidR="005F130F" w:rsidRDefault="005F130F" w:rsidP="005F130F">
      <w:pPr>
        <w:pStyle w:val="Sinespaciado"/>
        <w:numPr>
          <w:ilvl w:val="0"/>
          <w:numId w:val="0"/>
        </w:numPr>
      </w:pPr>
    </w:p>
    <w:p w14:paraId="66943E50" w14:textId="4BA83719" w:rsidR="00D26DFD" w:rsidRPr="009A4354" w:rsidRDefault="00316774" w:rsidP="005F130F">
      <w:pPr>
        <w:pStyle w:val="Sinespaciado"/>
        <w:ind w:left="0" w:firstLine="0"/>
      </w:pPr>
      <w:r>
        <w:t xml:space="preserve">En consecuencia, la Presidenta estima pertinente recabar los dictámenes periciales </w:t>
      </w:r>
      <w:r w:rsidR="003C6116">
        <w:t>de</w:t>
      </w:r>
      <w:r w:rsidR="003C6116" w:rsidRPr="009A4354">
        <w:t xml:space="preserve"> </w:t>
      </w:r>
      <w:proofErr w:type="spellStart"/>
      <w:r w:rsidR="003C6116">
        <w:t>Toby</w:t>
      </w:r>
      <w:proofErr w:type="spellEnd"/>
      <w:r w:rsidR="003C6116">
        <w:t xml:space="preserve"> Daniel Mendel y </w:t>
      </w:r>
      <w:r w:rsidR="003C6116" w:rsidRPr="005F130F">
        <w:rPr>
          <w:lang w:val="es-CL"/>
        </w:rPr>
        <w:t xml:space="preserve">Marina </w:t>
      </w:r>
      <w:proofErr w:type="spellStart"/>
      <w:r w:rsidR="003C6116" w:rsidRPr="005F130F">
        <w:rPr>
          <w:lang w:val="es-CL"/>
        </w:rPr>
        <w:t>Brilman</w:t>
      </w:r>
      <w:proofErr w:type="spellEnd"/>
      <w:r w:rsidR="003C6116" w:rsidRPr="005F130F">
        <w:rPr>
          <w:rFonts w:cs="Arial"/>
        </w:rPr>
        <w:t>, cuyo objeto y modalidad se determinarán en la parte resolutiva de la presente Resolución (</w:t>
      </w:r>
      <w:r w:rsidR="003C6116" w:rsidRPr="005F130F">
        <w:rPr>
          <w:rFonts w:cs="Arial"/>
          <w:i/>
        </w:rPr>
        <w:t xml:space="preserve">infra </w:t>
      </w:r>
      <w:r w:rsidR="00240830">
        <w:rPr>
          <w:rFonts w:cs="Arial"/>
        </w:rPr>
        <w:t>punto</w:t>
      </w:r>
      <w:r w:rsidR="006D54A3">
        <w:rPr>
          <w:rFonts w:cs="Arial"/>
        </w:rPr>
        <w:t>s</w:t>
      </w:r>
      <w:r w:rsidR="00240830">
        <w:rPr>
          <w:rFonts w:cs="Arial"/>
        </w:rPr>
        <w:t xml:space="preserve"> resolutivo</w:t>
      </w:r>
      <w:r w:rsidR="006D54A3">
        <w:rPr>
          <w:rFonts w:cs="Arial"/>
        </w:rPr>
        <w:t>s 1 y</w:t>
      </w:r>
      <w:r w:rsidR="003C6116" w:rsidRPr="005F130F">
        <w:rPr>
          <w:rFonts w:cs="Arial"/>
        </w:rPr>
        <w:t xml:space="preserve"> 3).</w:t>
      </w:r>
    </w:p>
    <w:p w14:paraId="4A4CFBAB" w14:textId="003A3ADF" w:rsidR="00095AA5" w:rsidRPr="00A16FFF" w:rsidRDefault="00095AA5" w:rsidP="00095AA5">
      <w:pPr>
        <w:pStyle w:val="Sinespaciado"/>
        <w:numPr>
          <w:ilvl w:val="0"/>
          <w:numId w:val="0"/>
        </w:numPr>
        <w:ind w:right="23"/>
        <w:contextualSpacing w:val="0"/>
        <w:rPr>
          <w:rFonts w:cs="Verdana"/>
          <w:color w:val="000000"/>
          <w:lang w:val="es-ES_tradnl"/>
        </w:rPr>
      </w:pPr>
    </w:p>
    <w:p w14:paraId="48DDE8A2" w14:textId="55978E73" w:rsidR="00095AA5" w:rsidRPr="00095AA5" w:rsidRDefault="00095AA5" w:rsidP="00095AA5">
      <w:pPr>
        <w:pStyle w:val="Ttulo1"/>
        <w:tabs>
          <w:tab w:val="clear" w:pos="567"/>
          <w:tab w:val="left" w:pos="1134"/>
        </w:tabs>
        <w:ind w:left="1134" w:hanging="567"/>
      </w:pPr>
      <w:r w:rsidRPr="00095AA5">
        <w:t>Admisibilidad de las declaraciones testimoniales y periciales ofrecidas por los representantes</w:t>
      </w:r>
      <w:r w:rsidR="00095C3B">
        <w:t>, y la solicitud de traslado de un peritaje</w:t>
      </w:r>
    </w:p>
    <w:p w14:paraId="04326B78" w14:textId="77777777" w:rsidR="00095AA5" w:rsidRPr="009A4354" w:rsidRDefault="00095AA5" w:rsidP="00095AA5">
      <w:pPr>
        <w:pStyle w:val="Sangradetextonormal"/>
        <w:tabs>
          <w:tab w:val="left" w:pos="0"/>
        </w:tabs>
        <w:spacing w:after="0"/>
        <w:ind w:left="0"/>
        <w:rPr>
          <w:rFonts w:cs="Verdana"/>
          <w:szCs w:val="20"/>
          <w:lang w:bidi="en-US"/>
        </w:rPr>
      </w:pPr>
    </w:p>
    <w:p w14:paraId="1D517B31" w14:textId="30FC3596" w:rsidR="00095AA5" w:rsidRPr="009C6485" w:rsidRDefault="00095AA5" w:rsidP="00095AA5">
      <w:pPr>
        <w:pStyle w:val="Sangradetextonormal"/>
        <w:tabs>
          <w:tab w:val="left" w:pos="0"/>
        </w:tabs>
        <w:spacing w:after="0"/>
        <w:ind w:left="0"/>
        <w:rPr>
          <w:rFonts w:cs="Verdana"/>
          <w:b/>
          <w:i/>
          <w:szCs w:val="20"/>
          <w:lang w:bidi="en-US"/>
        </w:rPr>
      </w:pPr>
      <w:r w:rsidRPr="009C6485">
        <w:rPr>
          <w:rFonts w:cs="Verdana"/>
          <w:b/>
          <w:i/>
          <w:szCs w:val="20"/>
          <w:lang w:bidi="en-US"/>
        </w:rPr>
        <w:t xml:space="preserve">B.1) </w:t>
      </w:r>
      <w:r w:rsidR="00205052" w:rsidRPr="009C6485">
        <w:rPr>
          <w:rFonts w:cs="Verdana"/>
          <w:b/>
          <w:i/>
          <w:szCs w:val="20"/>
          <w:lang w:bidi="en-US"/>
        </w:rPr>
        <w:t>Admisibilidad</w:t>
      </w:r>
      <w:r w:rsidRPr="009C6485">
        <w:rPr>
          <w:rFonts w:cs="Verdana"/>
          <w:b/>
          <w:i/>
          <w:szCs w:val="20"/>
          <w:lang w:bidi="en-US"/>
        </w:rPr>
        <w:t xml:space="preserve"> de las declaraciones testimoniales ofrecidas por los representantes</w:t>
      </w:r>
    </w:p>
    <w:p w14:paraId="3437A48C" w14:textId="3E371DBD" w:rsidR="003E5A75" w:rsidRPr="003E5A75" w:rsidRDefault="003E5A75" w:rsidP="00095AA5">
      <w:pPr>
        <w:pStyle w:val="Sangradetextonormal"/>
        <w:tabs>
          <w:tab w:val="left" w:pos="0"/>
        </w:tabs>
        <w:spacing w:after="0"/>
        <w:ind w:left="0"/>
        <w:rPr>
          <w:rFonts w:cs="Verdana"/>
          <w:szCs w:val="20"/>
          <w:lang w:val="es-ES" w:bidi="en-US"/>
        </w:rPr>
      </w:pPr>
    </w:p>
    <w:p w14:paraId="5CDE268F" w14:textId="26E3FDB1" w:rsidR="00095AA5" w:rsidRDefault="00095AA5" w:rsidP="002F1900">
      <w:pPr>
        <w:pStyle w:val="Sinespaciado"/>
        <w:ind w:left="0" w:firstLine="0"/>
        <w:rPr>
          <w:lang w:bidi="en-US"/>
        </w:rPr>
      </w:pPr>
      <w:r w:rsidRPr="009A4354">
        <w:rPr>
          <w:lang w:bidi="en-US"/>
        </w:rPr>
        <w:t xml:space="preserve">Los </w:t>
      </w:r>
      <w:r w:rsidRPr="009A4354">
        <w:rPr>
          <w:b/>
          <w:i/>
          <w:lang w:bidi="en-US"/>
        </w:rPr>
        <w:t>representantes</w:t>
      </w:r>
      <w:r>
        <w:rPr>
          <w:lang w:bidi="en-US"/>
        </w:rPr>
        <w:t xml:space="preserve"> ofrecieron los testimonios de </w:t>
      </w:r>
      <w:r w:rsidR="00E46F8A">
        <w:rPr>
          <w:lang w:bidi="en-US"/>
        </w:rPr>
        <w:t>Leonardo Terán Parral</w:t>
      </w:r>
      <w:r w:rsidR="006964CE">
        <w:rPr>
          <w:rStyle w:val="Refdenotaalpie"/>
          <w:lang w:bidi="en-US"/>
        </w:rPr>
        <w:footnoteReference w:id="6"/>
      </w:r>
      <w:r w:rsidR="00E46F8A">
        <w:rPr>
          <w:lang w:bidi="en-US"/>
        </w:rPr>
        <w:t xml:space="preserve">, Gustavo </w:t>
      </w:r>
      <w:proofErr w:type="spellStart"/>
      <w:r w:rsidR="00E46F8A">
        <w:rPr>
          <w:lang w:bidi="en-US"/>
        </w:rPr>
        <w:t>Cortéz</w:t>
      </w:r>
      <w:proofErr w:type="spellEnd"/>
      <w:r w:rsidR="00E46F8A">
        <w:rPr>
          <w:lang w:bidi="en-US"/>
        </w:rPr>
        <w:t xml:space="preserve"> </w:t>
      </w:r>
      <w:proofErr w:type="spellStart"/>
      <w:r w:rsidR="00E46F8A">
        <w:rPr>
          <w:lang w:bidi="en-US"/>
        </w:rPr>
        <w:t>Galecio</w:t>
      </w:r>
      <w:proofErr w:type="spellEnd"/>
      <w:r w:rsidR="006964CE">
        <w:rPr>
          <w:rStyle w:val="Refdenotaalpie"/>
          <w:lang w:bidi="en-US"/>
        </w:rPr>
        <w:footnoteReference w:id="7"/>
      </w:r>
      <w:r w:rsidR="00E46F8A">
        <w:rPr>
          <w:lang w:bidi="en-US"/>
        </w:rPr>
        <w:t xml:space="preserve">, Sugey </w:t>
      </w:r>
      <w:proofErr w:type="spellStart"/>
      <w:r w:rsidR="00E46F8A">
        <w:rPr>
          <w:lang w:bidi="en-US"/>
        </w:rPr>
        <w:t>Hajjar</w:t>
      </w:r>
      <w:proofErr w:type="spellEnd"/>
      <w:r w:rsidR="00E46F8A">
        <w:rPr>
          <w:lang w:bidi="en-US"/>
        </w:rPr>
        <w:t xml:space="preserve"> Sánchez</w:t>
      </w:r>
      <w:r w:rsidR="006964CE">
        <w:rPr>
          <w:rStyle w:val="Refdenotaalpie"/>
          <w:lang w:bidi="en-US"/>
        </w:rPr>
        <w:footnoteReference w:id="8"/>
      </w:r>
      <w:r w:rsidR="00E46F8A">
        <w:rPr>
          <w:lang w:bidi="en-US"/>
        </w:rPr>
        <w:t xml:space="preserve"> y </w:t>
      </w:r>
      <w:proofErr w:type="spellStart"/>
      <w:r w:rsidR="00E46F8A">
        <w:rPr>
          <w:lang w:bidi="en-US"/>
        </w:rPr>
        <w:t>Mindy</w:t>
      </w:r>
      <w:proofErr w:type="spellEnd"/>
      <w:r w:rsidR="00E46F8A">
        <w:rPr>
          <w:lang w:bidi="en-US"/>
        </w:rPr>
        <w:t xml:space="preserve"> de Palacio</w:t>
      </w:r>
      <w:r w:rsidR="006964CE">
        <w:rPr>
          <w:rStyle w:val="Refdenotaalpie"/>
          <w:lang w:bidi="en-US"/>
        </w:rPr>
        <w:footnoteReference w:id="9"/>
      </w:r>
      <w:r>
        <w:rPr>
          <w:lang w:bidi="en-US"/>
        </w:rPr>
        <w:t xml:space="preserve">. El </w:t>
      </w:r>
      <w:r>
        <w:rPr>
          <w:b/>
          <w:i/>
          <w:lang w:bidi="en-US"/>
        </w:rPr>
        <w:t>Estado</w:t>
      </w:r>
      <w:r w:rsidRPr="00692586">
        <w:rPr>
          <w:i/>
          <w:lang w:bidi="en-US"/>
        </w:rPr>
        <w:t xml:space="preserve"> </w:t>
      </w:r>
      <w:r w:rsidR="006964CE">
        <w:rPr>
          <w:lang w:bidi="en-US"/>
        </w:rPr>
        <w:t xml:space="preserve">manifestó que la independencia de las personas a las que se ha solicitado la declaración puede estar viciada en razón de que los señores Terán, </w:t>
      </w:r>
      <w:proofErr w:type="spellStart"/>
      <w:r w:rsidR="006964CE">
        <w:rPr>
          <w:lang w:bidi="en-US"/>
        </w:rPr>
        <w:t>Cortéz</w:t>
      </w:r>
      <w:proofErr w:type="spellEnd"/>
      <w:r w:rsidR="006964CE">
        <w:rPr>
          <w:lang w:bidi="en-US"/>
        </w:rPr>
        <w:t xml:space="preserve"> </w:t>
      </w:r>
      <w:r w:rsidR="004E1BAE">
        <w:rPr>
          <w:lang w:bidi="en-US"/>
        </w:rPr>
        <w:t xml:space="preserve">y </w:t>
      </w:r>
      <w:proofErr w:type="spellStart"/>
      <w:r w:rsidR="004E1BAE">
        <w:rPr>
          <w:lang w:bidi="en-US"/>
        </w:rPr>
        <w:t>Hajjar</w:t>
      </w:r>
      <w:proofErr w:type="spellEnd"/>
      <w:r w:rsidR="004E1BAE">
        <w:rPr>
          <w:lang w:bidi="en-US"/>
        </w:rPr>
        <w:t xml:space="preserve"> son funcionarios del D</w:t>
      </w:r>
      <w:r w:rsidR="006964CE">
        <w:rPr>
          <w:lang w:bidi="en-US"/>
        </w:rPr>
        <w:t xml:space="preserve">iario El Universo, el cual es propiedad de las presuntas víctimas. </w:t>
      </w:r>
      <w:r w:rsidR="003E5A75">
        <w:rPr>
          <w:lang w:bidi="en-US"/>
        </w:rPr>
        <w:t>En ese sentido, a</w:t>
      </w:r>
      <w:r w:rsidR="006964CE">
        <w:rPr>
          <w:lang w:bidi="en-US"/>
        </w:rPr>
        <w:t xml:space="preserve">legó que la existencia de un </w:t>
      </w:r>
      <w:r w:rsidR="006964CE">
        <w:rPr>
          <w:lang w:bidi="en-US"/>
        </w:rPr>
        <w:lastRenderedPageBreak/>
        <w:t>vínculo laboral implica una situación de subordinación funcional que puede llegar a afectar las declaraciones de los testigos. En el caso de la señora de Palacio, consideró que su declaración puede implicar opiniones personales y carecer de objetividad por la relación que mantiene con una de las presuntas víctimas.</w:t>
      </w:r>
      <w:r>
        <w:rPr>
          <w:lang w:bidi="en-US"/>
        </w:rPr>
        <w:t xml:space="preserve"> </w:t>
      </w:r>
      <w:r w:rsidRPr="009A4354">
        <w:rPr>
          <w:lang w:bidi="en-US"/>
        </w:rPr>
        <w:t xml:space="preserve">La </w:t>
      </w:r>
      <w:r w:rsidRPr="009A4354">
        <w:rPr>
          <w:b/>
          <w:i/>
          <w:lang w:bidi="en-US"/>
        </w:rPr>
        <w:t xml:space="preserve">Comisión </w:t>
      </w:r>
      <w:r w:rsidRPr="009A4354">
        <w:rPr>
          <w:lang w:bidi="en-US"/>
        </w:rPr>
        <w:t>informó que no tiene observaciones a formular respecto a las listas definitivas presentadas por las partes.</w:t>
      </w:r>
    </w:p>
    <w:p w14:paraId="517A1EDB" w14:textId="77777777" w:rsidR="00095AA5" w:rsidRDefault="00095AA5" w:rsidP="00095AA5">
      <w:pPr>
        <w:pStyle w:val="Sangradetextonormal"/>
        <w:tabs>
          <w:tab w:val="left" w:pos="0"/>
        </w:tabs>
        <w:spacing w:after="0"/>
        <w:ind w:left="0"/>
        <w:rPr>
          <w:rFonts w:cs="Verdana"/>
          <w:szCs w:val="20"/>
          <w:lang w:bidi="en-US"/>
        </w:rPr>
      </w:pPr>
    </w:p>
    <w:p w14:paraId="54FE8868" w14:textId="518C1886" w:rsidR="00095AA5" w:rsidRPr="0056356E" w:rsidRDefault="00095AA5" w:rsidP="00993BAC">
      <w:pPr>
        <w:pStyle w:val="Sinespaciado"/>
        <w:ind w:left="0" w:firstLine="0"/>
        <w:rPr>
          <w:rFonts w:cs="Verdana"/>
          <w:lang w:bidi="en-US"/>
        </w:rPr>
      </w:pPr>
      <w:r w:rsidRPr="00013DE3">
        <w:t xml:space="preserve">En relación con los argumentos presentados por </w:t>
      </w:r>
      <w:r w:rsidR="00571AB1">
        <w:t>el Estado</w:t>
      </w:r>
      <w:r w:rsidR="003E5A75">
        <w:t xml:space="preserve"> respecto a la falta de objetividad de los testigos propuestos</w:t>
      </w:r>
      <w:r w:rsidRPr="00013DE3">
        <w:t xml:space="preserve">, </w:t>
      </w:r>
      <w:r w:rsidR="00571AB1">
        <w:t xml:space="preserve">la Presidenta recuerda que </w:t>
      </w:r>
      <w:r w:rsidR="00571AB1" w:rsidRPr="001E0D50">
        <w:t>los declarantes fueron propuestos como testigos, para quienes rige el deber consagrado en el artículo 51.3 del Reglamento de decir “la verdad, toda la verdad y nada más que la verdad” respecto a los hechos y circunstancias que les consten</w:t>
      </w:r>
      <w:r w:rsidR="004E1BAE">
        <w:rPr>
          <w:rStyle w:val="Refdenotaalpie"/>
        </w:rPr>
        <w:footnoteReference w:id="10"/>
      </w:r>
      <w:r w:rsidR="00571AB1" w:rsidRPr="001E0D50">
        <w:t xml:space="preserve">. Por tal razón, no corresponde analizar los alegatos relacionados con su presunta falta de </w:t>
      </w:r>
      <w:r w:rsidR="0054014E">
        <w:t>objetividad, pues</w:t>
      </w:r>
      <w:r w:rsidR="00571AB1" w:rsidRPr="001E0D50">
        <w:t xml:space="preserve"> </w:t>
      </w:r>
      <w:r w:rsidR="003E5A75">
        <w:t>ésta</w:t>
      </w:r>
      <w:r w:rsidR="00571AB1" w:rsidRPr="001E0D50">
        <w:t xml:space="preserve"> no es exigible a los testigos, como sí lo es respecto de los peritos</w:t>
      </w:r>
      <w:r w:rsidR="00571AB1" w:rsidRPr="001E0D50">
        <w:rPr>
          <w:rStyle w:val="Refdenotaalpie"/>
        </w:rPr>
        <w:footnoteReference w:id="11"/>
      </w:r>
      <w:r w:rsidR="00571AB1" w:rsidRPr="001E0D50">
        <w:t>.</w:t>
      </w:r>
      <w:r w:rsidR="0054014E">
        <w:t xml:space="preserve"> En relación con</w:t>
      </w:r>
      <w:r w:rsidR="003E5A75">
        <w:t xml:space="preserve"> la falta de independencia por</w:t>
      </w:r>
      <w:r w:rsidR="0054014E">
        <w:t xml:space="preserve"> </w:t>
      </w:r>
      <w:r w:rsidR="00405626">
        <w:t xml:space="preserve">el vínculo laboral </w:t>
      </w:r>
      <w:r w:rsidR="0054014E">
        <w:t>de algunos de los testigos propuestos por los representantes</w:t>
      </w:r>
      <w:r w:rsidR="00405626">
        <w:t xml:space="preserve"> con las presuntas víctimas</w:t>
      </w:r>
      <w:r w:rsidR="0054014E">
        <w:t xml:space="preserve">, la Presidenta considera </w:t>
      </w:r>
      <w:r w:rsidR="003E5A75">
        <w:t>que es precisamente dicha</w:t>
      </w:r>
      <w:r w:rsidR="00405626">
        <w:t xml:space="preserve"> situación laboral lo que les permitió ser testigos presenciales de las posibles consecuencias que tuvieron los procesos seguidos en contra de las presuntas víctimas en el ejercicio de su profe</w:t>
      </w:r>
      <w:r w:rsidR="009C6485">
        <w:t>sión, materia del presente caso. P</w:t>
      </w:r>
      <w:r w:rsidR="00405626">
        <w:t>or</w:t>
      </w:r>
      <w:r w:rsidR="009C6485">
        <w:t xml:space="preserve"> ello, considera</w:t>
      </w:r>
      <w:r w:rsidR="00405626">
        <w:t xml:space="preserve"> conveniente recibir dicha prueba. Lo anterior sin perjuicio de considerar que l</w:t>
      </w:r>
      <w:r w:rsidR="00571AB1" w:rsidRPr="001E0D50">
        <w:t>as características personales o situación particular de los testigos</w:t>
      </w:r>
      <w:r w:rsidR="00405626">
        <w:t>, en este caso su relación laboral con las presuntas víctimas, podrían ser tomada</w:t>
      </w:r>
      <w:r w:rsidR="00571AB1" w:rsidRPr="001E0D50">
        <w:t>s en cuenta por el Tribunal a la hora de evaluar el peso probatorio de su declaración</w:t>
      </w:r>
      <w:r w:rsidR="00571AB1" w:rsidRPr="001E0D50">
        <w:rPr>
          <w:rStyle w:val="Refdenotaalpie"/>
        </w:rPr>
        <w:footnoteReference w:id="12"/>
      </w:r>
      <w:r w:rsidR="00571AB1" w:rsidRPr="001E0D50">
        <w:t xml:space="preserve">. </w:t>
      </w:r>
    </w:p>
    <w:p w14:paraId="43C3D73F" w14:textId="77777777" w:rsidR="00095AA5" w:rsidRPr="001061A0" w:rsidRDefault="00095AA5" w:rsidP="002F1900">
      <w:pPr>
        <w:pStyle w:val="Sangradetextonormal"/>
        <w:tabs>
          <w:tab w:val="left" w:pos="0"/>
        </w:tabs>
        <w:spacing w:after="0"/>
        <w:ind w:left="0"/>
        <w:rPr>
          <w:rFonts w:cs="Verdana"/>
          <w:szCs w:val="20"/>
          <w:lang w:bidi="en-US"/>
        </w:rPr>
      </w:pPr>
    </w:p>
    <w:p w14:paraId="4B256114" w14:textId="68E45949" w:rsidR="00095AA5" w:rsidRPr="001061A0" w:rsidRDefault="0056356E" w:rsidP="002F1900">
      <w:pPr>
        <w:pStyle w:val="Sinespaciado"/>
        <w:ind w:left="0" w:firstLine="0"/>
        <w:rPr>
          <w:rFonts w:cs="Verdana"/>
          <w:lang w:bidi="en-US"/>
        </w:rPr>
      </w:pPr>
      <w:r>
        <w:t>En consecuencia</w:t>
      </w:r>
      <w:r w:rsidR="00095AA5" w:rsidRPr="003024F7">
        <w:t>,</w:t>
      </w:r>
      <w:r w:rsidR="00095AA5">
        <w:t xml:space="preserve"> </w:t>
      </w:r>
      <w:r w:rsidR="00405626">
        <w:t>la Presidenta</w:t>
      </w:r>
      <w:r w:rsidR="00095AA5">
        <w:t xml:space="preserve"> admite las declaraciones </w:t>
      </w:r>
      <w:r w:rsidR="00405626" w:rsidRPr="001E0D50">
        <w:t xml:space="preserve">de </w:t>
      </w:r>
      <w:r w:rsidR="00405626">
        <w:rPr>
          <w:lang w:bidi="en-US"/>
        </w:rPr>
        <w:t xml:space="preserve">Leonardo Terán Parral, Gustavo </w:t>
      </w:r>
      <w:proofErr w:type="spellStart"/>
      <w:r w:rsidR="00405626">
        <w:rPr>
          <w:lang w:bidi="en-US"/>
        </w:rPr>
        <w:t>Cortéz</w:t>
      </w:r>
      <w:proofErr w:type="spellEnd"/>
      <w:r w:rsidR="00405626">
        <w:rPr>
          <w:lang w:bidi="en-US"/>
        </w:rPr>
        <w:t xml:space="preserve"> </w:t>
      </w:r>
      <w:proofErr w:type="spellStart"/>
      <w:r w:rsidR="00405626">
        <w:rPr>
          <w:lang w:bidi="en-US"/>
        </w:rPr>
        <w:t>Galecio</w:t>
      </w:r>
      <w:proofErr w:type="spellEnd"/>
      <w:r w:rsidR="00405626">
        <w:rPr>
          <w:lang w:bidi="en-US"/>
        </w:rPr>
        <w:t xml:space="preserve">, Sugey </w:t>
      </w:r>
      <w:proofErr w:type="spellStart"/>
      <w:r w:rsidR="00405626">
        <w:rPr>
          <w:lang w:bidi="en-US"/>
        </w:rPr>
        <w:t>Hajjar</w:t>
      </w:r>
      <w:proofErr w:type="spellEnd"/>
      <w:r w:rsidR="00405626">
        <w:rPr>
          <w:lang w:bidi="en-US"/>
        </w:rPr>
        <w:t xml:space="preserve"> Sánchez y </w:t>
      </w:r>
      <w:proofErr w:type="spellStart"/>
      <w:r w:rsidR="00405626">
        <w:rPr>
          <w:lang w:bidi="en-US"/>
        </w:rPr>
        <w:t>Mindy</w:t>
      </w:r>
      <w:proofErr w:type="spellEnd"/>
      <w:r w:rsidR="00405626">
        <w:rPr>
          <w:lang w:bidi="en-US"/>
        </w:rPr>
        <w:t xml:space="preserve"> de Palacio</w:t>
      </w:r>
      <w:r w:rsidR="00405626" w:rsidRPr="001E0D50">
        <w:t>.</w:t>
      </w:r>
      <w:r w:rsidR="00095AA5">
        <w:t xml:space="preserve"> E</w:t>
      </w:r>
      <w:r w:rsidR="00095AA5" w:rsidRPr="003024F7">
        <w:t xml:space="preserve">l objeto y la modalidad de </w:t>
      </w:r>
      <w:r w:rsidR="00405626">
        <w:t>duchas declaraciones</w:t>
      </w:r>
      <w:r w:rsidR="00095AA5" w:rsidRPr="003024F7">
        <w:t xml:space="preserve"> se determinará en la parte resolutiva de la presente Resolución (</w:t>
      </w:r>
      <w:r w:rsidR="00095AA5" w:rsidRPr="002933BD">
        <w:rPr>
          <w:i/>
        </w:rPr>
        <w:t>infra</w:t>
      </w:r>
      <w:r>
        <w:t xml:space="preserve"> punto resolutivo</w:t>
      </w:r>
      <w:r w:rsidR="00095AA5" w:rsidRPr="003024F7">
        <w:t xml:space="preserve"> </w:t>
      </w:r>
      <w:r>
        <w:t>3</w:t>
      </w:r>
      <w:r w:rsidR="00095AA5" w:rsidRPr="003024F7">
        <w:t>)</w:t>
      </w:r>
    </w:p>
    <w:p w14:paraId="740A2A42" w14:textId="77777777" w:rsidR="00095AA5" w:rsidRPr="00933FE2" w:rsidRDefault="00095AA5" w:rsidP="002F1900">
      <w:pPr>
        <w:pStyle w:val="Prrafodelista"/>
        <w:ind w:left="0"/>
        <w:rPr>
          <w:rFonts w:cs="Verdana"/>
          <w:lang w:bidi="en-US"/>
        </w:rPr>
      </w:pPr>
    </w:p>
    <w:p w14:paraId="0FF58A12" w14:textId="28535814" w:rsidR="00205052" w:rsidRPr="009C6485" w:rsidRDefault="00095AA5" w:rsidP="00205052">
      <w:pPr>
        <w:pStyle w:val="Sangradetextonormal"/>
        <w:tabs>
          <w:tab w:val="left" w:pos="0"/>
          <w:tab w:val="left" w:pos="810"/>
        </w:tabs>
        <w:spacing w:after="0"/>
        <w:ind w:left="0"/>
        <w:rPr>
          <w:rFonts w:cs="Verdana"/>
          <w:b/>
          <w:lang w:bidi="en-US"/>
        </w:rPr>
      </w:pPr>
      <w:r w:rsidRPr="009C6485">
        <w:rPr>
          <w:rFonts w:cs="Verdana"/>
          <w:b/>
          <w:i/>
          <w:lang w:bidi="en-US"/>
        </w:rPr>
        <w:t xml:space="preserve">B.2) </w:t>
      </w:r>
      <w:r w:rsidR="00205052" w:rsidRPr="009C6485">
        <w:rPr>
          <w:rFonts w:cs="Verdana"/>
          <w:b/>
          <w:i/>
          <w:lang w:bidi="en-US"/>
        </w:rPr>
        <w:t>Admisibilidad</w:t>
      </w:r>
      <w:r w:rsidRPr="009C6485">
        <w:rPr>
          <w:rFonts w:cs="Verdana"/>
          <w:b/>
          <w:i/>
          <w:lang w:bidi="en-US"/>
        </w:rPr>
        <w:t xml:space="preserve"> de los dictámenes periciales ofrecidos por los representantes</w:t>
      </w:r>
    </w:p>
    <w:p w14:paraId="6BE22E9B" w14:textId="23C76256" w:rsidR="00205052" w:rsidRDefault="00205052" w:rsidP="002F1900">
      <w:pPr>
        <w:pStyle w:val="Sangradetextonormal"/>
        <w:tabs>
          <w:tab w:val="left" w:pos="0"/>
        </w:tabs>
        <w:spacing w:after="0"/>
        <w:ind w:left="0"/>
        <w:rPr>
          <w:rFonts w:cs="Verdana"/>
          <w:szCs w:val="20"/>
          <w:highlight w:val="red"/>
          <w:lang w:val="es-CR" w:bidi="en-US"/>
        </w:rPr>
      </w:pPr>
    </w:p>
    <w:p w14:paraId="3B844C6F" w14:textId="7173BE96" w:rsidR="00F2098D" w:rsidRPr="00F2098D" w:rsidRDefault="00095AA5" w:rsidP="00371A5C">
      <w:pPr>
        <w:pStyle w:val="Sinespaciado"/>
        <w:ind w:left="0" w:firstLine="0"/>
        <w:rPr>
          <w:rFonts w:cs="Verdana"/>
          <w:lang w:bidi="en-US"/>
        </w:rPr>
      </w:pPr>
      <w:r w:rsidRPr="00A47DAE">
        <w:rPr>
          <w:rFonts w:cs="Verdana"/>
          <w:lang w:bidi="en-US"/>
        </w:rPr>
        <w:t xml:space="preserve">Los </w:t>
      </w:r>
      <w:r w:rsidRPr="00A47DAE">
        <w:rPr>
          <w:rFonts w:cs="Verdana"/>
          <w:b/>
          <w:i/>
          <w:lang w:bidi="en-US"/>
        </w:rPr>
        <w:t>representantes</w:t>
      </w:r>
      <w:r w:rsidR="00371A5C">
        <w:rPr>
          <w:rFonts w:cs="Verdana"/>
          <w:lang w:bidi="en-US"/>
        </w:rPr>
        <w:t xml:space="preserve"> ofrecieron la declaración pericial</w:t>
      </w:r>
      <w:r w:rsidRPr="00A47DAE">
        <w:rPr>
          <w:rFonts w:cs="Verdana"/>
          <w:lang w:bidi="en-US"/>
        </w:rPr>
        <w:t xml:space="preserve"> de </w:t>
      </w:r>
      <w:r w:rsidR="00D02C25">
        <w:rPr>
          <w:rFonts w:cs="Verdana"/>
          <w:lang w:bidi="en-US"/>
        </w:rPr>
        <w:t>Juan Pablo Albán</w:t>
      </w:r>
      <w:r w:rsidR="0056356E">
        <w:rPr>
          <w:rFonts w:cs="Verdana"/>
          <w:lang w:bidi="en-US"/>
        </w:rPr>
        <w:t xml:space="preserve"> </w:t>
      </w:r>
      <w:proofErr w:type="spellStart"/>
      <w:r w:rsidR="009C6485">
        <w:rPr>
          <w:rFonts w:cs="Verdana"/>
          <w:lang w:bidi="en-US"/>
        </w:rPr>
        <w:t>Alencastro</w:t>
      </w:r>
      <w:proofErr w:type="spellEnd"/>
      <w:r w:rsidR="00D02C25">
        <w:rPr>
          <w:rStyle w:val="Refdenotaalpie"/>
          <w:rFonts w:cs="Verdana"/>
          <w:lang w:bidi="en-US"/>
        </w:rPr>
        <w:footnoteReference w:id="13"/>
      </w:r>
      <w:r w:rsidR="00127AB3">
        <w:rPr>
          <w:rFonts w:cs="Verdana"/>
          <w:lang w:bidi="en-US"/>
        </w:rPr>
        <w:t xml:space="preserve"> y de Santiago Cantón</w:t>
      </w:r>
      <w:r w:rsidR="00127AB3">
        <w:rPr>
          <w:rStyle w:val="Refdenotaalpie"/>
          <w:rFonts w:cs="Verdana"/>
          <w:lang w:bidi="en-US"/>
        </w:rPr>
        <w:footnoteReference w:id="14"/>
      </w:r>
      <w:r w:rsidR="00205052">
        <w:rPr>
          <w:rFonts w:cs="Verdana"/>
          <w:lang w:bidi="en-US"/>
        </w:rPr>
        <w:t xml:space="preserve">. </w:t>
      </w:r>
      <w:r w:rsidR="00BB32A2" w:rsidRPr="00205052">
        <w:rPr>
          <w:rFonts w:cs="Verdana"/>
          <w:lang w:bidi="en-US"/>
        </w:rPr>
        <w:t xml:space="preserve">El </w:t>
      </w:r>
      <w:r w:rsidR="00BB32A2" w:rsidRPr="00205052">
        <w:rPr>
          <w:rFonts w:cs="Verdana"/>
          <w:b/>
          <w:i/>
          <w:lang w:bidi="en-US"/>
        </w:rPr>
        <w:t xml:space="preserve">Estado </w:t>
      </w:r>
      <w:r w:rsidR="00BB32A2" w:rsidRPr="00205052">
        <w:rPr>
          <w:rFonts w:cs="Verdana"/>
          <w:lang w:bidi="en-US"/>
        </w:rPr>
        <w:t>alegó</w:t>
      </w:r>
      <w:r w:rsidR="00205052">
        <w:rPr>
          <w:rFonts w:cs="Verdana"/>
          <w:lang w:bidi="en-US"/>
        </w:rPr>
        <w:t xml:space="preserve"> que </w:t>
      </w:r>
      <w:r w:rsidR="00371A5C">
        <w:rPr>
          <w:rFonts w:cs="Verdana"/>
          <w:lang w:bidi="en-US"/>
        </w:rPr>
        <w:t>dicho</w:t>
      </w:r>
      <w:r w:rsidR="00127AB3">
        <w:rPr>
          <w:rFonts w:cs="Verdana"/>
          <w:lang w:bidi="en-US"/>
        </w:rPr>
        <w:t>s</w:t>
      </w:r>
      <w:r w:rsidR="00371A5C">
        <w:rPr>
          <w:rFonts w:cs="Verdana"/>
          <w:lang w:bidi="en-US"/>
        </w:rPr>
        <w:t xml:space="preserve"> peritaje</w:t>
      </w:r>
      <w:r w:rsidR="00127AB3">
        <w:rPr>
          <w:rFonts w:cs="Verdana"/>
          <w:lang w:bidi="en-US"/>
        </w:rPr>
        <w:t>s</w:t>
      </w:r>
      <w:r w:rsidR="00371A5C">
        <w:rPr>
          <w:rFonts w:cs="Verdana"/>
          <w:lang w:bidi="en-US"/>
        </w:rPr>
        <w:t xml:space="preserve"> debe</w:t>
      </w:r>
      <w:r w:rsidR="00127AB3">
        <w:rPr>
          <w:rFonts w:cs="Verdana"/>
          <w:lang w:bidi="en-US"/>
        </w:rPr>
        <w:t>n</w:t>
      </w:r>
      <w:r w:rsidR="00371A5C">
        <w:rPr>
          <w:rFonts w:cs="Verdana"/>
          <w:lang w:bidi="en-US"/>
        </w:rPr>
        <w:t xml:space="preserve"> ser rechazado</w:t>
      </w:r>
      <w:r w:rsidR="00127AB3">
        <w:rPr>
          <w:rFonts w:cs="Verdana"/>
          <w:lang w:bidi="en-US"/>
        </w:rPr>
        <w:t>s</w:t>
      </w:r>
      <w:r w:rsidR="00205052">
        <w:rPr>
          <w:rFonts w:cs="Verdana"/>
          <w:lang w:bidi="en-US"/>
        </w:rPr>
        <w:t xml:space="preserve"> por la Corte</w:t>
      </w:r>
      <w:r w:rsidR="009C6485">
        <w:rPr>
          <w:rFonts w:cs="Verdana"/>
          <w:lang w:bidi="en-US"/>
        </w:rPr>
        <w:t>, y presentó recusaciones en contra de ambos peritos propuestos</w:t>
      </w:r>
      <w:r w:rsidR="00205052">
        <w:rPr>
          <w:rFonts w:cs="Verdana"/>
          <w:lang w:bidi="en-US"/>
        </w:rPr>
        <w:t xml:space="preserve">. </w:t>
      </w:r>
      <w:r w:rsidR="00F2098D" w:rsidRPr="009A4354">
        <w:rPr>
          <w:lang w:bidi="en-US"/>
        </w:rPr>
        <w:t xml:space="preserve">La </w:t>
      </w:r>
      <w:r w:rsidR="00F2098D" w:rsidRPr="009A4354">
        <w:rPr>
          <w:b/>
          <w:i/>
          <w:lang w:bidi="en-US"/>
        </w:rPr>
        <w:t xml:space="preserve">Comisión </w:t>
      </w:r>
      <w:r w:rsidR="00F2098D" w:rsidRPr="009A4354">
        <w:rPr>
          <w:lang w:bidi="en-US"/>
        </w:rPr>
        <w:t>informó que no tiene observaciones a formular respecto a las listas definitivas presentadas por las partes.</w:t>
      </w:r>
    </w:p>
    <w:p w14:paraId="2ACCF79F" w14:textId="0F5CBEDC" w:rsidR="00F2098D" w:rsidRDefault="00F2098D" w:rsidP="00F2098D">
      <w:pPr>
        <w:pStyle w:val="Sinespaciado"/>
        <w:numPr>
          <w:ilvl w:val="0"/>
          <w:numId w:val="0"/>
        </w:numPr>
        <w:rPr>
          <w:lang w:bidi="en-US"/>
        </w:rPr>
      </w:pPr>
    </w:p>
    <w:p w14:paraId="7412C195" w14:textId="793210E1" w:rsidR="00F2098D" w:rsidRDefault="00F2098D" w:rsidP="00F2098D">
      <w:pPr>
        <w:pStyle w:val="Sinespaciado"/>
        <w:numPr>
          <w:ilvl w:val="0"/>
          <w:numId w:val="0"/>
        </w:numPr>
        <w:rPr>
          <w:rFonts w:cs="Verdana"/>
          <w:lang w:bidi="en-US"/>
        </w:rPr>
      </w:pPr>
      <w:r>
        <w:rPr>
          <w:b/>
        </w:rPr>
        <w:tab/>
        <w:t>B.2</w:t>
      </w:r>
      <w:r w:rsidRPr="008E5B95">
        <w:rPr>
          <w:b/>
        </w:rPr>
        <w:t xml:space="preserve">.1. Peritaje de </w:t>
      </w:r>
      <w:r>
        <w:rPr>
          <w:b/>
        </w:rPr>
        <w:t>Juan Pablo Albán</w:t>
      </w:r>
      <w:r w:rsidR="0056356E">
        <w:rPr>
          <w:b/>
        </w:rPr>
        <w:t xml:space="preserve"> </w:t>
      </w:r>
      <w:proofErr w:type="spellStart"/>
      <w:r w:rsidR="00B95EBC">
        <w:rPr>
          <w:b/>
        </w:rPr>
        <w:t>Alencastro</w:t>
      </w:r>
      <w:proofErr w:type="spellEnd"/>
    </w:p>
    <w:p w14:paraId="550BD418" w14:textId="77777777" w:rsidR="00F2098D" w:rsidRDefault="00F2098D" w:rsidP="00F2098D">
      <w:pPr>
        <w:pStyle w:val="Sinespaciado"/>
        <w:numPr>
          <w:ilvl w:val="0"/>
          <w:numId w:val="0"/>
        </w:numPr>
        <w:rPr>
          <w:rFonts w:cs="Verdana"/>
          <w:lang w:bidi="en-US"/>
        </w:rPr>
      </w:pPr>
    </w:p>
    <w:p w14:paraId="10ACC6AB" w14:textId="26FE9BDC" w:rsidR="004071CC" w:rsidRDefault="001A4E32" w:rsidP="001A4E32">
      <w:pPr>
        <w:pStyle w:val="Sinespaciado"/>
        <w:ind w:left="0" w:firstLine="0"/>
        <w:rPr>
          <w:rFonts w:cs="Verdana"/>
          <w:lang w:bidi="en-US"/>
        </w:rPr>
      </w:pPr>
      <w:r>
        <w:rPr>
          <w:rFonts w:cs="Verdana"/>
          <w:lang w:bidi="en-US"/>
        </w:rPr>
        <w:t>E</w:t>
      </w:r>
      <w:r w:rsidR="00127AB3">
        <w:rPr>
          <w:rFonts w:cs="Verdana"/>
          <w:lang w:bidi="en-US"/>
        </w:rPr>
        <w:t>l</w:t>
      </w:r>
      <w:r w:rsidR="00A26988">
        <w:rPr>
          <w:rFonts w:cs="Verdana"/>
          <w:lang w:bidi="en-US"/>
        </w:rPr>
        <w:t xml:space="preserve"> </w:t>
      </w:r>
      <w:r w:rsidR="00A26988" w:rsidRPr="009A5B72">
        <w:rPr>
          <w:rFonts w:cs="Verdana"/>
          <w:b/>
          <w:i/>
          <w:lang w:bidi="en-US"/>
        </w:rPr>
        <w:t>Estado</w:t>
      </w:r>
      <w:r w:rsidR="00127AB3">
        <w:rPr>
          <w:rFonts w:cs="Verdana"/>
          <w:lang w:bidi="en-US"/>
        </w:rPr>
        <w:t xml:space="preserve"> </w:t>
      </w:r>
      <w:r w:rsidR="00E82AD2">
        <w:rPr>
          <w:rFonts w:cs="Verdana"/>
          <w:lang w:bidi="en-US"/>
        </w:rPr>
        <w:t xml:space="preserve">recusó </w:t>
      </w:r>
      <w:r>
        <w:rPr>
          <w:rFonts w:cs="Verdana"/>
          <w:lang w:bidi="en-US"/>
        </w:rPr>
        <w:t>el peritaje del señor Albán</w:t>
      </w:r>
      <w:r w:rsidR="00E82AD2">
        <w:rPr>
          <w:rFonts w:cs="Verdana"/>
          <w:lang w:bidi="en-US"/>
        </w:rPr>
        <w:t xml:space="preserve"> bajo la causal dispuesta en el artículo </w:t>
      </w:r>
      <w:r>
        <w:rPr>
          <w:rFonts w:cs="Verdana"/>
          <w:lang w:bidi="en-US"/>
        </w:rPr>
        <w:t>48.1.f del Reglamento de la Corte</w:t>
      </w:r>
      <w:r w:rsidR="001F3E08">
        <w:rPr>
          <w:rStyle w:val="Refdenotaalpie"/>
          <w:rFonts w:cs="Verdana"/>
          <w:lang w:bidi="en-US"/>
        </w:rPr>
        <w:footnoteReference w:id="15"/>
      </w:r>
      <w:r>
        <w:rPr>
          <w:rFonts w:cs="Verdana"/>
          <w:lang w:bidi="en-US"/>
        </w:rPr>
        <w:t>. En particular, s</w:t>
      </w:r>
      <w:r w:rsidR="00371A5C">
        <w:rPr>
          <w:rFonts w:cs="Verdana"/>
          <w:lang w:bidi="en-US"/>
        </w:rPr>
        <w:t>eñaló</w:t>
      </w:r>
      <w:r w:rsidR="00205052">
        <w:rPr>
          <w:rFonts w:cs="Verdana"/>
          <w:lang w:bidi="en-US"/>
        </w:rPr>
        <w:t xml:space="preserve"> </w:t>
      </w:r>
      <w:r w:rsidR="0020665D" w:rsidRPr="00205052">
        <w:rPr>
          <w:rFonts w:cs="Verdana"/>
          <w:lang w:bidi="en-US"/>
        </w:rPr>
        <w:t xml:space="preserve">que </w:t>
      </w:r>
      <w:r w:rsidR="004E1BAE">
        <w:rPr>
          <w:rFonts w:cs="Verdana"/>
          <w:lang w:bidi="en-US"/>
        </w:rPr>
        <w:t>en una entrevista realizada al D</w:t>
      </w:r>
      <w:r w:rsidR="0020665D" w:rsidRPr="00205052">
        <w:rPr>
          <w:rFonts w:cs="Verdana"/>
          <w:lang w:bidi="en-US"/>
        </w:rPr>
        <w:t xml:space="preserve">iario El Universo, el 14 de noviembre de 2011, </w:t>
      </w:r>
      <w:r w:rsidR="00371A5C">
        <w:rPr>
          <w:rFonts w:cs="Verdana"/>
          <w:lang w:bidi="en-US"/>
        </w:rPr>
        <w:t>el señor Albán emitió declaraciones que comprometen su imparcialidad respecto al caso, al abordar “el rol de la CIDH frente a las medidas cautelares adoptadas dentro del caso”</w:t>
      </w:r>
      <w:r w:rsidR="0020665D" w:rsidRPr="00205052">
        <w:rPr>
          <w:rFonts w:cs="Verdana"/>
          <w:lang w:bidi="en-US"/>
        </w:rPr>
        <w:t xml:space="preserve">. En ese sentido, el Estado alegó que </w:t>
      </w:r>
      <w:r>
        <w:rPr>
          <w:rFonts w:cs="Verdana"/>
          <w:lang w:bidi="en-US"/>
        </w:rPr>
        <w:t xml:space="preserve">el perito </w:t>
      </w:r>
      <w:r w:rsidR="00371A5C">
        <w:rPr>
          <w:rFonts w:cs="Verdana"/>
          <w:lang w:bidi="en-US"/>
        </w:rPr>
        <w:t>emitió criterios con respecto a las medidas cautelares adoptadas en el caso</w:t>
      </w:r>
      <w:r>
        <w:rPr>
          <w:rFonts w:cs="Verdana"/>
          <w:lang w:bidi="en-US"/>
        </w:rPr>
        <w:t xml:space="preserve"> por la Comisión Interamericana,</w:t>
      </w:r>
      <w:r w:rsidR="00371A5C">
        <w:rPr>
          <w:rFonts w:cs="Verdana"/>
          <w:lang w:bidi="en-US"/>
        </w:rPr>
        <w:t xml:space="preserve"> “e incluso señaló que el caso conocido como El Universo, era sospechoso”.</w:t>
      </w:r>
      <w:r w:rsidR="00A26988">
        <w:rPr>
          <w:rFonts w:cs="Verdana"/>
          <w:lang w:bidi="en-US"/>
        </w:rPr>
        <w:t xml:space="preserve"> </w:t>
      </w:r>
    </w:p>
    <w:p w14:paraId="4CFEE126" w14:textId="77777777" w:rsidR="004071CC" w:rsidRDefault="004071CC" w:rsidP="004071CC">
      <w:pPr>
        <w:pStyle w:val="Sinespaciado"/>
        <w:numPr>
          <w:ilvl w:val="0"/>
          <w:numId w:val="0"/>
        </w:numPr>
        <w:rPr>
          <w:rFonts w:cs="Verdana"/>
          <w:lang w:bidi="en-US"/>
        </w:rPr>
      </w:pPr>
    </w:p>
    <w:p w14:paraId="74F976C5" w14:textId="77777777" w:rsidR="0073170E" w:rsidRDefault="00E82AD2" w:rsidP="0073170E">
      <w:pPr>
        <w:pStyle w:val="Sinespaciado"/>
        <w:ind w:left="0" w:firstLine="0"/>
        <w:rPr>
          <w:rFonts w:cs="Verdana"/>
          <w:lang w:bidi="en-US"/>
        </w:rPr>
      </w:pPr>
      <w:r w:rsidRPr="001A4E32">
        <w:rPr>
          <w:rFonts w:cs="Verdana"/>
          <w:lang w:bidi="en-US"/>
        </w:rPr>
        <w:t xml:space="preserve">Por su parte, respondiendo al traslado de la recusación, el </w:t>
      </w:r>
      <w:r w:rsidR="00B13C1A">
        <w:rPr>
          <w:rFonts w:cs="Verdana"/>
          <w:lang w:bidi="en-US"/>
        </w:rPr>
        <w:t>señor</w:t>
      </w:r>
      <w:r w:rsidR="00B13C1A" w:rsidRPr="001A4E32">
        <w:rPr>
          <w:rFonts w:cs="Verdana"/>
          <w:b/>
          <w:i/>
          <w:lang w:bidi="en-US"/>
        </w:rPr>
        <w:t xml:space="preserve"> </w:t>
      </w:r>
      <w:r w:rsidRPr="001A4E32">
        <w:rPr>
          <w:rFonts w:cs="Verdana"/>
          <w:lang w:bidi="en-US"/>
        </w:rPr>
        <w:t xml:space="preserve">Albán expresó que no se encuentra en ninguna de las causales de recusación previstas por el Reglamento, y que el Estado no ha presentado ninguna evidencia sobre su supuesta falta de imparcialidad. Asimismo, expresó que parte de su trabajo académico y profesional consiste </w:t>
      </w:r>
      <w:r w:rsidR="00E97B41">
        <w:rPr>
          <w:rFonts w:cs="Verdana"/>
          <w:lang w:bidi="en-US"/>
        </w:rPr>
        <w:t xml:space="preserve">en </w:t>
      </w:r>
      <w:r w:rsidRPr="001A4E32">
        <w:rPr>
          <w:rFonts w:cs="Verdana"/>
          <w:lang w:bidi="en-US"/>
        </w:rPr>
        <w:t>participa</w:t>
      </w:r>
      <w:r w:rsidR="00E97B41">
        <w:rPr>
          <w:rFonts w:cs="Verdana"/>
          <w:lang w:bidi="en-US"/>
        </w:rPr>
        <w:t>r</w:t>
      </w:r>
      <w:r w:rsidRPr="001A4E32">
        <w:rPr>
          <w:rFonts w:cs="Verdana"/>
          <w:lang w:bidi="en-US"/>
        </w:rPr>
        <w:t xml:space="preserve"> ante medios de comunicación ecuatorianos y comparecer ante organismos de supervisión, sin que esto pueda constituir una causal de recusación en su contra.</w:t>
      </w:r>
    </w:p>
    <w:p w14:paraId="7E0B7699" w14:textId="211D75FC" w:rsidR="0073170E" w:rsidRPr="0073170E" w:rsidRDefault="0073170E" w:rsidP="0073170E">
      <w:pPr>
        <w:pStyle w:val="Sinespaciado"/>
        <w:numPr>
          <w:ilvl w:val="0"/>
          <w:numId w:val="0"/>
        </w:numPr>
        <w:rPr>
          <w:rFonts w:cs="Verdana"/>
          <w:lang w:bidi="en-US"/>
        </w:rPr>
      </w:pPr>
    </w:p>
    <w:p w14:paraId="1BCBCCFB" w14:textId="42F53279" w:rsidR="0073170E" w:rsidRPr="0073170E" w:rsidRDefault="00E82AD2" w:rsidP="0073170E">
      <w:pPr>
        <w:pStyle w:val="Sinespaciado"/>
        <w:ind w:left="0" w:firstLine="0"/>
        <w:rPr>
          <w:rFonts w:cs="Verdana"/>
          <w:lang w:bidi="en-US"/>
        </w:rPr>
      </w:pPr>
      <w:r w:rsidRPr="0073170E">
        <w:rPr>
          <w:rFonts w:cs="Verdana"/>
          <w:color w:val="000000"/>
        </w:rPr>
        <w:t>De conformidad con el artículo 48.1.f del Reglamento</w:t>
      </w:r>
      <w:r w:rsidR="00A26988" w:rsidRPr="0073170E">
        <w:rPr>
          <w:rFonts w:cs="Verdana"/>
          <w:color w:val="000000"/>
        </w:rPr>
        <w:t>, la recusación contra personas propuestas como peritos procede en caso de “haber intervenido con anterioridad, a cualquier título y en cualquier instancia, nacional o internacional, en relación con la misma causa”</w:t>
      </w:r>
      <w:r w:rsidRPr="00EB7768">
        <w:t xml:space="preserve">. En el presente caso, </w:t>
      </w:r>
      <w:r w:rsidR="00EB7768">
        <w:t xml:space="preserve">la </w:t>
      </w:r>
      <w:r w:rsidR="00A26988" w:rsidRPr="0073170E">
        <w:rPr>
          <w:b/>
          <w:i/>
        </w:rPr>
        <w:t>Presidenta</w:t>
      </w:r>
      <w:r w:rsidR="00B17D0F" w:rsidRPr="00EB7768">
        <w:t xml:space="preserve"> </w:t>
      </w:r>
      <w:r w:rsidR="00BF3E71">
        <w:t>nota</w:t>
      </w:r>
      <w:r w:rsidR="009C6485">
        <w:t xml:space="preserve"> que</w:t>
      </w:r>
      <w:r w:rsidR="0073170E">
        <w:t>, en la entrevist</w:t>
      </w:r>
      <w:r w:rsidR="004E1BAE">
        <w:t>a señalada por el Estado en el D</w:t>
      </w:r>
      <w:r w:rsidR="0073170E">
        <w:t>iario El Universo,</w:t>
      </w:r>
      <w:r w:rsidR="009C6485">
        <w:t xml:space="preserve"> el señor Albán se refirió a </w:t>
      </w:r>
      <w:r w:rsidR="0073170E">
        <w:t xml:space="preserve">cuestiones relacionadas con los requisitos procesales que deben cumplirse para que un caso sea conocido por la Comisión Interamericana, y consideró que el presente caso se podría encontrar “al filo” de la excepción prevista en el artículo 46.2.a) de la Convención. </w:t>
      </w:r>
    </w:p>
    <w:p w14:paraId="09FCD0C9" w14:textId="77777777" w:rsidR="0073170E" w:rsidRDefault="0073170E" w:rsidP="0073170E"/>
    <w:p w14:paraId="49B45F18" w14:textId="452A1898" w:rsidR="009C6485" w:rsidRPr="0073170E" w:rsidRDefault="0073170E" w:rsidP="0073170E">
      <w:pPr>
        <w:pStyle w:val="Sinespaciado"/>
        <w:ind w:left="0" w:firstLine="0"/>
        <w:rPr>
          <w:rFonts w:cs="Verdana"/>
          <w:lang w:bidi="en-US"/>
        </w:rPr>
      </w:pPr>
      <w:r>
        <w:t xml:space="preserve">Al respecto, la Presidenta considera </w:t>
      </w:r>
      <w:r w:rsidR="00BF3E71">
        <w:t>que dichas declaraciones no se refieren directamente al objeto por el que ha sido ofrecido para declarar por los representantes, y en cambio sus declaraciones se dirigen a señalar aspectos del procedimiento ante la Comisión Interamericana que no demuestran un pronunciamiento previo sobre el fondo del presente caso</w:t>
      </w:r>
      <w:r w:rsidR="001F3E08">
        <w:t xml:space="preserve"> ni ponen en duda la imparcialidad del perito propuesto</w:t>
      </w:r>
      <w:r w:rsidR="00BF3E71">
        <w:t>. Asimismo, dichas declaraciones</w:t>
      </w:r>
      <w:r w:rsidR="00552FD8" w:rsidRPr="00EB7768">
        <w:t xml:space="preserve"> </w:t>
      </w:r>
      <w:r w:rsidR="00EB7768" w:rsidRPr="00EB7768">
        <w:t>no pueden ser consideradas como una intervención en el proceso</w:t>
      </w:r>
      <w:r w:rsidR="00EB7768">
        <w:t xml:space="preserve"> por parte del perito</w:t>
      </w:r>
      <w:r w:rsidR="009A5B72">
        <w:t>,</w:t>
      </w:r>
      <w:r w:rsidR="00EB7768" w:rsidRPr="00EB7768">
        <w:t xml:space="preserve"> por lo que los argumentos presentados por el Estado no se ajustan a alguna causal especifica de recusación.</w:t>
      </w:r>
    </w:p>
    <w:p w14:paraId="0EB7A2B6" w14:textId="77777777" w:rsidR="009C6485" w:rsidRDefault="009C6485" w:rsidP="009C6485"/>
    <w:p w14:paraId="60F48C66" w14:textId="28045818" w:rsidR="00A26988" w:rsidRPr="00EB7768" w:rsidRDefault="00EB7768" w:rsidP="00371A5C">
      <w:pPr>
        <w:pStyle w:val="Sinespaciado"/>
        <w:ind w:left="0" w:firstLine="0"/>
        <w:rPr>
          <w:rFonts w:cs="Verdana"/>
          <w:lang w:bidi="en-US"/>
        </w:rPr>
      </w:pPr>
      <w:r w:rsidRPr="00EB7768">
        <w:t xml:space="preserve">Por tanto, </w:t>
      </w:r>
      <w:r>
        <w:t>la Presidenta</w:t>
      </w:r>
      <w:r w:rsidRPr="00EB7768">
        <w:t xml:space="preserve"> considera</w:t>
      </w:r>
      <w:r>
        <w:t xml:space="preserve"> pertinente admitir el peritaje</w:t>
      </w:r>
      <w:r w:rsidRPr="00EB7768">
        <w:t xml:space="preserve"> propuesto por los representantes. El objeto y la modalidad del mismo se determinará en la parte resolutiva de la presente Resolución (</w:t>
      </w:r>
      <w:r w:rsidRPr="001A4E32">
        <w:rPr>
          <w:i/>
        </w:rPr>
        <w:t>infra</w:t>
      </w:r>
      <w:r w:rsidR="001A4E32">
        <w:t xml:space="preserve"> punto resolutivo 1</w:t>
      </w:r>
      <w:r w:rsidRPr="00EB7768">
        <w:t>).</w:t>
      </w:r>
    </w:p>
    <w:p w14:paraId="5540952D" w14:textId="25B80915" w:rsidR="00F2098D" w:rsidRDefault="00F2098D" w:rsidP="00F2098D">
      <w:pPr>
        <w:pStyle w:val="Sinespaciado"/>
        <w:numPr>
          <w:ilvl w:val="0"/>
          <w:numId w:val="0"/>
        </w:numPr>
        <w:rPr>
          <w:rFonts w:cs="Verdana"/>
          <w:lang w:bidi="en-US"/>
        </w:rPr>
      </w:pPr>
    </w:p>
    <w:p w14:paraId="273982C3" w14:textId="2634365E" w:rsidR="00F2098D" w:rsidRDefault="00F2098D" w:rsidP="00F2098D">
      <w:pPr>
        <w:pStyle w:val="Sinespaciado"/>
        <w:numPr>
          <w:ilvl w:val="0"/>
          <w:numId w:val="0"/>
        </w:numPr>
        <w:rPr>
          <w:rFonts w:cs="Verdana"/>
          <w:lang w:bidi="en-US"/>
        </w:rPr>
      </w:pPr>
      <w:r>
        <w:rPr>
          <w:b/>
        </w:rPr>
        <w:tab/>
        <w:t>B.2</w:t>
      </w:r>
      <w:r w:rsidRPr="008E5B95">
        <w:rPr>
          <w:b/>
        </w:rPr>
        <w:t>.</w:t>
      </w:r>
      <w:r>
        <w:rPr>
          <w:b/>
        </w:rPr>
        <w:t>2</w:t>
      </w:r>
      <w:r w:rsidRPr="008E5B95">
        <w:rPr>
          <w:b/>
        </w:rPr>
        <w:t xml:space="preserve">. Peritaje de </w:t>
      </w:r>
      <w:r>
        <w:rPr>
          <w:b/>
        </w:rPr>
        <w:t>Santiago Cantón</w:t>
      </w:r>
    </w:p>
    <w:p w14:paraId="500A671A" w14:textId="77777777" w:rsidR="00F2098D" w:rsidRDefault="00F2098D" w:rsidP="00F2098D">
      <w:pPr>
        <w:pStyle w:val="Sinespaciado"/>
        <w:numPr>
          <w:ilvl w:val="0"/>
          <w:numId w:val="0"/>
        </w:numPr>
        <w:rPr>
          <w:rFonts w:cs="Verdana"/>
          <w:lang w:bidi="en-US"/>
        </w:rPr>
      </w:pPr>
    </w:p>
    <w:p w14:paraId="017C5012" w14:textId="76367B4F" w:rsidR="004071CC" w:rsidRDefault="00727F7F" w:rsidP="00727F7F">
      <w:pPr>
        <w:pStyle w:val="Sinespaciado"/>
        <w:ind w:left="0" w:firstLine="0"/>
        <w:rPr>
          <w:rFonts w:cs="Verdana"/>
          <w:lang w:bidi="en-US"/>
        </w:rPr>
      </w:pPr>
      <w:r w:rsidRPr="00727F7F">
        <w:rPr>
          <w:rFonts w:cs="Verdana"/>
          <w:lang w:bidi="en-US"/>
        </w:rPr>
        <w:t xml:space="preserve">El </w:t>
      </w:r>
      <w:r w:rsidRPr="009A5B72">
        <w:rPr>
          <w:rFonts w:cs="Verdana"/>
          <w:b/>
          <w:i/>
          <w:lang w:bidi="en-US"/>
        </w:rPr>
        <w:t>Estado</w:t>
      </w:r>
      <w:r w:rsidRPr="00727F7F">
        <w:rPr>
          <w:rFonts w:cs="Verdana"/>
          <w:lang w:bidi="en-US"/>
        </w:rPr>
        <w:t xml:space="preserve"> recusó el peritaje del señor Cantón bajo la</w:t>
      </w:r>
      <w:r w:rsidR="006C5388">
        <w:rPr>
          <w:rFonts w:cs="Verdana"/>
          <w:lang w:bidi="en-US"/>
        </w:rPr>
        <w:t>s</w:t>
      </w:r>
      <w:r w:rsidRPr="00727F7F">
        <w:rPr>
          <w:rFonts w:cs="Verdana"/>
          <w:lang w:bidi="en-US"/>
        </w:rPr>
        <w:t xml:space="preserve"> causal</w:t>
      </w:r>
      <w:r w:rsidR="006C5388">
        <w:rPr>
          <w:rFonts w:cs="Verdana"/>
          <w:lang w:bidi="en-US"/>
        </w:rPr>
        <w:t>es</w:t>
      </w:r>
      <w:r w:rsidRPr="00727F7F">
        <w:rPr>
          <w:rFonts w:cs="Verdana"/>
          <w:lang w:bidi="en-US"/>
        </w:rPr>
        <w:t xml:space="preserve"> dispuesta</w:t>
      </w:r>
      <w:r w:rsidR="006C5388">
        <w:rPr>
          <w:rFonts w:cs="Verdana"/>
          <w:lang w:bidi="en-US"/>
        </w:rPr>
        <w:t>s</w:t>
      </w:r>
      <w:r w:rsidRPr="00727F7F">
        <w:rPr>
          <w:rFonts w:cs="Verdana"/>
          <w:lang w:bidi="en-US"/>
        </w:rPr>
        <w:t xml:space="preserve"> en el artículo 48.1.d y f del Reglamento de la Corte</w:t>
      </w:r>
      <w:r w:rsidR="001F3E08">
        <w:rPr>
          <w:rStyle w:val="Refdenotaalpie"/>
          <w:rFonts w:cs="Verdana"/>
          <w:lang w:bidi="en-US"/>
        </w:rPr>
        <w:footnoteReference w:id="16"/>
      </w:r>
      <w:r w:rsidRPr="00727F7F">
        <w:rPr>
          <w:rFonts w:cs="Verdana"/>
          <w:lang w:bidi="en-US"/>
        </w:rPr>
        <w:t xml:space="preserve">. </w:t>
      </w:r>
      <w:r w:rsidR="001A4E32" w:rsidRPr="00727F7F">
        <w:rPr>
          <w:rFonts w:cs="Verdana"/>
          <w:lang w:bidi="en-US"/>
        </w:rPr>
        <w:t>E</w:t>
      </w:r>
      <w:r w:rsidR="00DD1A47" w:rsidRPr="00727F7F">
        <w:rPr>
          <w:rFonts w:cs="Verdana"/>
          <w:lang w:bidi="en-US"/>
        </w:rPr>
        <w:t>l Estado señaló que el</w:t>
      </w:r>
      <w:r w:rsidR="001A4E32" w:rsidRPr="00727F7F">
        <w:rPr>
          <w:rFonts w:cs="Verdana"/>
          <w:lang w:bidi="en-US"/>
        </w:rPr>
        <w:t xml:space="preserve"> señor Cantón</w:t>
      </w:r>
      <w:r w:rsidR="00DD1A47" w:rsidRPr="00727F7F">
        <w:rPr>
          <w:rFonts w:cs="Verdana"/>
          <w:lang w:bidi="en-US"/>
        </w:rPr>
        <w:t>, en su calidad de Secretario Ejecutivo de la Comisión Interamericana,</w:t>
      </w:r>
      <w:r w:rsidR="001A4E32" w:rsidRPr="00727F7F">
        <w:rPr>
          <w:rFonts w:cs="Verdana"/>
          <w:lang w:bidi="en-US"/>
        </w:rPr>
        <w:t xml:space="preserve"> conoció sobre</w:t>
      </w:r>
      <w:r w:rsidR="00DD1A47" w:rsidRPr="00727F7F">
        <w:rPr>
          <w:rFonts w:cs="Verdana"/>
          <w:lang w:bidi="en-US"/>
        </w:rPr>
        <w:t xml:space="preserve"> la solicitud de medidas cautelares a favor de las presuntas víctimas del caso, las cuales fueron otorgadas por la </w:t>
      </w:r>
      <w:r w:rsidR="00DD1A47" w:rsidRPr="00727F7F">
        <w:rPr>
          <w:rFonts w:cs="Verdana"/>
          <w:lang w:bidi="en-US"/>
        </w:rPr>
        <w:lastRenderedPageBreak/>
        <w:t xml:space="preserve">Comisión Interamericana el 21 de febrero de 2012. Asimismo, expresaron que el perito conoció sobre la petición con la que inició la presente causa ante la </w:t>
      </w:r>
      <w:r w:rsidRPr="00727F7F">
        <w:rPr>
          <w:rFonts w:cs="Verdana"/>
          <w:lang w:bidi="en-US"/>
        </w:rPr>
        <w:t>Comisión Interamericana</w:t>
      </w:r>
      <w:r w:rsidR="00C97631" w:rsidRPr="00727F7F">
        <w:rPr>
          <w:rFonts w:cs="Verdana"/>
          <w:lang w:bidi="en-US"/>
        </w:rPr>
        <w:t>, lo cual se demuestra en diversos documentos aportados por el Estado</w:t>
      </w:r>
      <w:r w:rsidR="00DD1A47" w:rsidRPr="00727F7F">
        <w:rPr>
          <w:rFonts w:cs="Verdana"/>
          <w:lang w:bidi="en-US"/>
        </w:rPr>
        <w:t xml:space="preserve">. Por otro lado, el Estado se refirió a una entrevista realizada por el medio digital La República, y a otra realizada en el medio digital </w:t>
      </w:r>
      <w:proofErr w:type="spellStart"/>
      <w:r w:rsidR="00DD1A47" w:rsidRPr="00727F7F">
        <w:rPr>
          <w:rFonts w:cs="Verdana"/>
          <w:lang w:bidi="en-US"/>
        </w:rPr>
        <w:t>Voa</w:t>
      </w:r>
      <w:proofErr w:type="spellEnd"/>
      <w:r w:rsidR="00DD1A47" w:rsidRPr="00727F7F">
        <w:rPr>
          <w:rFonts w:cs="Verdana"/>
          <w:lang w:bidi="en-US"/>
        </w:rPr>
        <w:t xml:space="preserve"> Noticias, en las que señaló que el perito propuesto realizó declaraciones respecto al caso.</w:t>
      </w:r>
      <w:r w:rsidR="00E82AD2" w:rsidRPr="00727F7F">
        <w:rPr>
          <w:rFonts w:cs="Verdana"/>
          <w:lang w:bidi="en-US"/>
        </w:rPr>
        <w:t xml:space="preserve"> En ese sentido,</w:t>
      </w:r>
      <w:r w:rsidR="00741277" w:rsidRPr="00727F7F">
        <w:rPr>
          <w:rFonts w:cs="Verdana"/>
          <w:lang w:bidi="en-US"/>
        </w:rPr>
        <w:t xml:space="preserve"> el Estado señaló que el perito </w:t>
      </w:r>
      <w:r w:rsidR="00E82AD2" w:rsidRPr="00727F7F">
        <w:rPr>
          <w:rFonts w:cs="Verdana"/>
          <w:lang w:bidi="en-US"/>
        </w:rPr>
        <w:t xml:space="preserve">no es </w:t>
      </w:r>
      <w:r w:rsidR="00DD1A47" w:rsidRPr="00727F7F">
        <w:rPr>
          <w:rFonts w:cs="Verdana"/>
          <w:lang w:bidi="en-US"/>
        </w:rPr>
        <w:t>plenamente imparcial y objetivo,</w:t>
      </w:r>
      <w:r w:rsidR="00E82AD2" w:rsidRPr="00727F7F">
        <w:rPr>
          <w:rFonts w:cs="Verdana"/>
          <w:lang w:bidi="en-US"/>
        </w:rPr>
        <w:t xml:space="preserve"> y</w:t>
      </w:r>
      <w:r w:rsidR="00DD1A47" w:rsidRPr="00727F7F">
        <w:rPr>
          <w:rFonts w:cs="Verdana"/>
          <w:lang w:bidi="en-US"/>
        </w:rPr>
        <w:t xml:space="preserve"> se enfrent</w:t>
      </w:r>
      <w:r>
        <w:rPr>
          <w:rFonts w:cs="Verdana"/>
          <w:lang w:bidi="en-US"/>
        </w:rPr>
        <w:t xml:space="preserve">a a un conflicto de intereses. </w:t>
      </w:r>
    </w:p>
    <w:p w14:paraId="27D5EAEF" w14:textId="77777777" w:rsidR="004071CC" w:rsidRDefault="004071CC" w:rsidP="004071CC">
      <w:pPr>
        <w:pStyle w:val="Sinespaciado"/>
        <w:numPr>
          <w:ilvl w:val="0"/>
          <w:numId w:val="0"/>
        </w:numPr>
        <w:rPr>
          <w:rFonts w:cs="Verdana"/>
          <w:lang w:bidi="en-US"/>
        </w:rPr>
      </w:pPr>
    </w:p>
    <w:p w14:paraId="6F18E88A" w14:textId="71C9F8F4" w:rsidR="00095AA5" w:rsidRPr="00D37B74" w:rsidRDefault="003D245B" w:rsidP="00D37B74">
      <w:pPr>
        <w:pStyle w:val="Sinespaciado"/>
        <w:ind w:left="0" w:firstLine="0"/>
        <w:rPr>
          <w:rFonts w:cs="Verdana"/>
          <w:lang w:bidi="en-US"/>
        </w:rPr>
      </w:pPr>
      <w:r w:rsidRPr="00727F7F">
        <w:rPr>
          <w:rFonts w:cs="Verdana"/>
          <w:lang w:bidi="en-US"/>
        </w:rPr>
        <w:t>Por su parte,</w:t>
      </w:r>
      <w:r w:rsidR="00E82AD2" w:rsidRPr="00727F7F">
        <w:rPr>
          <w:rFonts w:cs="Verdana"/>
          <w:lang w:bidi="en-US"/>
        </w:rPr>
        <w:t xml:space="preserve"> respondiendo al traslado de la recusación, el </w:t>
      </w:r>
      <w:r w:rsidR="00B13C1A">
        <w:rPr>
          <w:rFonts w:cs="Verdana"/>
          <w:lang w:bidi="en-US"/>
        </w:rPr>
        <w:t>señor</w:t>
      </w:r>
      <w:r w:rsidR="00B13C1A" w:rsidRPr="00727F7F">
        <w:rPr>
          <w:rFonts w:cs="Verdana"/>
          <w:lang w:bidi="en-US"/>
        </w:rPr>
        <w:t xml:space="preserve"> </w:t>
      </w:r>
      <w:r w:rsidRPr="00727F7F">
        <w:rPr>
          <w:rFonts w:cs="Verdana"/>
          <w:lang w:bidi="en-US"/>
        </w:rPr>
        <w:t>Santiago Cantón</w:t>
      </w:r>
      <w:r w:rsidRPr="00727F7F">
        <w:rPr>
          <w:rFonts w:cs="Verdana"/>
          <w:b/>
          <w:lang w:bidi="en-US"/>
        </w:rPr>
        <w:t xml:space="preserve"> </w:t>
      </w:r>
      <w:r w:rsidRPr="00727F7F">
        <w:rPr>
          <w:rFonts w:cs="Verdana"/>
          <w:lang w:bidi="en-US"/>
        </w:rPr>
        <w:t>señaló que no tuvo ninguna participación en actos deliberativos o con capacidad resolutiva en el trámite del caso cuando se desempeñó como Secretario Ejecutivo,</w:t>
      </w:r>
      <w:r w:rsidR="00B56EFB" w:rsidRPr="00727F7F">
        <w:rPr>
          <w:rFonts w:cs="Verdana"/>
          <w:lang w:bidi="en-US"/>
        </w:rPr>
        <w:t xml:space="preserve"> pues el caso fue declarado admisible más de tres años después de haber finalizado su mandato como Secretario Ejecutivo, y su participación en el caso fue de mero trámite.</w:t>
      </w:r>
      <w:r w:rsidR="009149A2" w:rsidRPr="00727F7F">
        <w:rPr>
          <w:rFonts w:cs="Verdana"/>
          <w:lang w:bidi="en-US"/>
        </w:rPr>
        <w:t xml:space="preserve"> En relación con el otorgamiento de la medida cautelar, señaló que el otorgamiento de la misma no constituye un prejuzgamiento sobre el fondo del asunto.</w:t>
      </w:r>
      <w:r w:rsidR="00B56EFB" w:rsidRPr="00727F7F">
        <w:rPr>
          <w:rFonts w:cs="Verdana"/>
          <w:lang w:bidi="en-US"/>
        </w:rPr>
        <w:t xml:space="preserve"> En ese sentido,</w:t>
      </w:r>
      <w:r w:rsidRPr="00727F7F">
        <w:rPr>
          <w:rFonts w:cs="Verdana"/>
          <w:lang w:bidi="en-US"/>
        </w:rPr>
        <w:t xml:space="preserve"> </w:t>
      </w:r>
      <w:r w:rsidR="00B56EFB" w:rsidRPr="00727F7F">
        <w:rPr>
          <w:rFonts w:cs="Verdana"/>
          <w:lang w:bidi="en-US"/>
        </w:rPr>
        <w:t>señaló</w:t>
      </w:r>
      <w:r w:rsidRPr="00727F7F">
        <w:rPr>
          <w:rFonts w:cs="Verdana"/>
          <w:lang w:bidi="en-US"/>
        </w:rPr>
        <w:t xml:space="preserve"> que el solo hecho de haber sido funcionario de la Comisión no es razón suficiente para que proceda la recusación de un perito. Asimismo, en relación con las declaraciones realizadas en prensa, expresó que las mismas hacen referencia a cuestiones de conocimiento público, pero en ningún caso al objeto espec</w:t>
      </w:r>
      <w:r w:rsidRPr="00D37B74">
        <w:rPr>
          <w:rFonts w:cs="Verdana"/>
          <w:lang w:bidi="en-US"/>
        </w:rPr>
        <w:t>ífico de su declaración como perito</w:t>
      </w:r>
      <w:r w:rsidR="00E82AD2" w:rsidRPr="00D37B74">
        <w:rPr>
          <w:rFonts w:cs="Verdana"/>
          <w:lang w:bidi="en-US"/>
        </w:rPr>
        <w:t xml:space="preserve"> en el presente caso</w:t>
      </w:r>
      <w:r w:rsidRPr="00D37B74">
        <w:rPr>
          <w:rFonts w:cs="Verdana"/>
          <w:lang w:bidi="en-US"/>
        </w:rPr>
        <w:t>.</w:t>
      </w:r>
    </w:p>
    <w:p w14:paraId="4363BCF5" w14:textId="77777777" w:rsidR="000C116F" w:rsidRPr="000C116F" w:rsidRDefault="000C116F" w:rsidP="000C116F">
      <w:pPr>
        <w:rPr>
          <w:rFonts w:cs="Verdana"/>
          <w:lang w:bidi="en-US"/>
        </w:rPr>
      </w:pPr>
    </w:p>
    <w:p w14:paraId="296D9A36" w14:textId="53FAE22C" w:rsidR="00AF3961" w:rsidRPr="00AE0104" w:rsidRDefault="000C116F" w:rsidP="006C5388">
      <w:pPr>
        <w:pStyle w:val="Sinespaciado"/>
        <w:ind w:left="0" w:firstLine="0"/>
        <w:rPr>
          <w:rFonts w:cs="Verdana"/>
          <w:lang w:bidi="en-US"/>
        </w:rPr>
      </w:pPr>
      <w:r w:rsidRPr="00AE0104">
        <w:rPr>
          <w:rFonts w:cs="Verdana"/>
          <w:lang w:bidi="en-US"/>
        </w:rPr>
        <w:t xml:space="preserve">En relación con lo anterior, de conformidad con el artículo 48.1.d del Reglamento, los peritos podrán ser recusados por “ser o haber sido funcionarios de la Comisión con conocimiento del caso en litigio en que se solicita su peritaje”. </w:t>
      </w:r>
      <w:r w:rsidR="00104117" w:rsidRPr="00AE0104">
        <w:rPr>
          <w:rFonts w:cs="Verdana"/>
          <w:lang w:bidi="en-US"/>
        </w:rPr>
        <w:t>L</w:t>
      </w:r>
      <w:r w:rsidR="00063975" w:rsidRPr="00AE0104">
        <w:rPr>
          <w:rFonts w:cs="Verdana"/>
          <w:lang w:bidi="en-US"/>
        </w:rPr>
        <w:t xml:space="preserve">a </w:t>
      </w:r>
      <w:r w:rsidR="00063975" w:rsidRPr="00AE0104">
        <w:rPr>
          <w:rFonts w:cs="Verdana"/>
          <w:b/>
          <w:i/>
          <w:lang w:bidi="en-US"/>
        </w:rPr>
        <w:t>Presidenta</w:t>
      </w:r>
      <w:r w:rsidR="00063975" w:rsidRPr="00AE0104">
        <w:rPr>
          <w:rFonts w:cs="Verdana"/>
          <w:lang w:bidi="en-US"/>
        </w:rPr>
        <w:t xml:space="preserve"> constata que el perito propuesto</w:t>
      </w:r>
      <w:r w:rsidR="00AE0104" w:rsidRPr="00AE0104">
        <w:rPr>
          <w:rFonts w:cs="Verdana"/>
          <w:lang w:bidi="en-US"/>
        </w:rPr>
        <w:t>,</w:t>
      </w:r>
      <w:r w:rsidR="00063975" w:rsidRPr="00AE0104">
        <w:rPr>
          <w:rFonts w:cs="Verdana"/>
          <w:lang w:bidi="en-US"/>
        </w:rPr>
        <w:t xml:space="preserve"> Santiago Cantón</w:t>
      </w:r>
      <w:r w:rsidR="00AE0104" w:rsidRPr="00AE0104">
        <w:rPr>
          <w:rFonts w:cs="Verdana"/>
          <w:lang w:bidi="en-US"/>
        </w:rPr>
        <w:t>,</w:t>
      </w:r>
      <w:r w:rsidR="00063975" w:rsidRPr="00AE0104">
        <w:rPr>
          <w:rFonts w:cs="Verdana"/>
          <w:lang w:bidi="en-US"/>
        </w:rPr>
        <w:t xml:space="preserve"> se desempeñaba como Secretario Ejecutivo de la Comisión Interamericana en la fecha del otorgamiento de las medidas cautelares 406-11 a favor de las presuntas víctimas, el 21 de febrero de 2012, así como durante las primeras actuaciones procesales ante la Comisión, posterior a la presentación de la petición inicial de 24 de octubre de 2011, pero antes de su admisibilidad el 27 de octubre de 2015.</w:t>
      </w:r>
      <w:r w:rsidR="00D21BAF" w:rsidRPr="00AE0104">
        <w:rPr>
          <w:rFonts w:cs="Verdana"/>
          <w:lang w:bidi="en-US"/>
        </w:rPr>
        <w:t xml:space="preserve"> </w:t>
      </w:r>
      <w:r w:rsidR="00104117" w:rsidRPr="00AE0104">
        <w:rPr>
          <w:rFonts w:cs="Verdana"/>
          <w:lang w:bidi="en-US"/>
        </w:rPr>
        <w:t>Al respecto,</w:t>
      </w:r>
      <w:r w:rsidR="00A27B21" w:rsidRPr="00AE0104">
        <w:rPr>
          <w:rFonts w:cs="Verdana"/>
          <w:lang w:bidi="en-US"/>
        </w:rPr>
        <w:t xml:space="preserve"> </w:t>
      </w:r>
      <w:r w:rsidR="00FA642E" w:rsidRPr="00AE0104">
        <w:rPr>
          <w:rFonts w:cs="Verdana"/>
          <w:lang w:bidi="en-US"/>
        </w:rPr>
        <w:t xml:space="preserve">el </w:t>
      </w:r>
      <w:r w:rsidR="00B17E2B">
        <w:rPr>
          <w:rFonts w:cs="Verdana"/>
          <w:lang w:bidi="en-US"/>
        </w:rPr>
        <w:t>R</w:t>
      </w:r>
      <w:r w:rsidR="00FA642E" w:rsidRPr="00AE0104">
        <w:rPr>
          <w:rFonts w:cs="Verdana"/>
          <w:lang w:bidi="en-US"/>
        </w:rPr>
        <w:t xml:space="preserve">eglamento prevé </w:t>
      </w:r>
      <w:r w:rsidR="00A27B21" w:rsidRPr="00AE0104">
        <w:rPr>
          <w:rFonts w:cs="Verdana"/>
          <w:lang w:bidi="en-US"/>
        </w:rPr>
        <w:t>que</w:t>
      </w:r>
      <w:r w:rsidR="00D21BAF" w:rsidRPr="00AE0104">
        <w:rPr>
          <w:rFonts w:cs="Verdana"/>
          <w:lang w:bidi="en-US"/>
        </w:rPr>
        <w:t xml:space="preserve"> el solo hecho de que una persona haya servido como funcionario de la Comisión no es causal para que proceda su recusación como perito,</w:t>
      </w:r>
      <w:r w:rsidR="00104117" w:rsidRPr="00AE0104">
        <w:rPr>
          <w:rFonts w:cs="Verdana"/>
          <w:lang w:bidi="en-US"/>
        </w:rPr>
        <w:t xml:space="preserve"> sino que es necesario que haya conocido del caso en litigio en que se solicita el peritaje</w:t>
      </w:r>
      <w:r w:rsidR="006C5388" w:rsidRPr="00AE0104">
        <w:rPr>
          <w:rStyle w:val="Refdenotaalpie"/>
          <w:rFonts w:cs="Verdana"/>
          <w:lang w:bidi="en-US"/>
        </w:rPr>
        <w:footnoteReference w:id="17"/>
      </w:r>
      <w:r w:rsidR="00104117" w:rsidRPr="00AE0104">
        <w:rPr>
          <w:rFonts w:cs="Verdana"/>
          <w:lang w:bidi="en-US"/>
        </w:rPr>
        <w:t xml:space="preserve">. </w:t>
      </w:r>
      <w:r w:rsidR="00FA642E" w:rsidRPr="00AE0104">
        <w:rPr>
          <w:rFonts w:cs="Verdana"/>
          <w:lang w:bidi="en-US"/>
        </w:rPr>
        <w:t>En esa medida</w:t>
      </w:r>
      <w:r w:rsidR="00AE0104" w:rsidRPr="00AE0104">
        <w:rPr>
          <w:rFonts w:cs="Verdana"/>
          <w:lang w:bidi="en-US"/>
        </w:rPr>
        <w:t>,</w:t>
      </w:r>
      <w:r w:rsidR="00104117" w:rsidRPr="00AE0104">
        <w:rPr>
          <w:rFonts w:cs="Verdana"/>
          <w:lang w:bidi="en-US"/>
        </w:rPr>
        <w:t xml:space="preserve"> </w:t>
      </w:r>
      <w:r w:rsidR="00D21BAF" w:rsidRPr="00AE0104">
        <w:rPr>
          <w:rFonts w:cs="Verdana"/>
          <w:lang w:bidi="en-US"/>
        </w:rPr>
        <w:t>el</w:t>
      </w:r>
      <w:r w:rsidR="00A27B21" w:rsidRPr="00AE0104">
        <w:rPr>
          <w:rFonts w:cs="Verdana"/>
          <w:lang w:bidi="en-US"/>
        </w:rPr>
        <w:t xml:space="preserve"> señor Cantón</w:t>
      </w:r>
      <w:r w:rsidR="00AE0104" w:rsidRPr="00AE0104">
        <w:rPr>
          <w:rFonts w:cs="Verdana"/>
          <w:lang w:bidi="en-US"/>
        </w:rPr>
        <w:t>,</w:t>
      </w:r>
      <w:r w:rsidR="00A27B21" w:rsidRPr="00AE0104">
        <w:rPr>
          <w:rFonts w:cs="Verdana"/>
          <w:lang w:bidi="en-US"/>
        </w:rPr>
        <w:t xml:space="preserve"> </w:t>
      </w:r>
      <w:r w:rsidR="00D21BAF" w:rsidRPr="00AE0104">
        <w:rPr>
          <w:rFonts w:cs="Verdana"/>
          <w:lang w:bidi="en-US"/>
        </w:rPr>
        <w:t>como</w:t>
      </w:r>
      <w:r w:rsidR="00A27B21" w:rsidRPr="00AE0104">
        <w:rPr>
          <w:rFonts w:cs="Verdana"/>
          <w:lang w:bidi="en-US"/>
        </w:rPr>
        <w:t xml:space="preserve"> Secretario Ejecutivo</w:t>
      </w:r>
      <w:r w:rsidR="00D37B74" w:rsidRPr="00AE0104">
        <w:rPr>
          <w:rFonts w:cs="Verdana"/>
          <w:lang w:bidi="en-US"/>
        </w:rPr>
        <w:t xml:space="preserve"> de la Comisión</w:t>
      </w:r>
      <w:r w:rsidR="00AE0104" w:rsidRPr="00AE0104">
        <w:rPr>
          <w:rFonts w:cs="Verdana"/>
          <w:lang w:bidi="en-US"/>
        </w:rPr>
        <w:t>,</w:t>
      </w:r>
      <w:r w:rsidR="00D37B74" w:rsidRPr="00AE0104">
        <w:rPr>
          <w:rFonts w:cs="Verdana"/>
          <w:lang w:bidi="en-US"/>
        </w:rPr>
        <w:t xml:space="preserve"> intervino</w:t>
      </w:r>
      <w:r w:rsidR="00A27B21" w:rsidRPr="00AE0104">
        <w:rPr>
          <w:rFonts w:cs="Verdana"/>
          <w:lang w:bidi="en-US"/>
        </w:rPr>
        <w:t xml:space="preserve"> durante las primeras etapas de la tramitación del </w:t>
      </w:r>
      <w:r w:rsidR="00104117" w:rsidRPr="00AE0104">
        <w:rPr>
          <w:rFonts w:cs="Verdana"/>
          <w:lang w:bidi="en-US"/>
        </w:rPr>
        <w:t xml:space="preserve">presente </w:t>
      </w:r>
      <w:r w:rsidR="00A27B21" w:rsidRPr="00AE0104">
        <w:rPr>
          <w:rFonts w:cs="Verdana"/>
          <w:lang w:bidi="en-US"/>
        </w:rPr>
        <w:t>caso ante la Comisión Interamericana,</w:t>
      </w:r>
      <w:r w:rsidR="00AF3961" w:rsidRPr="00AE0104">
        <w:rPr>
          <w:rFonts w:cs="Verdana"/>
          <w:lang w:bidi="en-US"/>
        </w:rPr>
        <w:t xml:space="preserve"> </w:t>
      </w:r>
      <w:r w:rsidR="00A27B21" w:rsidRPr="00AE0104">
        <w:rPr>
          <w:rFonts w:cs="Verdana"/>
          <w:lang w:bidi="en-US"/>
        </w:rPr>
        <w:t>y al momento de la adopción de medidas cautelares a favor de las presuntas víctimas del caso,</w:t>
      </w:r>
      <w:r w:rsidR="00AF3961" w:rsidRPr="00AE0104">
        <w:rPr>
          <w:rFonts w:cs="Verdana"/>
          <w:lang w:bidi="en-US"/>
        </w:rPr>
        <w:t xml:space="preserve"> </w:t>
      </w:r>
      <w:r w:rsidR="00AE0104" w:rsidRPr="00AE0104">
        <w:rPr>
          <w:rFonts w:cs="Verdana"/>
          <w:lang w:bidi="en-US"/>
        </w:rPr>
        <w:t xml:space="preserve">lo que </w:t>
      </w:r>
      <w:r w:rsidR="001F3E08" w:rsidRPr="00AE0104">
        <w:rPr>
          <w:rFonts w:cs="Verdana"/>
          <w:lang w:bidi="en-US"/>
        </w:rPr>
        <w:t>permite concluir que</w:t>
      </w:r>
      <w:r w:rsidR="00D21BAF" w:rsidRPr="00AE0104">
        <w:rPr>
          <w:rFonts w:cs="Verdana"/>
          <w:lang w:bidi="en-US"/>
        </w:rPr>
        <w:t xml:space="preserve"> </w:t>
      </w:r>
      <w:r w:rsidR="00F743BA" w:rsidRPr="00AE0104">
        <w:rPr>
          <w:rFonts w:cs="Verdana"/>
          <w:lang w:bidi="en-US"/>
        </w:rPr>
        <w:t xml:space="preserve">en efecto </w:t>
      </w:r>
      <w:r w:rsidR="00D21BAF" w:rsidRPr="00AE0104">
        <w:rPr>
          <w:rFonts w:cs="Verdana"/>
          <w:lang w:bidi="en-US"/>
        </w:rPr>
        <w:t xml:space="preserve">conoció sobre el </w:t>
      </w:r>
      <w:r w:rsidR="00104117" w:rsidRPr="00AE0104">
        <w:rPr>
          <w:rFonts w:cs="Verdana"/>
          <w:lang w:bidi="en-US"/>
        </w:rPr>
        <w:t>mismo</w:t>
      </w:r>
      <w:r w:rsidR="00D21BAF" w:rsidRPr="00AE0104">
        <w:rPr>
          <w:rFonts w:cs="Verdana"/>
          <w:lang w:bidi="en-US"/>
        </w:rPr>
        <w:t xml:space="preserve"> como funcionario de la Comisión, por lo que</w:t>
      </w:r>
      <w:r w:rsidR="001F3E08" w:rsidRPr="00AE0104">
        <w:rPr>
          <w:rFonts w:cs="Verdana"/>
          <w:lang w:bidi="en-US"/>
        </w:rPr>
        <w:t xml:space="preserve"> se </w:t>
      </w:r>
      <w:r w:rsidR="00AE0104" w:rsidRPr="00AE0104">
        <w:rPr>
          <w:rFonts w:cs="Verdana"/>
          <w:lang w:bidi="en-US"/>
        </w:rPr>
        <w:t>actualiza</w:t>
      </w:r>
      <w:r w:rsidR="00AF3961" w:rsidRPr="00AE0104">
        <w:rPr>
          <w:rFonts w:cs="Verdana"/>
          <w:lang w:bidi="en-US"/>
        </w:rPr>
        <w:t xml:space="preserve"> la causal de recusación prevista en el artículo 48.1.d del Reglamento</w:t>
      </w:r>
      <w:r w:rsidR="00D21BAF" w:rsidRPr="00AE0104">
        <w:rPr>
          <w:rFonts w:cs="Verdana"/>
          <w:lang w:bidi="en-US"/>
        </w:rPr>
        <w:t xml:space="preserve">. </w:t>
      </w:r>
    </w:p>
    <w:p w14:paraId="3ABAB10B" w14:textId="5C98AF93" w:rsidR="00063975" w:rsidRDefault="00063975" w:rsidP="00AF3961">
      <w:pPr>
        <w:rPr>
          <w:rFonts w:cs="Verdana"/>
          <w:lang w:bidi="en-US"/>
        </w:rPr>
      </w:pPr>
    </w:p>
    <w:p w14:paraId="1F84E60E" w14:textId="5DD4C49F" w:rsidR="0027088B" w:rsidRPr="00AF3961" w:rsidRDefault="00D21BAF" w:rsidP="004C0503">
      <w:pPr>
        <w:pStyle w:val="Sinespaciado"/>
        <w:ind w:left="0" w:firstLine="0"/>
        <w:rPr>
          <w:rFonts w:cs="Verdana"/>
          <w:lang w:bidi="en-US"/>
        </w:rPr>
      </w:pPr>
      <w:r>
        <w:rPr>
          <w:rFonts w:cs="Verdana"/>
          <w:lang w:bidi="en-US"/>
        </w:rPr>
        <w:t>Adicionalmente</w:t>
      </w:r>
      <w:r w:rsidR="00D94674" w:rsidRPr="00AF3961">
        <w:rPr>
          <w:rFonts w:cs="Verdana"/>
          <w:lang w:bidi="en-US"/>
        </w:rPr>
        <w:t>,</w:t>
      </w:r>
      <w:r w:rsidR="00AF3961" w:rsidRPr="00AF3961">
        <w:rPr>
          <w:rFonts w:cs="Verdana"/>
          <w:lang w:bidi="en-US"/>
        </w:rPr>
        <w:t xml:space="preserve"> en segundo lugar, la Presidenta recuerda que, de conformidad con el artículo 48.1.f del Reglamento, los peritos podrán ser recusados por “haber intervenido con anterioridad, a cualquier título, y en cualquier instancia, nacional o internacional, en relación con la misma causa”. Al respecto, la Presidenta advierte </w:t>
      </w:r>
      <w:r w:rsidR="0027088B" w:rsidRPr="00AF3961">
        <w:rPr>
          <w:rFonts w:cs="Verdana"/>
          <w:lang w:bidi="en-US"/>
        </w:rPr>
        <w:t>que la nota</w:t>
      </w:r>
      <w:r w:rsidR="00D94674" w:rsidRPr="00AF3961">
        <w:rPr>
          <w:rFonts w:cs="Verdana"/>
          <w:lang w:bidi="en-US"/>
        </w:rPr>
        <w:t xml:space="preserve"> de prensa</w:t>
      </w:r>
      <w:r w:rsidR="004E1BAE">
        <w:rPr>
          <w:rFonts w:cs="Verdana"/>
          <w:lang w:bidi="en-US"/>
        </w:rPr>
        <w:t xml:space="preserve"> del D</w:t>
      </w:r>
      <w:r w:rsidR="0027088B" w:rsidRPr="00AF3961">
        <w:rPr>
          <w:rFonts w:cs="Verdana"/>
          <w:lang w:bidi="en-US"/>
        </w:rPr>
        <w:t>iario La República de 13 de abril de 2015,</w:t>
      </w:r>
      <w:r w:rsidR="00DF3A39" w:rsidRPr="00AF3961">
        <w:rPr>
          <w:rFonts w:cs="Verdana"/>
          <w:lang w:bidi="en-US"/>
        </w:rPr>
        <w:t xml:space="preserve"> en la que se realiza una entrevista al perito</w:t>
      </w:r>
      <w:r w:rsidR="00ED2F37">
        <w:rPr>
          <w:rFonts w:cs="Verdana"/>
          <w:lang w:bidi="en-US"/>
        </w:rPr>
        <w:t xml:space="preserve"> </w:t>
      </w:r>
      <w:r w:rsidR="00ED2F37" w:rsidRPr="00D21BAF">
        <w:rPr>
          <w:rFonts w:cs="Verdana"/>
          <w:lang w:bidi="en-US"/>
        </w:rPr>
        <w:t>propuesto</w:t>
      </w:r>
      <w:r w:rsidR="00DF3A39" w:rsidRPr="00AF3961">
        <w:rPr>
          <w:rFonts w:cs="Verdana"/>
          <w:lang w:bidi="en-US"/>
        </w:rPr>
        <w:t xml:space="preserve"> Santiago Cantón,</w:t>
      </w:r>
      <w:r w:rsidR="002950D5" w:rsidRPr="00AF3961">
        <w:rPr>
          <w:rFonts w:cs="Verdana"/>
          <w:lang w:bidi="en-US"/>
        </w:rPr>
        <w:t xml:space="preserve"> cuando ya había </w:t>
      </w:r>
      <w:r w:rsidR="00B13C1A" w:rsidRPr="00AF3961">
        <w:rPr>
          <w:rFonts w:cs="Verdana"/>
          <w:lang w:bidi="en-US"/>
        </w:rPr>
        <w:t xml:space="preserve">finalizado </w:t>
      </w:r>
      <w:r w:rsidR="002950D5" w:rsidRPr="00AF3961">
        <w:rPr>
          <w:rFonts w:cs="Verdana"/>
          <w:lang w:bidi="en-US"/>
        </w:rPr>
        <w:t>su cargo como Secretario Ejecutivo de la Comisión Interamericana,</w:t>
      </w:r>
      <w:r w:rsidR="00DF3A39" w:rsidRPr="00AF3961">
        <w:rPr>
          <w:rFonts w:cs="Verdana"/>
          <w:lang w:bidi="en-US"/>
        </w:rPr>
        <w:t xml:space="preserve"> y que fue</w:t>
      </w:r>
      <w:r w:rsidR="00D94674" w:rsidRPr="00AF3961">
        <w:rPr>
          <w:rFonts w:cs="Verdana"/>
          <w:lang w:bidi="en-US"/>
        </w:rPr>
        <w:t xml:space="preserve"> re</w:t>
      </w:r>
      <w:r w:rsidR="0027088B" w:rsidRPr="00AF3961">
        <w:rPr>
          <w:rFonts w:cs="Verdana"/>
          <w:lang w:bidi="en-US"/>
        </w:rPr>
        <w:t>ferida</w:t>
      </w:r>
      <w:r w:rsidR="00D94674" w:rsidRPr="00AF3961">
        <w:rPr>
          <w:rFonts w:cs="Verdana"/>
          <w:lang w:bidi="en-US"/>
        </w:rPr>
        <w:t xml:space="preserve"> por el Estado en su escrito de observaciones a las listas definitivas de declarantes</w:t>
      </w:r>
      <w:r w:rsidR="0027088B" w:rsidRPr="00AF3961">
        <w:rPr>
          <w:rFonts w:cs="Verdana"/>
          <w:lang w:bidi="en-US"/>
        </w:rPr>
        <w:t xml:space="preserve"> de los representantes, indica</w:t>
      </w:r>
      <w:r w:rsidR="00D94674" w:rsidRPr="00AF3961">
        <w:rPr>
          <w:rFonts w:cs="Verdana"/>
          <w:lang w:bidi="en-US"/>
        </w:rPr>
        <w:t xml:space="preserve"> lo siguiente: </w:t>
      </w:r>
    </w:p>
    <w:p w14:paraId="1F74C6A2" w14:textId="77777777" w:rsidR="0027088B" w:rsidRDefault="0027088B" w:rsidP="0027088B">
      <w:pPr>
        <w:pStyle w:val="Sinespaciado"/>
        <w:numPr>
          <w:ilvl w:val="0"/>
          <w:numId w:val="0"/>
        </w:numPr>
        <w:rPr>
          <w:rFonts w:cs="Verdana"/>
          <w:bCs w:val="0"/>
          <w:iCs w:val="0"/>
          <w:lang w:bidi="en-US"/>
        </w:rPr>
      </w:pPr>
    </w:p>
    <w:p w14:paraId="70559ECB" w14:textId="30C8F4A0" w:rsidR="0027088B" w:rsidRPr="00D32B19" w:rsidRDefault="0027088B" w:rsidP="00D32B19">
      <w:pPr>
        <w:pStyle w:val="NormalWeb"/>
        <w:spacing w:before="0" w:beforeAutospacing="0" w:after="0" w:afterAutospacing="0"/>
        <w:ind w:left="720" w:right="899"/>
        <w:jc w:val="both"/>
        <w:rPr>
          <w:rFonts w:ascii="Verdana" w:hAnsi="Verdana"/>
          <w:sz w:val="18"/>
          <w:szCs w:val="18"/>
          <w:lang w:val="es-ES"/>
        </w:rPr>
      </w:pPr>
      <w:r w:rsidRPr="00D32B19">
        <w:rPr>
          <w:rStyle w:val="Textoennegrita"/>
          <w:rFonts w:ascii="Verdana" w:hAnsi="Verdana"/>
          <w:sz w:val="18"/>
          <w:szCs w:val="18"/>
          <w:lang w:val="es-ES"/>
        </w:rPr>
        <w:t>¿Es el Ecuador un país que respeta la libertad de expresión?</w:t>
      </w:r>
    </w:p>
    <w:p w14:paraId="1FB9BEB2" w14:textId="6A4FB6A5" w:rsidR="0027088B" w:rsidRDefault="001320F8" w:rsidP="00D32B19">
      <w:pPr>
        <w:pStyle w:val="NormalWeb"/>
        <w:spacing w:before="0" w:beforeAutospacing="0" w:after="0" w:afterAutospacing="0"/>
        <w:ind w:left="720" w:right="899"/>
        <w:jc w:val="both"/>
        <w:rPr>
          <w:rFonts w:ascii="Verdana" w:hAnsi="Verdana"/>
          <w:sz w:val="18"/>
          <w:szCs w:val="18"/>
          <w:lang w:val="es-ES"/>
        </w:rPr>
      </w:pPr>
      <w:r>
        <w:rPr>
          <w:rFonts w:ascii="Verdana" w:hAnsi="Verdana"/>
          <w:sz w:val="18"/>
          <w:szCs w:val="18"/>
          <w:lang w:val="es-ES"/>
        </w:rPr>
        <w:t xml:space="preserve">– Me </w:t>
      </w:r>
      <w:r w:rsidR="0027088B" w:rsidRPr="001320F8">
        <w:rPr>
          <w:rFonts w:ascii="Verdana" w:hAnsi="Verdana"/>
          <w:sz w:val="18"/>
          <w:szCs w:val="18"/>
          <w:lang w:val="es-ES"/>
        </w:rPr>
        <w:t>tocó como Secretario Ejecutivo analizar</w:t>
      </w:r>
      <w:r>
        <w:rPr>
          <w:rFonts w:ascii="Verdana" w:hAnsi="Verdana"/>
          <w:sz w:val="18"/>
          <w:szCs w:val="18"/>
          <w:lang w:val="es-ES"/>
        </w:rPr>
        <w:t xml:space="preserve"> </w:t>
      </w:r>
      <w:r w:rsidR="0027088B" w:rsidRPr="001320F8">
        <w:rPr>
          <w:rFonts w:ascii="Verdana" w:hAnsi="Verdana"/>
          <w:sz w:val="18"/>
          <w:szCs w:val="18"/>
          <w:lang w:val="es-ES"/>
        </w:rPr>
        <w:t>la libertad de expresión en Ecuador y claramente hay un retroceso importante en relación a los años anteriores a</w:t>
      </w:r>
      <w:r>
        <w:rPr>
          <w:rFonts w:ascii="Verdana" w:hAnsi="Verdana"/>
          <w:sz w:val="18"/>
          <w:szCs w:val="18"/>
          <w:lang w:val="es-ES"/>
        </w:rPr>
        <w:t xml:space="preserve"> </w:t>
      </w:r>
      <w:r w:rsidR="0027088B" w:rsidRPr="001320F8">
        <w:rPr>
          <w:rFonts w:ascii="Verdana" w:hAnsi="Verdana"/>
          <w:sz w:val="18"/>
          <w:szCs w:val="18"/>
          <w:lang w:val="es-ES"/>
        </w:rPr>
        <w:t xml:space="preserve">Correa. Hay un ataque desde la máxima autoridad del Estado a los medios de comunicación. </w:t>
      </w:r>
      <w:r w:rsidR="0027088B" w:rsidRPr="001320F8">
        <w:rPr>
          <w:rFonts w:ascii="Verdana" w:hAnsi="Verdana"/>
          <w:sz w:val="18"/>
          <w:szCs w:val="18"/>
          <w:lang w:val="es-ES"/>
        </w:rPr>
        <w:lastRenderedPageBreak/>
        <w:t>Sin embargo, esto sucede también en otros países de la región como Venezuela y en cierta manera Argentina, donde intentan desacreditar y atacar a los medios y a los periodistas particularmente críticos. Hay periodistas que se han tenido que exiliar, hay otros que viven bajo amenaza de distintos tipos. El caso contra Diario</w:t>
      </w:r>
      <w:r w:rsidR="002950D5">
        <w:rPr>
          <w:rFonts w:ascii="Verdana" w:hAnsi="Verdana"/>
          <w:sz w:val="18"/>
          <w:szCs w:val="18"/>
          <w:lang w:val="es-ES"/>
        </w:rPr>
        <w:t xml:space="preserve"> </w:t>
      </w:r>
      <w:r w:rsidR="0027088B" w:rsidRPr="001320F8">
        <w:rPr>
          <w:rFonts w:ascii="Verdana" w:hAnsi="Verdana"/>
          <w:sz w:val="18"/>
          <w:szCs w:val="18"/>
          <w:lang w:val="es-ES"/>
        </w:rPr>
        <w:t>El Universo fue un primer punto de partida aunque yo creo que con anterioridad se venían dando distintos ataques histriónicos: el presidente rompió un diario frente a las cámaras. No hay un ambiente propicio para la libertad de expresión.</w:t>
      </w:r>
    </w:p>
    <w:p w14:paraId="0AF45190" w14:textId="77777777" w:rsidR="001320F8" w:rsidRPr="001320F8" w:rsidRDefault="001320F8" w:rsidP="00D32B19">
      <w:pPr>
        <w:pStyle w:val="NormalWeb"/>
        <w:spacing w:before="0" w:beforeAutospacing="0" w:after="0" w:afterAutospacing="0"/>
        <w:ind w:left="720" w:right="899"/>
        <w:jc w:val="both"/>
        <w:rPr>
          <w:rFonts w:ascii="Verdana" w:hAnsi="Verdana"/>
          <w:sz w:val="18"/>
          <w:szCs w:val="18"/>
          <w:lang w:val="es-ES"/>
        </w:rPr>
      </w:pPr>
    </w:p>
    <w:p w14:paraId="33D56A56" w14:textId="4EFD6B04" w:rsidR="0027088B" w:rsidRPr="001320F8" w:rsidRDefault="0027088B" w:rsidP="00D32B19">
      <w:pPr>
        <w:pStyle w:val="NormalWeb"/>
        <w:spacing w:before="0" w:beforeAutospacing="0" w:after="0" w:afterAutospacing="0"/>
        <w:ind w:left="720" w:right="899"/>
        <w:jc w:val="both"/>
        <w:rPr>
          <w:rFonts w:ascii="Verdana" w:hAnsi="Verdana"/>
          <w:sz w:val="18"/>
          <w:szCs w:val="18"/>
          <w:lang w:val="es-ES"/>
        </w:rPr>
      </w:pPr>
      <w:r w:rsidRPr="001320F8">
        <w:rPr>
          <w:rStyle w:val="Textoennegrita"/>
          <w:rFonts w:ascii="Verdana" w:hAnsi="Verdana"/>
          <w:sz w:val="18"/>
          <w:szCs w:val="18"/>
          <w:lang w:val="es-ES"/>
        </w:rPr>
        <w:t>¿La CIDH fue excesivamente</w:t>
      </w:r>
      <w:r w:rsidR="001320F8">
        <w:rPr>
          <w:rStyle w:val="Textoennegrita"/>
          <w:rFonts w:ascii="Verdana" w:hAnsi="Verdana"/>
          <w:sz w:val="18"/>
          <w:szCs w:val="18"/>
          <w:lang w:val="es-ES"/>
        </w:rPr>
        <w:t xml:space="preserve"> </w:t>
      </w:r>
      <w:r w:rsidRPr="001320F8">
        <w:rPr>
          <w:rStyle w:val="Textoennegrita"/>
          <w:rFonts w:ascii="Verdana" w:hAnsi="Verdana"/>
          <w:sz w:val="18"/>
          <w:szCs w:val="18"/>
          <w:lang w:val="es-ES"/>
        </w:rPr>
        <w:t>crítica con el gobierno Ecuatoriano mientras usted fue el Secretario Ejecutivo?</w:t>
      </w:r>
    </w:p>
    <w:p w14:paraId="1D5D3D83" w14:textId="4B819E9E" w:rsidR="0027088B" w:rsidRDefault="0027088B" w:rsidP="00D32B19">
      <w:pPr>
        <w:pStyle w:val="NormalWeb"/>
        <w:spacing w:before="0" w:beforeAutospacing="0" w:after="0" w:afterAutospacing="0"/>
        <w:ind w:left="720" w:right="899"/>
        <w:jc w:val="both"/>
        <w:rPr>
          <w:rFonts w:ascii="Verdana" w:hAnsi="Verdana"/>
          <w:sz w:val="18"/>
          <w:szCs w:val="18"/>
          <w:lang w:val="es-ES"/>
        </w:rPr>
      </w:pPr>
      <w:r w:rsidRPr="001320F8">
        <w:rPr>
          <w:rFonts w:ascii="Verdana" w:hAnsi="Verdana"/>
          <w:sz w:val="18"/>
          <w:szCs w:val="18"/>
          <w:lang w:val="es-ES"/>
        </w:rPr>
        <w:t>– En cuanto a Ecuador yo creo que la Comisión se movió bastante, por lo menos la etapa que yo estuve, porque fue el tiempo del</w:t>
      </w:r>
      <w:r w:rsidR="001320F8">
        <w:rPr>
          <w:rFonts w:ascii="Verdana" w:hAnsi="Verdana"/>
          <w:sz w:val="18"/>
          <w:szCs w:val="18"/>
          <w:lang w:val="es-ES"/>
        </w:rPr>
        <w:t xml:space="preserve"> </w:t>
      </w:r>
      <w:r w:rsidRPr="001320F8">
        <w:rPr>
          <w:rFonts w:ascii="Verdana" w:hAnsi="Verdana"/>
          <w:sz w:val="18"/>
          <w:szCs w:val="18"/>
          <w:lang w:val="es-ES"/>
        </w:rPr>
        <w:t>juicio a El Universo, donde hubo si mal no recuerdo medidas cautelares, una audiencia y una reunión con el gobierno. El canciller Patiño tuvo una actitud poco diplomática, cuando él pidió una reunión a la CIDH le respondimos que el</w:t>
      </w:r>
      <w:r w:rsidR="002950D5">
        <w:rPr>
          <w:rFonts w:ascii="Verdana" w:hAnsi="Verdana"/>
          <w:sz w:val="18"/>
          <w:szCs w:val="18"/>
          <w:lang w:val="es-ES"/>
        </w:rPr>
        <w:t xml:space="preserve"> </w:t>
      </w:r>
      <w:r w:rsidRPr="001320F8">
        <w:rPr>
          <w:rFonts w:ascii="Verdana" w:hAnsi="Verdana"/>
          <w:sz w:val="18"/>
          <w:szCs w:val="18"/>
          <w:lang w:val="es-ES"/>
        </w:rPr>
        <w:t>tema no podía ser el proceso sobre El Universo, porque ese era un caso en trámite por cuanto la Comisión no podía recibir a una parte sin recibir a la otra. Él respondió por escrito que no había ningún problema, que no iban a hablar del caso El Universo. La mañana que llegaron a Washington la Cancillería ecuatoriana sacó u</w:t>
      </w:r>
      <w:r w:rsidR="00D32B19">
        <w:rPr>
          <w:rFonts w:ascii="Verdana" w:hAnsi="Verdana"/>
          <w:sz w:val="18"/>
          <w:szCs w:val="18"/>
          <w:lang w:val="es-ES"/>
        </w:rPr>
        <w:t xml:space="preserve">n comunicado de prensa diciendo </w:t>
      </w:r>
      <w:r w:rsidRPr="001320F8">
        <w:rPr>
          <w:rFonts w:ascii="Verdana" w:hAnsi="Verdana"/>
          <w:sz w:val="18"/>
          <w:szCs w:val="18"/>
          <w:lang w:val="es-ES"/>
        </w:rPr>
        <w:t>que se iban a reunir en pocas horas con la CIDH para discutir el caso El Universo. La</w:t>
      </w:r>
      <w:r w:rsidR="00D32B19">
        <w:rPr>
          <w:rFonts w:ascii="Verdana" w:hAnsi="Verdana"/>
          <w:sz w:val="18"/>
          <w:szCs w:val="18"/>
          <w:lang w:val="es-ES"/>
        </w:rPr>
        <w:t xml:space="preserve"> </w:t>
      </w:r>
      <w:r w:rsidRPr="001320F8">
        <w:rPr>
          <w:rFonts w:ascii="Verdana" w:hAnsi="Verdana"/>
          <w:sz w:val="18"/>
          <w:szCs w:val="18"/>
          <w:lang w:val="es-ES"/>
        </w:rPr>
        <w:t>Comisión decidió no recibirlos.</w:t>
      </w:r>
      <w:r w:rsidR="00D32B19">
        <w:rPr>
          <w:rFonts w:ascii="Verdana" w:hAnsi="Verdana"/>
          <w:sz w:val="18"/>
          <w:szCs w:val="18"/>
          <w:lang w:val="es-ES"/>
        </w:rPr>
        <w:t xml:space="preserve"> </w:t>
      </w:r>
      <w:r w:rsidRPr="001320F8">
        <w:rPr>
          <w:rFonts w:ascii="Verdana" w:hAnsi="Verdana"/>
          <w:sz w:val="18"/>
          <w:szCs w:val="18"/>
          <w:lang w:val="es-ES"/>
        </w:rPr>
        <w:t>De manera muy furiosa y poco diplomática aceptó y dijo que no iba a hablar</w:t>
      </w:r>
      <w:r w:rsidR="00D32B19">
        <w:rPr>
          <w:rFonts w:ascii="Verdana" w:hAnsi="Verdana"/>
          <w:sz w:val="18"/>
          <w:szCs w:val="18"/>
          <w:lang w:val="es-ES"/>
        </w:rPr>
        <w:t xml:space="preserve"> </w:t>
      </w:r>
      <w:r w:rsidRPr="001320F8">
        <w:rPr>
          <w:rFonts w:ascii="Verdana" w:hAnsi="Verdana"/>
          <w:sz w:val="18"/>
          <w:szCs w:val="18"/>
          <w:lang w:val="es-ES"/>
        </w:rPr>
        <w:t>sobre ese caso,</w:t>
      </w:r>
      <w:r w:rsidR="00D32B19">
        <w:rPr>
          <w:rFonts w:ascii="Verdana" w:hAnsi="Verdana"/>
          <w:sz w:val="18"/>
          <w:szCs w:val="18"/>
          <w:lang w:val="es-ES"/>
        </w:rPr>
        <w:t xml:space="preserve"> </w:t>
      </w:r>
      <w:r w:rsidRPr="001320F8">
        <w:rPr>
          <w:rFonts w:ascii="Verdana" w:hAnsi="Verdana"/>
          <w:sz w:val="18"/>
          <w:szCs w:val="18"/>
          <w:lang w:val="es-ES"/>
        </w:rPr>
        <w:t>entonces la Comisión lo recibió y lo único que hizo fue hablar del caso El Universo, hasta el punto que la Comisión tuvo que pararlo. Lo pongo como ejemplo porque es un poco la actitud que han tenido.</w:t>
      </w:r>
    </w:p>
    <w:p w14:paraId="625B0837" w14:textId="77777777" w:rsidR="00D32B19" w:rsidRPr="001320F8" w:rsidRDefault="00D32B19" w:rsidP="00D32B19">
      <w:pPr>
        <w:pStyle w:val="NormalWeb"/>
        <w:spacing w:before="0" w:beforeAutospacing="0" w:after="0" w:afterAutospacing="0"/>
        <w:ind w:left="720" w:right="899"/>
        <w:jc w:val="both"/>
        <w:rPr>
          <w:rFonts w:ascii="Verdana" w:hAnsi="Verdana"/>
          <w:sz w:val="18"/>
          <w:szCs w:val="18"/>
          <w:lang w:val="es-ES"/>
        </w:rPr>
      </w:pPr>
    </w:p>
    <w:p w14:paraId="1D0D7D05" w14:textId="01BA22CF" w:rsidR="0027088B" w:rsidRPr="001320F8" w:rsidRDefault="0027088B" w:rsidP="00D32B19">
      <w:pPr>
        <w:pStyle w:val="NormalWeb"/>
        <w:spacing w:before="0" w:beforeAutospacing="0" w:after="0" w:afterAutospacing="0"/>
        <w:ind w:left="720" w:right="899"/>
        <w:jc w:val="both"/>
        <w:rPr>
          <w:rFonts w:ascii="Verdana" w:hAnsi="Verdana"/>
          <w:sz w:val="18"/>
          <w:szCs w:val="18"/>
          <w:lang w:val="es-ES"/>
        </w:rPr>
      </w:pPr>
      <w:r w:rsidRPr="001320F8">
        <w:rPr>
          <w:rStyle w:val="Textoennegrita"/>
          <w:rFonts w:ascii="Verdana" w:hAnsi="Verdana"/>
          <w:sz w:val="18"/>
          <w:szCs w:val="18"/>
          <w:lang w:val="es-ES"/>
        </w:rPr>
        <w:t>¿El cuestionamiento que algunos Estados hacen, entre ellos el Ecuador, al rol y desempeño de la CIDH se puede entender como una forma velada de desacatar el cumplimiento de las obligaciones internacionales dentro</w:t>
      </w:r>
      <w:r w:rsidR="002950D5">
        <w:rPr>
          <w:rStyle w:val="Textoennegrita"/>
          <w:rFonts w:ascii="Verdana" w:hAnsi="Verdana"/>
          <w:sz w:val="18"/>
          <w:szCs w:val="18"/>
          <w:lang w:val="es-ES"/>
        </w:rPr>
        <w:t xml:space="preserve"> </w:t>
      </w:r>
      <w:r w:rsidRPr="001320F8">
        <w:rPr>
          <w:rStyle w:val="Textoennegrita"/>
          <w:rFonts w:ascii="Verdana" w:hAnsi="Verdana"/>
          <w:sz w:val="18"/>
          <w:szCs w:val="18"/>
          <w:lang w:val="es-ES"/>
        </w:rPr>
        <w:t>del Sistema Interamericano de Derechos Humanos (SIDH)?</w:t>
      </w:r>
    </w:p>
    <w:p w14:paraId="2981E5A9" w14:textId="7D6AF234" w:rsidR="0027088B" w:rsidRPr="001320F8" w:rsidRDefault="0027088B" w:rsidP="00D32B19">
      <w:pPr>
        <w:pStyle w:val="NormalWeb"/>
        <w:spacing w:before="0" w:beforeAutospacing="0" w:after="0" w:afterAutospacing="0"/>
        <w:ind w:left="720" w:right="899"/>
        <w:jc w:val="both"/>
        <w:rPr>
          <w:rFonts w:ascii="Verdana" w:hAnsi="Verdana"/>
          <w:sz w:val="18"/>
          <w:szCs w:val="18"/>
          <w:lang w:val="es-ES"/>
        </w:rPr>
      </w:pPr>
      <w:r w:rsidRPr="001320F8">
        <w:rPr>
          <w:rFonts w:ascii="Verdana" w:hAnsi="Verdana"/>
          <w:sz w:val="18"/>
          <w:szCs w:val="18"/>
          <w:lang w:val="es-ES"/>
        </w:rPr>
        <w:t>– No es velada, es directa. Es un gobierno autoritario que no quiere acatar opiniones o decisiones de organismos internacionales creados por los mismos Estados.</w:t>
      </w:r>
      <w:r w:rsidR="00D32B19">
        <w:rPr>
          <w:rFonts w:ascii="Verdana" w:hAnsi="Verdana"/>
          <w:sz w:val="18"/>
          <w:szCs w:val="18"/>
          <w:lang w:val="es-ES"/>
        </w:rPr>
        <w:t xml:space="preserve"> </w:t>
      </w:r>
      <w:r w:rsidRPr="001320F8">
        <w:rPr>
          <w:rFonts w:ascii="Verdana" w:hAnsi="Verdana"/>
          <w:sz w:val="18"/>
          <w:szCs w:val="18"/>
          <w:lang w:val="es-ES"/>
        </w:rPr>
        <w:t>Frente al fracaso que han tenido en el intento de debilitar a la CIDH, incluso su</w:t>
      </w:r>
      <w:r w:rsidR="00D32B19">
        <w:rPr>
          <w:rFonts w:ascii="Verdana" w:hAnsi="Verdana"/>
          <w:sz w:val="18"/>
          <w:szCs w:val="18"/>
          <w:lang w:val="es-ES"/>
        </w:rPr>
        <w:t xml:space="preserve"> </w:t>
      </w:r>
      <w:r w:rsidRPr="001320F8">
        <w:rPr>
          <w:rFonts w:ascii="Verdana" w:hAnsi="Verdana"/>
          <w:sz w:val="18"/>
          <w:szCs w:val="18"/>
          <w:lang w:val="es-ES"/>
        </w:rPr>
        <w:t>candidato (Patricio Pazmiño) a Secretario Ejecutivo de la CIDH perdió, han asumido esta campaña de ataques a la CIDH. Esa es una cuestión que se había resuelto luego de las dictaduras del cono sur, luego de que en América Latina se comenzó a aceptar una supervisión internacional independiente que proteja los derechos humanos y eso lo ha hecho realmente muy bien la CIDH durante más de 5 décadas. Los gobiernos militares estuvieron en contra de la CIDH porque no querían que haya ningún tipo de observación internacional. Hay gobiernos de la región, Ecuador es uno de ellos, en que vuelven a levantar la bandera de la soberanía y el nacionalismo para evitar que se les haga un monitoreo internacional. Eso perjudica directamente al pueblo, en definitiva</w:t>
      </w:r>
      <w:r w:rsidR="00D32B19">
        <w:rPr>
          <w:rStyle w:val="Refdenotaalpie"/>
          <w:rFonts w:ascii="Verdana" w:hAnsi="Verdana"/>
          <w:sz w:val="18"/>
          <w:szCs w:val="18"/>
          <w:lang w:val="es-ES"/>
        </w:rPr>
        <w:footnoteReference w:id="18"/>
      </w:r>
      <w:r w:rsidRPr="001320F8">
        <w:rPr>
          <w:rFonts w:ascii="Verdana" w:hAnsi="Verdana"/>
          <w:sz w:val="18"/>
          <w:szCs w:val="18"/>
          <w:lang w:val="es-ES"/>
        </w:rPr>
        <w:t>.</w:t>
      </w:r>
    </w:p>
    <w:p w14:paraId="788E13B8" w14:textId="38FA7DF6" w:rsidR="00114775" w:rsidRDefault="00114775" w:rsidP="00114775">
      <w:pPr>
        <w:rPr>
          <w:rFonts w:cs="Verdana"/>
          <w:lang w:bidi="en-US"/>
        </w:rPr>
      </w:pPr>
    </w:p>
    <w:p w14:paraId="5E98E509" w14:textId="24E4368A" w:rsidR="00993BAC" w:rsidRPr="000C116F" w:rsidRDefault="00D32B19" w:rsidP="001D3737">
      <w:pPr>
        <w:pStyle w:val="Sinespaciado"/>
        <w:tabs>
          <w:tab w:val="clear" w:pos="567"/>
        </w:tabs>
        <w:ind w:left="0" w:firstLine="0"/>
        <w:rPr>
          <w:rFonts w:cs="Verdana"/>
          <w:lang w:bidi="en-US"/>
        </w:rPr>
      </w:pPr>
      <w:r>
        <w:rPr>
          <w:rFonts w:cs="Verdana"/>
          <w:lang w:bidi="en-US"/>
        </w:rPr>
        <w:t xml:space="preserve">Asimismo, la Presidenta constata el contenido de la nota del medio de prensa “Voz de América” (VOA) de 21 de febrero de 2012, referida por el Estado en su escrito de observaciones a las listas definitivas de declarantes de los representantes, </w:t>
      </w:r>
      <w:r w:rsidR="002950D5">
        <w:rPr>
          <w:rFonts w:cs="Verdana"/>
          <w:lang w:bidi="en-US"/>
        </w:rPr>
        <w:t xml:space="preserve">en </w:t>
      </w:r>
      <w:r>
        <w:rPr>
          <w:rFonts w:cs="Verdana"/>
          <w:lang w:bidi="en-US"/>
        </w:rPr>
        <w:t xml:space="preserve">la cual el perito </w:t>
      </w:r>
      <w:r w:rsidR="00303190">
        <w:rPr>
          <w:rFonts w:cs="Verdana"/>
          <w:lang w:bidi="en-US"/>
        </w:rPr>
        <w:t xml:space="preserve">propuesto </w:t>
      </w:r>
      <w:r>
        <w:rPr>
          <w:rFonts w:cs="Verdana"/>
          <w:lang w:bidi="en-US"/>
        </w:rPr>
        <w:t xml:space="preserve">Santiago Cantón </w:t>
      </w:r>
      <w:r w:rsidR="00303190">
        <w:rPr>
          <w:rFonts w:cs="Verdana"/>
          <w:lang w:bidi="en-US"/>
        </w:rPr>
        <w:t>señaló</w:t>
      </w:r>
      <w:r>
        <w:rPr>
          <w:rFonts w:cs="Verdana"/>
          <w:lang w:bidi="en-US"/>
        </w:rPr>
        <w:t xml:space="preserve">, en relación con las medidas cautelares otorgadas a favor de las presuntas víctimas del caso, que “el resultado de no hacer nada en este caso sería un </w:t>
      </w:r>
      <w:r w:rsidR="009358B5">
        <w:rPr>
          <w:rFonts w:cs="Verdana"/>
          <w:lang w:bidi="en-US"/>
        </w:rPr>
        <w:t>‘</w:t>
      </w:r>
      <w:r>
        <w:rPr>
          <w:rFonts w:cs="Verdana"/>
          <w:lang w:bidi="en-US"/>
        </w:rPr>
        <w:t>daño irreparable</w:t>
      </w:r>
      <w:r w:rsidR="009358B5">
        <w:rPr>
          <w:rFonts w:cs="Verdana"/>
          <w:lang w:bidi="en-US"/>
        </w:rPr>
        <w:t>’</w:t>
      </w:r>
      <w:r>
        <w:rPr>
          <w:rFonts w:cs="Verdana"/>
          <w:lang w:bidi="en-US"/>
        </w:rPr>
        <w:t xml:space="preserve"> a la libertad de expresión en dicho país”</w:t>
      </w:r>
      <w:r>
        <w:rPr>
          <w:rStyle w:val="Refdenotaalpie"/>
          <w:rFonts w:cs="Verdana"/>
          <w:lang w:bidi="en-US"/>
        </w:rPr>
        <w:footnoteReference w:id="19"/>
      </w:r>
      <w:r>
        <w:rPr>
          <w:rFonts w:cs="Verdana"/>
          <w:lang w:bidi="en-US"/>
        </w:rPr>
        <w:t>.</w:t>
      </w:r>
    </w:p>
    <w:p w14:paraId="52BF3560" w14:textId="19BA20B7" w:rsidR="00993BAC" w:rsidRDefault="00993BAC" w:rsidP="00993BAC">
      <w:pPr>
        <w:rPr>
          <w:rFonts w:cs="Verdana"/>
          <w:lang w:bidi="en-US"/>
        </w:rPr>
      </w:pPr>
    </w:p>
    <w:p w14:paraId="054C0769" w14:textId="6F815D21" w:rsidR="00DF3A39" w:rsidRPr="00A5680E" w:rsidRDefault="00DF3A39" w:rsidP="00A5680E">
      <w:pPr>
        <w:pStyle w:val="Sinespaciado"/>
        <w:ind w:left="0" w:firstLine="0"/>
        <w:rPr>
          <w:rFonts w:cs="Verdana"/>
          <w:lang w:bidi="en-US"/>
        </w:rPr>
      </w:pPr>
      <w:r>
        <w:t xml:space="preserve">Al respecto, la Presidenta </w:t>
      </w:r>
      <w:r w:rsidR="00AE1D31">
        <w:t>considera</w:t>
      </w:r>
      <w:r>
        <w:t xml:space="preserve"> que las expresiones que haya efectuado una persona </w:t>
      </w:r>
      <w:r>
        <w:lastRenderedPageBreak/>
        <w:t xml:space="preserve">en relación con un determinado tema no le impiden actuar como experto en un determinado caso ante la Corte, siempre y cuando no exista una intervención previa directa en relación con la causa. </w:t>
      </w:r>
      <w:r w:rsidR="00635EE5">
        <w:t>Ahora bien</w:t>
      </w:r>
      <w:r w:rsidR="00A5680E">
        <w:t>,</w:t>
      </w:r>
      <w:r>
        <w:t xml:space="preserve"> </w:t>
      </w:r>
      <w:r w:rsidR="00E761A4">
        <w:t>la Presidenta considera que las declaraciones</w:t>
      </w:r>
      <w:r w:rsidR="00AE1D31">
        <w:t xml:space="preserve"> en prensa</w:t>
      </w:r>
      <w:r w:rsidR="00635EE5">
        <w:t xml:space="preserve"> antes mencionadas,</w:t>
      </w:r>
      <w:r w:rsidR="00AE1D31">
        <w:t xml:space="preserve"> efectuadas por</w:t>
      </w:r>
      <w:r w:rsidR="00E761A4">
        <w:t xml:space="preserve"> el perito</w:t>
      </w:r>
      <w:r w:rsidR="00A5680E">
        <w:t xml:space="preserve"> propuesto</w:t>
      </w:r>
      <w:r w:rsidR="00635EE5">
        <w:t xml:space="preserve"> Cantón,</w:t>
      </w:r>
      <w:r w:rsidR="00E761A4">
        <w:t xml:space="preserve"> constituyen elementos </w:t>
      </w:r>
      <w:r w:rsidR="00A5680E">
        <w:t xml:space="preserve">que se ajustan a la causal de recusación contenida en el artículo 48.1.f del Reglamento de la Corte, por cuanto sus manifestaciones respecto a la actuación del Estado de Ecuador en relación con los medios de comunicación en la época de los hechos, y en particular respecto del </w:t>
      </w:r>
      <w:r w:rsidR="004E1BAE">
        <w:t>D</w:t>
      </w:r>
      <w:r w:rsidR="00A5680E">
        <w:t>iario El Universo,</w:t>
      </w:r>
      <w:r w:rsidR="00635EE5">
        <w:t xml:space="preserve"> constituyen una intervención en la causa con la suficiente entidad para</w:t>
      </w:r>
      <w:r w:rsidR="00A5680E">
        <w:t xml:space="preserve"> pone</w:t>
      </w:r>
      <w:r w:rsidR="00635EE5">
        <w:t>r</w:t>
      </w:r>
      <w:r w:rsidR="00A5680E">
        <w:t xml:space="preserve"> en duda su objetividad como perito en el marco del presente caso.</w:t>
      </w:r>
    </w:p>
    <w:p w14:paraId="7B68EE1C" w14:textId="77777777" w:rsidR="00E761A4" w:rsidRPr="00E761A4" w:rsidRDefault="00E761A4" w:rsidP="00E761A4">
      <w:pPr>
        <w:pStyle w:val="Sinespaciado"/>
        <w:numPr>
          <w:ilvl w:val="0"/>
          <w:numId w:val="0"/>
        </w:numPr>
        <w:rPr>
          <w:rFonts w:cs="Verdana"/>
          <w:lang w:bidi="en-US"/>
        </w:rPr>
      </w:pPr>
    </w:p>
    <w:p w14:paraId="39A3ABDF" w14:textId="0AB19FAB" w:rsidR="00E761A4" w:rsidRPr="00F320FB" w:rsidRDefault="00E761A4" w:rsidP="00114775">
      <w:pPr>
        <w:pStyle w:val="Sinespaciado"/>
        <w:ind w:left="0" w:firstLine="0"/>
        <w:rPr>
          <w:rFonts w:cs="Verdana"/>
          <w:lang w:bidi="en-US"/>
        </w:rPr>
      </w:pPr>
      <w:r w:rsidRPr="00867380">
        <w:rPr>
          <w:bCs w:val="0"/>
          <w:lang w:val="es-ES"/>
        </w:rPr>
        <w:t xml:space="preserve">Por tanto, </w:t>
      </w:r>
      <w:r w:rsidR="00DF61CC">
        <w:rPr>
          <w:bCs w:val="0"/>
          <w:lang w:val="es-ES"/>
        </w:rPr>
        <w:t>la Presidenta</w:t>
      </w:r>
      <w:r w:rsidRPr="00867380">
        <w:rPr>
          <w:bCs w:val="0"/>
          <w:lang w:val="es-ES"/>
        </w:rPr>
        <w:t xml:space="preserve"> considera </w:t>
      </w:r>
      <w:r w:rsidR="00F320FB">
        <w:rPr>
          <w:bCs w:val="0"/>
          <w:lang w:val="es-ES"/>
        </w:rPr>
        <w:t>que procede la recusación planteada por el Estado</w:t>
      </w:r>
      <w:r w:rsidR="006C5388">
        <w:rPr>
          <w:bCs w:val="0"/>
          <w:lang w:val="es-ES"/>
        </w:rPr>
        <w:t xml:space="preserve"> </w:t>
      </w:r>
      <w:r w:rsidR="006C5388" w:rsidRPr="00727F7F">
        <w:rPr>
          <w:rFonts w:cs="Verdana"/>
          <w:lang w:bidi="en-US"/>
        </w:rPr>
        <w:t>bajo la</w:t>
      </w:r>
      <w:r w:rsidR="006C5388">
        <w:rPr>
          <w:rFonts w:cs="Verdana"/>
          <w:lang w:bidi="en-US"/>
        </w:rPr>
        <w:t>s</w:t>
      </w:r>
      <w:r w:rsidR="006C5388" w:rsidRPr="00727F7F">
        <w:rPr>
          <w:rFonts w:cs="Verdana"/>
          <w:lang w:bidi="en-US"/>
        </w:rPr>
        <w:t xml:space="preserve"> causal</w:t>
      </w:r>
      <w:r w:rsidR="006C5388">
        <w:rPr>
          <w:rFonts w:cs="Verdana"/>
          <w:lang w:bidi="en-US"/>
        </w:rPr>
        <w:t>es</w:t>
      </w:r>
      <w:r w:rsidR="006C5388" w:rsidRPr="00727F7F">
        <w:rPr>
          <w:rFonts w:cs="Verdana"/>
          <w:lang w:bidi="en-US"/>
        </w:rPr>
        <w:t xml:space="preserve"> dispuesta</w:t>
      </w:r>
      <w:r w:rsidR="006C5388">
        <w:rPr>
          <w:rFonts w:cs="Verdana"/>
          <w:lang w:bidi="en-US"/>
        </w:rPr>
        <w:t>s</w:t>
      </w:r>
      <w:r w:rsidR="006C5388" w:rsidRPr="00727F7F">
        <w:rPr>
          <w:rFonts w:cs="Verdana"/>
          <w:lang w:bidi="en-US"/>
        </w:rPr>
        <w:t xml:space="preserve"> en el artículo 48.1.d y f del Reglamento de la Corte</w:t>
      </w:r>
      <w:r w:rsidR="00F320FB">
        <w:rPr>
          <w:bCs w:val="0"/>
          <w:lang w:val="es-ES"/>
        </w:rPr>
        <w:t>, por lo que no se recibirá el dictamen pericial</w:t>
      </w:r>
      <w:r w:rsidRPr="00867380">
        <w:rPr>
          <w:bCs w:val="0"/>
          <w:iCs w:val="0"/>
        </w:rPr>
        <w:t xml:space="preserve"> </w:t>
      </w:r>
      <w:r w:rsidR="00DF61CC">
        <w:rPr>
          <w:bCs w:val="0"/>
          <w:iCs w:val="0"/>
        </w:rPr>
        <w:t>de Santiago Cantón</w:t>
      </w:r>
      <w:r w:rsidR="00F320FB">
        <w:rPr>
          <w:bCs w:val="0"/>
          <w:iCs w:val="0"/>
        </w:rPr>
        <w:t xml:space="preserve"> ofrecido por los representantes</w:t>
      </w:r>
      <w:r w:rsidR="00DF61CC">
        <w:rPr>
          <w:bCs w:val="0"/>
          <w:iCs w:val="0"/>
        </w:rPr>
        <w:t>.</w:t>
      </w:r>
    </w:p>
    <w:p w14:paraId="1C52C62F" w14:textId="4C68627D" w:rsidR="00095AA5" w:rsidRDefault="00095AA5" w:rsidP="00FC724B">
      <w:pPr>
        <w:pStyle w:val="Sinespaciado"/>
        <w:numPr>
          <w:ilvl w:val="0"/>
          <w:numId w:val="0"/>
        </w:numPr>
        <w:rPr>
          <w:rFonts w:cs="Verdana"/>
          <w:lang w:bidi="en-US"/>
        </w:rPr>
      </w:pPr>
    </w:p>
    <w:p w14:paraId="0284445E" w14:textId="29276FCD" w:rsidR="00BB32A2" w:rsidRPr="000D4CB9" w:rsidRDefault="00BB32A2" w:rsidP="000D4CB9">
      <w:pPr>
        <w:pStyle w:val="Sinespaciado"/>
        <w:numPr>
          <w:ilvl w:val="0"/>
          <w:numId w:val="0"/>
        </w:numPr>
        <w:rPr>
          <w:rFonts w:cs="Verdana"/>
          <w:b/>
          <w:i/>
          <w:lang w:bidi="en-US"/>
        </w:rPr>
      </w:pPr>
      <w:r w:rsidRPr="000D4CB9">
        <w:rPr>
          <w:rFonts w:cs="Verdana"/>
          <w:b/>
          <w:i/>
          <w:lang w:bidi="en-US"/>
        </w:rPr>
        <w:t xml:space="preserve">B.3) </w:t>
      </w:r>
      <w:r w:rsidR="0089559C" w:rsidRPr="000D4CB9">
        <w:rPr>
          <w:rFonts w:cs="Verdana"/>
          <w:b/>
          <w:i/>
          <w:lang w:bidi="en-US"/>
        </w:rPr>
        <w:t xml:space="preserve">Admisibilidad </w:t>
      </w:r>
      <w:r w:rsidRPr="000D4CB9">
        <w:rPr>
          <w:rFonts w:cs="Verdana"/>
          <w:b/>
          <w:i/>
          <w:lang w:bidi="en-US"/>
        </w:rPr>
        <w:t>de la solicitud de traslado de un peritaje</w:t>
      </w:r>
    </w:p>
    <w:p w14:paraId="2E89B791" w14:textId="48614733" w:rsidR="00095AA5" w:rsidRPr="001A2ED6" w:rsidRDefault="00095AA5" w:rsidP="002F1900">
      <w:pPr>
        <w:pStyle w:val="Sangradetextonormal"/>
        <w:tabs>
          <w:tab w:val="left" w:pos="0"/>
        </w:tabs>
        <w:spacing w:after="0"/>
        <w:ind w:left="0"/>
        <w:rPr>
          <w:rFonts w:cs="Verdana"/>
          <w:szCs w:val="20"/>
          <w:lang w:val="es-CR" w:bidi="en-US"/>
        </w:rPr>
      </w:pPr>
    </w:p>
    <w:p w14:paraId="56F53F1A" w14:textId="396D09B7" w:rsidR="00BB32A2" w:rsidRPr="001A2ED6" w:rsidRDefault="00BB32A2" w:rsidP="00BB32A2">
      <w:pPr>
        <w:pStyle w:val="Sinespaciado"/>
        <w:ind w:left="0" w:firstLine="0"/>
        <w:rPr>
          <w:rFonts w:cs="Verdana"/>
          <w:lang w:bidi="en-US"/>
        </w:rPr>
      </w:pPr>
      <w:r w:rsidRPr="001A2ED6">
        <w:rPr>
          <w:rFonts w:cs="Verdana"/>
          <w:lang w:bidi="en-US"/>
        </w:rPr>
        <w:t xml:space="preserve">Los </w:t>
      </w:r>
      <w:r w:rsidRPr="001A2ED6">
        <w:rPr>
          <w:rFonts w:cs="Verdana"/>
          <w:b/>
          <w:i/>
          <w:lang w:bidi="en-US"/>
        </w:rPr>
        <w:t>representantes</w:t>
      </w:r>
      <w:r w:rsidRPr="001A2ED6">
        <w:rPr>
          <w:rFonts w:cs="Verdana"/>
          <w:lang w:bidi="en-US"/>
        </w:rPr>
        <w:t xml:space="preserve"> solicitaron el traslado del peritaje de Alfredo Morales Hernández en el caso </w:t>
      </w:r>
      <w:r w:rsidRPr="001A2ED6">
        <w:rPr>
          <w:rFonts w:cs="Times New Roman"/>
          <w:i/>
          <w:lang w:val="es-ES_tradnl"/>
        </w:rPr>
        <w:t xml:space="preserve">Caso </w:t>
      </w:r>
      <w:r w:rsidRPr="001A2ED6">
        <w:rPr>
          <w:i/>
          <w:shd w:val="clear" w:color="auto" w:fill="FFFFFF"/>
        </w:rPr>
        <w:t>Granier y otros (Radio Caracas Televisión) Vs. Venezuela</w:t>
      </w:r>
      <w:r w:rsidRPr="001A2ED6">
        <w:rPr>
          <w:shd w:val="clear" w:color="auto" w:fill="FFFFFF"/>
        </w:rPr>
        <w:t xml:space="preserve">. El </w:t>
      </w:r>
      <w:r w:rsidRPr="001A2ED6">
        <w:rPr>
          <w:b/>
          <w:i/>
          <w:shd w:val="clear" w:color="auto" w:fill="FFFFFF"/>
        </w:rPr>
        <w:t xml:space="preserve">Estado </w:t>
      </w:r>
      <w:r w:rsidRPr="001A2ED6">
        <w:rPr>
          <w:shd w:val="clear" w:color="auto" w:fill="FFFFFF"/>
        </w:rPr>
        <w:t xml:space="preserve">alegó que no se deben asimilar los hechos del </w:t>
      </w:r>
      <w:r w:rsidR="00635EE5">
        <w:rPr>
          <w:i/>
          <w:shd w:val="clear" w:color="auto" w:fill="FFFFFF"/>
        </w:rPr>
        <w:t>C</w:t>
      </w:r>
      <w:r w:rsidRPr="00635EE5">
        <w:rPr>
          <w:i/>
          <w:shd w:val="clear" w:color="auto" w:fill="FFFFFF"/>
        </w:rPr>
        <w:t>aso Granier y otros</w:t>
      </w:r>
      <w:r w:rsidRPr="001A2ED6">
        <w:rPr>
          <w:shd w:val="clear" w:color="auto" w:fill="FFFFFF"/>
        </w:rPr>
        <w:t xml:space="preserve">, pues los hechos de uno y otro difieren de manera radical, por lo que dicha prueba no puede ser utilizada en el caso. Adicionalmente, sostuvo que el acervo probatorio debe estar integrado por la prueba presentada por las partes en el procedimiento, por lo que se debe rechazar la solicitud de los representantes. </w:t>
      </w:r>
      <w:r w:rsidRPr="001A2ED6">
        <w:rPr>
          <w:rFonts w:cs="Verdana"/>
          <w:lang w:bidi="en-US"/>
        </w:rPr>
        <w:t xml:space="preserve">La </w:t>
      </w:r>
      <w:r w:rsidRPr="001A2ED6">
        <w:rPr>
          <w:rFonts w:cs="Verdana"/>
          <w:b/>
          <w:i/>
          <w:lang w:bidi="en-US"/>
        </w:rPr>
        <w:t xml:space="preserve">Comisión </w:t>
      </w:r>
      <w:r w:rsidRPr="001A2ED6">
        <w:rPr>
          <w:rFonts w:cs="Verdana"/>
          <w:lang w:bidi="en-US"/>
        </w:rPr>
        <w:t>informó que no tiene observaciones a formular respecto a las listas definitivas presentadas por las partes.</w:t>
      </w:r>
    </w:p>
    <w:p w14:paraId="06820943" w14:textId="77777777" w:rsidR="00BB32A2" w:rsidRPr="001A2ED6" w:rsidRDefault="00BB32A2" w:rsidP="00BB32A2">
      <w:pPr>
        <w:pStyle w:val="Sinespaciado"/>
        <w:numPr>
          <w:ilvl w:val="0"/>
          <w:numId w:val="0"/>
        </w:numPr>
        <w:rPr>
          <w:rFonts w:cs="Verdana"/>
          <w:lang w:bidi="en-US"/>
        </w:rPr>
      </w:pPr>
    </w:p>
    <w:p w14:paraId="58F4B19A" w14:textId="23D14305" w:rsidR="00F320FB" w:rsidRPr="001A2ED6" w:rsidRDefault="005B1AB8" w:rsidP="00F320FB">
      <w:pPr>
        <w:pStyle w:val="Sinespaciado"/>
        <w:ind w:left="0" w:firstLine="0"/>
        <w:rPr>
          <w:rFonts w:cs="Verdana"/>
          <w:lang w:bidi="en-US"/>
        </w:rPr>
      </w:pPr>
      <w:r w:rsidRPr="001A2ED6">
        <w:t xml:space="preserve">Al respecto, la </w:t>
      </w:r>
      <w:r w:rsidRPr="000D4CB9">
        <w:rPr>
          <w:b/>
          <w:i/>
        </w:rPr>
        <w:t>Presidenta</w:t>
      </w:r>
      <w:r w:rsidR="00F320FB" w:rsidRPr="001A2ED6">
        <w:t xml:space="preserve"> advierte que el peritaje rendido por </w:t>
      </w:r>
      <w:r w:rsidR="00F320FB" w:rsidRPr="001A2ED6">
        <w:rPr>
          <w:rFonts w:cs="Verdana"/>
          <w:lang w:bidi="en-US"/>
        </w:rPr>
        <w:t xml:space="preserve">Alfredo Morales Hernández en el caso </w:t>
      </w:r>
      <w:r w:rsidR="00F320FB" w:rsidRPr="001A2ED6">
        <w:rPr>
          <w:rFonts w:cs="Times New Roman"/>
          <w:i/>
          <w:lang w:val="es-ES_tradnl"/>
        </w:rPr>
        <w:t xml:space="preserve">Caso </w:t>
      </w:r>
      <w:r w:rsidR="00F320FB" w:rsidRPr="001A2ED6">
        <w:rPr>
          <w:i/>
          <w:shd w:val="clear" w:color="auto" w:fill="FFFFFF"/>
        </w:rPr>
        <w:t xml:space="preserve">Granier y otros (Radio Caracas Televisión) Vs. Venezuela </w:t>
      </w:r>
      <w:r w:rsidR="001A2ED6" w:rsidRPr="001A2ED6">
        <w:rPr>
          <w:shd w:val="clear" w:color="auto" w:fill="FFFFFF"/>
        </w:rPr>
        <w:t>aborda cuestiones relacionadas, entre otras,</w:t>
      </w:r>
      <w:r w:rsidR="009B1101" w:rsidRPr="001A2ED6">
        <w:rPr>
          <w:shd w:val="clear" w:color="auto" w:fill="FFFFFF"/>
        </w:rPr>
        <w:t xml:space="preserve"> con lo siguiente: a) la empresa como una categoría relevante para el ejercicio de la libertad de expresión; b) la personalidad jurídica, sus límites y la subjetividad jurídica variable en la sociedad anónima; c) la posible afectación simult</w:t>
      </w:r>
      <w:r w:rsidR="00EB2DAD">
        <w:rPr>
          <w:shd w:val="clear" w:color="auto" w:fill="FFFFFF"/>
        </w:rPr>
        <w:t>á</w:t>
      </w:r>
      <w:r w:rsidR="009B1101" w:rsidRPr="001A2ED6">
        <w:rPr>
          <w:shd w:val="clear" w:color="auto" w:fill="FFFFFF"/>
        </w:rPr>
        <w:t>nea del patrimonio moral de la empresa y del patrimonio moral de los accionistas por la violación de la libertad expresión; d) la afectación del patrimonio material de la empresa y del patrimonio material de los accionistas por la violación del derecho a la propiedad; e) la responsabilidad patrimonial del Estado y de sus funcionarios por los daños causados por la violación de los derechos humanos; f) la dimensión de la obligación de resarcir</w:t>
      </w:r>
      <w:r w:rsidR="000D4CB9">
        <w:rPr>
          <w:shd w:val="clear" w:color="auto" w:fill="FFFFFF"/>
        </w:rPr>
        <w:t xml:space="preserve"> el daño material patrimonial</w:t>
      </w:r>
      <w:r w:rsidR="00B17E2B">
        <w:rPr>
          <w:shd w:val="clear" w:color="auto" w:fill="FFFFFF"/>
        </w:rPr>
        <w:t>,</w:t>
      </w:r>
      <w:r w:rsidR="000D4CB9">
        <w:rPr>
          <w:shd w:val="clear" w:color="auto" w:fill="FFFFFF"/>
        </w:rPr>
        <w:t xml:space="preserve"> y g</w:t>
      </w:r>
      <w:r w:rsidR="009B1101" w:rsidRPr="001A2ED6">
        <w:rPr>
          <w:shd w:val="clear" w:color="auto" w:fill="FFFFFF"/>
        </w:rPr>
        <w:t>) acciones que pueden ejercer las víctimas para obtener el resarcimiento de los daños causados por la violación de su derecho a la propiedad</w:t>
      </w:r>
      <w:r w:rsidR="009B1101" w:rsidRPr="001A2ED6">
        <w:rPr>
          <w:rStyle w:val="Refdenotaalpie"/>
          <w:shd w:val="clear" w:color="auto" w:fill="FFFFFF"/>
        </w:rPr>
        <w:footnoteReference w:id="20"/>
      </w:r>
      <w:r w:rsidR="001A2ED6" w:rsidRPr="001A2ED6">
        <w:rPr>
          <w:shd w:val="clear" w:color="auto" w:fill="FFFFFF"/>
        </w:rPr>
        <w:t>.</w:t>
      </w:r>
    </w:p>
    <w:p w14:paraId="60D675D1" w14:textId="77777777" w:rsidR="00F320FB" w:rsidRPr="001A2ED6" w:rsidRDefault="00F320FB" w:rsidP="00F320FB">
      <w:pPr>
        <w:pStyle w:val="Prrafodelista"/>
      </w:pPr>
    </w:p>
    <w:p w14:paraId="21E6FD7E" w14:textId="15E0BBCD" w:rsidR="001A2ED6" w:rsidRPr="001A2ED6" w:rsidRDefault="001A2ED6" w:rsidP="006724EE">
      <w:pPr>
        <w:pStyle w:val="Sinespaciado"/>
        <w:ind w:left="0" w:firstLine="0"/>
        <w:rPr>
          <w:rFonts w:cs="Verdana"/>
          <w:lang w:bidi="en-US"/>
        </w:rPr>
      </w:pPr>
      <w:r w:rsidRPr="001A2ED6">
        <w:t>L</w:t>
      </w:r>
      <w:r w:rsidR="00F320FB" w:rsidRPr="001A2ED6">
        <w:t>a Presidenta</w:t>
      </w:r>
      <w:r w:rsidR="00DF61CC" w:rsidRPr="001A2ED6">
        <w:t xml:space="preserve"> </w:t>
      </w:r>
      <w:r w:rsidRPr="001A2ED6">
        <w:t>advierte</w:t>
      </w:r>
      <w:r w:rsidR="00DF61CC" w:rsidRPr="001A2ED6">
        <w:t xml:space="preserve"> que</w:t>
      </w:r>
      <w:r w:rsidRPr="001A2ED6">
        <w:t xml:space="preserve"> el tratamiento de</w:t>
      </w:r>
      <w:r w:rsidR="00DF61CC" w:rsidRPr="001A2ED6">
        <w:t xml:space="preserve"> la</w:t>
      </w:r>
      <w:r w:rsidRPr="001A2ED6">
        <w:t>s</w:t>
      </w:r>
      <w:r w:rsidR="005B1AB8" w:rsidRPr="001A2ED6">
        <w:t xml:space="preserve"> temática</w:t>
      </w:r>
      <w:r w:rsidRPr="001A2ED6">
        <w:t>s abordadas por</w:t>
      </w:r>
      <w:r w:rsidR="005B1AB8" w:rsidRPr="001A2ED6">
        <w:t xml:space="preserve"> </w:t>
      </w:r>
      <w:r w:rsidR="00F320FB" w:rsidRPr="001A2ED6">
        <w:t>dicho</w:t>
      </w:r>
      <w:r w:rsidR="005B1AB8" w:rsidRPr="001A2ED6">
        <w:t xml:space="preserve"> peritaje </w:t>
      </w:r>
      <w:r w:rsidR="00635EE5">
        <w:rPr>
          <w:rFonts w:cs="Verdana"/>
          <w:lang w:bidi="en-US"/>
        </w:rPr>
        <w:t>trata</w:t>
      </w:r>
      <w:r w:rsidR="005B1AB8" w:rsidRPr="001A2ED6">
        <w:rPr>
          <w:rFonts w:cs="Verdana"/>
          <w:lang w:bidi="en-US"/>
        </w:rPr>
        <w:t xml:space="preserve"> </w:t>
      </w:r>
      <w:r w:rsidRPr="001A2ED6">
        <w:rPr>
          <w:rFonts w:cs="Verdana"/>
          <w:lang w:bidi="en-US"/>
        </w:rPr>
        <w:t>cuestiones</w:t>
      </w:r>
      <w:r w:rsidR="005B1AB8" w:rsidRPr="001A2ED6">
        <w:rPr>
          <w:rFonts w:cs="Verdana"/>
          <w:lang w:bidi="en-US"/>
        </w:rPr>
        <w:t xml:space="preserve"> relacionada</w:t>
      </w:r>
      <w:r w:rsidRPr="001A2ED6">
        <w:rPr>
          <w:rFonts w:cs="Verdana"/>
          <w:lang w:bidi="en-US"/>
        </w:rPr>
        <w:t>s</w:t>
      </w:r>
      <w:r w:rsidR="005B1AB8" w:rsidRPr="001A2ED6">
        <w:rPr>
          <w:rFonts w:cs="Verdana"/>
          <w:lang w:bidi="en-US"/>
        </w:rPr>
        <w:t xml:space="preserve"> con el fondo de la co</w:t>
      </w:r>
      <w:r w:rsidR="00F320FB" w:rsidRPr="001A2ED6">
        <w:rPr>
          <w:rFonts w:cs="Verdana"/>
          <w:lang w:bidi="en-US"/>
        </w:rPr>
        <w:t>ntroversia en el presente caso</w:t>
      </w:r>
      <w:r w:rsidRPr="001A2ED6">
        <w:rPr>
          <w:rFonts w:cs="Verdana"/>
          <w:lang w:bidi="en-US"/>
        </w:rPr>
        <w:t xml:space="preserve">, el cual se refiere a una condena civil impuesta en contra de la persona jurídica que publicaba el </w:t>
      </w:r>
      <w:r w:rsidR="004E1BAE">
        <w:rPr>
          <w:rFonts w:cs="Verdana"/>
          <w:lang w:bidi="en-US"/>
        </w:rPr>
        <w:t>D</w:t>
      </w:r>
      <w:r w:rsidRPr="001A2ED6">
        <w:rPr>
          <w:rFonts w:cs="Verdana"/>
          <w:lang w:bidi="en-US"/>
        </w:rPr>
        <w:t>iario El Universo</w:t>
      </w:r>
      <w:r w:rsidR="00F320FB" w:rsidRPr="001A2ED6">
        <w:rPr>
          <w:rFonts w:cs="Verdana"/>
          <w:lang w:bidi="en-US"/>
        </w:rPr>
        <w:t>.</w:t>
      </w:r>
      <w:r w:rsidRPr="001A2ED6">
        <w:rPr>
          <w:rFonts w:cs="Verdana"/>
          <w:lang w:bidi="en-US"/>
        </w:rPr>
        <w:t xml:space="preserve"> Asimismo, constata que la información presentada por el perito Morales Hernández en el </w:t>
      </w:r>
      <w:r w:rsidR="00DA20DD">
        <w:rPr>
          <w:rFonts w:cs="Verdana"/>
          <w:i/>
          <w:lang w:bidi="en-US"/>
        </w:rPr>
        <w:t>Caso</w:t>
      </w:r>
      <w:r w:rsidRPr="001A2ED6">
        <w:rPr>
          <w:rFonts w:cs="Verdana"/>
          <w:lang w:bidi="en-US"/>
        </w:rPr>
        <w:t xml:space="preserve"> </w:t>
      </w:r>
      <w:r w:rsidRPr="001A2ED6">
        <w:rPr>
          <w:rFonts w:cs="Verdana"/>
          <w:i/>
          <w:lang w:bidi="en-US"/>
        </w:rPr>
        <w:t xml:space="preserve">Granier y otros </w:t>
      </w:r>
      <w:r w:rsidRPr="001A2ED6">
        <w:rPr>
          <w:rFonts w:cs="Verdana"/>
          <w:lang w:bidi="en-US"/>
        </w:rPr>
        <w:t>contiene información de naturaleza teórica, que puede ser relevante más allá de</w:t>
      </w:r>
      <w:r w:rsidR="00DA20DD">
        <w:rPr>
          <w:rFonts w:cs="Verdana"/>
          <w:lang w:bidi="en-US"/>
        </w:rPr>
        <w:t xml:space="preserve"> </w:t>
      </w:r>
      <w:r w:rsidRPr="001A2ED6">
        <w:rPr>
          <w:rFonts w:cs="Verdana"/>
          <w:lang w:bidi="en-US"/>
        </w:rPr>
        <w:t>l</w:t>
      </w:r>
      <w:r w:rsidR="00DA20DD">
        <w:rPr>
          <w:rFonts w:cs="Verdana"/>
          <w:lang w:bidi="en-US"/>
        </w:rPr>
        <w:t>os hechos y las controversias jurídicas del</w:t>
      </w:r>
      <w:r w:rsidRPr="001A2ED6">
        <w:rPr>
          <w:rFonts w:cs="Verdana"/>
          <w:lang w:bidi="en-US"/>
        </w:rPr>
        <w:t xml:space="preserve"> caso concreto en que dicho peritaje fue rendido. </w:t>
      </w:r>
      <w:r w:rsidR="005B1AB8" w:rsidRPr="001A2ED6">
        <w:rPr>
          <w:rFonts w:cs="Verdana"/>
          <w:lang w:bidi="en-US"/>
        </w:rPr>
        <w:t xml:space="preserve">Adicionalmente, </w:t>
      </w:r>
      <w:r w:rsidR="00F320FB" w:rsidRPr="001A2ED6">
        <w:rPr>
          <w:rFonts w:cs="Verdana"/>
          <w:lang w:bidi="en-US"/>
        </w:rPr>
        <w:t xml:space="preserve">la Presidenta </w:t>
      </w:r>
      <w:r w:rsidR="005B1AB8" w:rsidRPr="001A2ED6">
        <w:rPr>
          <w:rFonts w:cs="Verdana"/>
          <w:lang w:bidi="en-US"/>
        </w:rPr>
        <w:t>considera que</w:t>
      </w:r>
      <w:r w:rsidR="00DF61CC" w:rsidRPr="001A2ED6">
        <w:t xml:space="preserve"> </w:t>
      </w:r>
      <w:r w:rsidR="005B1AB8" w:rsidRPr="001A2ED6">
        <w:t xml:space="preserve">la </w:t>
      </w:r>
      <w:r w:rsidR="00DF61CC" w:rsidRPr="001A2ED6">
        <w:t>incorporación al expediente de un caso en trámite</w:t>
      </w:r>
      <w:r w:rsidR="005B1AB8" w:rsidRPr="001A2ED6">
        <w:t xml:space="preserve"> de dictámenes periciales rendidos en otros casos</w:t>
      </w:r>
      <w:r w:rsidR="00DF61CC" w:rsidRPr="001A2ED6">
        <w:t xml:space="preserve">, no </w:t>
      </w:r>
      <w:r w:rsidR="005B1AB8" w:rsidRPr="001A2ED6">
        <w:t>implica</w:t>
      </w:r>
      <w:r w:rsidR="00DF61CC" w:rsidRPr="001A2ED6">
        <w:t xml:space="preserve"> que </w:t>
      </w:r>
      <w:r w:rsidR="005B1AB8" w:rsidRPr="001A2ED6">
        <w:t>dichos peritajes</w:t>
      </w:r>
      <w:r w:rsidR="00DF61CC" w:rsidRPr="001A2ED6">
        <w:t xml:space="preserve"> tengan el valor o peso probatorio de un dictamen pericial evacuado bajo los principios de contradicción y derecho de defensa. </w:t>
      </w:r>
    </w:p>
    <w:p w14:paraId="0D1C5A37" w14:textId="77777777" w:rsidR="001A2ED6" w:rsidRPr="001A2ED6" w:rsidRDefault="001A2ED6" w:rsidP="001A2ED6">
      <w:pPr>
        <w:rPr>
          <w:lang w:val="es-AR"/>
        </w:rPr>
      </w:pPr>
    </w:p>
    <w:p w14:paraId="3D3FB074" w14:textId="1BC29F5A" w:rsidR="005B1AB8" w:rsidRPr="001A2ED6" w:rsidRDefault="005B1AB8" w:rsidP="006724EE">
      <w:pPr>
        <w:pStyle w:val="Sinespaciado"/>
        <w:ind w:left="0" w:firstLine="0"/>
        <w:rPr>
          <w:rFonts w:cs="Verdana"/>
          <w:lang w:bidi="en-US"/>
        </w:rPr>
      </w:pPr>
      <w:r w:rsidRPr="001A2ED6">
        <w:rPr>
          <w:lang w:val="es-AR"/>
        </w:rPr>
        <w:lastRenderedPageBreak/>
        <w:t xml:space="preserve">En razón de </w:t>
      </w:r>
      <w:r w:rsidR="001A2ED6" w:rsidRPr="001A2ED6">
        <w:rPr>
          <w:lang w:val="es-AR"/>
        </w:rPr>
        <w:t>lo anterior</w:t>
      </w:r>
      <w:r w:rsidRPr="001A2ED6">
        <w:rPr>
          <w:rFonts w:cs="Arial"/>
          <w:lang w:val="es-CL"/>
        </w:rPr>
        <w:t>, la Presidenta estima procedente acceder a la solicitud de los representantes en cuanto al traslado del dictamen pericial antes mencionado</w:t>
      </w:r>
      <w:r w:rsidRPr="001A2ED6">
        <w:rPr>
          <w:rFonts w:cs="Arial"/>
        </w:rPr>
        <w:t xml:space="preserve"> </w:t>
      </w:r>
      <w:r w:rsidRPr="001A2ED6">
        <w:rPr>
          <w:rFonts w:cs="Arial"/>
          <w:lang w:val="es-CL"/>
        </w:rPr>
        <w:t>y su incorporación al acervo probatorio, el cual será considerado como prueba documental en el presente asunto. Para el efecto, la Secretaría transmitirá oportunamente a las partes copia del documento, de modo que puedan presentar las observaciones que consideren pertinentes a más tardar con sus alegatos finales escritos.</w:t>
      </w:r>
    </w:p>
    <w:p w14:paraId="55F957EC" w14:textId="77777777" w:rsidR="00BB32A2" w:rsidRPr="00BB32A2" w:rsidRDefault="00BB32A2" w:rsidP="002F1900">
      <w:pPr>
        <w:pStyle w:val="Sangradetextonormal"/>
        <w:tabs>
          <w:tab w:val="left" w:pos="0"/>
        </w:tabs>
        <w:spacing w:after="0"/>
        <w:ind w:left="0"/>
        <w:rPr>
          <w:rFonts w:cs="Verdana"/>
          <w:szCs w:val="20"/>
          <w:lang w:val="es-CR" w:bidi="en-US"/>
        </w:rPr>
      </w:pPr>
    </w:p>
    <w:p w14:paraId="7453FBE1" w14:textId="6692D533" w:rsidR="00095AA5" w:rsidRPr="009A4354" w:rsidRDefault="00954BE5" w:rsidP="002F1900">
      <w:pPr>
        <w:pStyle w:val="Ttulo1"/>
        <w:ind w:left="0" w:firstLine="0"/>
        <w:rPr>
          <w:b w:val="0"/>
          <w:i w:val="0"/>
        </w:rPr>
      </w:pPr>
      <w:r>
        <w:t>Admisibilidad de la declaración</w:t>
      </w:r>
      <w:r w:rsidR="00095AA5" w:rsidRPr="009A4354">
        <w:t xml:space="preserve"> </w:t>
      </w:r>
      <w:r>
        <w:t>pericial</w:t>
      </w:r>
      <w:r w:rsidR="00095AA5" w:rsidRPr="009A4354">
        <w:t xml:space="preserve"> </w:t>
      </w:r>
      <w:r w:rsidR="00095AA5">
        <w:t>ofrecida</w:t>
      </w:r>
      <w:r w:rsidR="00095AA5" w:rsidRPr="009A4354">
        <w:t xml:space="preserve"> por </w:t>
      </w:r>
      <w:r w:rsidR="00095AA5">
        <w:t>el Estado</w:t>
      </w:r>
    </w:p>
    <w:p w14:paraId="54F2EE82" w14:textId="77777777" w:rsidR="00095AA5" w:rsidRDefault="00095AA5" w:rsidP="002F1900">
      <w:pPr>
        <w:pStyle w:val="Sangradetextonormal"/>
        <w:tabs>
          <w:tab w:val="left" w:pos="0"/>
        </w:tabs>
        <w:spacing w:after="0"/>
        <w:ind w:left="0"/>
        <w:rPr>
          <w:rFonts w:cs="Verdana"/>
          <w:szCs w:val="20"/>
          <w:lang w:bidi="en-US"/>
        </w:rPr>
      </w:pPr>
    </w:p>
    <w:p w14:paraId="3516AACA" w14:textId="2A90EFC6" w:rsidR="00095AA5" w:rsidRDefault="00095AA5" w:rsidP="002F1900">
      <w:pPr>
        <w:pStyle w:val="Sinespaciado"/>
        <w:ind w:left="0" w:firstLine="0"/>
        <w:rPr>
          <w:rFonts w:cs="Verdana"/>
          <w:lang w:bidi="en-US"/>
        </w:rPr>
      </w:pPr>
      <w:r w:rsidRPr="009A4354">
        <w:rPr>
          <w:rFonts w:cs="Verdana"/>
          <w:lang w:bidi="en-US"/>
        </w:rPr>
        <w:t xml:space="preserve">El </w:t>
      </w:r>
      <w:r w:rsidRPr="009A4354">
        <w:rPr>
          <w:rFonts w:cs="Verdana"/>
          <w:b/>
          <w:i/>
          <w:lang w:bidi="en-US"/>
        </w:rPr>
        <w:t>Estado</w:t>
      </w:r>
      <w:r>
        <w:rPr>
          <w:rFonts w:cs="Verdana"/>
          <w:lang w:bidi="en-US"/>
        </w:rPr>
        <w:t xml:space="preserve"> ofreció</w:t>
      </w:r>
      <w:r w:rsidR="006A40EA">
        <w:rPr>
          <w:rFonts w:cs="Verdana"/>
          <w:lang w:bidi="en-US"/>
        </w:rPr>
        <w:t>,</w:t>
      </w:r>
      <w:r>
        <w:rPr>
          <w:rFonts w:cs="Verdana"/>
          <w:lang w:bidi="en-US"/>
        </w:rPr>
        <w:t xml:space="preserve"> en su escrito de contestación</w:t>
      </w:r>
      <w:r w:rsidR="006A40EA">
        <w:rPr>
          <w:rFonts w:cs="Verdana"/>
          <w:lang w:bidi="en-US"/>
        </w:rPr>
        <w:t>,</w:t>
      </w:r>
      <w:r>
        <w:rPr>
          <w:rFonts w:cs="Verdana"/>
          <w:lang w:bidi="en-US"/>
        </w:rPr>
        <w:t xml:space="preserve"> la declaración testimonial de </w:t>
      </w:r>
      <w:r w:rsidR="00954BE5">
        <w:rPr>
          <w:rFonts w:cs="Verdana"/>
          <w:lang w:bidi="en-US"/>
        </w:rPr>
        <w:t>Mauricio Santiago Sosa</w:t>
      </w:r>
      <w:r w:rsidR="00AE1D31">
        <w:rPr>
          <w:rFonts w:cs="Verdana"/>
          <w:lang w:bidi="en-US"/>
        </w:rPr>
        <w:t xml:space="preserve"> Chiriboga</w:t>
      </w:r>
      <w:r w:rsidR="00954BE5">
        <w:rPr>
          <w:rStyle w:val="Refdenotaalpie"/>
          <w:rFonts w:cs="Verdana"/>
          <w:lang w:bidi="en-US"/>
        </w:rPr>
        <w:footnoteReference w:id="21"/>
      </w:r>
      <w:r w:rsidR="0049396D">
        <w:rPr>
          <w:rFonts w:cs="Verdana"/>
          <w:lang w:bidi="en-US"/>
        </w:rPr>
        <w:t>, y solicitó a la Corte que disponga a las presuntas víctimas facilitar el acceso a dicha información</w:t>
      </w:r>
      <w:r>
        <w:rPr>
          <w:rFonts w:cs="Verdana"/>
          <w:lang w:bidi="en-US"/>
        </w:rPr>
        <w:t xml:space="preserve">. En su lista definitiva, el Estado </w:t>
      </w:r>
      <w:r w:rsidR="00954BE5">
        <w:rPr>
          <w:rFonts w:cs="Verdana"/>
          <w:lang w:bidi="en-US"/>
        </w:rPr>
        <w:t xml:space="preserve">reiteró </w:t>
      </w:r>
      <w:r w:rsidR="002B6344">
        <w:rPr>
          <w:rFonts w:cs="Verdana"/>
          <w:lang w:bidi="en-US"/>
        </w:rPr>
        <w:t xml:space="preserve">el ofrecimiento </w:t>
      </w:r>
      <w:r w:rsidR="00FA22DE">
        <w:rPr>
          <w:rFonts w:cs="Verdana"/>
          <w:lang w:bidi="en-US"/>
        </w:rPr>
        <w:t>dicho perito</w:t>
      </w:r>
      <w:r>
        <w:rPr>
          <w:rFonts w:cs="Verdana"/>
          <w:lang w:bidi="en-US"/>
        </w:rPr>
        <w:t xml:space="preserve">. Los </w:t>
      </w:r>
      <w:r>
        <w:rPr>
          <w:rFonts w:cs="Verdana"/>
          <w:b/>
          <w:i/>
          <w:lang w:bidi="en-US"/>
        </w:rPr>
        <w:t xml:space="preserve">representantes </w:t>
      </w:r>
      <w:r w:rsidR="002B6344">
        <w:rPr>
          <w:rFonts w:cs="Verdana"/>
          <w:lang w:bidi="en-US"/>
        </w:rPr>
        <w:t xml:space="preserve">objetaron que la valoración del daño sufrido como consecuencia de la violación de los derechos del señor Emilio Palacio y de los hermanos Pérez pueda hacerse mediante una valoración tributaria. Asimismo, recusaron al perito Sosa de conformidad con el artículo 48.1.c) del Reglamento, debido a que está afectado de imparcialidad, por la presión externa que supone que un peritaje contrario a los intereses del gobierno puede costarle su puesto de trabajo. Asimismo, </w:t>
      </w:r>
      <w:r w:rsidR="004071CC">
        <w:rPr>
          <w:rFonts w:cs="Verdana"/>
          <w:lang w:bidi="en-US"/>
        </w:rPr>
        <w:t xml:space="preserve">expresaron que </w:t>
      </w:r>
      <w:r w:rsidR="002B6344">
        <w:rPr>
          <w:rFonts w:cs="Verdana"/>
          <w:lang w:bidi="en-US"/>
        </w:rPr>
        <w:t>el perito es un funcionario que trabaja para la estructura de la administración pública, lo cual compromete su imparcialidad. Adicionalmente, manifestaron que, en caso de aceptar el peritaje propuesto, objetaron que el periodo comprendido entre los años 2009 a 2013 no permite evidenciar el daño real sufrido a las víctimas</w:t>
      </w:r>
      <w:r>
        <w:rPr>
          <w:rFonts w:cs="Verdana"/>
          <w:lang w:bidi="en-US"/>
        </w:rPr>
        <w:t>.</w:t>
      </w:r>
      <w:r w:rsidR="00EE18D8">
        <w:rPr>
          <w:rFonts w:cs="Verdana"/>
          <w:lang w:bidi="en-US"/>
        </w:rPr>
        <w:t xml:space="preserve"> </w:t>
      </w:r>
      <w:r w:rsidRPr="004733A2">
        <w:rPr>
          <w:rFonts w:cs="Verdana"/>
          <w:lang w:bidi="en-US"/>
        </w:rPr>
        <w:t xml:space="preserve">La </w:t>
      </w:r>
      <w:r w:rsidRPr="004733A2">
        <w:rPr>
          <w:rFonts w:cs="Verdana"/>
          <w:b/>
          <w:i/>
          <w:lang w:bidi="en-US"/>
        </w:rPr>
        <w:t xml:space="preserve">Comisión </w:t>
      </w:r>
      <w:r w:rsidRPr="004733A2">
        <w:rPr>
          <w:rFonts w:cs="Verdana"/>
          <w:lang w:bidi="en-US"/>
        </w:rPr>
        <w:t>informó que no tiene observaciones a formular respecto a las listas definitivas presentadas por las partes.</w:t>
      </w:r>
    </w:p>
    <w:p w14:paraId="23EEFB83" w14:textId="77777777" w:rsidR="00215668" w:rsidRDefault="00215668" w:rsidP="00215668">
      <w:pPr>
        <w:pStyle w:val="Sinespaciado"/>
        <w:numPr>
          <w:ilvl w:val="0"/>
          <w:numId w:val="0"/>
        </w:numPr>
        <w:rPr>
          <w:rFonts w:cs="Verdana"/>
          <w:lang w:bidi="en-US"/>
        </w:rPr>
      </w:pPr>
    </w:p>
    <w:p w14:paraId="3F156216" w14:textId="7F2383D8" w:rsidR="00215668" w:rsidRDefault="00215668" w:rsidP="002F1900">
      <w:pPr>
        <w:pStyle w:val="Sinespaciado"/>
        <w:ind w:left="0" w:firstLine="0"/>
        <w:rPr>
          <w:rFonts w:cs="Verdana"/>
          <w:lang w:bidi="en-US"/>
        </w:rPr>
      </w:pPr>
      <w:r>
        <w:rPr>
          <w:rFonts w:cs="Verdana"/>
          <w:lang w:bidi="en-US"/>
        </w:rPr>
        <w:t xml:space="preserve">Por su parte, respondiendo al traslado de la recusación, el perito Santiago Sosa manifestó que no se configura la causal de recusación alegada por los representantes por su relación de subordinación, puesto que ha sido requerido para rendir su peritaje en virtud de su experiencia, trayectoria y profesionalismo. Manifestó que su profesionalismo no se ha visto cuestionado a lo largo del tiempo, además de que el objeto del peritaje es realizar un informe técnico comparativo para el cual se analizará información que ha sido presentada por Compañía Anónima El Universo y </w:t>
      </w:r>
      <w:r w:rsidR="00D21220">
        <w:rPr>
          <w:rFonts w:cs="Verdana"/>
          <w:lang w:bidi="en-US"/>
        </w:rPr>
        <w:t xml:space="preserve">el </w:t>
      </w:r>
      <w:r>
        <w:rPr>
          <w:rFonts w:cs="Verdana"/>
          <w:lang w:bidi="en-US"/>
        </w:rPr>
        <w:t>señor Emilio Palacio Urrutia durante un periodo comprendido entre los años 2009 y 2013, en el que no cabe hacer juicios de valor. Por otro lado, respecto a la alegada subordinación, manifestó que no existe tal en relación con los órganos que ejercen el patrocinio del caso ante la Corte Interamericana. Asimismo, manifestó que no ha participado en el caso ni tiene interés alguno en el mismo que pueda afectar su objetividad al momento de realizar el peritaje.</w:t>
      </w:r>
      <w:r w:rsidR="00EE18D8">
        <w:rPr>
          <w:rFonts w:cs="Verdana"/>
          <w:lang w:bidi="en-US"/>
        </w:rPr>
        <w:t xml:space="preserve"> Adicionalmente, expresó que la información que será utilizada para la realización del peritaje será aquella proporcionada por la Procuraduría General del Estado.</w:t>
      </w:r>
    </w:p>
    <w:p w14:paraId="1506DAD0" w14:textId="77777777" w:rsidR="00215668" w:rsidRDefault="00215668" w:rsidP="00215668">
      <w:pPr>
        <w:pStyle w:val="Sinespaciado"/>
        <w:numPr>
          <w:ilvl w:val="0"/>
          <w:numId w:val="0"/>
        </w:numPr>
        <w:rPr>
          <w:rFonts w:cs="Verdana"/>
          <w:lang w:bidi="en-US"/>
        </w:rPr>
      </w:pPr>
    </w:p>
    <w:p w14:paraId="2C0560D2" w14:textId="1446B0ED" w:rsidR="00B32373" w:rsidRDefault="00174FE7" w:rsidP="00B32373">
      <w:pPr>
        <w:pStyle w:val="Sinespaciado"/>
        <w:ind w:left="0" w:firstLine="0"/>
        <w:rPr>
          <w:rFonts w:cs="Verdana"/>
          <w:lang w:bidi="en-US"/>
        </w:rPr>
      </w:pPr>
      <w:r>
        <w:t>E</w:t>
      </w:r>
      <w:r w:rsidR="004071CC">
        <w:t>n primer lugar,</w:t>
      </w:r>
      <w:r w:rsidR="00215668" w:rsidRPr="007E0F00">
        <w:t xml:space="preserve"> la </w:t>
      </w:r>
      <w:r w:rsidR="00215668" w:rsidRPr="004071CC">
        <w:rPr>
          <w:b/>
          <w:i/>
        </w:rPr>
        <w:t>Presidenta</w:t>
      </w:r>
      <w:r w:rsidR="00215668" w:rsidRPr="007E0F00">
        <w:t xml:space="preserve"> advierte</w:t>
      </w:r>
      <w:r w:rsidR="004071CC">
        <w:t xml:space="preserve"> que los representantes objetaron</w:t>
      </w:r>
      <w:r w:rsidR="004071CC" w:rsidRPr="0036069A">
        <w:t xml:space="preserve"> el peritaje </w:t>
      </w:r>
      <w:r w:rsidR="004071CC">
        <w:t>del señor Sosa al considerarlo</w:t>
      </w:r>
      <w:r w:rsidR="004071CC" w:rsidRPr="0036069A">
        <w:t xml:space="preserve"> </w:t>
      </w:r>
      <w:r w:rsidR="004071CC">
        <w:t>impertinente para valorar los daños sufridos por las presuntas víctimas. Al respecto, la Presidenta considera</w:t>
      </w:r>
      <w:r w:rsidR="00215668" w:rsidRPr="007E0F00">
        <w:t xml:space="preserve"> qu</w:t>
      </w:r>
      <w:r w:rsidR="004071CC">
        <w:t>e el peritaje del señor</w:t>
      </w:r>
      <w:r w:rsidR="00215668" w:rsidRPr="007E0F00">
        <w:t xml:space="preserve"> Sosa trata cuestiones que las partes pretenden demostrar en el presente litigio, en particular sobre los ingresos que la presunta víctima</w:t>
      </w:r>
      <w:r w:rsidR="00EE18D8" w:rsidRPr="007E0F00">
        <w:t xml:space="preserve"> podría haber</w:t>
      </w:r>
      <w:r w:rsidR="00215668" w:rsidRPr="007E0F00">
        <w:t xml:space="preserve"> dejado de percibir a causa de </w:t>
      </w:r>
      <w:r w:rsidR="004071CC">
        <w:t>los procesos seguidos en su contra</w:t>
      </w:r>
      <w:r w:rsidR="00D21220">
        <w:t>,</w:t>
      </w:r>
      <w:r w:rsidR="004071CC">
        <w:t xml:space="preserve"> y las circunstancias que rodearon dichos procesos</w:t>
      </w:r>
      <w:r w:rsidR="00D21220">
        <w:t>. E</w:t>
      </w:r>
      <w:r w:rsidR="00213509">
        <w:t xml:space="preserve">n ese sentido considera que </w:t>
      </w:r>
      <w:r w:rsidR="004E29E8">
        <w:t>el análisis de la situación financiera, reflejada en la información tributaria presentada por el señor Palacio Urrutia</w:t>
      </w:r>
      <w:r w:rsidR="00D21220">
        <w:t xml:space="preserve"> y la Compañía Anónima El Universo</w:t>
      </w:r>
      <w:r w:rsidR="004E29E8">
        <w:t>,</w:t>
      </w:r>
      <w:r w:rsidR="00FD5CAD">
        <w:t xml:space="preserve"> la cual se encuentra en poder del Estado,</w:t>
      </w:r>
      <w:r w:rsidR="004E29E8">
        <w:t xml:space="preserve"> p</w:t>
      </w:r>
      <w:r w:rsidR="004071CC">
        <w:t>odría</w:t>
      </w:r>
      <w:r w:rsidR="004E29E8">
        <w:t xml:space="preserve"> ser</w:t>
      </w:r>
      <w:r w:rsidR="00213509">
        <w:t xml:space="preserve"> pertinente </w:t>
      </w:r>
      <w:r w:rsidR="004E29E8">
        <w:t>para determinar algunos hechos relevantes en el caso y establecer las consecuencias jurídicas correspondientes</w:t>
      </w:r>
      <w:r w:rsidR="00213509">
        <w:t>,</w:t>
      </w:r>
      <w:r w:rsidR="00213509" w:rsidRPr="007E0F00">
        <w:t xml:space="preserve"> por lo que la primera objeción de los </w:t>
      </w:r>
      <w:r w:rsidR="00213509" w:rsidRPr="007E0F00">
        <w:lastRenderedPageBreak/>
        <w:t>representantes no resulta procedente</w:t>
      </w:r>
      <w:r w:rsidR="00213509">
        <w:t>. Lo anterior no obsta a</w:t>
      </w:r>
      <w:r w:rsidR="00215668" w:rsidRPr="007E0F00">
        <w:t xml:space="preserve"> que el eventual val</w:t>
      </w:r>
      <w:r w:rsidR="00213509">
        <w:t xml:space="preserve">or de dicho peritaje, en caso de ser admitido, se determine </w:t>
      </w:r>
      <w:r w:rsidR="00215668" w:rsidRPr="007E0F00">
        <w:t xml:space="preserve">en </w:t>
      </w:r>
      <w:r w:rsidR="004071CC">
        <w:t>la etapa</w:t>
      </w:r>
      <w:r w:rsidR="00215668" w:rsidRPr="007E0F00">
        <w:t xml:space="preserve"> de fondo </w:t>
      </w:r>
      <w:r w:rsidR="004071CC">
        <w:t xml:space="preserve">y eventuales </w:t>
      </w:r>
      <w:r w:rsidR="00215668" w:rsidRPr="007E0F00">
        <w:t>reparaciones del presente caso</w:t>
      </w:r>
      <w:r w:rsidR="004E29E8">
        <w:t>, y que los representantes gocen de la oportunidad de presentar las observaciones que estimen pertinentes</w:t>
      </w:r>
      <w:r w:rsidR="00213509">
        <w:t>.</w:t>
      </w:r>
    </w:p>
    <w:p w14:paraId="56B36A88" w14:textId="77777777" w:rsidR="00B32373" w:rsidRDefault="00B32373" w:rsidP="00B32373"/>
    <w:p w14:paraId="4AF92D70" w14:textId="5B068774" w:rsidR="00213509" w:rsidRPr="00213509" w:rsidRDefault="00B32373" w:rsidP="00B32373">
      <w:pPr>
        <w:pStyle w:val="Sinespaciado"/>
        <w:ind w:left="0" w:firstLine="0"/>
        <w:rPr>
          <w:rFonts w:cs="Verdana"/>
          <w:lang w:bidi="en-US"/>
        </w:rPr>
      </w:pPr>
      <w:r>
        <w:t xml:space="preserve">En segundo lugar, la Presidenta constata que los </w:t>
      </w:r>
      <w:r w:rsidRPr="009D62A5">
        <w:t>representantes plantearon una causal de recusación respecto de los referidos peritos por sus posibles vínculos de subordinación con el Estado</w:t>
      </w:r>
      <w:r>
        <w:t xml:space="preserve"> y las presiones que derivan de ello, lo cual afectaría su imparcialidad</w:t>
      </w:r>
      <w:r w:rsidRPr="009D62A5">
        <w:t>.</w:t>
      </w:r>
      <w:r>
        <w:t xml:space="preserve"> Al respecto, </w:t>
      </w:r>
      <w:r w:rsidR="004071CC">
        <w:t>la Presidenta recuerda que</w:t>
      </w:r>
      <w:r w:rsidR="00944981">
        <w:t>,</w:t>
      </w:r>
      <w:r w:rsidR="004071CC">
        <w:t xml:space="preserve"> </w:t>
      </w:r>
      <w:r>
        <w:t>d</w:t>
      </w:r>
      <w:r w:rsidRPr="009D62A5">
        <w:t>e conformidad con el artículo 48.1.c) del Reglamento</w:t>
      </w:r>
      <w:r w:rsidR="00DA20DD">
        <w:rPr>
          <w:rStyle w:val="Refdenotaalpie"/>
        </w:rPr>
        <w:footnoteReference w:id="22"/>
      </w:r>
      <w:r w:rsidRPr="009D62A5">
        <w:t>, para que la recusación de un perito sea procedente en virtud de dicha disposición</w:t>
      </w:r>
      <w:r w:rsidR="004071CC">
        <w:t>,</w:t>
      </w:r>
      <w:r w:rsidRPr="009D62A5">
        <w:t xml:space="preserve"> deben concurrir dos supuestos, a saber, la existencia de un vínculo determinado del perito con la parte proponente y que, adicionalmente, esa relación, a criterio del Tribunal, afecte su imparcialidad</w:t>
      </w:r>
      <w:r w:rsidRPr="009D62A5">
        <w:rPr>
          <w:vertAlign w:val="superscript"/>
          <w:lang w:val="es-ES"/>
        </w:rPr>
        <w:footnoteReference w:id="23"/>
      </w:r>
      <w:r w:rsidRPr="00B32373">
        <w:rPr>
          <w:lang w:val="es-ES"/>
        </w:rPr>
        <w:t>.</w:t>
      </w:r>
      <w:r w:rsidRPr="009D62A5">
        <w:t xml:space="preserve"> </w:t>
      </w:r>
      <w:r w:rsidR="00213509">
        <w:t xml:space="preserve">En ese sentido, </w:t>
      </w:r>
      <w:r w:rsidR="00213509">
        <w:rPr>
          <w:lang w:val="es-MX"/>
        </w:rPr>
        <w:t>l</w:t>
      </w:r>
      <w:r w:rsidRPr="00B32373">
        <w:rPr>
          <w:lang w:val="es-MX"/>
        </w:rPr>
        <w:t>a Presidenta recuerda que el ejercicio de una función pública no debe ser automáticamente entendido como una causal de impedimento para participar como perito en un proceso internacional ante este Tribunal, ya que es necesario valorar si los cargos ocupados por el perito ofrecido pudieran afectar su imparcialidad para rendir el dictamen pericial para el cual fue propuesto</w:t>
      </w:r>
      <w:r w:rsidRPr="009D62A5">
        <w:rPr>
          <w:vertAlign w:val="superscript"/>
          <w:lang w:val="es-MX"/>
        </w:rPr>
        <w:footnoteReference w:id="24"/>
      </w:r>
      <w:r w:rsidRPr="00B32373">
        <w:rPr>
          <w:lang w:val="es-MX"/>
        </w:rPr>
        <w:t>.</w:t>
      </w:r>
      <w:r>
        <w:rPr>
          <w:lang w:val="es-MX"/>
        </w:rPr>
        <w:t xml:space="preserve"> </w:t>
      </w:r>
    </w:p>
    <w:p w14:paraId="328D728F" w14:textId="77777777" w:rsidR="00213509" w:rsidRPr="00213509" w:rsidRDefault="00213509" w:rsidP="00213509">
      <w:pPr>
        <w:rPr>
          <w:rFonts w:cs="Cambria"/>
          <w:lang w:val="es-ES_tradnl"/>
        </w:rPr>
      </w:pPr>
    </w:p>
    <w:p w14:paraId="7C82A169" w14:textId="52C7A952" w:rsidR="00F32B19" w:rsidRPr="00077840" w:rsidRDefault="00DA20DD" w:rsidP="00B32373">
      <w:pPr>
        <w:pStyle w:val="Sinespaciado"/>
        <w:ind w:left="0" w:firstLine="0"/>
        <w:rPr>
          <w:rFonts w:cs="Verdana"/>
          <w:lang w:bidi="en-US"/>
        </w:rPr>
      </w:pPr>
      <w:r>
        <w:rPr>
          <w:rFonts w:cs="Cambria"/>
          <w:lang w:val="es-ES_tradnl"/>
        </w:rPr>
        <w:t>En el presente caso</w:t>
      </w:r>
      <w:r w:rsidR="00F32B19" w:rsidRPr="00B32373">
        <w:rPr>
          <w:rFonts w:cs="Cambria"/>
          <w:lang w:val="es-ES_tradnl"/>
        </w:rPr>
        <w:t xml:space="preserve">, </w:t>
      </w:r>
      <w:r w:rsidR="00213509">
        <w:rPr>
          <w:rFonts w:cs="Cambria"/>
          <w:lang w:val="es-ES_tradnl"/>
        </w:rPr>
        <w:t xml:space="preserve">la Presidenta considera que </w:t>
      </w:r>
      <w:r w:rsidR="00F32B19" w:rsidRPr="00B32373">
        <w:rPr>
          <w:rFonts w:cs="Cambria"/>
          <w:lang w:val="es-ES_tradnl"/>
        </w:rPr>
        <w:t xml:space="preserve">el hecho de </w:t>
      </w:r>
      <w:r w:rsidR="00B32373">
        <w:rPr>
          <w:rFonts w:cs="Cambria"/>
          <w:lang w:val="es-ES_tradnl"/>
        </w:rPr>
        <w:t xml:space="preserve">que el </w:t>
      </w:r>
      <w:r w:rsidR="004071CC">
        <w:rPr>
          <w:rFonts w:cs="Cambria"/>
          <w:lang w:val="es-ES_tradnl"/>
        </w:rPr>
        <w:t>perito</w:t>
      </w:r>
      <w:r w:rsidR="00213509">
        <w:rPr>
          <w:rFonts w:cs="Cambria"/>
          <w:lang w:val="es-ES_tradnl"/>
        </w:rPr>
        <w:t xml:space="preserve"> </w:t>
      </w:r>
      <w:r w:rsidR="00944981">
        <w:rPr>
          <w:rFonts w:cs="Cambria"/>
          <w:lang w:val="es-ES_tradnl"/>
        </w:rPr>
        <w:t xml:space="preserve">propuesto </w:t>
      </w:r>
      <w:r w:rsidR="00B32373">
        <w:rPr>
          <w:rFonts w:cs="Cambria"/>
          <w:lang w:val="es-ES_tradnl"/>
        </w:rPr>
        <w:t xml:space="preserve">Sosa </w:t>
      </w:r>
      <w:r w:rsidR="00FD5CAD">
        <w:rPr>
          <w:rFonts w:cs="Cambria"/>
          <w:lang w:val="es-ES_tradnl"/>
        </w:rPr>
        <w:t>ocupe el cargo de Coordinador Nacional de Auditoría Tributaria-Sociedades en el</w:t>
      </w:r>
      <w:r w:rsidR="00F32B19" w:rsidRPr="00B32373">
        <w:rPr>
          <w:rFonts w:cs="Cambria"/>
          <w:lang w:val="es-ES_tradnl"/>
        </w:rPr>
        <w:t xml:space="preserve"> Servicio de Rentas Internas de Ecuador</w:t>
      </w:r>
      <w:r w:rsidR="00FD5CAD">
        <w:rPr>
          <w:rStyle w:val="Refdenotaalpie"/>
          <w:rFonts w:cs="Cambria"/>
          <w:lang w:val="es-ES_tradnl"/>
        </w:rPr>
        <w:footnoteReference w:id="25"/>
      </w:r>
      <w:r w:rsidR="00F32B19" w:rsidRPr="00B32373">
        <w:rPr>
          <w:rFonts w:cs="Cambria"/>
          <w:lang w:val="es-ES_tradnl"/>
        </w:rPr>
        <w:t>,</w:t>
      </w:r>
      <w:r w:rsidR="004E29E8">
        <w:rPr>
          <w:rFonts w:cs="Cambria"/>
          <w:lang w:val="es-ES_tradnl"/>
        </w:rPr>
        <w:t xml:space="preserve"> y por lo tanto</w:t>
      </w:r>
      <w:r w:rsidR="00FD5CAD">
        <w:rPr>
          <w:rFonts w:cs="Cambria"/>
          <w:lang w:val="es-ES_tradnl"/>
        </w:rPr>
        <w:t xml:space="preserve"> forme</w:t>
      </w:r>
      <w:r w:rsidR="004E29E8">
        <w:rPr>
          <w:rFonts w:cs="Cambria"/>
          <w:lang w:val="es-ES_tradnl"/>
        </w:rPr>
        <w:t xml:space="preserve"> parte de la administración pública,</w:t>
      </w:r>
      <w:r w:rsidR="00F32B19" w:rsidRPr="00B32373">
        <w:rPr>
          <w:rFonts w:cs="Cambria"/>
          <w:lang w:val="es-ES_tradnl"/>
        </w:rPr>
        <w:t xml:space="preserve"> no implica, </w:t>
      </w:r>
      <w:r w:rsidR="00F32B19" w:rsidRPr="004071CC">
        <w:rPr>
          <w:rFonts w:cs="Cambria"/>
          <w:i/>
          <w:lang w:val="es-ES_tradnl"/>
        </w:rPr>
        <w:t>per se</w:t>
      </w:r>
      <w:r w:rsidR="00F32B19" w:rsidRPr="00B32373">
        <w:rPr>
          <w:rFonts w:cs="Cambria"/>
          <w:lang w:val="es-ES_tradnl"/>
        </w:rPr>
        <w:t xml:space="preserve">, </w:t>
      </w:r>
      <w:r w:rsidR="00213509">
        <w:rPr>
          <w:rFonts w:cs="Cambria"/>
          <w:lang w:val="es-ES_tradnl"/>
        </w:rPr>
        <w:t>una</w:t>
      </w:r>
      <w:r w:rsidR="006A40EA">
        <w:rPr>
          <w:rFonts w:cs="Cambria"/>
          <w:lang w:val="es-ES_tradnl"/>
        </w:rPr>
        <w:t xml:space="preserve"> necesaria</w:t>
      </w:r>
      <w:r w:rsidR="00F32B19" w:rsidRPr="00B32373">
        <w:rPr>
          <w:rFonts w:cs="Cambria"/>
          <w:lang w:val="es-ES_tradnl"/>
        </w:rPr>
        <w:t xml:space="preserve"> falta de objetividad o imparcialidad</w:t>
      </w:r>
      <w:r w:rsidR="00213509">
        <w:rPr>
          <w:rFonts w:cs="Cambria"/>
          <w:lang w:val="es-ES_tradnl"/>
        </w:rPr>
        <w:t xml:space="preserve"> para realizar su peritaje</w:t>
      </w:r>
      <w:r w:rsidR="006A40EA">
        <w:rPr>
          <w:rFonts w:cs="Cambria"/>
          <w:lang w:val="es-ES_tradnl"/>
        </w:rPr>
        <w:t>. De</w:t>
      </w:r>
      <w:r w:rsidR="00F32B19" w:rsidRPr="00B32373">
        <w:rPr>
          <w:rFonts w:cs="Cambria"/>
          <w:lang w:val="es-ES_tradnl"/>
        </w:rPr>
        <w:t xml:space="preserve"> </w:t>
      </w:r>
      <w:r w:rsidR="00B32373">
        <w:rPr>
          <w:rFonts w:cs="Cambria"/>
          <w:lang w:val="es-ES_tradnl"/>
        </w:rPr>
        <w:t>la información aportada al Tribunal</w:t>
      </w:r>
      <w:r w:rsidR="006A40EA">
        <w:rPr>
          <w:rFonts w:cs="Cambria"/>
          <w:lang w:val="es-ES_tradnl"/>
        </w:rPr>
        <w:t>, incluyendo las observaciones que el propio perito sometió a la Corte,</w:t>
      </w:r>
      <w:r w:rsidR="00F32B19" w:rsidRPr="00B32373">
        <w:rPr>
          <w:rFonts w:cs="Cambria"/>
          <w:lang w:val="es-ES_tradnl"/>
        </w:rPr>
        <w:t xml:space="preserve"> </w:t>
      </w:r>
      <w:r w:rsidR="00213509">
        <w:rPr>
          <w:rFonts w:cs="Cambria"/>
          <w:lang w:val="es-ES_tradnl"/>
        </w:rPr>
        <w:t>no es</w:t>
      </w:r>
      <w:r w:rsidR="00F32B19" w:rsidRPr="00B32373">
        <w:rPr>
          <w:rFonts w:cs="Cambria"/>
          <w:lang w:val="es-ES_tradnl"/>
        </w:rPr>
        <w:t xml:space="preserve"> posible advertir </w:t>
      </w:r>
      <w:r w:rsidR="004E29E8">
        <w:rPr>
          <w:rFonts w:cs="Cambria"/>
          <w:lang w:val="es-ES_tradnl"/>
        </w:rPr>
        <w:t>que</w:t>
      </w:r>
      <w:r w:rsidR="006A40EA">
        <w:rPr>
          <w:rFonts w:cs="Cambria"/>
          <w:lang w:val="es-ES_tradnl"/>
        </w:rPr>
        <w:t>, aun cuando el señor Sosa es funcionario del Estado,</w:t>
      </w:r>
      <w:r w:rsidR="004E29E8">
        <w:rPr>
          <w:rFonts w:cs="Cambria"/>
          <w:lang w:val="es-ES_tradnl"/>
        </w:rPr>
        <w:t xml:space="preserve"> </w:t>
      </w:r>
      <w:r w:rsidR="00213509">
        <w:rPr>
          <w:rFonts w:cs="Cambria"/>
          <w:lang w:val="es-ES_tradnl"/>
        </w:rPr>
        <w:t>exista una</w:t>
      </w:r>
      <w:r w:rsidR="00F32B19" w:rsidRPr="00B32373">
        <w:rPr>
          <w:rFonts w:cs="Cambria"/>
          <w:lang w:val="es-ES_tradnl"/>
        </w:rPr>
        <w:t xml:space="preserve"> relación de </w:t>
      </w:r>
      <w:r w:rsidR="007E0F00" w:rsidRPr="00B32373">
        <w:rPr>
          <w:rFonts w:cs="Cambria"/>
          <w:lang w:val="es-ES_tradnl"/>
        </w:rPr>
        <w:t xml:space="preserve">subordinación que </w:t>
      </w:r>
      <w:r w:rsidR="00213509">
        <w:rPr>
          <w:rFonts w:cs="Cambria"/>
          <w:lang w:val="es-ES_tradnl"/>
        </w:rPr>
        <w:t>pueda</w:t>
      </w:r>
      <w:r w:rsidR="007E0F00" w:rsidRPr="00B32373">
        <w:rPr>
          <w:rFonts w:cs="Cambria"/>
          <w:lang w:val="es-ES_tradnl"/>
        </w:rPr>
        <w:t xml:space="preserve"> afectar su imparcialidad para rendir el peritaje</w:t>
      </w:r>
      <w:r w:rsidR="00B32373">
        <w:rPr>
          <w:rFonts w:cs="Cambria"/>
          <w:lang w:val="es-ES_tradnl"/>
        </w:rPr>
        <w:t xml:space="preserve">, ni que existan elementos que puedan acreditar que existen presiones externas que afecten dicha </w:t>
      </w:r>
      <w:r w:rsidR="00213509">
        <w:rPr>
          <w:rFonts w:cs="Cambria"/>
          <w:lang w:val="es-ES_tradnl"/>
        </w:rPr>
        <w:t>imparcialidad</w:t>
      </w:r>
      <w:r w:rsidR="00F32B19" w:rsidRPr="00B32373">
        <w:rPr>
          <w:rFonts w:cs="Cambria"/>
          <w:lang w:val="es-ES_tradnl"/>
        </w:rPr>
        <w:t xml:space="preserve">. Por otra parte, es pertinente notar que la objetividad del peritaje en cuestión podrá ser evaluada por el Tribunal al analizar qué tan precisos, claros y suficientes son los argumentos técnicos desarrollados en el dictamen que rendirá el señor </w:t>
      </w:r>
      <w:r w:rsidR="007E0F00" w:rsidRPr="00B32373">
        <w:rPr>
          <w:rFonts w:cs="Cambria"/>
          <w:lang w:val="es-ES_tradnl"/>
        </w:rPr>
        <w:t>Sosa</w:t>
      </w:r>
      <w:r w:rsidR="00213509">
        <w:rPr>
          <w:rFonts w:cs="Cambria"/>
          <w:lang w:val="es-ES_tradnl"/>
        </w:rPr>
        <w:t>.</w:t>
      </w:r>
      <w:r w:rsidR="006A40EA">
        <w:rPr>
          <w:rFonts w:cs="Cambria"/>
          <w:lang w:val="es-ES_tradnl"/>
        </w:rPr>
        <w:t xml:space="preserve"> </w:t>
      </w:r>
      <w:r w:rsidR="00213509">
        <w:rPr>
          <w:rFonts w:cs="Cambria"/>
          <w:lang w:val="es-ES_tradnl"/>
        </w:rPr>
        <w:t xml:space="preserve">Por lo anterior, </w:t>
      </w:r>
      <w:r w:rsidR="00F32B19" w:rsidRPr="00B32373">
        <w:rPr>
          <w:rFonts w:cs="Cambria"/>
          <w:lang w:val="es-ES_tradnl"/>
        </w:rPr>
        <w:t xml:space="preserve">la Presidenta </w:t>
      </w:r>
      <w:r w:rsidR="007E0F00" w:rsidRPr="00B32373">
        <w:rPr>
          <w:rFonts w:cs="Cambria"/>
          <w:lang w:val="es-ES_tradnl"/>
        </w:rPr>
        <w:t>rechaza la segunda objeción planteada por los representantes</w:t>
      </w:r>
      <w:r w:rsidR="00F32B19" w:rsidRPr="00B32373">
        <w:rPr>
          <w:rFonts w:cs="Cambria"/>
          <w:lang w:val="es-ES_tradnl"/>
        </w:rPr>
        <w:t>.</w:t>
      </w:r>
    </w:p>
    <w:p w14:paraId="2AA68E7E" w14:textId="77777777" w:rsidR="00077840" w:rsidRPr="00077840" w:rsidRDefault="00077840" w:rsidP="00077840">
      <w:pPr>
        <w:rPr>
          <w:rFonts w:cs="Verdana"/>
          <w:lang w:bidi="en-US"/>
        </w:rPr>
      </w:pPr>
    </w:p>
    <w:p w14:paraId="509C7882" w14:textId="7CF86453" w:rsidR="00077840" w:rsidRPr="00B32373" w:rsidRDefault="00077840" w:rsidP="00B32373">
      <w:pPr>
        <w:pStyle w:val="Sinespaciado"/>
        <w:ind w:left="0" w:firstLine="0"/>
        <w:rPr>
          <w:rFonts w:cs="Verdana"/>
          <w:lang w:bidi="en-US"/>
        </w:rPr>
      </w:pPr>
      <w:r>
        <w:rPr>
          <w:rFonts w:cs="Verdana"/>
          <w:lang w:bidi="en-US"/>
        </w:rPr>
        <w:t>En consecuencia, la Presidenta considera pertinente recibir la declaración pericial del señor Mauricio Santiago Sosa</w:t>
      </w:r>
      <w:r w:rsidR="006A40EA">
        <w:rPr>
          <w:rFonts w:cs="Verdana"/>
          <w:lang w:bidi="en-US"/>
        </w:rPr>
        <w:t xml:space="preserve"> Chiriboga</w:t>
      </w:r>
      <w:r w:rsidRPr="006838A5">
        <w:rPr>
          <w:rFonts w:cs="Verdana"/>
          <w:lang w:bidi="en-US"/>
        </w:rPr>
        <w:t>.</w:t>
      </w:r>
      <w:r>
        <w:rPr>
          <w:rFonts w:cs="Verdana"/>
          <w:lang w:bidi="en-US"/>
        </w:rPr>
        <w:t xml:space="preserve"> El objeto y la modalidad se determina en la parte resolutiva de la presente Resolución </w:t>
      </w:r>
      <w:r>
        <w:t>(</w:t>
      </w:r>
      <w:r w:rsidRPr="002933BD">
        <w:rPr>
          <w:i/>
        </w:rPr>
        <w:t>infra</w:t>
      </w:r>
      <w:r w:rsidR="006A40EA">
        <w:t xml:space="preserve"> punto resolutivo</w:t>
      </w:r>
      <w:r>
        <w:t xml:space="preserve"> </w:t>
      </w:r>
      <w:r w:rsidR="006A40EA">
        <w:t>3</w:t>
      </w:r>
      <w:r>
        <w:t>).</w:t>
      </w:r>
    </w:p>
    <w:p w14:paraId="41A2C8B8" w14:textId="77777777" w:rsidR="00095AA5" w:rsidRPr="003C510D" w:rsidRDefault="00095AA5" w:rsidP="002F1900">
      <w:pPr>
        <w:pStyle w:val="Sangradetextonormal"/>
        <w:tabs>
          <w:tab w:val="left" w:pos="0"/>
        </w:tabs>
        <w:spacing w:after="0"/>
        <w:ind w:left="0"/>
        <w:rPr>
          <w:rFonts w:cs="Verdana"/>
          <w:szCs w:val="20"/>
          <w:lang w:val="es-CR" w:bidi="en-US"/>
        </w:rPr>
      </w:pPr>
    </w:p>
    <w:p w14:paraId="6BD0F60C" w14:textId="0362CA39" w:rsidR="00095AA5" w:rsidRPr="00AE0104" w:rsidRDefault="00077840" w:rsidP="00077840">
      <w:pPr>
        <w:pStyle w:val="Sinespaciado"/>
        <w:ind w:left="0" w:firstLine="0"/>
        <w:rPr>
          <w:rFonts w:cs="Verdana"/>
          <w:lang w:bidi="en-US"/>
        </w:rPr>
      </w:pPr>
      <w:r w:rsidRPr="00AE0104">
        <w:rPr>
          <w:rFonts w:cs="Verdana"/>
          <w:lang w:bidi="en-US"/>
        </w:rPr>
        <w:t>Finalmente</w:t>
      </w:r>
      <w:r w:rsidR="004E29E8" w:rsidRPr="00AE0104">
        <w:rPr>
          <w:rFonts w:cs="Verdana"/>
          <w:lang w:bidi="en-US"/>
        </w:rPr>
        <w:t>, la</w:t>
      </w:r>
      <w:r w:rsidR="00C74D73" w:rsidRPr="00AE0104">
        <w:rPr>
          <w:rFonts w:cs="Verdana"/>
          <w:lang w:bidi="en-US"/>
        </w:rPr>
        <w:t xml:space="preserve"> Presidenta advierte que los representantes solicitaron que, en caso de aceptar el peritaje propuesto, el periodo señalado por el Estado en el objeto de su peritaje no permite evidenciar el daño real sufrido a las víctimas. Al respecto, la Presidenta considera que la ampliación del periodo sujeto a evaluación por parte del perito ofrecido por el Estado podría </w:t>
      </w:r>
      <w:r w:rsidR="00C74D73" w:rsidRPr="00AE0104">
        <w:rPr>
          <w:rFonts w:cs="Verdana"/>
          <w:lang w:bidi="en-US"/>
        </w:rPr>
        <w:lastRenderedPageBreak/>
        <w:t>resultar útil y pertinente para la evaluación del caso, por lo que estima procedente admitir la solicitud de los representantes para que el periodo evaluado comprenda los años 2009 a 2020. En ese sentido,</w:t>
      </w:r>
      <w:r w:rsidR="00174FE7" w:rsidRPr="00AE0104">
        <w:rPr>
          <w:rFonts w:cs="Verdana"/>
          <w:lang w:bidi="en-US"/>
        </w:rPr>
        <w:t xml:space="preserve"> y en </w:t>
      </w:r>
      <w:r w:rsidR="0049396D" w:rsidRPr="00AE0104">
        <w:rPr>
          <w:rFonts w:cs="Verdana"/>
          <w:lang w:bidi="en-US"/>
        </w:rPr>
        <w:t>relación</w:t>
      </w:r>
      <w:r w:rsidR="00174FE7" w:rsidRPr="00AE0104">
        <w:rPr>
          <w:rFonts w:cs="Verdana"/>
          <w:lang w:bidi="en-US"/>
        </w:rPr>
        <w:t xml:space="preserve"> a la solicitud del Estado respecto a que las presuntas víctimas faciliten el acceso a la información necesaria para la elaboración de dicho peritaje,</w:t>
      </w:r>
      <w:r w:rsidR="00C74D73" w:rsidRPr="00AE0104">
        <w:rPr>
          <w:rFonts w:cs="Verdana"/>
          <w:lang w:bidi="en-US"/>
        </w:rPr>
        <w:t xml:space="preserve"> la Presidenta </w:t>
      </w:r>
      <w:r w:rsidR="0049396D" w:rsidRPr="00AE0104">
        <w:rPr>
          <w:rFonts w:cs="Verdana"/>
          <w:lang w:bidi="en-US"/>
        </w:rPr>
        <w:t>considera que, dado que dicha información se encuentra en poder del Estado</w:t>
      </w:r>
      <w:r w:rsidR="00C57F7E" w:rsidRPr="00AE0104">
        <w:t>,</w:t>
      </w:r>
      <w:r w:rsidR="0049396D" w:rsidRPr="00AE0104">
        <w:t xml:space="preserve"> y ser</w:t>
      </w:r>
      <w:r w:rsidR="00FA642E" w:rsidRPr="00AE0104">
        <w:t xml:space="preserve"> éste</w:t>
      </w:r>
      <w:r w:rsidR="0049396D" w:rsidRPr="00AE0104">
        <w:t xml:space="preserve"> quien ofrece la elaboración del peritaje del señor Sosa, dicha solicitud es improcedente</w:t>
      </w:r>
      <w:r w:rsidR="00C57F7E" w:rsidRPr="00AE0104">
        <w:t>.</w:t>
      </w:r>
    </w:p>
    <w:p w14:paraId="4A7C1535" w14:textId="0FEB4055" w:rsidR="00095AA5" w:rsidRDefault="00095AA5" w:rsidP="002F1900">
      <w:pPr>
        <w:pStyle w:val="Sangradetextonormal"/>
        <w:tabs>
          <w:tab w:val="left" w:pos="0"/>
        </w:tabs>
        <w:spacing w:after="0"/>
        <w:ind w:left="0"/>
        <w:rPr>
          <w:rFonts w:ascii="Cambria" w:eastAsia="Cambria" w:hAnsi="Cambria" w:cs="Cambria"/>
          <w:bCs/>
          <w:iCs/>
          <w:color w:val="000000"/>
          <w:sz w:val="24"/>
          <w:szCs w:val="20"/>
          <w:u w:color="000000"/>
          <w:lang w:val="es-ES"/>
        </w:rPr>
      </w:pPr>
    </w:p>
    <w:p w14:paraId="13A3E7EC" w14:textId="72A336F7" w:rsidR="008D2617" w:rsidRPr="008E5B95" w:rsidRDefault="008D2617" w:rsidP="008D2617">
      <w:pPr>
        <w:pStyle w:val="Ttulo1"/>
        <w:ind w:left="1134" w:hanging="567"/>
      </w:pPr>
      <w:r w:rsidRPr="008E5B95">
        <w:t xml:space="preserve">Solicitud de la Comisión de interrogar a ciertos peritos propuestos por </w:t>
      </w:r>
      <w:r>
        <w:t>los representantes</w:t>
      </w:r>
    </w:p>
    <w:p w14:paraId="120500EF" w14:textId="77777777" w:rsidR="008D2617" w:rsidRPr="008E5B95" w:rsidRDefault="008D2617" w:rsidP="008D2617"/>
    <w:p w14:paraId="65018D24" w14:textId="262A0230" w:rsidR="008D2617" w:rsidRPr="008E5B95" w:rsidRDefault="008D2617" w:rsidP="008D2617">
      <w:pPr>
        <w:pStyle w:val="Sinespaciado"/>
        <w:ind w:left="0" w:firstLine="0"/>
        <w:rPr>
          <w:rFonts w:cs="Verdana"/>
          <w:color w:val="000000"/>
        </w:rPr>
      </w:pPr>
      <w:r w:rsidRPr="008E5B95">
        <w:rPr>
          <w:rFonts w:cs="Verdana"/>
          <w:color w:val="000000"/>
        </w:rPr>
        <w:t xml:space="preserve">La </w:t>
      </w:r>
      <w:r w:rsidRPr="008E5B95">
        <w:rPr>
          <w:rFonts w:cs="Verdana"/>
          <w:b/>
          <w:i/>
          <w:color w:val="000000"/>
        </w:rPr>
        <w:t xml:space="preserve">Comisión </w:t>
      </w:r>
      <w:r w:rsidRPr="008E5B95">
        <w:rPr>
          <w:rFonts w:cs="Verdana"/>
          <w:color w:val="000000"/>
        </w:rPr>
        <w:t xml:space="preserve">solicitó se le conceda la oportunidad de formular preguntas a </w:t>
      </w:r>
      <w:r>
        <w:rPr>
          <w:rFonts w:cs="Verdana"/>
          <w:color w:val="000000"/>
        </w:rPr>
        <w:t>los peritos Juan Pablo Albán</w:t>
      </w:r>
      <w:r w:rsidR="008E5D6A">
        <w:rPr>
          <w:rFonts w:cs="Verdana"/>
          <w:color w:val="000000"/>
        </w:rPr>
        <w:t xml:space="preserve"> </w:t>
      </w:r>
      <w:proofErr w:type="spellStart"/>
      <w:r w:rsidR="008E5D6A">
        <w:rPr>
          <w:rFonts w:cs="Verdana"/>
          <w:color w:val="000000"/>
        </w:rPr>
        <w:t>Alencastro</w:t>
      </w:r>
      <w:proofErr w:type="spellEnd"/>
      <w:r>
        <w:rPr>
          <w:rFonts w:cs="Verdana"/>
          <w:color w:val="000000"/>
        </w:rPr>
        <w:t xml:space="preserve"> y Santiago Cantón.</w:t>
      </w:r>
      <w:r w:rsidRPr="008E5B95">
        <w:rPr>
          <w:rFonts w:cs="Verdana"/>
          <w:color w:val="000000"/>
        </w:rPr>
        <w:t xml:space="preserve"> La Comisión fundamentó su petición en el hecho de que </w:t>
      </w:r>
      <w:r>
        <w:rPr>
          <w:rFonts w:cs="Verdana"/>
          <w:color w:val="000000"/>
        </w:rPr>
        <w:t>los peritajes ofrecidos por los representantes de las presuntas víctimas permitirán dar aplicación concreta a los estándares generales de orden público interamericano que serán desarrollados en las pruebas periciales ofrecidas por la Comisión</w:t>
      </w:r>
      <w:r w:rsidRPr="008E5B95">
        <w:rPr>
          <w:rFonts w:cs="Verdana"/>
          <w:color w:val="000000"/>
        </w:rPr>
        <w:t xml:space="preserve">. </w:t>
      </w:r>
    </w:p>
    <w:p w14:paraId="07908063" w14:textId="77777777" w:rsidR="008D2617" w:rsidRPr="008E5B95" w:rsidRDefault="008D2617" w:rsidP="008D2617">
      <w:pPr>
        <w:pStyle w:val="Sinespaciado"/>
        <w:numPr>
          <w:ilvl w:val="0"/>
          <w:numId w:val="0"/>
        </w:numPr>
        <w:rPr>
          <w:rFonts w:cs="Verdana"/>
          <w:color w:val="000000"/>
        </w:rPr>
      </w:pPr>
    </w:p>
    <w:p w14:paraId="31AA25E5" w14:textId="73D1808A" w:rsidR="008D2617" w:rsidRDefault="008D2617" w:rsidP="008D2617">
      <w:pPr>
        <w:pStyle w:val="Sinespaciado"/>
        <w:ind w:left="0" w:firstLine="0"/>
        <w:rPr>
          <w:rFonts w:cs="Verdana"/>
          <w:color w:val="000000"/>
        </w:rPr>
      </w:pPr>
      <w:r w:rsidRPr="00485BA7">
        <w:rPr>
          <w:rFonts w:cs="Calibri"/>
        </w:rPr>
        <w:t xml:space="preserve">En primer lugar, </w:t>
      </w:r>
      <w:r w:rsidRPr="008E5B95">
        <w:t xml:space="preserve">la </w:t>
      </w:r>
      <w:r w:rsidRPr="00485BA7">
        <w:rPr>
          <w:b/>
          <w:i/>
        </w:rPr>
        <w:t>Presidencia</w:t>
      </w:r>
      <w:r w:rsidRPr="008E5B95">
        <w:t xml:space="preserve"> recuerda las normas del Reglamento del Tribunal en cuanto a la recepción de declaraciones propuestas por la Comisión, así como en relación con la facultad de ésta para interrogar a los </w:t>
      </w:r>
      <w:r w:rsidRPr="00485BA7">
        <w:rPr>
          <w:rFonts w:cs="Verdana"/>
          <w:color w:val="000000"/>
        </w:rPr>
        <w:t>declarantes</w:t>
      </w:r>
      <w:r w:rsidRPr="008E5B95">
        <w:t xml:space="preserve"> ofrecidos por las partes</w:t>
      </w:r>
      <w:r w:rsidRPr="008E5B95">
        <w:rPr>
          <w:rStyle w:val="Refdenotaalpie"/>
        </w:rPr>
        <w:footnoteReference w:id="26"/>
      </w:r>
      <w:r>
        <w:t>.</w:t>
      </w:r>
      <w:r w:rsidRPr="00864CC2">
        <w:t xml:space="preserve"> </w:t>
      </w:r>
      <w:r w:rsidRPr="00485BA7">
        <w:rPr>
          <w:rFonts w:cs="Verdana"/>
          <w:color w:val="000000"/>
        </w:rPr>
        <w:t>En particular, es pertinente recordar lo establecido en los artículos 50.5 y 52.3 del Reglamento</w:t>
      </w:r>
      <w:r w:rsidR="00DA20DD">
        <w:rPr>
          <w:rStyle w:val="Refdenotaalpie"/>
          <w:rFonts w:cs="Verdana"/>
          <w:color w:val="000000"/>
        </w:rPr>
        <w:footnoteReference w:id="27"/>
      </w:r>
      <w:r w:rsidRPr="00485BA7">
        <w:rPr>
          <w:rFonts w:cs="Verdana"/>
          <w:color w:val="000000"/>
        </w:rPr>
        <w:t>, de modo tal que corresponde a la Comisión fundamentar en cada caso cuál es el vínculo tanto con el orden público interamericano como con la materia sobre la que verse un peritaje, para que pueda evaluarse la solicitud oportunamente y, si corresponde, autorizar la posibilidad de que la Comisión haga su interrogatorio.</w:t>
      </w:r>
    </w:p>
    <w:p w14:paraId="16A6B34B" w14:textId="77777777" w:rsidR="008D2617" w:rsidRDefault="008D2617" w:rsidP="008D2617"/>
    <w:p w14:paraId="4F0FA3C4" w14:textId="51C7EEB4" w:rsidR="008D2617" w:rsidRPr="008D2617" w:rsidRDefault="008D2617" w:rsidP="008D2617">
      <w:pPr>
        <w:pStyle w:val="Sinespaciado"/>
        <w:ind w:left="0" w:firstLine="0"/>
        <w:rPr>
          <w:rFonts w:cs="Verdana"/>
          <w:color w:val="000000"/>
        </w:rPr>
      </w:pPr>
      <w:r w:rsidRPr="008E5B95">
        <w:t xml:space="preserve">Sentado lo anterior, </w:t>
      </w:r>
      <w:r>
        <w:t xml:space="preserve">y a la vista de la inadmisión del peritaje del señor Santiago Cantón, </w:t>
      </w:r>
      <w:r w:rsidRPr="008E5B95">
        <w:t xml:space="preserve">la Presidencia </w:t>
      </w:r>
      <w:r>
        <w:t xml:space="preserve">advierte que no procede conceder a la Comisión la posibilidad de formular preguntas a dicha persona. Por otro lado, la Presidenta </w:t>
      </w:r>
      <w:r w:rsidRPr="008E5B95">
        <w:t xml:space="preserve">considera que, efectivamente, </w:t>
      </w:r>
      <w:r>
        <w:t>el dictamen pericial de Juan Pablo Albán</w:t>
      </w:r>
      <w:r w:rsidR="008E5D6A">
        <w:t xml:space="preserve"> </w:t>
      </w:r>
      <w:proofErr w:type="spellStart"/>
      <w:r w:rsidR="008E5D6A">
        <w:t>Alencastro</w:t>
      </w:r>
      <w:proofErr w:type="spellEnd"/>
      <w:r>
        <w:t xml:space="preserve"> se encuentra</w:t>
      </w:r>
      <w:r w:rsidRPr="008E5B95">
        <w:t xml:space="preserve"> relacionad</w:t>
      </w:r>
      <w:r>
        <w:t>o</w:t>
      </w:r>
      <w:r w:rsidRPr="008E5B95">
        <w:t xml:space="preserve"> con los dos peritajes propuestos por la Comisión, motivo por el cual considera procedente, conforme a los artículo</w:t>
      </w:r>
      <w:r>
        <w:t>s</w:t>
      </w:r>
      <w:r w:rsidRPr="008E5B95">
        <w:t xml:space="preserve"> 50.5 y 52.3 del Reglamento, conceder oportunidad a la Comisión para formular preguntas </w:t>
      </w:r>
      <w:r>
        <w:t>al mencionado declarante</w:t>
      </w:r>
      <w:r w:rsidRPr="008E5B95">
        <w:t>, respecto de los referidos temas relacionados con el orden público interamericano.</w:t>
      </w:r>
    </w:p>
    <w:p w14:paraId="5AE4F27D" w14:textId="77777777" w:rsidR="008D2617" w:rsidRDefault="008D2617" w:rsidP="002F1900">
      <w:pPr>
        <w:pStyle w:val="Sangradetextonormal"/>
        <w:tabs>
          <w:tab w:val="left" w:pos="0"/>
        </w:tabs>
        <w:spacing w:after="0"/>
        <w:ind w:left="0"/>
        <w:rPr>
          <w:rFonts w:ascii="Cambria" w:eastAsia="Cambria" w:hAnsi="Cambria" w:cs="Cambria"/>
          <w:bCs/>
          <w:iCs/>
          <w:color w:val="000000"/>
          <w:sz w:val="24"/>
          <w:szCs w:val="20"/>
          <w:u w:color="000000"/>
          <w:lang w:val="es-ES"/>
        </w:rPr>
      </w:pPr>
    </w:p>
    <w:p w14:paraId="4EC8FA81" w14:textId="77777777" w:rsidR="00BD3748" w:rsidRPr="00EE32F1" w:rsidRDefault="00BD3748" w:rsidP="00BD3748">
      <w:pPr>
        <w:pStyle w:val="Prrafodelista"/>
        <w:tabs>
          <w:tab w:val="left" w:pos="0"/>
        </w:tabs>
        <w:autoSpaceDE w:val="0"/>
        <w:autoSpaceDN w:val="0"/>
        <w:adjustRightInd w:val="0"/>
        <w:ind w:left="0"/>
        <w:jc w:val="both"/>
        <w:rPr>
          <w:rFonts w:cs="Helvetica"/>
          <w:lang w:val="es-CO" w:bidi="en-US"/>
        </w:rPr>
      </w:pPr>
      <w:r w:rsidRPr="00EE32F1">
        <w:rPr>
          <w:rFonts w:cs="Verdana"/>
          <w:b/>
          <w:bCs/>
          <w:lang w:val="es-CO" w:bidi="en-US"/>
        </w:rPr>
        <w:t>POR TANTO:</w:t>
      </w:r>
    </w:p>
    <w:p w14:paraId="0F3F13BD" w14:textId="77777777" w:rsidR="00BD3748" w:rsidRPr="00EE32F1" w:rsidRDefault="00BD3748" w:rsidP="00BD374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cs="Helvetica"/>
          <w:lang w:val="es-CO" w:bidi="en-US"/>
        </w:rPr>
      </w:pPr>
    </w:p>
    <w:p w14:paraId="01E4EA38" w14:textId="77777777" w:rsidR="00BD3748" w:rsidRPr="00EE32F1" w:rsidRDefault="00BD3748" w:rsidP="00BD3748">
      <w:pPr>
        <w:jc w:val="both"/>
        <w:rPr>
          <w:rFonts w:eastAsia="Times New Roman"/>
          <w:lang w:val="es-CO"/>
        </w:rPr>
      </w:pPr>
      <w:r w:rsidRPr="00EE32F1">
        <w:rPr>
          <w:rFonts w:eastAsia="Times New Roman"/>
          <w:b/>
          <w:bCs/>
          <w:color w:val="000000"/>
          <w:lang w:val="es-CO"/>
        </w:rPr>
        <w:t xml:space="preserve">LA PRESIDENTA DE LA CORTE INTERAMERICANA DE DERECHOS HUMANOS, </w:t>
      </w:r>
    </w:p>
    <w:p w14:paraId="45FA0E6E" w14:textId="77777777" w:rsidR="00BD3748" w:rsidRPr="00EE32F1" w:rsidRDefault="00BD3748" w:rsidP="00BD3748">
      <w:pPr>
        <w:jc w:val="both"/>
        <w:rPr>
          <w:rFonts w:eastAsia="Times New Roman"/>
          <w:lang w:val="es-CO"/>
        </w:rPr>
      </w:pPr>
    </w:p>
    <w:p w14:paraId="2508729F" w14:textId="77777777" w:rsidR="00BD3748" w:rsidRPr="00EE32F1" w:rsidRDefault="00BD3748" w:rsidP="00C30643">
      <w:pPr>
        <w:jc w:val="both"/>
        <w:rPr>
          <w:rFonts w:eastAsia="Times New Roman"/>
          <w:lang w:val="es-CO"/>
        </w:rPr>
      </w:pPr>
      <w:r w:rsidRPr="00EE32F1">
        <w:rPr>
          <w:rFonts w:eastAsia="Times New Roman"/>
          <w:color w:val="000000"/>
          <w:lang w:val="es-CO"/>
        </w:rPr>
        <w:lastRenderedPageBreak/>
        <w:t xml:space="preserve">de conformidad con los artículos 24.1 y 25.2 del Estatuto de la Corte, y con los artículos 4, 15.1, 26.1, 31.2, 35.1, 40.2, 41.1, 45, 46, 50 a 56 y 60 del Reglamento, </w:t>
      </w:r>
    </w:p>
    <w:p w14:paraId="50221461" w14:textId="77777777" w:rsidR="00BD3748" w:rsidRPr="00EE32F1" w:rsidRDefault="00BD3748" w:rsidP="00BD3748">
      <w:pPr>
        <w:rPr>
          <w:rFonts w:eastAsia="Times New Roman"/>
          <w:lang w:val="es-CO"/>
        </w:rPr>
      </w:pPr>
    </w:p>
    <w:p w14:paraId="4674A62E" w14:textId="77777777" w:rsidR="00BD3748" w:rsidRPr="00EE32F1" w:rsidRDefault="00BD3748" w:rsidP="00BD3748">
      <w:pPr>
        <w:rPr>
          <w:rFonts w:eastAsia="Times New Roman"/>
          <w:b/>
          <w:bCs/>
          <w:color w:val="000000"/>
          <w:lang w:val="es-CO"/>
        </w:rPr>
      </w:pPr>
      <w:r w:rsidRPr="00EE32F1">
        <w:rPr>
          <w:rFonts w:eastAsia="Times New Roman"/>
          <w:b/>
          <w:bCs/>
          <w:color w:val="000000"/>
          <w:lang w:val="es-CO"/>
        </w:rPr>
        <w:t>RESUELVE:</w:t>
      </w:r>
    </w:p>
    <w:p w14:paraId="0417FD7E" w14:textId="77777777" w:rsidR="00BD3748" w:rsidRPr="007671C3" w:rsidRDefault="00BD3748" w:rsidP="00BD3748">
      <w:pPr>
        <w:rPr>
          <w:rFonts w:eastAsia="Times New Roman"/>
          <w:bCs/>
          <w:color w:val="000000"/>
          <w:lang w:val="es-CO"/>
        </w:rPr>
      </w:pPr>
    </w:p>
    <w:p w14:paraId="276488E4" w14:textId="447B9E42" w:rsidR="00BD3748" w:rsidRPr="00EE32F1" w:rsidRDefault="00BD3748" w:rsidP="00BD3748">
      <w:pPr>
        <w:pStyle w:val="Sinespaciado"/>
        <w:widowControl/>
        <w:numPr>
          <w:ilvl w:val="3"/>
          <w:numId w:val="20"/>
        </w:numPr>
        <w:tabs>
          <w:tab w:val="clear" w:pos="567"/>
        </w:tabs>
        <w:autoSpaceDE/>
        <w:autoSpaceDN/>
        <w:adjustRightInd/>
        <w:ind w:left="0" w:right="0" w:firstLine="0"/>
        <w:contextualSpacing w:val="0"/>
        <w:rPr>
          <w:lang w:val="es-CO"/>
        </w:rPr>
      </w:pPr>
      <w:r w:rsidRPr="00EE32F1">
        <w:rPr>
          <w:lang w:val="es-CO"/>
        </w:rPr>
        <w:t xml:space="preserve">Convocar a la República de </w:t>
      </w:r>
      <w:r>
        <w:rPr>
          <w:lang w:val="es-CO"/>
        </w:rPr>
        <w:t>Ecuador</w:t>
      </w:r>
      <w:r w:rsidRPr="00EE32F1">
        <w:rPr>
          <w:lang w:val="es-CO"/>
        </w:rPr>
        <w:t xml:space="preserve">, a los representantes de las presuntas víctimas y a la Comisión Interamericana de Derechos Humanos a una audiencia pública </w:t>
      </w:r>
      <w:r w:rsidRPr="00D447CB">
        <w:rPr>
          <w:lang w:val="es-CO"/>
        </w:rPr>
        <w:t xml:space="preserve">sobre </w:t>
      </w:r>
      <w:r>
        <w:rPr>
          <w:lang w:val="es-CO"/>
        </w:rPr>
        <w:t xml:space="preserve">el </w:t>
      </w:r>
      <w:r w:rsidRPr="00D447CB">
        <w:rPr>
          <w:lang w:val="es-CO"/>
        </w:rPr>
        <w:t>fondo,</w:t>
      </w:r>
      <w:r>
        <w:rPr>
          <w:lang w:val="es-CO"/>
        </w:rPr>
        <w:t xml:space="preserve"> y eventuales</w:t>
      </w:r>
      <w:r w:rsidRPr="00D447CB">
        <w:rPr>
          <w:lang w:val="es-CO"/>
        </w:rPr>
        <w:t xml:space="preserve"> reparaciones y costas</w:t>
      </w:r>
      <w:r w:rsidRPr="00EE32F1">
        <w:rPr>
          <w:lang w:val="es-CO"/>
        </w:rPr>
        <w:t xml:space="preserve"> que se celebrará de manera virtual durante el </w:t>
      </w:r>
      <w:r>
        <w:rPr>
          <w:lang w:val="es-CO"/>
        </w:rPr>
        <w:t>142</w:t>
      </w:r>
      <w:r w:rsidRPr="00EE32F1">
        <w:rPr>
          <w:lang w:val="es-CO"/>
        </w:rPr>
        <w:t xml:space="preserve"> Período Ordinario de Sesiones, los días </w:t>
      </w:r>
      <w:r w:rsidR="006C4C30">
        <w:rPr>
          <w:lang w:val="es-CO"/>
        </w:rPr>
        <w:t>14 y</w:t>
      </w:r>
      <w:r w:rsidR="00AA316F">
        <w:rPr>
          <w:lang w:val="es-CO"/>
        </w:rPr>
        <w:t xml:space="preserve"> 15 </w:t>
      </w:r>
      <w:r w:rsidRPr="00EE32F1">
        <w:rPr>
          <w:lang w:val="es-CO"/>
        </w:rPr>
        <w:t xml:space="preserve">de </w:t>
      </w:r>
      <w:r>
        <w:rPr>
          <w:lang w:val="es-CO"/>
        </w:rPr>
        <w:t>junio de 2021</w:t>
      </w:r>
      <w:r w:rsidRPr="00EE32F1">
        <w:rPr>
          <w:lang w:val="es-CO"/>
        </w:rPr>
        <w:t>, a partir de las 08:00 horas de Costa Rica, para recibir sus alegatos y observaciones finales orales, así como las declaraciones de las siguientes personas:</w:t>
      </w:r>
    </w:p>
    <w:p w14:paraId="56E45C8E" w14:textId="77777777" w:rsidR="00BD3748" w:rsidRPr="00EE32F1" w:rsidRDefault="00BD3748" w:rsidP="00BD3748">
      <w:pPr>
        <w:rPr>
          <w:rFonts w:eastAsia="Times New Roman"/>
          <w:lang w:val="es-CO"/>
        </w:rPr>
      </w:pPr>
    </w:p>
    <w:p w14:paraId="11BFA99A" w14:textId="53F3E0E7" w:rsidR="00BD3748" w:rsidRPr="00EE32F1" w:rsidRDefault="00BD3748" w:rsidP="00BD3748">
      <w:pPr>
        <w:pStyle w:val="Prrafodelista"/>
        <w:numPr>
          <w:ilvl w:val="0"/>
          <w:numId w:val="18"/>
        </w:numPr>
        <w:spacing w:line="240" w:lineRule="auto"/>
        <w:rPr>
          <w:rFonts w:eastAsia="Times New Roman"/>
          <w:b/>
          <w:i/>
          <w:iCs/>
          <w:lang w:val="es-CO"/>
        </w:rPr>
      </w:pPr>
      <w:bookmarkStart w:id="1" w:name="_Hlk55911318"/>
      <w:r w:rsidRPr="00EE32F1">
        <w:rPr>
          <w:rFonts w:eastAsia="Times New Roman"/>
          <w:b/>
          <w:i/>
          <w:iCs/>
          <w:lang w:val="es-CO"/>
        </w:rPr>
        <w:t>P</w:t>
      </w:r>
      <w:r>
        <w:rPr>
          <w:rFonts w:eastAsia="Times New Roman"/>
          <w:b/>
          <w:i/>
          <w:iCs/>
          <w:lang w:val="es-CO"/>
        </w:rPr>
        <w:t>resuntas</w:t>
      </w:r>
      <w:r w:rsidRPr="00EE32F1">
        <w:rPr>
          <w:rFonts w:eastAsia="Times New Roman"/>
          <w:b/>
          <w:i/>
          <w:iCs/>
          <w:lang w:val="es-CO"/>
        </w:rPr>
        <w:t xml:space="preserve"> víctima</w:t>
      </w:r>
      <w:r>
        <w:rPr>
          <w:rFonts w:eastAsia="Times New Roman"/>
          <w:b/>
          <w:i/>
          <w:iCs/>
          <w:lang w:val="es-CO"/>
        </w:rPr>
        <w:t>s</w:t>
      </w:r>
    </w:p>
    <w:p w14:paraId="00DA2FA6" w14:textId="77777777" w:rsidR="00BD3748" w:rsidRPr="00EE32F1" w:rsidRDefault="00BD3748" w:rsidP="00BD3748">
      <w:pPr>
        <w:rPr>
          <w:rFonts w:eastAsia="Times New Roman"/>
          <w:color w:val="000000"/>
          <w:lang w:val="es-CO"/>
        </w:rPr>
      </w:pPr>
    </w:p>
    <w:p w14:paraId="4D629758" w14:textId="3512F814" w:rsidR="00BD3748" w:rsidRPr="00EE32F1" w:rsidRDefault="00BD3748" w:rsidP="00BD3748">
      <w:pPr>
        <w:ind w:firstLine="360"/>
        <w:rPr>
          <w:i/>
          <w:lang w:val="es-CO"/>
        </w:rPr>
      </w:pPr>
      <w:r w:rsidRPr="00EE32F1">
        <w:rPr>
          <w:i/>
          <w:lang w:val="es-CO"/>
        </w:rPr>
        <w:t>Propuesta</w:t>
      </w:r>
      <w:r>
        <w:rPr>
          <w:i/>
          <w:lang w:val="es-CO"/>
        </w:rPr>
        <w:t>s</w:t>
      </w:r>
      <w:r w:rsidRPr="00EE32F1">
        <w:rPr>
          <w:i/>
          <w:lang w:val="es-CO"/>
        </w:rPr>
        <w:t xml:space="preserve"> por los representantes</w:t>
      </w:r>
    </w:p>
    <w:bookmarkEnd w:id="1"/>
    <w:p w14:paraId="5A54F2F8" w14:textId="77777777" w:rsidR="00BD3748" w:rsidRPr="00EE32F1" w:rsidRDefault="00BD3748" w:rsidP="00BD3748">
      <w:pPr>
        <w:rPr>
          <w:rFonts w:eastAsia="Times New Roman"/>
          <w:color w:val="000000"/>
          <w:lang w:val="es-CO"/>
        </w:rPr>
      </w:pPr>
    </w:p>
    <w:p w14:paraId="07F9FDE5" w14:textId="598061BA" w:rsidR="00BD3748" w:rsidRPr="00BD3748" w:rsidRDefault="00BD3748" w:rsidP="00BD3748">
      <w:pPr>
        <w:pStyle w:val="Prrafodelista"/>
        <w:numPr>
          <w:ilvl w:val="0"/>
          <w:numId w:val="28"/>
        </w:numPr>
        <w:autoSpaceDE w:val="0"/>
        <w:autoSpaceDN w:val="0"/>
        <w:adjustRightInd w:val="0"/>
        <w:spacing w:line="240" w:lineRule="auto"/>
        <w:ind w:left="1560"/>
        <w:jc w:val="both"/>
        <w:rPr>
          <w:rFonts w:cs="BookAntiqua"/>
          <w:lang w:val="es-ES_tradnl"/>
        </w:rPr>
      </w:pPr>
      <w:r w:rsidRPr="009B45CF">
        <w:rPr>
          <w:rFonts w:cs="BookAntiqua-Bold"/>
          <w:bCs/>
          <w:i/>
          <w:lang w:val="es-ES_tradnl"/>
        </w:rPr>
        <w:t>Emilio Palacio Urrutia</w:t>
      </w:r>
      <w:r w:rsidRPr="00BD3748">
        <w:rPr>
          <w:rFonts w:cs="BookAntiqua"/>
          <w:lang w:val="es-ES_tradnl"/>
        </w:rPr>
        <w:t xml:space="preserve">, periodista, </w:t>
      </w:r>
      <w:r w:rsidR="007C709E">
        <w:rPr>
          <w:rFonts w:cs="BookAntiqua"/>
          <w:lang w:val="es-ES_tradnl"/>
        </w:rPr>
        <w:t>quien d</w:t>
      </w:r>
      <w:r w:rsidRPr="00BD3748">
        <w:rPr>
          <w:rFonts w:cs="BookAntiqua"/>
          <w:lang w:val="es-ES_tradnl"/>
        </w:rPr>
        <w:t xml:space="preserve">eclarará sobre los hechos del presente caso, particularmente sobre las </w:t>
      </w:r>
      <w:r w:rsidR="00747485">
        <w:rPr>
          <w:rFonts w:cs="BookAntiqua"/>
          <w:lang w:val="es-ES_tradnl"/>
        </w:rPr>
        <w:t xml:space="preserve">alegadas </w:t>
      </w:r>
      <w:r w:rsidRPr="00BD3748">
        <w:rPr>
          <w:rFonts w:cs="BookAntiqua"/>
          <w:lang w:val="es-ES_tradnl"/>
        </w:rPr>
        <w:t>amenazas en su contra por autoridades del Estado</w:t>
      </w:r>
      <w:r w:rsidR="007C709E">
        <w:rPr>
          <w:rFonts w:cs="BookAntiqua"/>
          <w:lang w:val="es-ES_tradnl"/>
        </w:rPr>
        <w:t>,</w:t>
      </w:r>
      <w:r w:rsidRPr="00BD3748">
        <w:rPr>
          <w:rFonts w:cs="BookAntiqua"/>
          <w:lang w:val="es-ES_tradnl"/>
        </w:rPr>
        <w:t xml:space="preserve"> la publicación de su artículo de op</w:t>
      </w:r>
      <w:r w:rsidR="007C709E">
        <w:rPr>
          <w:rFonts w:cs="BookAntiqua"/>
          <w:lang w:val="es-ES_tradnl"/>
        </w:rPr>
        <w:t>inión “No a las mentiras”,</w:t>
      </w:r>
      <w:r w:rsidRPr="00BD3748">
        <w:rPr>
          <w:rFonts w:cs="BookAntiqua"/>
          <w:lang w:val="es-ES_tradnl"/>
        </w:rPr>
        <w:t xml:space="preserve"> la acusación en su contra por el</w:t>
      </w:r>
      <w:r w:rsidR="007C709E">
        <w:rPr>
          <w:rFonts w:cs="BookAntiqua"/>
          <w:lang w:val="es-ES_tradnl"/>
        </w:rPr>
        <w:t xml:space="preserve"> entonces</w:t>
      </w:r>
      <w:r w:rsidRPr="00BD3748">
        <w:rPr>
          <w:rFonts w:cs="BookAntiqua"/>
          <w:lang w:val="es-ES_tradnl"/>
        </w:rPr>
        <w:t xml:space="preserve"> Presidente de la República Rafael Correa, el proceso judicial y la su</w:t>
      </w:r>
      <w:r w:rsidR="007C709E">
        <w:rPr>
          <w:rFonts w:cs="BookAntiqua"/>
          <w:lang w:val="es-ES_tradnl"/>
        </w:rPr>
        <w:t>bsecuente condena penal y civil,</w:t>
      </w:r>
      <w:r w:rsidRPr="00BD3748">
        <w:rPr>
          <w:rFonts w:cs="BookAntiqua"/>
          <w:lang w:val="es-ES_tradnl"/>
        </w:rPr>
        <w:t xml:space="preserve"> el perdón por parte </w:t>
      </w:r>
      <w:r w:rsidR="007C709E">
        <w:rPr>
          <w:rFonts w:cs="BookAntiqua"/>
          <w:lang w:val="es-ES_tradnl"/>
        </w:rPr>
        <w:t>de</w:t>
      </w:r>
      <w:r w:rsidRPr="00BD3748">
        <w:rPr>
          <w:rFonts w:cs="BookAntiqua"/>
          <w:lang w:val="es-ES_tradnl"/>
        </w:rPr>
        <w:t xml:space="preserve"> Rafael Correa</w:t>
      </w:r>
      <w:r w:rsidR="00AA316F">
        <w:rPr>
          <w:rFonts w:cs="BookAntiqua"/>
          <w:lang w:val="es-ES_tradnl"/>
        </w:rPr>
        <w:t>,</w:t>
      </w:r>
      <w:r w:rsidRPr="00BD3748">
        <w:rPr>
          <w:rFonts w:cs="BookAntiqua"/>
          <w:lang w:val="es-ES_tradnl"/>
        </w:rPr>
        <w:t xml:space="preserve"> y el impacto que tuvo todo ello sobre su vida personal y profesional y la de su familia, incluyendo su exilio y asilo en los Est</w:t>
      </w:r>
      <w:r w:rsidR="007C709E">
        <w:rPr>
          <w:rFonts w:cs="BookAntiqua"/>
          <w:lang w:val="es-ES_tradnl"/>
        </w:rPr>
        <w:t>ados Unidos de América.</w:t>
      </w:r>
    </w:p>
    <w:p w14:paraId="66E94729" w14:textId="2723E347" w:rsidR="00BD3748" w:rsidRDefault="00BD3748" w:rsidP="00BD3748">
      <w:pPr>
        <w:spacing w:line="240" w:lineRule="auto"/>
        <w:jc w:val="both"/>
        <w:rPr>
          <w:rFonts w:ascii="BookAntiqua" w:hAnsi="BookAntiqua" w:cs="BookAntiqua"/>
          <w:sz w:val="24"/>
          <w:szCs w:val="24"/>
          <w:lang w:val="es-ES_tradnl"/>
        </w:rPr>
      </w:pPr>
    </w:p>
    <w:p w14:paraId="26D2F0AA" w14:textId="1D236835" w:rsidR="00BD3748" w:rsidRPr="00BD3748" w:rsidRDefault="00BD3748" w:rsidP="00BD3748">
      <w:pPr>
        <w:pStyle w:val="Prrafodelista"/>
        <w:numPr>
          <w:ilvl w:val="0"/>
          <w:numId w:val="28"/>
        </w:numPr>
        <w:autoSpaceDE w:val="0"/>
        <w:autoSpaceDN w:val="0"/>
        <w:adjustRightInd w:val="0"/>
        <w:spacing w:line="240" w:lineRule="auto"/>
        <w:ind w:left="1560"/>
        <w:jc w:val="both"/>
        <w:rPr>
          <w:lang w:val="es-CO"/>
        </w:rPr>
      </w:pPr>
      <w:r w:rsidRPr="009B45CF">
        <w:rPr>
          <w:rFonts w:cs="BookAntiqua-Bold"/>
          <w:bCs/>
          <w:i/>
          <w:lang w:val="es-ES_tradnl"/>
        </w:rPr>
        <w:t>César Enrique Pérez Barriga</w:t>
      </w:r>
      <w:r w:rsidRPr="00BD3748">
        <w:rPr>
          <w:rFonts w:cs="BookAntiqua"/>
          <w:lang w:val="es-ES_tradnl"/>
        </w:rPr>
        <w:t xml:space="preserve">, Vicepresidente General, Sub Director y </w:t>
      </w:r>
      <w:r w:rsidR="007C709E">
        <w:rPr>
          <w:rFonts w:cs="BookAntiqua"/>
          <w:lang w:val="es-ES_tradnl"/>
        </w:rPr>
        <w:t>Accionista</w:t>
      </w:r>
      <w:r w:rsidR="004E1BAE">
        <w:rPr>
          <w:rFonts w:cs="BookAntiqua"/>
          <w:lang w:val="es-ES_tradnl"/>
        </w:rPr>
        <w:t xml:space="preserve"> del D</w:t>
      </w:r>
      <w:r w:rsidRPr="00BD3748">
        <w:rPr>
          <w:rFonts w:cs="BookAntiqua"/>
          <w:lang w:val="es-ES_tradnl"/>
        </w:rPr>
        <w:t>iario El Universo</w:t>
      </w:r>
      <w:r w:rsidR="007C709E">
        <w:rPr>
          <w:rFonts w:cs="BookAntiqua"/>
          <w:lang w:val="es-ES_tradnl"/>
        </w:rPr>
        <w:t>,</w:t>
      </w:r>
      <w:r w:rsidRPr="00BD3748">
        <w:rPr>
          <w:rFonts w:cs="BookAntiqua"/>
          <w:lang w:val="es-ES_tradnl"/>
        </w:rPr>
        <w:t xml:space="preserve"> </w:t>
      </w:r>
      <w:r w:rsidR="007C709E">
        <w:rPr>
          <w:rFonts w:cs="BookAntiqua"/>
          <w:lang w:val="es-ES_tradnl"/>
        </w:rPr>
        <w:t>quien d</w:t>
      </w:r>
      <w:r w:rsidRPr="00BD3748">
        <w:rPr>
          <w:rFonts w:cs="BookAntiqua"/>
          <w:lang w:val="es-ES_tradnl"/>
        </w:rPr>
        <w:t>eclarará sobre los hechos del presente caso, particularmente sobre las</w:t>
      </w:r>
      <w:r w:rsidR="00A51CC4">
        <w:rPr>
          <w:rFonts w:cs="BookAntiqua"/>
          <w:lang w:val="es-ES_tradnl"/>
        </w:rPr>
        <w:t xml:space="preserve"> alegadas</w:t>
      </w:r>
      <w:r w:rsidRPr="00BD3748">
        <w:rPr>
          <w:rFonts w:cs="BookAntiqua"/>
          <w:lang w:val="es-ES_tradnl"/>
        </w:rPr>
        <w:t xml:space="preserve"> amenazas en su contra por au</w:t>
      </w:r>
      <w:r w:rsidR="007C709E">
        <w:rPr>
          <w:rFonts w:cs="BookAntiqua"/>
          <w:lang w:val="es-ES_tradnl"/>
        </w:rPr>
        <w:t>toridades del Estado de Ecuador,</w:t>
      </w:r>
      <w:r w:rsidRPr="00BD3748">
        <w:rPr>
          <w:rFonts w:cs="BookAntiqua"/>
          <w:lang w:val="es-ES_tradnl"/>
        </w:rPr>
        <w:t xml:space="preserve"> sus respo</w:t>
      </w:r>
      <w:r w:rsidR="004E1BAE">
        <w:rPr>
          <w:rFonts w:cs="BookAntiqua"/>
          <w:lang w:val="es-ES_tradnl"/>
        </w:rPr>
        <w:t>nsabilidades editoriales en el D</w:t>
      </w:r>
      <w:r w:rsidRPr="00BD3748">
        <w:rPr>
          <w:rFonts w:cs="BookAntiqua"/>
          <w:lang w:val="es-ES_tradnl"/>
        </w:rPr>
        <w:t>iario El Universo y la publicación del artículo</w:t>
      </w:r>
      <w:r w:rsidR="007C709E">
        <w:rPr>
          <w:rFonts w:cs="BookAntiqua"/>
          <w:lang w:val="es-ES_tradnl"/>
        </w:rPr>
        <w:t xml:space="preserve"> de opinión “No a las mentiras”,</w:t>
      </w:r>
      <w:r w:rsidRPr="00BD3748">
        <w:rPr>
          <w:rFonts w:cs="BookAntiqua"/>
          <w:lang w:val="es-ES_tradnl"/>
        </w:rPr>
        <w:t xml:space="preserve"> sobre la acusación en su contra por el Presidente de la República Rafael Correa, el proceso judicial y la su</w:t>
      </w:r>
      <w:r w:rsidR="007C709E">
        <w:rPr>
          <w:rFonts w:cs="BookAntiqua"/>
          <w:lang w:val="es-ES_tradnl"/>
        </w:rPr>
        <w:t>bsecuente condena penal y civil,</w:t>
      </w:r>
      <w:r w:rsidRPr="00BD3748">
        <w:rPr>
          <w:rFonts w:cs="BookAntiqua"/>
          <w:lang w:val="es-ES_tradnl"/>
        </w:rPr>
        <w:t xml:space="preserve"> el perdón por parte </w:t>
      </w:r>
      <w:r w:rsidR="007C709E">
        <w:rPr>
          <w:rFonts w:cs="BookAntiqua"/>
          <w:lang w:val="es-ES_tradnl"/>
        </w:rPr>
        <w:t>de Rafael Correa,</w:t>
      </w:r>
      <w:r w:rsidRPr="00BD3748">
        <w:rPr>
          <w:rFonts w:cs="BookAntiqua"/>
          <w:lang w:val="es-ES_tradnl"/>
        </w:rPr>
        <w:t xml:space="preserve"> y el impacto que tuvo todo ello sobre su vida personal y profesional, sobre su patrimonio, y sobre su vida familiar. </w:t>
      </w:r>
      <w:r w:rsidR="007C709E">
        <w:rPr>
          <w:rFonts w:cs="BookAntiqua"/>
          <w:lang w:val="es-ES_tradnl"/>
        </w:rPr>
        <w:t>Se referirá</w:t>
      </w:r>
      <w:r w:rsidRPr="00BD3748">
        <w:rPr>
          <w:rFonts w:cs="BookAntiqua"/>
          <w:lang w:val="es-ES_tradnl"/>
        </w:rPr>
        <w:t xml:space="preserve"> al impacto que el </w:t>
      </w:r>
      <w:r w:rsidR="007C709E">
        <w:rPr>
          <w:rFonts w:cs="BookAntiqua"/>
          <w:lang w:val="es-ES_tradnl"/>
        </w:rPr>
        <w:t xml:space="preserve">proceso </w:t>
      </w:r>
      <w:r w:rsidRPr="00BD3748">
        <w:rPr>
          <w:rFonts w:cs="BookAntiqua"/>
          <w:lang w:val="es-ES_tradnl"/>
        </w:rPr>
        <w:t>judicial tuvo sobre el medio de comunicación El Universo, y sobre él como directivo y accionista.</w:t>
      </w:r>
    </w:p>
    <w:p w14:paraId="546853C8" w14:textId="05342155" w:rsidR="00BD3748" w:rsidRPr="001A2ED6" w:rsidRDefault="00BD3748" w:rsidP="001A2ED6">
      <w:pPr>
        <w:tabs>
          <w:tab w:val="left" w:pos="5340"/>
        </w:tabs>
        <w:contextualSpacing/>
        <w:rPr>
          <w:rFonts w:eastAsia="Times New Roman"/>
          <w:lang w:val="es-CO"/>
        </w:rPr>
      </w:pPr>
    </w:p>
    <w:p w14:paraId="4163027D" w14:textId="77777777" w:rsidR="00BD3748" w:rsidRPr="00EE32F1" w:rsidRDefault="00BD3748" w:rsidP="00BD3748">
      <w:pPr>
        <w:pStyle w:val="Prrafodelista"/>
        <w:numPr>
          <w:ilvl w:val="0"/>
          <w:numId w:val="18"/>
        </w:numPr>
        <w:spacing w:line="240" w:lineRule="auto"/>
        <w:rPr>
          <w:rFonts w:eastAsia="Times New Roman"/>
          <w:b/>
          <w:i/>
          <w:iCs/>
          <w:lang w:val="es-CO"/>
        </w:rPr>
      </w:pPr>
      <w:r>
        <w:rPr>
          <w:rFonts w:eastAsia="Times New Roman"/>
          <w:b/>
          <w:i/>
          <w:iCs/>
          <w:lang w:val="es-CO"/>
        </w:rPr>
        <w:t>Peritos</w:t>
      </w:r>
    </w:p>
    <w:p w14:paraId="0E633F4B" w14:textId="77777777" w:rsidR="00BD3748" w:rsidRPr="003B1CB4" w:rsidRDefault="00BD3748" w:rsidP="00BD3748">
      <w:pPr>
        <w:rPr>
          <w:highlight w:val="yellow"/>
          <w:lang w:val="es-CO"/>
        </w:rPr>
      </w:pPr>
    </w:p>
    <w:p w14:paraId="107FD779" w14:textId="113E82F3" w:rsidR="00BD3748" w:rsidRPr="003B1CB4" w:rsidRDefault="00BD3748" w:rsidP="00BD3748">
      <w:pPr>
        <w:ind w:firstLine="360"/>
        <w:rPr>
          <w:i/>
          <w:lang w:val="es-CO"/>
        </w:rPr>
      </w:pPr>
      <w:r>
        <w:rPr>
          <w:i/>
          <w:lang w:val="es-CO"/>
        </w:rPr>
        <w:t>Propuesto</w:t>
      </w:r>
      <w:r w:rsidRPr="003B1CB4">
        <w:rPr>
          <w:i/>
          <w:lang w:val="es-CO"/>
        </w:rPr>
        <w:t xml:space="preserve"> por </w:t>
      </w:r>
      <w:r>
        <w:rPr>
          <w:i/>
          <w:lang w:val="es-CO"/>
        </w:rPr>
        <w:t>los representantes</w:t>
      </w:r>
    </w:p>
    <w:p w14:paraId="1379EB6A" w14:textId="77777777" w:rsidR="00BD3748" w:rsidRPr="003B1CB4" w:rsidRDefault="00BD3748" w:rsidP="00BD3748">
      <w:pPr>
        <w:rPr>
          <w:lang w:val="es-CO"/>
        </w:rPr>
      </w:pPr>
    </w:p>
    <w:p w14:paraId="47490CA9" w14:textId="30A29799" w:rsidR="00BD3748" w:rsidRPr="006560AE" w:rsidRDefault="00BD3748" w:rsidP="006560AE">
      <w:pPr>
        <w:pStyle w:val="Prrafodelista"/>
        <w:numPr>
          <w:ilvl w:val="0"/>
          <w:numId w:val="29"/>
        </w:numPr>
        <w:autoSpaceDE w:val="0"/>
        <w:autoSpaceDN w:val="0"/>
        <w:adjustRightInd w:val="0"/>
        <w:spacing w:line="240" w:lineRule="auto"/>
        <w:ind w:left="1560"/>
        <w:jc w:val="both"/>
        <w:rPr>
          <w:lang w:val="es-CO"/>
        </w:rPr>
      </w:pPr>
      <w:r w:rsidRPr="006560AE">
        <w:rPr>
          <w:rFonts w:cs="BookAntiqua-Bold"/>
          <w:bCs/>
          <w:i/>
          <w:lang w:val="es-ES_tradnl"/>
        </w:rPr>
        <w:t>Juan Pablo Albán</w:t>
      </w:r>
      <w:r w:rsidR="00F12A52">
        <w:rPr>
          <w:rFonts w:cs="BookAntiqua-Bold"/>
          <w:bCs/>
          <w:i/>
          <w:lang w:val="es-ES_tradnl"/>
        </w:rPr>
        <w:t xml:space="preserve"> </w:t>
      </w:r>
      <w:proofErr w:type="spellStart"/>
      <w:r w:rsidR="00F12A52">
        <w:rPr>
          <w:rFonts w:cs="BookAntiqua-Bold"/>
          <w:bCs/>
          <w:i/>
          <w:lang w:val="es-ES_tradnl"/>
        </w:rPr>
        <w:t>Alencastro</w:t>
      </w:r>
      <w:proofErr w:type="spellEnd"/>
      <w:r w:rsidRPr="006560AE">
        <w:rPr>
          <w:rFonts w:cs="BookAntiqua-Bold"/>
          <w:bCs/>
          <w:lang w:val="es-ES_tradnl"/>
        </w:rPr>
        <w:t>,</w:t>
      </w:r>
      <w:r w:rsidRPr="006560AE">
        <w:rPr>
          <w:rFonts w:cs="BookAntiqua-Bold"/>
          <w:b/>
          <w:bCs/>
          <w:lang w:val="es-ES_tradnl"/>
        </w:rPr>
        <w:t xml:space="preserve"> </w:t>
      </w:r>
      <w:r w:rsidR="007C709E">
        <w:rPr>
          <w:rFonts w:cs="BookAntiqua"/>
          <w:lang w:val="es-ES_tradnl"/>
        </w:rPr>
        <w:t>abogado</w:t>
      </w:r>
      <w:r w:rsidRPr="006560AE">
        <w:rPr>
          <w:rFonts w:cs="BookAntiqua"/>
          <w:lang w:val="es-ES_tradnl"/>
        </w:rPr>
        <w:t xml:space="preserve">, </w:t>
      </w:r>
      <w:r w:rsidR="007C709E">
        <w:rPr>
          <w:rFonts w:cs="BookAntiqua"/>
          <w:lang w:val="es-ES_tradnl"/>
        </w:rPr>
        <w:t>quien d</w:t>
      </w:r>
      <w:r w:rsidRPr="006560AE">
        <w:rPr>
          <w:rFonts w:cs="BookAntiqua"/>
          <w:lang w:val="es-ES_tradnl"/>
        </w:rPr>
        <w:t xml:space="preserve">eclarará sobre </w:t>
      </w:r>
      <w:r w:rsidR="003675B1">
        <w:rPr>
          <w:rFonts w:cs="BookAntiqua"/>
          <w:lang w:val="es-ES_tradnl"/>
        </w:rPr>
        <w:t>los</w:t>
      </w:r>
      <w:r w:rsidRPr="006560AE">
        <w:rPr>
          <w:rFonts w:cs="BookAntiqua"/>
          <w:lang w:val="es-ES_tradnl"/>
        </w:rPr>
        <w:t xml:space="preserve"> delitos previstos en</w:t>
      </w:r>
      <w:r w:rsidR="006560AE" w:rsidRPr="006560AE">
        <w:rPr>
          <w:rFonts w:cs="BookAntiqua"/>
          <w:lang w:val="es-ES_tradnl"/>
        </w:rPr>
        <w:t xml:space="preserve"> </w:t>
      </w:r>
      <w:r w:rsidR="003675B1">
        <w:rPr>
          <w:rFonts w:cs="BookAntiqua"/>
          <w:lang w:val="es-ES_tradnl"/>
        </w:rPr>
        <w:t>el d</w:t>
      </w:r>
      <w:r w:rsidRPr="006560AE">
        <w:rPr>
          <w:rFonts w:cs="BookAntiqua"/>
          <w:lang w:val="es-ES_tradnl"/>
        </w:rPr>
        <w:t>erecho ecuatoriano relacionados al ejercicio de la libertad de expresión, el</w:t>
      </w:r>
      <w:r w:rsidR="006560AE" w:rsidRPr="006560AE">
        <w:rPr>
          <w:rFonts w:cs="BookAntiqua"/>
          <w:lang w:val="es-ES_tradnl"/>
        </w:rPr>
        <w:t xml:space="preserve"> </w:t>
      </w:r>
      <w:r w:rsidRPr="006560AE">
        <w:rPr>
          <w:rFonts w:cs="BookAntiqua"/>
          <w:lang w:val="es-ES_tradnl"/>
        </w:rPr>
        <w:t>delito de injuria calumniosa contra la autoridad y su posterior derogación</w:t>
      </w:r>
      <w:r w:rsidR="006560AE" w:rsidRPr="006560AE">
        <w:rPr>
          <w:rFonts w:cs="BookAntiqua"/>
          <w:lang w:val="es-ES_tradnl"/>
        </w:rPr>
        <w:t xml:space="preserve"> </w:t>
      </w:r>
      <w:r w:rsidRPr="006560AE">
        <w:rPr>
          <w:rFonts w:cs="BookAntiqua"/>
          <w:lang w:val="es-ES_tradnl"/>
        </w:rPr>
        <w:t>parcial</w:t>
      </w:r>
      <w:r w:rsidR="003675B1">
        <w:rPr>
          <w:rFonts w:cs="BookAntiqua"/>
          <w:lang w:val="es-ES_tradnl"/>
        </w:rPr>
        <w:t xml:space="preserve">, </w:t>
      </w:r>
      <w:r w:rsidRPr="006560AE">
        <w:rPr>
          <w:rFonts w:cs="BookAntiqua"/>
          <w:lang w:val="es-ES_tradnl"/>
        </w:rPr>
        <w:t>el impacto y las consecuencias en el</w:t>
      </w:r>
      <w:r w:rsidR="003675B1">
        <w:rPr>
          <w:rFonts w:cs="BookAntiqua"/>
          <w:lang w:val="es-ES_tradnl"/>
        </w:rPr>
        <w:t xml:space="preserve"> d</w:t>
      </w:r>
      <w:r w:rsidRPr="006560AE">
        <w:rPr>
          <w:rFonts w:cs="BookAntiqua"/>
          <w:lang w:val="es-ES_tradnl"/>
        </w:rPr>
        <w:t>erecho ecuatoriano de un proceso</w:t>
      </w:r>
      <w:r w:rsidR="006560AE" w:rsidRPr="006560AE">
        <w:rPr>
          <w:rFonts w:cs="BookAntiqua"/>
          <w:lang w:val="es-ES_tradnl"/>
        </w:rPr>
        <w:t xml:space="preserve"> </w:t>
      </w:r>
      <w:r w:rsidRPr="006560AE">
        <w:rPr>
          <w:rFonts w:cs="BookAntiqua"/>
          <w:lang w:val="es-ES_tradnl"/>
        </w:rPr>
        <w:t>y una condena judicial penal y civil por delitos relacionados al ejercicio de la</w:t>
      </w:r>
      <w:r w:rsidR="006560AE" w:rsidRPr="006560AE">
        <w:rPr>
          <w:rFonts w:cs="BookAntiqua"/>
          <w:lang w:val="es-ES_tradnl"/>
        </w:rPr>
        <w:t xml:space="preserve"> </w:t>
      </w:r>
      <w:r w:rsidR="003675B1">
        <w:rPr>
          <w:rFonts w:cs="BookAntiqua"/>
          <w:lang w:val="es-ES_tradnl"/>
        </w:rPr>
        <w:t>libertad de expresión,</w:t>
      </w:r>
      <w:r w:rsidRPr="006560AE">
        <w:rPr>
          <w:rFonts w:cs="BookAntiqua"/>
          <w:lang w:val="es-ES_tradnl"/>
        </w:rPr>
        <w:t xml:space="preserve"> el per</w:t>
      </w:r>
      <w:r w:rsidR="003675B1">
        <w:rPr>
          <w:rFonts w:cs="BookAntiqua"/>
          <w:lang w:val="es-ES_tradnl"/>
        </w:rPr>
        <w:t>dón de la condena penal y civil</w:t>
      </w:r>
      <w:r w:rsidRPr="006560AE">
        <w:rPr>
          <w:rFonts w:cs="BookAntiqua"/>
          <w:lang w:val="es-ES_tradnl"/>
        </w:rPr>
        <w:t xml:space="preserve"> y sus efectos</w:t>
      </w:r>
      <w:r w:rsidR="006560AE" w:rsidRPr="006560AE">
        <w:rPr>
          <w:rFonts w:cs="BookAntiqua"/>
          <w:lang w:val="es-ES_tradnl"/>
        </w:rPr>
        <w:t xml:space="preserve"> </w:t>
      </w:r>
      <w:r w:rsidR="003675B1">
        <w:rPr>
          <w:rFonts w:cs="BookAntiqua"/>
          <w:lang w:val="es-ES_tradnl"/>
        </w:rPr>
        <w:t xml:space="preserve">jurídicos, </w:t>
      </w:r>
      <w:r w:rsidRPr="006560AE">
        <w:rPr>
          <w:rFonts w:cs="BookAntiqua"/>
          <w:lang w:val="es-ES_tradnl"/>
        </w:rPr>
        <w:t>y la situación de</w:t>
      </w:r>
      <w:r w:rsidR="006560AE" w:rsidRPr="006560AE">
        <w:rPr>
          <w:rFonts w:cs="BookAntiqua"/>
          <w:lang w:val="es-ES_tradnl"/>
        </w:rPr>
        <w:t xml:space="preserve"> </w:t>
      </w:r>
      <w:r w:rsidRPr="006560AE">
        <w:rPr>
          <w:rFonts w:cs="BookAntiqua"/>
          <w:lang w:val="es-ES_tradnl"/>
        </w:rPr>
        <w:t>independencia del Poder Judicial en el Ecuador en el momento de los hechos.</w:t>
      </w:r>
    </w:p>
    <w:p w14:paraId="5877905A" w14:textId="77777777" w:rsidR="00BD3748" w:rsidRDefault="00BD3748" w:rsidP="00BD3748">
      <w:pPr>
        <w:rPr>
          <w:lang w:val="es-CO"/>
        </w:rPr>
      </w:pPr>
    </w:p>
    <w:p w14:paraId="7DE9A82E" w14:textId="77777777" w:rsidR="00BD3748" w:rsidRPr="003B1CB4" w:rsidRDefault="00BD3748" w:rsidP="00BD3748">
      <w:pPr>
        <w:ind w:firstLine="360"/>
        <w:rPr>
          <w:i/>
          <w:lang w:val="es-CO"/>
        </w:rPr>
      </w:pPr>
      <w:r w:rsidRPr="003B1CB4">
        <w:rPr>
          <w:i/>
          <w:lang w:val="es-CO"/>
        </w:rPr>
        <w:lastRenderedPageBreak/>
        <w:t>Propuesto por la Comisión</w:t>
      </w:r>
    </w:p>
    <w:p w14:paraId="07E5E49A" w14:textId="77777777" w:rsidR="00BD3748" w:rsidRPr="003B1CB4" w:rsidRDefault="00BD3748" w:rsidP="00BD3748">
      <w:pPr>
        <w:rPr>
          <w:lang w:val="es-CO"/>
        </w:rPr>
      </w:pPr>
    </w:p>
    <w:p w14:paraId="197F8D0A" w14:textId="313C0725" w:rsidR="00BD3748" w:rsidRPr="006560AE" w:rsidRDefault="006560AE" w:rsidP="006560AE">
      <w:pPr>
        <w:pStyle w:val="Prrafodelista"/>
        <w:numPr>
          <w:ilvl w:val="0"/>
          <w:numId w:val="30"/>
        </w:numPr>
        <w:autoSpaceDE w:val="0"/>
        <w:autoSpaceDN w:val="0"/>
        <w:adjustRightInd w:val="0"/>
        <w:spacing w:line="240" w:lineRule="auto"/>
        <w:ind w:left="1560"/>
        <w:jc w:val="both"/>
        <w:rPr>
          <w:lang w:val="es-CO"/>
        </w:rPr>
      </w:pPr>
      <w:proofErr w:type="spellStart"/>
      <w:r w:rsidRPr="006560AE">
        <w:rPr>
          <w:rFonts w:cs="Calibri-Bold"/>
          <w:bCs/>
          <w:i/>
          <w:lang w:val="es-ES_tradnl"/>
        </w:rPr>
        <w:t>Toby</w:t>
      </w:r>
      <w:proofErr w:type="spellEnd"/>
      <w:r w:rsidRPr="006560AE">
        <w:rPr>
          <w:rFonts w:cs="Calibri-Bold"/>
          <w:bCs/>
          <w:i/>
          <w:lang w:val="es-ES_tradnl"/>
        </w:rPr>
        <w:t xml:space="preserve"> Daniel Mendel</w:t>
      </w:r>
      <w:r w:rsidRPr="003675B1">
        <w:rPr>
          <w:rFonts w:cs="Calibri-Bold"/>
          <w:bCs/>
          <w:lang w:val="es-ES_tradnl"/>
        </w:rPr>
        <w:t>,</w:t>
      </w:r>
      <w:r w:rsidR="003675B1">
        <w:rPr>
          <w:rFonts w:cs="Calibri-Bold"/>
          <w:bCs/>
          <w:lang w:val="es-ES_tradnl"/>
        </w:rPr>
        <w:t xml:space="preserve"> abogado,</w:t>
      </w:r>
      <w:r w:rsidRPr="003675B1">
        <w:rPr>
          <w:rFonts w:cs="Calibri-Bold"/>
          <w:bCs/>
          <w:lang w:val="es-ES_tradnl"/>
        </w:rPr>
        <w:t xml:space="preserve"> </w:t>
      </w:r>
      <w:r w:rsidRPr="006560AE">
        <w:rPr>
          <w:rFonts w:cs="Calibri"/>
          <w:lang w:val="es-ES_tradnl"/>
        </w:rPr>
        <w:t>quien declarará sobre la</w:t>
      </w:r>
      <w:r w:rsidR="003675B1">
        <w:rPr>
          <w:rFonts w:cs="Calibri"/>
          <w:lang w:val="es-ES_tradnl"/>
        </w:rPr>
        <w:t xml:space="preserve"> posibilidad de</w:t>
      </w:r>
      <w:r w:rsidRPr="006560AE">
        <w:rPr>
          <w:rFonts w:cs="Calibri"/>
          <w:lang w:val="es-ES_tradnl"/>
        </w:rPr>
        <w:t xml:space="preserve"> utilización del derecho penal para criminalizar el ejercicio de la libertad de expresión sobre asuntos de interés público, así como </w:t>
      </w:r>
      <w:r w:rsidR="00456B13">
        <w:rPr>
          <w:rFonts w:cs="Calibri"/>
          <w:lang w:val="es-ES_tradnl"/>
        </w:rPr>
        <w:t>sobre</w:t>
      </w:r>
      <w:r w:rsidRPr="006560AE">
        <w:rPr>
          <w:rFonts w:cs="Calibri"/>
          <w:lang w:val="es-ES_tradnl"/>
        </w:rPr>
        <w:t xml:space="preserve"> la utilización de las sanciones civiles de acuerdo con los criterios de necesidad, proporcionalidad y la doctrina de la real malicia. El perito también se referirá a la</w:t>
      </w:r>
      <w:r w:rsidR="003675B1">
        <w:rPr>
          <w:rFonts w:cs="Calibri"/>
          <w:lang w:val="es-ES_tradnl"/>
        </w:rPr>
        <w:t>s posibilidades para establecer</w:t>
      </w:r>
      <w:r w:rsidRPr="006560AE">
        <w:rPr>
          <w:rFonts w:cs="Calibri"/>
          <w:lang w:val="es-ES_tradnl"/>
        </w:rPr>
        <w:t xml:space="preserve"> responsabilidad civil y penal de los directores y editores de un medio de comunicación frente a la publicación en dicho medio de noticias y/o artículos de opinión, cuando estos puedan ser considerados como lesivos de la reputación y el honor de terceros, así como los efectos que podría causar en el ejercicio del derecho a la libertad de expresión la aplicación de responsabilidades objetivas a los directores y editores. Asimismo, el perito </w:t>
      </w:r>
      <w:r w:rsidR="003675B1">
        <w:rPr>
          <w:rFonts w:cs="Calibri"/>
          <w:lang w:val="es-ES_tradnl"/>
        </w:rPr>
        <w:t xml:space="preserve">se podrá referir </w:t>
      </w:r>
      <w:r w:rsidRPr="006560AE">
        <w:rPr>
          <w:rFonts w:cs="Calibri"/>
          <w:lang w:val="es-ES_tradnl"/>
        </w:rPr>
        <w:t>al contexto ecuatoriano y a los hechos del caso.</w:t>
      </w:r>
    </w:p>
    <w:p w14:paraId="4D5268BC" w14:textId="77777777" w:rsidR="00BD3748" w:rsidRDefault="00BD3748" w:rsidP="00BD3748">
      <w:pPr>
        <w:pStyle w:val="Prrafodelista"/>
        <w:tabs>
          <w:tab w:val="left" w:pos="567"/>
        </w:tabs>
        <w:ind w:left="0"/>
        <w:rPr>
          <w:lang w:val="es-CO"/>
        </w:rPr>
      </w:pPr>
    </w:p>
    <w:p w14:paraId="6D88E5A9" w14:textId="379825FD" w:rsidR="00BD3748" w:rsidRPr="008C7C83" w:rsidRDefault="00BD3748" w:rsidP="00BD3748">
      <w:pPr>
        <w:pStyle w:val="Prrafodelista"/>
        <w:numPr>
          <w:ilvl w:val="3"/>
          <w:numId w:val="20"/>
        </w:numPr>
        <w:tabs>
          <w:tab w:val="left" w:pos="567"/>
        </w:tabs>
        <w:spacing w:line="240" w:lineRule="auto"/>
        <w:ind w:left="0" w:firstLine="0"/>
        <w:jc w:val="both"/>
      </w:pPr>
      <w:r w:rsidRPr="008C7C83">
        <w:t>Requerir a las personas convocadas para rendir peritajes durante la audiencia</w:t>
      </w:r>
      <w:r w:rsidR="006560AE">
        <w:t>,</w:t>
      </w:r>
      <w:r w:rsidRPr="008C7C83">
        <w:t xml:space="preserve"> que aporten una versión escrita de su peritaje a más tardar el </w:t>
      </w:r>
      <w:r w:rsidR="00F12A52" w:rsidRPr="006C4C30">
        <w:t>9</w:t>
      </w:r>
      <w:r w:rsidRPr="006C4C30">
        <w:t xml:space="preserve"> de </w:t>
      </w:r>
      <w:r w:rsidR="00F12A52" w:rsidRPr="006C4C30">
        <w:t>junio</w:t>
      </w:r>
      <w:r w:rsidRPr="006C4C30">
        <w:t xml:space="preserve"> de 2021</w:t>
      </w:r>
      <w:r w:rsidRPr="00655ED9">
        <w:t>.</w:t>
      </w:r>
    </w:p>
    <w:p w14:paraId="37DF7DC7" w14:textId="77777777" w:rsidR="00BD3748" w:rsidRPr="00EE32F1" w:rsidRDefault="00BD3748" w:rsidP="00BD3748">
      <w:pPr>
        <w:pStyle w:val="Prrafodelista"/>
        <w:tabs>
          <w:tab w:val="left" w:pos="567"/>
        </w:tabs>
        <w:ind w:left="0"/>
        <w:rPr>
          <w:lang w:val="es-CO"/>
        </w:rPr>
      </w:pPr>
    </w:p>
    <w:p w14:paraId="13E91F07" w14:textId="77777777" w:rsidR="00BD3748" w:rsidRPr="00EE32F1" w:rsidRDefault="00BD3748" w:rsidP="00BD3748">
      <w:pPr>
        <w:pStyle w:val="Prrafodelista"/>
        <w:numPr>
          <w:ilvl w:val="3"/>
          <w:numId w:val="20"/>
        </w:numPr>
        <w:tabs>
          <w:tab w:val="left" w:pos="567"/>
        </w:tabs>
        <w:spacing w:line="240" w:lineRule="auto"/>
        <w:ind w:left="0" w:firstLine="0"/>
        <w:jc w:val="both"/>
        <w:rPr>
          <w:lang w:val="es-CO"/>
        </w:rPr>
      </w:pPr>
      <w:r w:rsidRPr="00EE32F1">
        <w:rPr>
          <w:lang w:val="es-CO"/>
        </w:rPr>
        <w:t>Requerir, de conformidad con el principio de economía procesal y de la facultad que le otorga el artículo 50.1 del Reglamento de la Corte, que las siguientes personas presenten sus declaraciones ante fedatario público:</w:t>
      </w:r>
    </w:p>
    <w:p w14:paraId="7157F9F3" w14:textId="77777777" w:rsidR="00BD3748" w:rsidRPr="00FE508D" w:rsidRDefault="00BD3748" w:rsidP="00BD3748">
      <w:pPr>
        <w:rPr>
          <w:rFonts w:eastAsia="Times New Roman"/>
          <w:lang w:val="es-CO"/>
        </w:rPr>
      </w:pPr>
    </w:p>
    <w:p w14:paraId="571CD823" w14:textId="77777777" w:rsidR="00BD3748" w:rsidRPr="00EE32F1" w:rsidRDefault="00BD3748" w:rsidP="00BD3748">
      <w:pPr>
        <w:pStyle w:val="Prrafodelista"/>
        <w:numPr>
          <w:ilvl w:val="0"/>
          <w:numId w:val="19"/>
        </w:numPr>
        <w:spacing w:line="240" w:lineRule="auto"/>
        <w:rPr>
          <w:rFonts w:eastAsia="Times New Roman"/>
          <w:b/>
          <w:i/>
          <w:iCs/>
          <w:lang w:val="es-CO"/>
        </w:rPr>
      </w:pPr>
      <w:r w:rsidRPr="00EE32F1">
        <w:rPr>
          <w:rFonts w:eastAsia="Times New Roman"/>
          <w:b/>
          <w:i/>
          <w:iCs/>
          <w:lang w:val="es-CO"/>
        </w:rPr>
        <w:t>Presuntas víctimas</w:t>
      </w:r>
    </w:p>
    <w:p w14:paraId="089C901C" w14:textId="77777777" w:rsidR="00BD3748" w:rsidRPr="00EE32F1" w:rsidRDefault="00BD3748" w:rsidP="00BD3748">
      <w:pPr>
        <w:rPr>
          <w:rFonts w:eastAsia="Times New Roman"/>
          <w:color w:val="000000"/>
          <w:lang w:val="es-CO"/>
        </w:rPr>
      </w:pPr>
    </w:p>
    <w:p w14:paraId="79512A08" w14:textId="71646A06" w:rsidR="00BD3748" w:rsidRPr="00EE32F1" w:rsidRDefault="006560AE" w:rsidP="00BD3748">
      <w:pPr>
        <w:ind w:firstLine="360"/>
        <w:rPr>
          <w:i/>
          <w:lang w:val="es-CO"/>
        </w:rPr>
      </w:pPr>
      <w:r>
        <w:rPr>
          <w:i/>
          <w:lang w:val="es-CO"/>
        </w:rPr>
        <w:t>Propuestos</w:t>
      </w:r>
      <w:r w:rsidR="00BD3748" w:rsidRPr="00EE32F1">
        <w:rPr>
          <w:i/>
          <w:lang w:val="es-CO"/>
        </w:rPr>
        <w:t xml:space="preserve"> por los representantes</w:t>
      </w:r>
    </w:p>
    <w:p w14:paraId="39C66706" w14:textId="77777777" w:rsidR="00BD3748" w:rsidRPr="00EE32F1" w:rsidRDefault="00BD3748" w:rsidP="00BD3748">
      <w:pPr>
        <w:ind w:firstLine="360"/>
        <w:rPr>
          <w:i/>
          <w:lang w:val="es-CO"/>
        </w:rPr>
      </w:pPr>
    </w:p>
    <w:p w14:paraId="7D9120CD" w14:textId="2CE255CC" w:rsidR="006560AE" w:rsidRDefault="006560AE" w:rsidP="006560AE">
      <w:pPr>
        <w:pStyle w:val="Prrafodelista"/>
        <w:numPr>
          <w:ilvl w:val="0"/>
          <w:numId w:val="31"/>
        </w:numPr>
        <w:autoSpaceDE w:val="0"/>
        <w:autoSpaceDN w:val="0"/>
        <w:adjustRightInd w:val="0"/>
        <w:spacing w:line="240" w:lineRule="auto"/>
        <w:ind w:left="1560"/>
        <w:jc w:val="both"/>
        <w:rPr>
          <w:rFonts w:cs="BookAntiqua"/>
          <w:lang w:val="es-ES_tradnl"/>
        </w:rPr>
      </w:pPr>
      <w:r w:rsidRPr="006560AE">
        <w:rPr>
          <w:rFonts w:cs="BookAntiqua-Bold"/>
          <w:bCs/>
          <w:i/>
          <w:lang w:val="es-ES_tradnl"/>
        </w:rPr>
        <w:t>Carlos Nicolás Pérez Lapentti</w:t>
      </w:r>
      <w:r w:rsidRPr="006560AE">
        <w:rPr>
          <w:rFonts w:cs="BookAntiqua-Bold"/>
          <w:bCs/>
          <w:lang w:val="es-ES_tradnl"/>
        </w:rPr>
        <w:t xml:space="preserve">, </w:t>
      </w:r>
      <w:r w:rsidRPr="006560AE">
        <w:rPr>
          <w:rFonts w:cs="BookAntiqua"/>
          <w:lang w:val="es-ES_tradnl"/>
        </w:rPr>
        <w:t xml:space="preserve">Presidente </w:t>
      </w:r>
      <w:r w:rsidR="007B3564">
        <w:rPr>
          <w:rFonts w:cs="BookAntiqua"/>
          <w:lang w:val="es-ES_tradnl"/>
        </w:rPr>
        <w:t xml:space="preserve">y Accionista </w:t>
      </w:r>
      <w:r w:rsidRPr="006560AE">
        <w:rPr>
          <w:rFonts w:cs="BookAntiqua"/>
          <w:lang w:val="es-ES_tradnl"/>
        </w:rPr>
        <w:t>del Diario El Univers</w:t>
      </w:r>
      <w:r w:rsidR="007B3564">
        <w:rPr>
          <w:rFonts w:cs="BookAntiqua"/>
          <w:lang w:val="es-ES_tradnl"/>
        </w:rPr>
        <w:t>o</w:t>
      </w:r>
      <w:r w:rsidR="008F3C41">
        <w:rPr>
          <w:rFonts w:cs="BookAntiqua"/>
          <w:lang w:val="es-ES_tradnl"/>
        </w:rPr>
        <w:t>,</w:t>
      </w:r>
      <w:r w:rsidRPr="006560AE">
        <w:rPr>
          <w:rFonts w:cs="BookAntiqua"/>
          <w:lang w:val="es-ES_tradnl"/>
        </w:rPr>
        <w:t xml:space="preserve"> </w:t>
      </w:r>
      <w:r w:rsidR="008F3C41">
        <w:rPr>
          <w:rFonts w:cs="BookAntiqua"/>
          <w:lang w:val="es-ES_tradnl"/>
        </w:rPr>
        <w:t>quien d</w:t>
      </w:r>
      <w:r w:rsidRPr="006560AE">
        <w:rPr>
          <w:rFonts w:cs="BookAntiqua"/>
          <w:lang w:val="es-ES_tradnl"/>
        </w:rPr>
        <w:t>eclarará sobre las amenazas en su contra por autoridades del Estado de Ecuador</w:t>
      </w:r>
      <w:r w:rsidR="008F3C41">
        <w:rPr>
          <w:rFonts w:cs="BookAntiqua"/>
          <w:lang w:val="es-ES_tradnl"/>
        </w:rPr>
        <w:t>,</w:t>
      </w:r>
      <w:r w:rsidRPr="006560AE">
        <w:rPr>
          <w:rFonts w:cs="BookAntiqua"/>
          <w:lang w:val="es-ES_tradnl"/>
        </w:rPr>
        <w:t xml:space="preserve"> sus responsabilidades editoriales en el </w:t>
      </w:r>
      <w:r w:rsidR="007B3564">
        <w:rPr>
          <w:rFonts w:cs="BookAntiqua"/>
          <w:lang w:val="es-ES_tradnl"/>
        </w:rPr>
        <w:t>D</w:t>
      </w:r>
      <w:r w:rsidRPr="006560AE">
        <w:rPr>
          <w:rFonts w:cs="BookAntiqua"/>
          <w:lang w:val="es-ES_tradnl"/>
        </w:rPr>
        <w:t>iario El Universo y la publicación del artículo</w:t>
      </w:r>
      <w:r w:rsidR="008F3C41">
        <w:rPr>
          <w:rFonts w:cs="BookAntiqua"/>
          <w:lang w:val="es-ES_tradnl"/>
        </w:rPr>
        <w:t xml:space="preserve"> de opinión “No a las mentiras”,</w:t>
      </w:r>
      <w:r w:rsidRPr="006560AE">
        <w:rPr>
          <w:rFonts w:cs="BookAntiqua"/>
          <w:lang w:val="es-ES_tradnl"/>
        </w:rPr>
        <w:t xml:space="preserve"> la acusación en su contra por el Presidente de la República Rafael Correa, el proceso judicial y la subsecuente condena penal y civil; el perdón por parte </w:t>
      </w:r>
      <w:r w:rsidR="008F3C41">
        <w:rPr>
          <w:rFonts w:cs="BookAntiqua"/>
          <w:lang w:val="es-ES_tradnl"/>
        </w:rPr>
        <w:t>de Rafael Correa,</w:t>
      </w:r>
      <w:r w:rsidRPr="006560AE">
        <w:rPr>
          <w:rFonts w:cs="BookAntiqua"/>
          <w:lang w:val="es-ES_tradnl"/>
        </w:rPr>
        <w:t xml:space="preserve"> y el impacto que tuvo todo ello sobre su vida personal y profesional, sobre su patrimonio, y sobre su vida familiar. Igualmente</w:t>
      </w:r>
      <w:r w:rsidR="008F3C41">
        <w:rPr>
          <w:rFonts w:cs="BookAntiqua"/>
          <w:lang w:val="es-ES_tradnl"/>
        </w:rPr>
        <w:t>,</w:t>
      </w:r>
      <w:r w:rsidRPr="006560AE">
        <w:rPr>
          <w:rFonts w:cs="BookAntiqua"/>
          <w:lang w:val="es-ES_tradnl"/>
        </w:rPr>
        <w:t xml:space="preserve"> </w:t>
      </w:r>
      <w:r w:rsidR="008F3C41">
        <w:rPr>
          <w:rFonts w:cs="BookAntiqua"/>
          <w:lang w:val="es-ES_tradnl"/>
        </w:rPr>
        <w:t>s</w:t>
      </w:r>
      <w:r w:rsidRPr="006560AE">
        <w:rPr>
          <w:rFonts w:cs="BookAntiqua"/>
          <w:lang w:val="es-ES_tradnl"/>
        </w:rPr>
        <w:t xml:space="preserve">e referirá al impacto que el referido proceso judicial tuvo sobre el medio de comunicación El Universo, y sobre su personal y sobre él como directivo y accionista. </w:t>
      </w:r>
    </w:p>
    <w:p w14:paraId="42FFCC94" w14:textId="77777777" w:rsidR="006560AE" w:rsidRPr="006560AE" w:rsidRDefault="006560AE" w:rsidP="006560AE">
      <w:pPr>
        <w:pStyle w:val="Prrafodelista"/>
        <w:autoSpaceDE w:val="0"/>
        <w:autoSpaceDN w:val="0"/>
        <w:adjustRightInd w:val="0"/>
        <w:spacing w:line="240" w:lineRule="auto"/>
        <w:ind w:left="1560"/>
        <w:jc w:val="both"/>
        <w:rPr>
          <w:rFonts w:cs="BookAntiqua"/>
          <w:lang w:val="es-ES_tradnl"/>
        </w:rPr>
      </w:pPr>
    </w:p>
    <w:p w14:paraId="29132445" w14:textId="770FD2E8" w:rsidR="006560AE" w:rsidRDefault="006560AE" w:rsidP="006560AE">
      <w:pPr>
        <w:pStyle w:val="Prrafodelista"/>
        <w:numPr>
          <w:ilvl w:val="0"/>
          <w:numId w:val="31"/>
        </w:numPr>
        <w:autoSpaceDE w:val="0"/>
        <w:autoSpaceDN w:val="0"/>
        <w:adjustRightInd w:val="0"/>
        <w:spacing w:line="240" w:lineRule="auto"/>
        <w:ind w:left="1560"/>
        <w:jc w:val="both"/>
        <w:rPr>
          <w:rFonts w:cs="BookAntiqua"/>
          <w:lang w:val="es-ES_tradnl"/>
        </w:rPr>
      </w:pPr>
      <w:r w:rsidRPr="006560AE">
        <w:rPr>
          <w:rFonts w:cs="BookAntiqua-Bold"/>
          <w:bCs/>
          <w:i/>
          <w:lang w:val="es-ES_tradnl"/>
        </w:rPr>
        <w:t>Carlos Eduardo Pérez Barriga</w:t>
      </w:r>
      <w:r w:rsidRPr="006560AE">
        <w:rPr>
          <w:rFonts w:cs="BookAntiqua-Bold"/>
          <w:bCs/>
          <w:lang w:val="es-ES_tradnl"/>
        </w:rPr>
        <w:t xml:space="preserve">, </w:t>
      </w:r>
      <w:r w:rsidRPr="006560AE">
        <w:rPr>
          <w:rFonts w:cs="BookAntiqua"/>
          <w:lang w:val="es-ES_tradnl"/>
        </w:rPr>
        <w:t xml:space="preserve">Vicepresidente Ejecutivo </w:t>
      </w:r>
      <w:r w:rsidR="007B3564">
        <w:rPr>
          <w:rFonts w:cs="BookAntiqua"/>
          <w:lang w:val="es-ES_tradnl"/>
        </w:rPr>
        <w:t xml:space="preserve">y Accionista </w:t>
      </w:r>
      <w:r w:rsidRPr="006560AE">
        <w:rPr>
          <w:rFonts w:cs="BookAntiqua"/>
          <w:lang w:val="es-ES_tradnl"/>
        </w:rPr>
        <w:t>del Diario El Universo</w:t>
      </w:r>
      <w:r w:rsidR="008F3C41">
        <w:rPr>
          <w:rFonts w:cs="BookAntiqua"/>
          <w:lang w:val="es-ES_tradnl"/>
        </w:rPr>
        <w:t>, quien d</w:t>
      </w:r>
      <w:r w:rsidRPr="006560AE">
        <w:rPr>
          <w:rFonts w:cs="BookAntiqua"/>
          <w:lang w:val="es-ES_tradnl"/>
        </w:rPr>
        <w:t>eclarará sobre los hechos del presente caso, particularmente sobre las amenazas en su contra por au</w:t>
      </w:r>
      <w:r w:rsidR="008F3C41">
        <w:rPr>
          <w:rFonts w:cs="BookAntiqua"/>
          <w:lang w:val="es-ES_tradnl"/>
        </w:rPr>
        <w:t>toridades del Estado de Ecuador,</w:t>
      </w:r>
      <w:r w:rsidRPr="006560AE">
        <w:rPr>
          <w:rFonts w:cs="BookAntiqua"/>
          <w:lang w:val="es-ES_tradnl"/>
        </w:rPr>
        <w:t xml:space="preserve"> sus responsabilidades editoriales en el </w:t>
      </w:r>
      <w:r w:rsidR="007B3564">
        <w:rPr>
          <w:rFonts w:cs="BookAntiqua"/>
          <w:lang w:val="es-ES_tradnl"/>
        </w:rPr>
        <w:t>D</w:t>
      </w:r>
      <w:r w:rsidRPr="006560AE">
        <w:rPr>
          <w:rFonts w:cs="BookAntiqua"/>
          <w:lang w:val="es-ES_tradnl"/>
        </w:rPr>
        <w:t>iario El Universo y la publicación del artículo</w:t>
      </w:r>
      <w:r w:rsidR="008F3C41">
        <w:rPr>
          <w:rFonts w:cs="BookAntiqua"/>
          <w:lang w:val="es-ES_tradnl"/>
        </w:rPr>
        <w:t xml:space="preserve"> de opinión “No a las mentiras”,</w:t>
      </w:r>
      <w:r w:rsidRPr="006560AE">
        <w:rPr>
          <w:rFonts w:cs="BookAntiqua"/>
          <w:lang w:val="es-ES_tradnl"/>
        </w:rPr>
        <w:t xml:space="preserve"> la acusación en su contra por el Presidente de la República Rafael Correa, el proceso judicial y la su</w:t>
      </w:r>
      <w:r w:rsidR="008F3C41">
        <w:rPr>
          <w:rFonts w:cs="BookAntiqua"/>
          <w:lang w:val="es-ES_tradnl"/>
        </w:rPr>
        <w:t>bsecuente condena penal y civil,</w:t>
      </w:r>
      <w:r w:rsidRPr="006560AE">
        <w:rPr>
          <w:rFonts w:cs="BookAntiqua"/>
          <w:lang w:val="es-ES_tradnl"/>
        </w:rPr>
        <w:t xml:space="preserve"> el perdón por parte de Rafael Corr</w:t>
      </w:r>
      <w:r w:rsidR="008F3C41">
        <w:rPr>
          <w:rFonts w:cs="BookAntiqua"/>
          <w:lang w:val="es-ES_tradnl"/>
        </w:rPr>
        <w:t>ea,</w:t>
      </w:r>
      <w:r w:rsidRPr="006560AE">
        <w:rPr>
          <w:rFonts w:cs="BookAntiqua"/>
          <w:lang w:val="es-ES_tradnl"/>
        </w:rPr>
        <w:t xml:space="preserve"> y el impacto que tuvo todo ello sobre su vida personal y profesional, sobre su patrimonio, y sob</w:t>
      </w:r>
      <w:r w:rsidR="008F3C41">
        <w:rPr>
          <w:rFonts w:cs="BookAntiqua"/>
          <w:lang w:val="es-ES_tradnl"/>
        </w:rPr>
        <w:t>re su vida familiar. Igualmente, s</w:t>
      </w:r>
      <w:r w:rsidRPr="006560AE">
        <w:rPr>
          <w:rFonts w:cs="BookAntiqua"/>
          <w:lang w:val="es-ES_tradnl"/>
        </w:rPr>
        <w:t xml:space="preserve">e referirá al impacto que el referido proceso judicial tuvo sobre el medio de comunicación El Universo, y sobre su personal y sobre él como directivo y accionista. </w:t>
      </w:r>
    </w:p>
    <w:p w14:paraId="32CC9160" w14:textId="5A6C7A26" w:rsidR="006560AE" w:rsidRDefault="006560AE" w:rsidP="006560AE">
      <w:pPr>
        <w:pStyle w:val="Prrafodelista"/>
        <w:rPr>
          <w:rFonts w:cs="BookAntiqua-Bold"/>
          <w:bCs/>
          <w:lang w:val="es-ES_tradnl"/>
        </w:rPr>
      </w:pPr>
    </w:p>
    <w:p w14:paraId="3F60F100" w14:textId="46E54026" w:rsidR="008F3C41" w:rsidRPr="00EE32F1" w:rsidRDefault="008F3C41" w:rsidP="008F3C41">
      <w:pPr>
        <w:pStyle w:val="Prrafodelista"/>
        <w:numPr>
          <w:ilvl w:val="0"/>
          <w:numId w:val="19"/>
        </w:numPr>
        <w:spacing w:line="240" w:lineRule="auto"/>
        <w:rPr>
          <w:rFonts w:eastAsia="Times New Roman"/>
          <w:b/>
          <w:i/>
          <w:iCs/>
          <w:lang w:val="es-CO"/>
        </w:rPr>
      </w:pPr>
      <w:r>
        <w:rPr>
          <w:rFonts w:eastAsia="Times New Roman"/>
          <w:b/>
          <w:i/>
          <w:iCs/>
          <w:lang w:val="es-CO"/>
        </w:rPr>
        <w:t>Testigos</w:t>
      </w:r>
    </w:p>
    <w:p w14:paraId="050A5F0D" w14:textId="77777777" w:rsidR="008F3C41" w:rsidRPr="00EE32F1" w:rsidRDefault="008F3C41" w:rsidP="008F3C41">
      <w:pPr>
        <w:rPr>
          <w:rFonts w:eastAsia="Times New Roman"/>
          <w:color w:val="000000"/>
          <w:lang w:val="es-CO"/>
        </w:rPr>
      </w:pPr>
    </w:p>
    <w:p w14:paraId="79ED2539" w14:textId="77777777" w:rsidR="008F3C41" w:rsidRPr="00EE32F1" w:rsidRDefault="008F3C41" w:rsidP="008F3C41">
      <w:pPr>
        <w:ind w:firstLine="360"/>
        <w:rPr>
          <w:i/>
          <w:lang w:val="es-CO"/>
        </w:rPr>
      </w:pPr>
      <w:r>
        <w:rPr>
          <w:i/>
          <w:lang w:val="es-CO"/>
        </w:rPr>
        <w:lastRenderedPageBreak/>
        <w:t>Propuestos</w:t>
      </w:r>
      <w:r w:rsidRPr="00EE32F1">
        <w:rPr>
          <w:i/>
          <w:lang w:val="es-CO"/>
        </w:rPr>
        <w:t xml:space="preserve"> por los representantes</w:t>
      </w:r>
    </w:p>
    <w:p w14:paraId="389D6364" w14:textId="77777777" w:rsidR="008F3C41" w:rsidRPr="006560AE" w:rsidRDefault="008F3C41" w:rsidP="006560AE">
      <w:pPr>
        <w:pStyle w:val="Prrafodelista"/>
        <w:rPr>
          <w:rFonts w:cs="BookAntiqua-Bold"/>
          <w:bCs/>
          <w:lang w:val="es-ES_tradnl"/>
        </w:rPr>
      </w:pPr>
    </w:p>
    <w:p w14:paraId="0AA56B3E" w14:textId="0A8080FC" w:rsidR="006560AE" w:rsidRDefault="006560AE" w:rsidP="008F3C41">
      <w:pPr>
        <w:pStyle w:val="Prrafodelista"/>
        <w:numPr>
          <w:ilvl w:val="0"/>
          <w:numId w:val="35"/>
        </w:numPr>
        <w:autoSpaceDE w:val="0"/>
        <w:autoSpaceDN w:val="0"/>
        <w:adjustRightInd w:val="0"/>
        <w:spacing w:line="240" w:lineRule="auto"/>
        <w:jc w:val="both"/>
        <w:rPr>
          <w:rFonts w:cs="BookAntiqua"/>
          <w:lang w:val="es-ES_tradnl"/>
        </w:rPr>
      </w:pPr>
      <w:r w:rsidRPr="006560AE">
        <w:rPr>
          <w:rFonts w:cs="BookAntiqua-Bold"/>
          <w:bCs/>
          <w:i/>
          <w:lang w:val="es-ES_tradnl"/>
        </w:rPr>
        <w:t>Leonardo Terán Parral</w:t>
      </w:r>
      <w:r w:rsidRPr="006560AE">
        <w:rPr>
          <w:rFonts w:cs="BookAntiqua-Bold"/>
          <w:bCs/>
          <w:lang w:val="es-ES_tradnl"/>
        </w:rPr>
        <w:t xml:space="preserve">, </w:t>
      </w:r>
      <w:r w:rsidRPr="006560AE">
        <w:rPr>
          <w:rFonts w:cs="BookAntiqua"/>
          <w:lang w:val="es-ES_tradnl"/>
        </w:rPr>
        <w:t>Gerente General del Diario El Universo desde 1990</w:t>
      </w:r>
      <w:r w:rsidR="008F3C41">
        <w:rPr>
          <w:rFonts w:cs="BookAntiqua"/>
          <w:lang w:val="es-ES_tradnl"/>
        </w:rPr>
        <w:t>,</w:t>
      </w:r>
      <w:r w:rsidRPr="006560AE">
        <w:rPr>
          <w:rFonts w:cs="BookAntiqua"/>
          <w:lang w:val="es-ES_tradnl"/>
        </w:rPr>
        <w:t xml:space="preserve"> </w:t>
      </w:r>
      <w:r w:rsidR="008F3C41">
        <w:rPr>
          <w:rFonts w:cs="BookAntiqua"/>
          <w:lang w:val="es-ES_tradnl"/>
        </w:rPr>
        <w:t>quien d</w:t>
      </w:r>
      <w:r w:rsidRPr="006560AE">
        <w:rPr>
          <w:rFonts w:cs="BookAntiqua"/>
          <w:lang w:val="es-ES_tradnl"/>
        </w:rPr>
        <w:t xml:space="preserve">eclarará sobre el impacto que las amenazas, ataques y el proceso penal y civil en contra de las </w:t>
      </w:r>
      <w:r w:rsidR="008F3C41">
        <w:rPr>
          <w:rFonts w:cs="BookAntiqua"/>
          <w:lang w:val="es-ES_tradnl"/>
        </w:rPr>
        <w:t xml:space="preserve">presuntas </w:t>
      </w:r>
      <w:r w:rsidRPr="006560AE">
        <w:rPr>
          <w:rFonts w:cs="BookAntiqua"/>
          <w:lang w:val="es-ES_tradnl"/>
        </w:rPr>
        <w:t xml:space="preserve">víctimas tuvo sobre los trabajadores del Diario El Universo y la relación de la empresa con las autoridades gubernamentales. </w:t>
      </w:r>
    </w:p>
    <w:p w14:paraId="67851E0D" w14:textId="77777777" w:rsidR="006560AE" w:rsidRPr="006560AE" w:rsidRDefault="006560AE" w:rsidP="006560AE">
      <w:pPr>
        <w:pStyle w:val="Prrafodelista"/>
        <w:rPr>
          <w:rFonts w:cs="BookAntiqua"/>
          <w:lang w:val="es-ES_tradnl"/>
        </w:rPr>
      </w:pPr>
    </w:p>
    <w:p w14:paraId="7B4FE5A3" w14:textId="339906DB" w:rsidR="006560AE" w:rsidRDefault="006560AE" w:rsidP="008F3C41">
      <w:pPr>
        <w:pStyle w:val="Prrafodelista"/>
        <w:numPr>
          <w:ilvl w:val="0"/>
          <w:numId w:val="35"/>
        </w:numPr>
        <w:autoSpaceDE w:val="0"/>
        <w:autoSpaceDN w:val="0"/>
        <w:adjustRightInd w:val="0"/>
        <w:spacing w:line="240" w:lineRule="auto"/>
        <w:jc w:val="both"/>
        <w:rPr>
          <w:rFonts w:cs="BookAntiqua"/>
          <w:lang w:val="es-ES_tradnl"/>
        </w:rPr>
      </w:pPr>
      <w:r w:rsidRPr="006560AE">
        <w:rPr>
          <w:rFonts w:cs="BookAntiqua-Bold"/>
          <w:bCs/>
          <w:i/>
          <w:lang w:val="es-ES_tradnl"/>
        </w:rPr>
        <w:t xml:space="preserve">Gustavo </w:t>
      </w:r>
      <w:proofErr w:type="spellStart"/>
      <w:r w:rsidRPr="006560AE">
        <w:rPr>
          <w:rFonts w:cs="BookAntiqua-Bold"/>
          <w:bCs/>
          <w:i/>
          <w:lang w:val="es-ES_tradnl"/>
        </w:rPr>
        <w:t>Cortéz</w:t>
      </w:r>
      <w:proofErr w:type="spellEnd"/>
      <w:r w:rsidRPr="006560AE">
        <w:rPr>
          <w:rFonts w:cs="BookAntiqua-Bold"/>
          <w:bCs/>
          <w:i/>
          <w:lang w:val="es-ES_tradnl"/>
        </w:rPr>
        <w:t xml:space="preserve"> </w:t>
      </w:r>
      <w:proofErr w:type="spellStart"/>
      <w:r w:rsidRPr="006560AE">
        <w:rPr>
          <w:rFonts w:cs="BookAntiqua-Bold"/>
          <w:bCs/>
          <w:i/>
          <w:lang w:val="es-ES_tradnl"/>
        </w:rPr>
        <w:t>Galecio</w:t>
      </w:r>
      <w:proofErr w:type="spellEnd"/>
      <w:r w:rsidRPr="006560AE">
        <w:rPr>
          <w:rFonts w:cs="BookAntiqua"/>
          <w:lang w:val="es-ES_tradnl"/>
        </w:rPr>
        <w:t>, Edito</w:t>
      </w:r>
      <w:r w:rsidR="008F3C41">
        <w:rPr>
          <w:rFonts w:cs="BookAntiqua"/>
          <w:lang w:val="es-ES_tradnl"/>
        </w:rPr>
        <w:t>r General de</w:t>
      </w:r>
      <w:r w:rsidR="007B3564">
        <w:rPr>
          <w:rFonts w:cs="BookAntiqua"/>
          <w:lang w:val="es-ES_tradnl"/>
        </w:rPr>
        <w:t>l</w:t>
      </w:r>
      <w:r w:rsidR="008F3C41">
        <w:rPr>
          <w:rFonts w:cs="BookAntiqua"/>
          <w:lang w:val="es-ES_tradnl"/>
        </w:rPr>
        <w:t xml:space="preserve"> Diario El Universo, quien d</w:t>
      </w:r>
      <w:r w:rsidRPr="006560AE">
        <w:rPr>
          <w:rFonts w:cs="BookAntiqua"/>
          <w:lang w:val="es-ES_tradnl"/>
        </w:rPr>
        <w:t>eclarará sobre el impacto que las amenazas, ataques y el proceso penal y civil en contra de las víctimas tuvo sobre los periodistas del Diario El Universo; así como sobre el ejercicio libre de la profesión del periodismo en el seno del medio de comunicación.</w:t>
      </w:r>
    </w:p>
    <w:p w14:paraId="17D820CA" w14:textId="77777777" w:rsidR="006560AE" w:rsidRPr="006560AE" w:rsidRDefault="006560AE" w:rsidP="006560AE">
      <w:pPr>
        <w:pStyle w:val="Prrafodelista"/>
        <w:rPr>
          <w:rFonts w:cs="BookAntiqua-Bold"/>
          <w:bCs/>
          <w:lang w:val="es-ES_tradnl"/>
        </w:rPr>
      </w:pPr>
    </w:p>
    <w:p w14:paraId="68396567" w14:textId="67FBB770" w:rsidR="006560AE" w:rsidRDefault="006560AE" w:rsidP="008F3C41">
      <w:pPr>
        <w:pStyle w:val="Prrafodelista"/>
        <w:numPr>
          <w:ilvl w:val="0"/>
          <w:numId w:val="35"/>
        </w:numPr>
        <w:autoSpaceDE w:val="0"/>
        <w:autoSpaceDN w:val="0"/>
        <w:adjustRightInd w:val="0"/>
        <w:spacing w:line="240" w:lineRule="auto"/>
        <w:jc w:val="both"/>
        <w:rPr>
          <w:rFonts w:cs="BookAntiqua"/>
          <w:lang w:val="es-ES_tradnl"/>
        </w:rPr>
      </w:pPr>
      <w:r w:rsidRPr="006560AE">
        <w:rPr>
          <w:rFonts w:cs="BookAntiqua-Bold"/>
          <w:bCs/>
          <w:i/>
          <w:lang w:val="es-ES_tradnl"/>
        </w:rPr>
        <w:t xml:space="preserve">Sugey </w:t>
      </w:r>
      <w:proofErr w:type="spellStart"/>
      <w:r w:rsidRPr="006560AE">
        <w:rPr>
          <w:rFonts w:cs="BookAntiqua-Bold"/>
          <w:bCs/>
          <w:i/>
          <w:lang w:val="es-ES_tradnl"/>
        </w:rPr>
        <w:t>Hajjar</w:t>
      </w:r>
      <w:proofErr w:type="spellEnd"/>
      <w:r w:rsidRPr="006560AE">
        <w:rPr>
          <w:rFonts w:cs="BookAntiqua-Bold"/>
          <w:bCs/>
          <w:i/>
          <w:lang w:val="es-ES_tradnl"/>
        </w:rPr>
        <w:t xml:space="preserve"> Sánchez</w:t>
      </w:r>
      <w:r w:rsidRPr="006560AE">
        <w:rPr>
          <w:rFonts w:cs="BookAntiqua"/>
          <w:lang w:val="es-ES_tradnl"/>
        </w:rPr>
        <w:t>, p</w:t>
      </w:r>
      <w:r w:rsidR="008F3C41">
        <w:rPr>
          <w:rFonts w:cs="BookAntiqua"/>
          <w:lang w:val="es-ES_tradnl"/>
        </w:rPr>
        <w:t>eriodista de Diario El Universo, quien d</w:t>
      </w:r>
      <w:r w:rsidRPr="006560AE">
        <w:rPr>
          <w:rFonts w:cs="BookAntiqua"/>
          <w:lang w:val="es-ES_tradnl"/>
        </w:rPr>
        <w:t>eclarará sobre el impacto que las amenazas, ataques y el proceso penal y civil en contra de las víctimas tuvo sobre el ejercicio de su profesión y el de sus colegas, tanto dentro como fuera del Diario El Universo.</w:t>
      </w:r>
    </w:p>
    <w:p w14:paraId="5E624ED4" w14:textId="77777777" w:rsidR="006560AE" w:rsidRPr="006560AE" w:rsidRDefault="006560AE" w:rsidP="006560AE">
      <w:pPr>
        <w:pStyle w:val="Prrafodelista"/>
        <w:rPr>
          <w:rFonts w:cs="BookAntiqua-Bold"/>
          <w:bCs/>
          <w:lang w:val="es-ES_tradnl"/>
        </w:rPr>
      </w:pPr>
    </w:p>
    <w:p w14:paraId="0B6B1D3C" w14:textId="465A852D" w:rsidR="00BD3748" w:rsidRPr="006560AE" w:rsidRDefault="006560AE" w:rsidP="008F3C41">
      <w:pPr>
        <w:pStyle w:val="Prrafodelista"/>
        <w:numPr>
          <w:ilvl w:val="0"/>
          <w:numId w:val="35"/>
        </w:numPr>
        <w:autoSpaceDE w:val="0"/>
        <w:autoSpaceDN w:val="0"/>
        <w:adjustRightInd w:val="0"/>
        <w:spacing w:line="240" w:lineRule="auto"/>
        <w:jc w:val="both"/>
        <w:rPr>
          <w:rFonts w:cs="BookAntiqua"/>
          <w:lang w:val="es-ES_tradnl"/>
        </w:rPr>
      </w:pPr>
      <w:proofErr w:type="spellStart"/>
      <w:r w:rsidRPr="006560AE">
        <w:rPr>
          <w:rFonts w:cs="BookAntiqua-Bold"/>
          <w:bCs/>
          <w:i/>
          <w:lang w:val="es-ES_tradnl"/>
        </w:rPr>
        <w:t>Mindy</w:t>
      </w:r>
      <w:proofErr w:type="spellEnd"/>
      <w:r w:rsidRPr="006560AE">
        <w:rPr>
          <w:rFonts w:cs="BookAntiqua-Bold"/>
          <w:bCs/>
          <w:i/>
          <w:lang w:val="es-ES_tradnl"/>
        </w:rPr>
        <w:t xml:space="preserve"> de Palacio</w:t>
      </w:r>
      <w:r w:rsidRPr="006560AE">
        <w:rPr>
          <w:rFonts w:cs="BookAntiqua-Bold"/>
          <w:bCs/>
          <w:lang w:val="es-ES_tradnl"/>
        </w:rPr>
        <w:t xml:space="preserve">, </w:t>
      </w:r>
      <w:r w:rsidRPr="006560AE">
        <w:rPr>
          <w:rFonts w:cs="BookAntiqua"/>
          <w:lang w:val="es-ES_tradnl"/>
        </w:rPr>
        <w:t xml:space="preserve">esposa de Emilio Palacio, quien </w:t>
      </w:r>
      <w:r w:rsidR="008F3C41">
        <w:rPr>
          <w:rFonts w:cs="BookAntiqua"/>
          <w:lang w:val="es-ES_tradnl"/>
        </w:rPr>
        <w:t>declarará</w:t>
      </w:r>
      <w:r w:rsidRPr="006560AE">
        <w:rPr>
          <w:rFonts w:cs="BookAntiqua"/>
          <w:lang w:val="es-ES_tradnl"/>
        </w:rPr>
        <w:t xml:space="preserve"> sobre las vivencias de ella y su familia como consecuencia de la persecución que se llevó a cabo en contra de Emilio Palacio</w:t>
      </w:r>
      <w:r w:rsidR="008F3C41">
        <w:rPr>
          <w:rFonts w:cs="BookAntiqua"/>
          <w:lang w:val="es-ES_tradnl"/>
        </w:rPr>
        <w:t>,</w:t>
      </w:r>
      <w:r w:rsidRPr="006560AE">
        <w:rPr>
          <w:rFonts w:cs="BookAntiqua"/>
          <w:lang w:val="es-ES_tradnl"/>
        </w:rPr>
        <w:t xml:space="preserve"> al igual que el impacto que derivó de ello y los daños en el proyecto de vida de Emilio Palacio y su familia.</w:t>
      </w:r>
    </w:p>
    <w:p w14:paraId="0FB2A7B3" w14:textId="77777777" w:rsidR="00BD3748" w:rsidRPr="006560AE" w:rsidRDefault="00BD3748" w:rsidP="00BD3748">
      <w:pPr>
        <w:contextualSpacing/>
        <w:rPr>
          <w:rFonts w:eastAsia="Times New Roman"/>
          <w:lang w:val="es-CO"/>
        </w:rPr>
      </w:pPr>
    </w:p>
    <w:p w14:paraId="53D837CC" w14:textId="77777777" w:rsidR="00BD3748" w:rsidRPr="009B45CF" w:rsidRDefault="00BD3748" w:rsidP="00BD3748">
      <w:pPr>
        <w:pStyle w:val="Prrafodelista"/>
        <w:numPr>
          <w:ilvl w:val="0"/>
          <w:numId w:val="19"/>
        </w:numPr>
        <w:spacing w:line="240" w:lineRule="auto"/>
        <w:rPr>
          <w:rFonts w:eastAsia="Times New Roman"/>
          <w:b/>
          <w:i/>
          <w:iCs/>
          <w:lang w:val="es-CO"/>
        </w:rPr>
      </w:pPr>
      <w:r w:rsidRPr="009B45CF">
        <w:rPr>
          <w:rFonts w:eastAsia="Times New Roman"/>
          <w:b/>
          <w:i/>
          <w:iCs/>
          <w:lang w:val="es-CO"/>
        </w:rPr>
        <w:t>Peritos</w:t>
      </w:r>
    </w:p>
    <w:p w14:paraId="28E168AC" w14:textId="77777777" w:rsidR="00BD3748" w:rsidRPr="006560AE" w:rsidRDefault="00BD3748" w:rsidP="00BD3748">
      <w:pPr>
        <w:contextualSpacing/>
        <w:rPr>
          <w:rFonts w:eastAsia="Times New Roman"/>
          <w:color w:val="000000"/>
          <w:lang w:val="es-CO"/>
        </w:rPr>
      </w:pPr>
    </w:p>
    <w:p w14:paraId="6A7966F9" w14:textId="77777777" w:rsidR="00BD3748" w:rsidRPr="006560AE" w:rsidRDefault="00BD3748" w:rsidP="00BD3748">
      <w:pPr>
        <w:ind w:firstLine="426"/>
        <w:rPr>
          <w:i/>
          <w:lang w:val="es-CO"/>
        </w:rPr>
      </w:pPr>
      <w:r w:rsidRPr="006560AE">
        <w:rPr>
          <w:i/>
          <w:lang w:val="es-CO"/>
        </w:rPr>
        <w:t xml:space="preserve">Propuestos por los representantes </w:t>
      </w:r>
    </w:p>
    <w:p w14:paraId="4E704C27" w14:textId="77777777" w:rsidR="00BD3748" w:rsidRPr="006560AE" w:rsidRDefault="00BD3748" w:rsidP="00BD3748">
      <w:pPr>
        <w:ind w:left="1440"/>
        <w:rPr>
          <w:lang w:val="es-CO"/>
        </w:rPr>
      </w:pPr>
    </w:p>
    <w:p w14:paraId="335ACC89" w14:textId="110DA937" w:rsidR="007E433E" w:rsidRDefault="006560AE" w:rsidP="00707A17">
      <w:pPr>
        <w:pStyle w:val="Prrafodelista"/>
        <w:numPr>
          <w:ilvl w:val="0"/>
          <w:numId w:val="32"/>
        </w:numPr>
        <w:autoSpaceDE w:val="0"/>
        <w:autoSpaceDN w:val="0"/>
        <w:adjustRightInd w:val="0"/>
        <w:spacing w:line="240" w:lineRule="auto"/>
        <w:ind w:left="1560"/>
        <w:jc w:val="both"/>
        <w:rPr>
          <w:rFonts w:cs="BookAntiqua"/>
          <w:lang w:val="es-ES_tradnl"/>
        </w:rPr>
      </w:pPr>
      <w:r w:rsidRPr="007E433E">
        <w:rPr>
          <w:rFonts w:cs="BookAntiqua-Bold"/>
          <w:bCs/>
          <w:i/>
          <w:lang w:val="es-ES_tradnl"/>
        </w:rPr>
        <w:t>Fausto Ortiz de la Cadena</w:t>
      </w:r>
      <w:r w:rsidRPr="007E433E">
        <w:rPr>
          <w:rFonts w:cs="BookAntiqua"/>
          <w:lang w:val="es-ES_tradnl"/>
        </w:rPr>
        <w:t xml:space="preserve">, economista, </w:t>
      </w:r>
      <w:r w:rsidR="008F3C41">
        <w:rPr>
          <w:rFonts w:cs="BookAntiqua"/>
          <w:lang w:val="es-ES_tradnl"/>
        </w:rPr>
        <w:t>quien p</w:t>
      </w:r>
      <w:r w:rsidRPr="007E433E">
        <w:rPr>
          <w:rFonts w:cs="BookAntiqua"/>
          <w:lang w:val="es-ES_tradnl"/>
        </w:rPr>
        <w:t>resentará un informe técnico-contable sobre la determinación de los daños materiales y lucro cesante causados en perjuicio de las víctimas en el presente caso: i</w:t>
      </w:r>
      <w:r w:rsidR="00B17E2B">
        <w:rPr>
          <w:rFonts w:cs="BookAntiqua"/>
          <w:lang w:val="es-ES_tradnl"/>
        </w:rPr>
        <w:t>)</w:t>
      </w:r>
      <w:r w:rsidRPr="007E433E">
        <w:rPr>
          <w:rFonts w:cs="BookAntiqua"/>
          <w:lang w:val="es-ES_tradnl"/>
        </w:rPr>
        <w:t xml:space="preserve"> Emilio Palacio, como consecuencia de los </w:t>
      </w:r>
      <w:r w:rsidR="00C81033">
        <w:rPr>
          <w:rFonts w:cs="BookAntiqua"/>
          <w:lang w:val="es-ES_tradnl"/>
        </w:rPr>
        <w:t xml:space="preserve">alegados </w:t>
      </w:r>
      <w:r w:rsidRPr="007E433E">
        <w:rPr>
          <w:rFonts w:cs="BookAntiqua"/>
          <w:lang w:val="es-ES_tradnl"/>
        </w:rPr>
        <w:t>ataques y la persecución con el proceso penal y civil por la acusación en su contra por el Presidente de la República Rafael Correa</w:t>
      </w:r>
      <w:r w:rsidR="00B17E2B">
        <w:rPr>
          <w:rFonts w:cs="BookAntiqua"/>
          <w:lang w:val="es-ES_tradnl"/>
        </w:rPr>
        <w:t>,</w:t>
      </w:r>
      <w:r w:rsidRPr="007E433E">
        <w:rPr>
          <w:rFonts w:cs="BookAntiqua"/>
          <w:lang w:val="es-ES_tradnl"/>
        </w:rPr>
        <w:t xml:space="preserve"> y la ulterior condena judicial al pago de los daños y</w:t>
      </w:r>
      <w:r w:rsidR="00DE56DE">
        <w:rPr>
          <w:rFonts w:cs="BookAntiqua"/>
          <w:lang w:val="es-ES_tradnl"/>
        </w:rPr>
        <w:t xml:space="preserve"> </w:t>
      </w:r>
      <w:r w:rsidRPr="007E433E">
        <w:rPr>
          <w:rFonts w:cs="BookAntiqua"/>
          <w:lang w:val="es-ES_tradnl"/>
        </w:rPr>
        <w:t>perjuicios, y sus consecuencias</w:t>
      </w:r>
      <w:r w:rsidR="00B17E2B">
        <w:rPr>
          <w:rFonts w:cs="BookAntiqua"/>
          <w:lang w:val="es-ES_tradnl"/>
        </w:rPr>
        <w:t>,</w:t>
      </w:r>
      <w:r w:rsidRPr="007E433E">
        <w:rPr>
          <w:rFonts w:cs="BookAntiqua"/>
          <w:lang w:val="es-ES_tradnl"/>
        </w:rPr>
        <w:t xml:space="preserve"> y </w:t>
      </w:r>
      <w:proofErr w:type="spellStart"/>
      <w:r w:rsidRPr="007E433E">
        <w:rPr>
          <w:rFonts w:cs="BookAntiqua"/>
          <w:lang w:val="es-ES_tradnl"/>
        </w:rPr>
        <w:t>ii</w:t>
      </w:r>
      <w:proofErr w:type="spellEnd"/>
      <w:r w:rsidR="00B17E2B">
        <w:rPr>
          <w:rFonts w:cs="BookAntiqua"/>
          <w:lang w:val="es-ES_tradnl"/>
        </w:rPr>
        <w:t>)</w:t>
      </w:r>
      <w:r w:rsidRPr="007E433E">
        <w:rPr>
          <w:rFonts w:cs="BookAntiqua"/>
          <w:lang w:val="es-ES_tradnl"/>
        </w:rPr>
        <w:t xml:space="preserve"> Carlos Nicolás Pérez Lapentti, Carlos Eduardo Pérez Barriga y Cesar Enrique Pérez Barriga, como accionistas y directivos de la empresa de comunicación social, Compañía Anónima El Universo, como consecuencia de los</w:t>
      </w:r>
      <w:r w:rsidR="00C81033">
        <w:rPr>
          <w:rFonts w:cs="BookAntiqua"/>
          <w:lang w:val="es-ES_tradnl"/>
        </w:rPr>
        <w:t xml:space="preserve"> alegados</w:t>
      </w:r>
      <w:r w:rsidRPr="007E433E">
        <w:rPr>
          <w:rFonts w:cs="BookAntiqua"/>
          <w:lang w:val="es-ES_tradnl"/>
        </w:rPr>
        <w:t xml:space="preserve"> ataques y la persecución con el proceso penal y civil por la acusación en contra de ellos y del medio por el Presidente de la República Rafael Correa</w:t>
      </w:r>
      <w:r w:rsidR="00B17E2B">
        <w:rPr>
          <w:rFonts w:cs="BookAntiqua"/>
          <w:lang w:val="es-ES_tradnl"/>
        </w:rPr>
        <w:t>,</w:t>
      </w:r>
      <w:r w:rsidRPr="007E433E">
        <w:rPr>
          <w:rFonts w:cs="BookAntiqua"/>
          <w:lang w:val="es-ES_tradnl"/>
        </w:rPr>
        <w:t xml:space="preserve"> y la ulterior condena judicial al pago de los daños y perjuicios, y sus consecuencias.</w:t>
      </w:r>
    </w:p>
    <w:p w14:paraId="5418C003" w14:textId="77777777" w:rsidR="007E433E" w:rsidRPr="007E433E" w:rsidRDefault="007E433E" w:rsidP="00707A17">
      <w:pPr>
        <w:pStyle w:val="Prrafodelista"/>
        <w:jc w:val="both"/>
        <w:rPr>
          <w:rFonts w:cs="BookAntiqua-Bold"/>
          <w:bCs/>
          <w:lang w:val="es-ES_tradnl"/>
        </w:rPr>
      </w:pPr>
    </w:p>
    <w:p w14:paraId="4D66FE2A" w14:textId="1ECCF702" w:rsidR="007E433E" w:rsidRDefault="006560AE" w:rsidP="00707A17">
      <w:pPr>
        <w:pStyle w:val="Prrafodelista"/>
        <w:numPr>
          <w:ilvl w:val="0"/>
          <w:numId w:val="32"/>
        </w:numPr>
        <w:autoSpaceDE w:val="0"/>
        <w:autoSpaceDN w:val="0"/>
        <w:adjustRightInd w:val="0"/>
        <w:spacing w:line="240" w:lineRule="auto"/>
        <w:ind w:left="1560"/>
        <w:jc w:val="both"/>
        <w:rPr>
          <w:rFonts w:cs="BookAntiqua"/>
          <w:lang w:val="es-ES_tradnl"/>
        </w:rPr>
      </w:pPr>
      <w:r w:rsidRPr="007E433E">
        <w:rPr>
          <w:rFonts w:cs="BookAntiqua-Bold"/>
          <w:bCs/>
          <w:i/>
          <w:lang w:val="es-ES_tradnl"/>
        </w:rPr>
        <w:t>Manuel García</w:t>
      </w:r>
      <w:r w:rsidRPr="007E433E">
        <w:rPr>
          <w:rFonts w:cs="BookAntiqua-Bold"/>
          <w:bCs/>
          <w:lang w:val="es-ES_tradnl"/>
        </w:rPr>
        <w:t xml:space="preserve">, psiquiatra, </w:t>
      </w:r>
      <w:r w:rsidRPr="007E433E">
        <w:rPr>
          <w:rFonts w:cs="BookAntiqua"/>
          <w:lang w:val="es-ES_tradnl"/>
        </w:rPr>
        <w:t>quien declarará sobre los daños morales ocasionados a Emilio Palacio Urrutia, así como las repercusiones que los hechos del caso tuvieron en él desde el punto de vista personal, familiar y laboral.</w:t>
      </w:r>
    </w:p>
    <w:p w14:paraId="69B7DC35" w14:textId="77777777" w:rsidR="007E433E" w:rsidRPr="007E433E" w:rsidRDefault="007E433E" w:rsidP="00707A17">
      <w:pPr>
        <w:pStyle w:val="Prrafodelista"/>
        <w:jc w:val="both"/>
        <w:rPr>
          <w:rFonts w:cs="BookAntiqua-Bold"/>
          <w:bCs/>
          <w:lang w:val="es-ES_tradnl"/>
        </w:rPr>
      </w:pPr>
    </w:p>
    <w:p w14:paraId="53370CD0" w14:textId="7AE510C1" w:rsidR="006560AE" w:rsidRPr="007E433E" w:rsidRDefault="006560AE" w:rsidP="00707A17">
      <w:pPr>
        <w:pStyle w:val="Prrafodelista"/>
        <w:numPr>
          <w:ilvl w:val="0"/>
          <w:numId w:val="32"/>
        </w:numPr>
        <w:autoSpaceDE w:val="0"/>
        <w:autoSpaceDN w:val="0"/>
        <w:adjustRightInd w:val="0"/>
        <w:spacing w:line="240" w:lineRule="auto"/>
        <w:ind w:left="1560"/>
        <w:jc w:val="both"/>
        <w:rPr>
          <w:rFonts w:cs="BookAntiqua"/>
          <w:lang w:val="es-ES_tradnl"/>
        </w:rPr>
      </w:pPr>
      <w:r w:rsidRPr="007E433E">
        <w:rPr>
          <w:rFonts w:cs="BookAntiqua-Bold"/>
          <w:bCs/>
          <w:i/>
          <w:lang w:val="es-ES_tradnl"/>
        </w:rPr>
        <w:t>Juan José Fabre Plaza</w:t>
      </w:r>
      <w:r w:rsidRPr="007E433E">
        <w:rPr>
          <w:rFonts w:cs="BookAntiqua-Bold"/>
          <w:bCs/>
          <w:lang w:val="es-ES_tradnl"/>
        </w:rPr>
        <w:t xml:space="preserve">, </w:t>
      </w:r>
      <w:r w:rsidRPr="007E433E">
        <w:rPr>
          <w:rFonts w:cs="BookAntiqua"/>
          <w:lang w:val="es-ES_tradnl"/>
        </w:rPr>
        <w:t xml:space="preserve">psiquiatra, quien </w:t>
      </w:r>
      <w:r w:rsidR="00DE56DE">
        <w:rPr>
          <w:rFonts w:cs="BookAntiqua"/>
          <w:lang w:val="es-ES_tradnl"/>
        </w:rPr>
        <w:t>d</w:t>
      </w:r>
      <w:r w:rsidRPr="007E433E">
        <w:rPr>
          <w:rFonts w:cs="BookAntiqua"/>
          <w:lang w:val="es-ES_tradnl"/>
        </w:rPr>
        <w:t>eclarará sobre los daños morales ocasionados a Carlos Nicolás Pérez Lapentti, Carlos Eduardo Pérez Barriga y Cesar Enrique Pérez Barriga, así como las repercusiones que los hechos del caso tuvieron en ellos desde el punto de vista personal, familiar y laboral.</w:t>
      </w:r>
    </w:p>
    <w:p w14:paraId="6A055FE0" w14:textId="77777777" w:rsidR="00BD3748" w:rsidRPr="00EE32F1" w:rsidRDefault="00BD3748" w:rsidP="00707A17">
      <w:pPr>
        <w:jc w:val="both"/>
        <w:rPr>
          <w:lang w:val="es-CO"/>
        </w:rPr>
      </w:pPr>
    </w:p>
    <w:p w14:paraId="6B3BF435" w14:textId="6053FCC2" w:rsidR="00BD3748" w:rsidRPr="00EE32F1" w:rsidRDefault="00BD3748" w:rsidP="00707A17">
      <w:pPr>
        <w:ind w:firstLine="426"/>
        <w:jc w:val="both"/>
        <w:rPr>
          <w:i/>
          <w:lang w:val="es-CO"/>
        </w:rPr>
      </w:pPr>
      <w:r w:rsidRPr="00EE32F1">
        <w:rPr>
          <w:i/>
          <w:lang w:val="es-CO"/>
        </w:rPr>
        <w:t>Propuest</w:t>
      </w:r>
      <w:r w:rsidR="006560AE">
        <w:rPr>
          <w:i/>
          <w:lang w:val="es-CO"/>
        </w:rPr>
        <w:t>os</w:t>
      </w:r>
      <w:r w:rsidRPr="00EE32F1">
        <w:rPr>
          <w:i/>
          <w:lang w:val="es-CO"/>
        </w:rPr>
        <w:t xml:space="preserve"> por el Estado</w:t>
      </w:r>
    </w:p>
    <w:p w14:paraId="76147B4E" w14:textId="77777777" w:rsidR="00BD3748" w:rsidRPr="00EE32F1" w:rsidRDefault="00BD3748" w:rsidP="00707A17">
      <w:pPr>
        <w:jc w:val="both"/>
        <w:rPr>
          <w:i/>
          <w:lang w:val="es-CO"/>
        </w:rPr>
      </w:pPr>
    </w:p>
    <w:p w14:paraId="354A7B93" w14:textId="1BDEE358" w:rsidR="007E433E" w:rsidRPr="00DE56DE" w:rsidRDefault="006560AE" w:rsidP="00707A17">
      <w:pPr>
        <w:pStyle w:val="Prrafodelista"/>
        <w:numPr>
          <w:ilvl w:val="0"/>
          <w:numId w:val="33"/>
        </w:numPr>
        <w:autoSpaceDE w:val="0"/>
        <w:autoSpaceDN w:val="0"/>
        <w:adjustRightInd w:val="0"/>
        <w:spacing w:line="240" w:lineRule="auto"/>
        <w:ind w:left="1560"/>
        <w:jc w:val="both"/>
        <w:rPr>
          <w:rFonts w:cs="Symbol"/>
          <w:lang w:val="es-ES_tradnl"/>
        </w:rPr>
      </w:pPr>
      <w:r w:rsidRPr="00DE56DE">
        <w:rPr>
          <w:rFonts w:cs="Times New Roman"/>
          <w:i/>
          <w:lang w:val="es-ES_tradnl"/>
        </w:rPr>
        <w:t>Mauricio Santiago Sosa</w:t>
      </w:r>
      <w:r w:rsidR="008E5D6A">
        <w:rPr>
          <w:rFonts w:cs="Times New Roman"/>
          <w:i/>
          <w:lang w:val="es-ES_tradnl"/>
        </w:rPr>
        <w:t xml:space="preserve"> Chiriboga</w:t>
      </w:r>
      <w:r w:rsidRPr="00DE56DE">
        <w:rPr>
          <w:rFonts w:cs="Times New Roman"/>
          <w:lang w:val="es-ES_tradnl"/>
        </w:rPr>
        <w:t>,</w:t>
      </w:r>
      <w:r w:rsidR="00DE56DE" w:rsidRPr="00DE56DE">
        <w:rPr>
          <w:rFonts w:cs="Times New Roman"/>
          <w:lang w:val="es-ES_tradnl"/>
        </w:rPr>
        <w:t xml:space="preserve"> ingeniero,</w:t>
      </w:r>
      <w:r w:rsidRPr="00DE56DE">
        <w:rPr>
          <w:rFonts w:cs="Times New Roman"/>
          <w:lang w:val="es-ES_tradnl"/>
        </w:rPr>
        <w:t xml:space="preserve"> quien presentará un Informe comparativo sobre la situación financiera tanto de la Compañía Anónima El Universo como del señor Emilio Palacio Urrutia, durante el período comprendido entre los años </w:t>
      </w:r>
      <w:r w:rsidR="00DE56DE" w:rsidRPr="00DE56DE">
        <w:rPr>
          <w:rFonts w:cs="Times New Roman"/>
          <w:lang w:val="es-ES_tradnl"/>
        </w:rPr>
        <w:t>2009 a 2020</w:t>
      </w:r>
      <w:r w:rsidRPr="00DE56DE">
        <w:rPr>
          <w:rFonts w:cs="Times New Roman"/>
          <w:lang w:val="es-ES_tradnl"/>
        </w:rPr>
        <w:t>, a partir de la información tributaria presentada en dicho período.</w:t>
      </w:r>
    </w:p>
    <w:p w14:paraId="2D552EBC" w14:textId="77777777" w:rsidR="00DE56DE" w:rsidRPr="00DE56DE" w:rsidRDefault="00DE56DE" w:rsidP="00DE56DE">
      <w:pPr>
        <w:pStyle w:val="Prrafodelista"/>
        <w:autoSpaceDE w:val="0"/>
        <w:autoSpaceDN w:val="0"/>
        <w:adjustRightInd w:val="0"/>
        <w:spacing w:line="240" w:lineRule="auto"/>
        <w:ind w:left="1560"/>
        <w:jc w:val="both"/>
        <w:rPr>
          <w:rFonts w:cs="Symbol"/>
          <w:lang w:val="es-ES_tradnl"/>
        </w:rPr>
      </w:pPr>
    </w:p>
    <w:p w14:paraId="0ACB4877" w14:textId="59C5C6D5" w:rsidR="00BD3748" w:rsidRPr="00DE56DE" w:rsidRDefault="006560AE" w:rsidP="00707A17">
      <w:pPr>
        <w:pStyle w:val="Prrafodelista"/>
        <w:numPr>
          <w:ilvl w:val="0"/>
          <w:numId w:val="33"/>
        </w:numPr>
        <w:autoSpaceDE w:val="0"/>
        <w:autoSpaceDN w:val="0"/>
        <w:adjustRightInd w:val="0"/>
        <w:spacing w:line="240" w:lineRule="auto"/>
        <w:ind w:left="1560"/>
        <w:jc w:val="both"/>
        <w:rPr>
          <w:rFonts w:cs="Symbol"/>
          <w:lang w:val="es-ES_tradnl"/>
        </w:rPr>
      </w:pPr>
      <w:r w:rsidRPr="00DE56DE">
        <w:rPr>
          <w:rFonts w:cs="Times New Roman"/>
          <w:i/>
          <w:lang w:val="es-ES_tradnl"/>
        </w:rPr>
        <w:t>Gloria Paulina Serrano Ojeda</w:t>
      </w:r>
      <w:r w:rsidRPr="00DE56DE">
        <w:rPr>
          <w:rFonts w:cs="Times New Roman"/>
          <w:lang w:val="es-ES_tradnl"/>
        </w:rPr>
        <w:t>,</w:t>
      </w:r>
      <w:r w:rsidR="00DE56DE">
        <w:rPr>
          <w:rFonts w:cs="Times New Roman"/>
          <w:lang w:val="es-ES_tradnl"/>
        </w:rPr>
        <w:t xml:space="preserve"> ingeniera,</w:t>
      </w:r>
      <w:r w:rsidRPr="00DE56DE">
        <w:rPr>
          <w:rFonts w:cs="Times New Roman"/>
          <w:lang w:val="es-ES_tradnl"/>
        </w:rPr>
        <w:t xml:space="preserve"> quien presentará un Informe comparativo sobre la situación financiera de la Compañía Anónima El Universo, durante el período comprendido entre los años 2009 a 20</w:t>
      </w:r>
      <w:r w:rsidR="00DE56DE">
        <w:rPr>
          <w:rFonts w:cs="Times New Roman"/>
          <w:lang w:val="es-ES_tradnl"/>
        </w:rPr>
        <w:t>20</w:t>
      </w:r>
      <w:r w:rsidRPr="00DE56DE">
        <w:rPr>
          <w:rFonts w:cs="Times New Roman"/>
          <w:lang w:val="es-ES_tradnl"/>
        </w:rPr>
        <w:t>, a partir de la información societaria, contable e informes de auditoría presentados en dicho período de tiempo.</w:t>
      </w:r>
    </w:p>
    <w:p w14:paraId="33A7AAB7" w14:textId="740EF400" w:rsidR="00BD3748" w:rsidRDefault="00BD3748" w:rsidP="00707A17">
      <w:pPr>
        <w:jc w:val="both"/>
        <w:rPr>
          <w:lang w:val="es-CO"/>
        </w:rPr>
      </w:pPr>
    </w:p>
    <w:p w14:paraId="6099B6F5" w14:textId="09612D4F" w:rsidR="001619EC" w:rsidRPr="00EE32F1" w:rsidRDefault="001619EC" w:rsidP="00707A17">
      <w:pPr>
        <w:ind w:firstLine="426"/>
        <w:jc w:val="both"/>
        <w:rPr>
          <w:i/>
          <w:lang w:val="es-CO"/>
        </w:rPr>
      </w:pPr>
      <w:r w:rsidRPr="00EE32F1">
        <w:rPr>
          <w:i/>
          <w:lang w:val="es-CO"/>
        </w:rPr>
        <w:t>Propuest</w:t>
      </w:r>
      <w:r>
        <w:rPr>
          <w:i/>
          <w:lang w:val="es-CO"/>
        </w:rPr>
        <w:t>a</w:t>
      </w:r>
      <w:r w:rsidRPr="00EE32F1">
        <w:rPr>
          <w:i/>
          <w:lang w:val="es-CO"/>
        </w:rPr>
        <w:t xml:space="preserve"> por </w:t>
      </w:r>
      <w:r>
        <w:rPr>
          <w:i/>
          <w:lang w:val="es-CO"/>
        </w:rPr>
        <w:t>la Comisión</w:t>
      </w:r>
    </w:p>
    <w:p w14:paraId="040CCB05" w14:textId="77777777" w:rsidR="001619EC" w:rsidRPr="00EE32F1" w:rsidRDefault="001619EC" w:rsidP="00707A17">
      <w:pPr>
        <w:jc w:val="both"/>
        <w:rPr>
          <w:i/>
          <w:lang w:val="es-CO"/>
        </w:rPr>
      </w:pPr>
    </w:p>
    <w:p w14:paraId="79D53583" w14:textId="1264D6D4" w:rsidR="001619EC" w:rsidRPr="001619EC" w:rsidRDefault="001619EC" w:rsidP="00707A17">
      <w:pPr>
        <w:pStyle w:val="Prrafodelista"/>
        <w:numPr>
          <w:ilvl w:val="0"/>
          <w:numId w:val="34"/>
        </w:numPr>
        <w:autoSpaceDE w:val="0"/>
        <w:autoSpaceDN w:val="0"/>
        <w:adjustRightInd w:val="0"/>
        <w:spacing w:line="240" w:lineRule="auto"/>
        <w:ind w:left="1560"/>
        <w:jc w:val="both"/>
        <w:rPr>
          <w:rFonts w:cs="Symbol"/>
          <w:lang w:val="es-ES_tradnl"/>
        </w:rPr>
      </w:pPr>
      <w:r w:rsidRPr="001619EC">
        <w:rPr>
          <w:rFonts w:cs="Times New Roman"/>
          <w:i/>
          <w:lang w:val="es-ES_tradnl"/>
        </w:rPr>
        <w:t xml:space="preserve">Marina </w:t>
      </w:r>
      <w:proofErr w:type="spellStart"/>
      <w:r w:rsidRPr="001619EC">
        <w:rPr>
          <w:rFonts w:cs="Times New Roman"/>
          <w:i/>
          <w:lang w:val="es-ES_tradnl"/>
        </w:rPr>
        <w:t>Brilman</w:t>
      </w:r>
      <w:proofErr w:type="spellEnd"/>
      <w:r w:rsidRPr="001619EC">
        <w:rPr>
          <w:rFonts w:cs="Times New Roman"/>
          <w:lang w:val="es-ES_tradnl"/>
        </w:rPr>
        <w:t xml:space="preserve">, </w:t>
      </w:r>
      <w:r w:rsidR="00DE56DE">
        <w:rPr>
          <w:rFonts w:cs="Times New Roman"/>
          <w:lang w:val="es-ES_tradnl"/>
        </w:rPr>
        <w:t xml:space="preserve">abogada, </w:t>
      </w:r>
      <w:r w:rsidRPr="001619EC">
        <w:rPr>
          <w:rFonts w:cs="Times New Roman"/>
          <w:lang w:val="es-ES_tradnl"/>
        </w:rPr>
        <w:t xml:space="preserve">quien </w:t>
      </w:r>
      <w:r w:rsidRPr="001619EC">
        <w:t xml:space="preserve">declarará sobre </w:t>
      </w:r>
      <w:r w:rsidRPr="001619EC">
        <w:rPr>
          <w:rFonts w:cs="Times New Roman"/>
          <w:lang w:val="es-ES_tradnl"/>
        </w:rPr>
        <w:t xml:space="preserve">las garantías de independencia e imparcialidad con las que deben contar los órganos judiciales frente a presiones externas en procesos penales relacionados con periodistas y medios de comunicación. Asimismo, </w:t>
      </w:r>
      <w:r w:rsidR="00DE56DE">
        <w:rPr>
          <w:rFonts w:cs="Times New Roman"/>
          <w:lang w:val="es-ES_tradnl"/>
        </w:rPr>
        <w:t xml:space="preserve">la perita </w:t>
      </w:r>
      <w:r w:rsidRPr="001619EC">
        <w:rPr>
          <w:rFonts w:cs="Times New Roman"/>
          <w:lang w:val="es-ES_tradnl"/>
        </w:rPr>
        <w:t>podrá referirse a los hechos del caso a fin de ejemplificar los estándares del peritaje.</w:t>
      </w:r>
    </w:p>
    <w:p w14:paraId="3527261A" w14:textId="77777777" w:rsidR="001619EC" w:rsidRDefault="001619EC" w:rsidP="00BD3748">
      <w:pPr>
        <w:rPr>
          <w:lang w:val="es-CO"/>
        </w:rPr>
      </w:pPr>
    </w:p>
    <w:p w14:paraId="424CEBC6" w14:textId="77777777" w:rsidR="00BD3748" w:rsidRPr="00EE32F1" w:rsidRDefault="00BD3748"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EE32F1">
        <w:rPr>
          <w:lang w:val="es-CO"/>
        </w:rPr>
        <w:t>Requerir a las partes y a la Comisión que notifiquen la presente Resolución a las personas por ellos propuestas, respectivamente, que han sido convocadas a rendir declaración, de conformidad con lo dispuesto en los artículos 50.2 y 50.4 del Reglamento.</w:t>
      </w:r>
    </w:p>
    <w:p w14:paraId="1BFDD4BD" w14:textId="77777777" w:rsidR="00BD3748" w:rsidRPr="00EE32F1" w:rsidRDefault="00BD3748" w:rsidP="00BD3748">
      <w:pPr>
        <w:pStyle w:val="Sinespaciado"/>
        <w:numPr>
          <w:ilvl w:val="0"/>
          <w:numId w:val="0"/>
        </w:numPr>
        <w:contextualSpacing w:val="0"/>
        <w:rPr>
          <w:lang w:val="es-CO"/>
        </w:rPr>
      </w:pPr>
    </w:p>
    <w:p w14:paraId="73D706E9" w14:textId="643E6861" w:rsidR="00BD3748" w:rsidRPr="00EE32F1" w:rsidRDefault="00BD3748"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EE32F1">
        <w:rPr>
          <w:lang w:val="es-CO"/>
        </w:rPr>
        <w:t xml:space="preserve">Requerir al Estado y a los representantes que remitan, en los términos del artículo 50.5 del Reglamento y de considerarlo pertinente, en el plazo improrrogable que vence el </w:t>
      </w:r>
      <w:r w:rsidR="00F12A52" w:rsidRPr="00162F23">
        <w:rPr>
          <w:lang w:val="es-CO"/>
        </w:rPr>
        <w:t>3</w:t>
      </w:r>
      <w:r w:rsidRPr="00162F23">
        <w:rPr>
          <w:lang w:val="es-CO"/>
        </w:rPr>
        <w:t xml:space="preserve"> de </w:t>
      </w:r>
      <w:r w:rsidR="00F12A52" w:rsidRPr="00162F23">
        <w:rPr>
          <w:lang w:val="es-CO"/>
        </w:rPr>
        <w:t>mayo</w:t>
      </w:r>
      <w:r w:rsidRPr="00162F23">
        <w:rPr>
          <w:lang w:val="es-CO"/>
        </w:rPr>
        <w:t xml:space="preserve"> de 202</w:t>
      </w:r>
      <w:r w:rsidR="00DE56DE" w:rsidRPr="00162F23">
        <w:rPr>
          <w:lang w:val="es-CO"/>
        </w:rPr>
        <w:t>1</w:t>
      </w:r>
      <w:r w:rsidRPr="00EE32F1">
        <w:rPr>
          <w:lang w:val="es-CO"/>
        </w:rPr>
        <w:t>, las preguntas que estimen pertinente formular, a través de la Corte Interamericana, a los declarantes in</w:t>
      </w:r>
      <w:r>
        <w:rPr>
          <w:lang w:val="es-CO"/>
        </w:rPr>
        <w:t>dicados en el punto resolutivo 3</w:t>
      </w:r>
      <w:r w:rsidRPr="00EE32F1">
        <w:rPr>
          <w:lang w:val="es-CO"/>
        </w:rPr>
        <w:t xml:space="preserve"> de la presente Resolución.</w:t>
      </w:r>
    </w:p>
    <w:p w14:paraId="1B3117F3" w14:textId="77777777" w:rsidR="00BD3748" w:rsidRPr="00EE32F1" w:rsidRDefault="00BD3748" w:rsidP="00BD3748">
      <w:pPr>
        <w:pStyle w:val="Sinespaciado"/>
        <w:numPr>
          <w:ilvl w:val="0"/>
          <w:numId w:val="0"/>
        </w:numPr>
        <w:contextualSpacing w:val="0"/>
        <w:rPr>
          <w:lang w:val="es-CO"/>
        </w:rPr>
      </w:pPr>
    </w:p>
    <w:p w14:paraId="45709021" w14:textId="0807D550" w:rsidR="00BD3748" w:rsidRPr="00EE32F1" w:rsidRDefault="00BD3748"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EE32F1">
        <w:rPr>
          <w:lang w:val="es-CO"/>
        </w:rPr>
        <w:t xml:space="preserve">Requerir </w:t>
      </w:r>
      <w:r w:rsidR="001619EC">
        <w:rPr>
          <w:lang w:val="es-CO"/>
        </w:rPr>
        <w:t>a la Comisión</w:t>
      </w:r>
      <w:r>
        <w:rPr>
          <w:lang w:val="es-CO"/>
        </w:rPr>
        <w:t xml:space="preserve"> y </w:t>
      </w:r>
      <w:r w:rsidR="001619EC">
        <w:rPr>
          <w:lang w:val="es-CO"/>
        </w:rPr>
        <w:t>a las partes</w:t>
      </w:r>
      <w:r>
        <w:rPr>
          <w:lang w:val="es-CO"/>
        </w:rPr>
        <w:t xml:space="preserve"> </w:t>
      </w:r>
      <w:r w:rsidRPr="00EE32F1">
        <w:rPr>
          <w:lang w:val="es-CO"/>
        </w:rPr>
        <w:t>que realicen las diligencias necesarias para que, una vez recibidas las preguntas, los declarantes y los peritos incluyan las respuestas en sus respectivas declaraciones y dictámenes rendidos ante fedatario público, salvo que la Presidenta disponga lo contrario cuando la Secretaría de la Corte las transmita. Las declaraciones y los peritajes requeridos e</w:t>
      </w:r>
      <w:r>
        <w:rPr>
          <w:lang w:val="es-CO"/>
        </w:rPr>
        <w:t>n el referido punto resolutivo 3</w:t>
      </w:r>
      <w:r w:rsidRPr="00EE32F1">
        <w:rPr>
          <w:lang w:val="es-CO"/>
        </w:rPr>
        <w:t xml:space="preserve"> de la presente Resolución deberán ser presentados a más tardar el </w:t>
      </w:r>
      <w:r w:rsidR="00F12A52" w:rsidRPr="00162F23">
        <w:rPr>
          <w:lang w:val="es-CO"/>
        </w:rPr>
        <w:t>2 de junio</w:t>
      </w:r>
      <w:r w:rsidRPr="00162F23">
        <w:rPr>
          <w:lang w:val="es-CO"/>
        </w:rPr>
        <w:t xml:space="preserve"> de 2021</w:t>
      </w:r>
      <w:r w:rsidRPr="00703AEC">
        <w:rPr>
          <w:lang w:val="es-CO"/>
        </w:rPr>
        <w:t>.</w:t>
      </w:r>
    </w:p>
    <w:p w14:paraId="0A562D70" w14:textId="77777777" w:rsidR="00BD3748" w:rsidRPr="00EE32F1" w:rsidRDefault="00BD3748" w:rsidP="00BD3748">
      <w:pPr>
        <w:pStyle w:val="Sinespaciado"/>
        <w:numPr>
          <w:ilvl w:val="0"/>
          <w:numId w:val="0"/>
        </w:numPr>
        <w:contextualSpacing w:val="0"/>
        <w:rPr>
          <w:lang w:val="es-CO"/>
        </w:rPr>
      </w:pPr>
    </w:p>
    <w:p w14:paraId="2719E74C" w14:textId="77777777" w:rsidR="00BD3748" w:rsidRPr="00EE32F1" w:rsidRDefault="00BD3748"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EE32F1">
        <w:rPr>
          <w:lang w:val="es-CO"/>
        </w:rPr>
        <w:t>Disponer, conforme al artículo 50.6 del Reglamento que, una vez recibidas las declaraciones req</w:t>
      </w:r>
      <w:r>
        <w:rPr>
          <w:lang w:val="es-CO"/>
        </w:rPr>
        <w:t>ueridas en el punto resolutivo 3</w:t>
      </w:r>
      <w:r w:rsidRPr="00EE32F1">
        <w:rPr>
          <w:lang w:val="es-CO"/>
        </w:rPr>
        <w:t>, la Secretaría de la Corte Interamericana las transmita a las partes y a la Comisión para que, si lo estiman necesario, presenten sus observaciones a dichas declaraciones, a más tardar con sus alegatos u observaciones finales escritos, respectivamente.</w:t>
      </w:r>
    </w:p>
    <w:p w14:paraId="27CB1EA2" w14:textId="77777777" w:rsidR="00BD3748" w:rsidRPr="00EE32F1" w:rsidRDefault="00BD3748" w:rsidP="00BD3748">
      <w:pPr>
        <w:pStyle w:val="Sinespaciado"/>
        <w:numPr>
          <w:ilvl w:val="0"/>
          <w:numId w:val="0"/>
        </w:numPr>
        <w:contextualSpacing w:val="0"/>
        <w:rPr>
          <w:lang w:val="es-CO"/>
        </w:rPr>
      </w:pPr>
    </w:p>
    <w:p w14:paraId="36630664" w14:textId="77777777" w:rsidR="00BD3748" w:rsidRPr="00EE32F1" w:rsidRDefault="00BD3748"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EE32F1">
        <w:rPr>
          <w:lang w:val="es-CO"/>
        </w:rPr>
        <w:t>Informar a las partes y a la Comisión que deben cubrir los gastos que ocasione la aportación o rendición de la prueba propuesta por ellos, de conformidad con lo dispuesto en el artículo 60 del Reglamento.</w:t>
      </w:r>
    </w:p>
    <w:p w14:paraId="0FF9067E" w14:textId="77777777" w:rsidR="00BD3748" w:rsidRPr="00EE32F1" w:rsidRDefault="00BD3748" w:rsidP="00BD3748">
      <w:pPr>
        <w:pStyle w:val="Sinespaciado"/>
        <w:numPr>
          <w:ilvl w:val="0"/>
          <w:numId w:val="0"/>
        </w:numPr>
        <w:contextualSpacing w:val="0"/>
        <w:rPr>
          <w:lang w:val="es-CO"/>
        </w:rPr>
      </w:pPr>
    </w:p>
    <w:p w14:paraId="5F7AD348" w14:textId="0F18973E" w:rsidR="00BD3748" w:rsidRPr="00EE32F1" w:rsidRDefault="00BD3748"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EE32F1">
        <w:rPr>
          <w:lang w:val="es-CO"/>
        </w:rPr>
        <w:t xml:space="preserve">Solicitar a la Comisión Interamericana de Derechos Humanos, al Estado y a los representantes que, a más tardar el </w:t>
      </w:r>
      <w:r w:rsidR="00F12A52" w:rsidRPr="00162F23">
        <w:rPr>
          <w:lang w:val="es-CO"/>
        </w:rPr>
        <w:t>24</w:t>
      </w:r>
      <w:r w:rsidRPr="00162F23">
        <w:rPr>
          <w:lang w:val="es-CO"/>
        </w:rPr>
        <w:t xml:space="preserve"> de </w:t>
      </w:r>
      <w:r w:rsidR="00DE56DE" w:rsidRPr="00162F23">
        <w:rPr>
          <w:lang w:val="es-CO"/>
        </w:rPr>
        <w:t>mayo</w:t>
      </w:r>
      <w:r w:rsidRPr="00162F23">
        <w:rPr>
          <w:lang w:val="es-CO"/>
        </w:rPr>
        <w:t xml:space="preserve"> de 2021,</w:t>
      </w:r>
      <w:r w:rsidRPr="00EE32F1">
        <w:rPr>
          <w:lang w:val="es-CO"/>
        </w:rPr>
        <w:t xml:space="preserve"> acrediten ante la Secretaría de la Corte los nombres de las personas que participarán en la audiencia. Al respecto, en la misma </w:t>
      </w:r>
      <w:r w:rsidRPr="00EE32F1">
        <w:rPr>
          <w:lang w:val="es-CO"/>
        </w:rPr>
        <w:lastRenderedPageBreak/>
        <w:t>comunicación en que acrediten, deberán indicar sus respectivos correos electrónicos y teléfonos de contacto, suyos y de las personas convocadas a declarar. Posteriormente, se comunicarán los aspectos técnicos y logísticos.</w:t>
      </w:r>
    </w:p>
    <w:p w14:paraId="06086440" w14:textId="77777777" w:rsidR="00BD3748" w:rsidRPr="00EE32F1" w:rsidRDefault="00BD3748" w:rsidP="00BD3748">
      <w:pPr>
        <w:pStyle w:val="Sinespaciado"/>
        <w:numPr>
          <w:ilvl w:val="0"/>
          <w:numId w:val="0"/>
        </w:numPr>
        <w:contextualSpacing w:val="0"/>
        <w:rPr>
          <w:lang w:val="es-CO"/>
        </w:rPr>
      </w:pPr>
    </w:p>
    <w:p w14:paraId="0AFA9EBB" w14:textId="46971390" w:rsidR="00BD3748" w:rsidRDefault="00BD3748"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EE32F1">
        <w:rPr>
          <w:lang w:val="es-CO"/>
        </w:rPr>
        <w:t>Requerir a las partes y a la Comisión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14:paraId="358B5810" w14:textId="77777777" w:rsidR="00707A17" w:rsidRPr="00F12A52" w:rsidRDefault="00707A17" w:rsidP="00F12A52">
      <w:pPr>
        <w:rPr>
          <w:lang w:val="es-CO"/>
        </w:rPr>
      </w:pPr>
    </w:p>
    <w:p w14:paraId="2CD663EA" w14:textId="180C0061" w:rsidR="00707A17" w:rsidRPr="00DE56DE" w:rsidRDefault="00707A17"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DE56DE">
        <w:t xml:space="preserve">Incorporar al acervo probatorio, como prueba documental, el peritaje que el experto </w:t>
      </w:r>
      <w:r w:rsidR="00DE56DE" w:rsidRPr="00DE56DE">
        <w:rPr>
          <w:rFonts w:cs="Verdana"/>
          <w:lang w:bidi="en-US"/>
        </w:rPr>
        <w:t>Alfredo Morales Hernández</w:t>
      </w:r>
      <w:r w:rsidRPr="00DE56DE">
        <w:t xml:space="preserve"> rindió en el </w:t>
      </w:r>
      <w:r w:rsidR="00DE56DE" w:rsidRPr="00DE56DE">
        <w:rPr>
          <w:rFonts w:cs="Times New Roman"/>
          <w:i/>
          <w:lang w:val="es-ES_tradnl"/>
        </w:rPr>
        <w:t xml:space="preserve">Caso </w:t>
      </w:r>
      <w:r w:rsidR="00DE56DE" w:rsidRPr="00DE56DE">
        <w:rPr>
          <w:i/>
          <w:shd w:val="clear" w:color="auto" w:fill="FFFFFF"/>
        </w:rPr>
        <w:t>Granier y otros (Radio Caracas Televisión) Vs. Venezuela</w:t>
      </w:r>
      <w:r w:rsidRPr="00DE56DE">
        <w:rPr>
          <w:rFonts w:cs="Arial"/>
        </w:rPr>
        <w:t>.</w:t>
      </w:r>
    </w:p>
    <w:p w14:paraId="4BA8173E" w14:textId="77777777" w:rsidR="00BD3748" w:rsidRPr="00EE32F1" w:rsidRDefault="00BD3748" w:rsidP="00BD3748">
      <w:pPr>
        <w:pStyle w:val="Sinespaciado"/>
        <w:numPr>
          <w:ilvl w:val="0"/>
          <w:numId w:val="0"/>
        </w:numPr>
        <w:contextualSpacing w:val="0"/>
        <w:rPr>
          <w:lang w:val="es-CO"/>
        </w:rPr>
      </w:pPr>
    </w:p>
    <w:p w14:paraId="0A907EEB" w14:textId="457D2FF5" w:rsidR="00BD3748" w:rsidRPr="004F5119" w:rsidRDefault="00BD3748"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4F5119">
        <w:rPr>
          <w:lang w:val="es-CO"/>
        </w:rPr>
        <w:t xml:space="preserve">Informar a los representantes, al Estado y a la Comisión Interamericana que, al término de las declaraciones rendidas en la audiencia pública, podrán presentar ante el Tribunal sus alegatos finales orales y observaciones finales orales, respectivamente, sobre </w:t>
      </w:r>
      <w:r w:rsidR="009B45CF">
        <w:rPr>
          <w:lang w:val="es-CO"/>
        </w:rPr>
        <w:t>el fondo y</w:t>
      </w:r>
      <w:r>
        <w:rPr>
          <w:lang w:val="es-CO"/>
        </w:rPr>
        <w:t xml:space="preserve"> eventuales</w:t>
      </w:r>
      <w:r w:rsidRPr="004F5119">
        <w:rPr>
          <w:lang w:val="es-CO"/>
        </w:rPr>
        <w:t xml:space="preserve"> reparacione</w:t>
      </w:r>
      <w:r>
        <w:rPr>
          <w:lang w:val="es-CO"/>
        </w:rPr>
        <w:t>s y costas en el presente caso.</w:t>
      </w:r>
    </w:p>
    <w:p w14:paraId="6461A53B" w14:textId="77777777" w:rsidR="00BD3748" w:rsidRPr="00EE32F1" w:rsidRDefault="00BD3748" w:rsidP="00BD3748">
      <w:pPr>
        <w:pStyle w:val="Sinespaciado"/>
        <w:numPr>
          <w:ilvl w:val="0"/>
          <w:numId w:val="0"/>
        </w:numPr>
        <w:contextualSpacing w:val="0"/>
        <w:rPr>
          <w:lang w:val="es-CO"/>
        </w:rPr>
      </w:pPr>
    </w:p>
    <w:p w14:paraId="110CBA8D" w14:textId="77777777" w:rsidR="00BD3748" w:rsidRPr="00EE32F1" w:rsidRDefault="00BD3748"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EE32F1">
        <w:rPr>
          <w:lang w:val="es-CO"/>
        </w:rPr>
        <w:t>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misma.</w:t>
      </w:r>
    </w:p>
    <w:p w14:paraId="305D7F34" w14:textId="77777777" w:rsidR="00BD3748" w:rsidRPr="00EE32F1" w:rsidRDefault="00BD3748" w:rsidP="00BD3748">
      <w:pPr>
        <w:pStyle w:val="Sinespaciado"/>
        <w:numPr>
          <w:ilvl w:val="0"/>
          <w:numId w:val="0"/>
        </w:numPr>
        <w:contextualSpacing w:val="0"/>
        <w:rPr>
          <w:lang w:val="es-CO"/>
        </w:rPr>
      </w:pPr>
    </w:p>
    <w:p w14:paraId="0DE5A86A" w14:textId="0B767518" w:rsidR="00BD3748" w:rsidRDefault="00BD3748"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rsidRPr="00EE32F1">
        <w:rPr>
          <w:lang w:val="es-CO"/>
        </w:rPr>
        <w:t xml:space="preserve">Informar a los representantes, al Estado y a la Comisión Interamericana que, en los términos del artículo 56 del Reglamento, cuentan con un plazo improrrogable hasta el </w:t>
      </w:r>
      <w:r w:rsidR="00B66B14" w:rsidRPr="00162F23">
        <w:rPr>
          <w:lang w:val="es-CO"/>
        </w:rPr>
        <w:t>16</w:t>
      </w:r>
      <w:r w:rsidRPr="00162F23">
        <w:rPr>
          <w:lang w:val="es-CO"/>
        </w:rPr>
        <w:t xml:space="preserve"> de </w:t>
      </w:r>
      <w:r w:rsidR="00B66B14" w:rsidRPr="00162F23">
        <w:rPr>
          <w:lang w:val="es-CO"/>
        </w:rPr>
        <w:t>julio</w:t>
      </w:r>
      <w:r w:rsidRPr="00162F23">
        <w:rPr>
          <w:lang w:val="es-CO"/>
        </w:rPr>
        <w:t xml:space="preserve"> de 2021</w:t>
      </w:r>
      <w:r w:rsidRPr="00EE32F1">
        <w:rPr>
          <w:lang w:val="es-CO"/>
        </w:rPr>
        <w:t xml:space="preserve"> para presentar sus alegatos finales escritos y observaciones finales escritas, respectivamente, en relación con </w:t>
      </w:r>
      <w:r w:rsidR="00DE56DE">
        <w:rPr>
          <w:lang w:val="es-CO"/>
        </w:rPr>
        <w:t>el</w:t>
      </w:r>
      <w:r w:rsidRPr="00EE32F1">
        <w:rPr>
          <w:lang w:val="es-CO"/>
        </w:rPr>
        <w:t xml:space="preserve"> fondo</w:t>
      </w:r>
      <w:r w:rsidR="00DE56DE">
        <w:rPr>
          <w:lang w:val="es-CO"/>
        </w:rPr>
        <w:t xml:space="preserve"> y eventuales</w:t>
      </w:r>
      <w:r w:rsidRPr="00EE32F1">
        <w:rPr>
          <w:lang w:val="es-CO"/>
        </w:rPr>
        <w:t xml:space="preserve"> reparaciones y costas en el presente caso.</w:t>
      </w:r>
    </w:p>
    <w:p w14:paraId="0205BFB1" w14:textId="77777777" w:rsidR="00707A17" w:rsidRPr="00707A17" w:rsidRDefault="00707A17" w:rsidP="00707A17">
      <w:pPr>
        <w:rPr>
          <w:lang w:val="es-CO"/>
        </w:rPr>
      </w:pPr>
    </w:p>
    <w:p w14:paraId="3A1E1C0B" w14:textId="6CE2EB24" w:rsidR="00707A17" w:rsidRPr="00EE32F1" w:rsidRDefault="00707A17" w:rsidP="00BD3748">
      <w:pPr>
        <w:pStyle w:val="Sinespaciado"/>
        <w:widowControl/>
        <w:numPr>
          <w:ilvl w:val="3"/>
          <w:numId w:val="20"/>
        </w:numPr>
        <w:tabs>
          <w:tab w:val="clear" w:pos="0"/>
          <w:tab w:val="clear" w:pos="567"/>
        </w:tabs>
        <w:autoSpaceDE/>
        <w:autoSpaceDN/>
        <w:adjustRightInd/>
        <w:ind w:left="0" w:right="0" w:firstLine="0"/>
        <w:contextualSpacing w:val="0"/>
        <w:rPr>
          <w:lang w:val="es-CO"/>
        </w:rPr>
      </w:pPr>
      <w:r>
        <w:t>Disponer que la Secretaría de la Corte Interamericana notifique la presente Resolución a la Comisión Interamericana de Derechos Humanos, a los representantes de las presuntas víctimas y al Estado.</w:t>
      </w:r>
    </w:p>
    <w:p w14:paraId="67F9E985" w14:textId="264E764E" w:rsidR="00486B44" w:rsidRDefault="00486B44">
      <w:pPr>
        <w:spacing w:after="200"/>
        <w:rPr>
          <w:rFonts w:eastAsia="Calibri" w:cs="Calibri"/>
          <w:lang w:val="es-CO"/>
        </w:rPr>
      </w:pPr>
      <w:r>
        <w:rPr>
          <w:rFonts w:eastAsia="Calibri" w:cs="Calibri"/>
          <w:lang w:val="es-CO"/>
        </w:rPr>
        <w:br w:type="page"/>
      </w:r>
    </w:p>
    <w:p w14:paraId="2B1D616F" w14:textId="6BF24531" w:rsidR="00813B30" w:rsidRDefault="00486B44" w:rsidP="00486B44">
      <w:pPr>
        <w:spacing w:line="240" w:lineRule="auto"/>
        <w:jc w:val="both"/>
        <w:rPr>
          <w:rFonts w:eastAsia="Calibri" w:cs="Calibri"/>
          <w:lang w:val="es-CO"/>
        </w:rPr>
      </w:pPr>
      <w:r>
        <w:lastRenderedPageBreak/>
        <w:t xml:space="preserve">Corte IDH. Caso Palacio Urrutia y otros Vs. Ecuador. Resolución de la Presidenta de la Corte Interamericana de Derechos Humanos de </w:t>
      </w:r>
      <w:r w:rsidR="00977E05">
        <w:t>12</w:t>
      </w:r>
      <w:r w:rsidRPr="00162F23">
        <w:t xml:space="preserve"> de </w:t>
      </w:r>
      <w:r w:rsidR="00B66B14" w:rsidRPr="00162F23">
        <w:t>abril</w:t>
      </w:r>
      <w:r w:rsidRPr="00162F23">
        <w:t xml:space="preserve"> de 2021</w:t>
      </w:r>
      <w:r>
        <w:t>. Resolución adoptada en San José de Costa Rica por medio de sesión virtual.</w:t>
      </w:r>
    </w:p>
    <w:p w14:paraId="5DC0FD5A" w14:textId="03D28714" w:rsidR="00707A17" w:rsidRPr="005F246D" w:rsidRDefault="00707A17" w:rsidP="00486B44">
      <w:pPr>
        <w:rPr>
          <w:color w:val="000000"/>
          <w:spacing w:val="-2"/>
          <w:lang w:eastAsia="es-CR"/>
        </w:rPr>
      </w:pPr>
    </w:p>
    <w:p w14:paraId="4FC43DBC" w14:textId="44609DE7" w:rsidR="00707A17" w:rsidRDefault="00707A17" w:rsidP="00707A17">
      <w:pPr>
        <w:ind w:left="4253"/>
        <w:jc w:val="center"/>
        <w:rPr>
          <w:color w:val="000000"/>
          <w:spacing w:val="-2"/>
          <w:lang w:eastAsia="es-CR"/>
        </w:rPr>
      </w:pPr>
    </w:p>
    <w:p w14:paraId="0B9C02DE" w14:textId="7F692263" w:rsidR="00BA06A6" w:rsidRDefault="00BA06A6" w:rsidP="00707A17">
      <w:pPr>
        <w:ind w:left="4253"/>
        <w:jc w:val="center"/>
        <w:rPr>
          <w:color w:val="000000"/>
          <w:spacing w:val="-2"/>
          <w:lang w:eastAsia="es-CR"/>
        </w:rPr>
      </w:pPr>
    </w:p>
    <w:p w14:paraId="17D6D86D" w14:textId="01DFE3A2" w:rsidR="00BA06A6" w:rsidRPr="005F246D" w:rsidRDefault="00BA06A6" w:rsidP="00707A17">
      <w:pPr>
        <w:ind w:left="4253"/>
        <w:jc w:val="center"/>
        <w:rPr>
          <w:color w:val="000000"/>
          <w:spacing w:val="-2"/>
          <w:lang w:eastAsia="es-CR"/>
        </w:rPr>
      </w:pPr>
    </w:p>
    <w:p w14:paraId="36813F8C" w14:textId="4375EA99" w:rsidR="00707A17" w:rsidRPr="005F246D" w:rsidRDefault="00707A17" w:rsidP="00707A17">
      <w:pPr>
        <w:ind w:left="4253"/>
        <w:jc w:val="center"/>
        <w:rPr>
          <w:color w:val="000000"/>
          <w:spacing w:val="-2"/>
          <w:lang w:eastAsia="es-CR"/>
        </w:rPr>
      </w:pPr>
    </w:p>
    <w:p w14:paraId="176FA711" w14:textId="741B4AEA" w:rsidR="00707A17" w:rsidRPr="00C42AF0" w:rsidRDefault="00707A17" w:rsidP="00707A17">
      <w:pPr>
        <w:spacing w:line="240" w:lineRule="auto"/>
        <w:ind w:left="4253"/>
        <w:jc w:val="center"/>
        <w:rPr>
          <w:color w:val="000000"/>
          <w:spacing w:val="-2"/>
          <w:lang w:val="es-ES_tradnl" w:eastAsia="es-CR"/>
        </w:rPr>
      </w:pPr>
      <w:r w:rsidRPr="00C42AF0">
        <w:rPr>
          <w:color w:val="000000"/>
          <w:spacing w:val="-2"/>
          <w:lang w:val="es-ES_tradnl" w:eastAsia="es-CR"/>
        </w:rPr>
        <w:t>Elizabeth Odio Benito</w:t>
      </w:r>
    </w:p>
    <w:p w14:paraId="3168FC69" w14:textId="03C2161A" w:rsidR="00707A17" w:rsidRPr="00C42AF0" w:rsidRDefault="00707A17" w:rsidP="00707A17">
      <w:pPr>
        <w:spacing w:line="240" w:lineRule="auto"/>
        <w:ind w:left="4253"/>
        <w:jc w:val="center"/>
        <w:rPr>
          <w:lang w:val="es-ES_tradnl"/>
        </w:rPr>
      </w:pPr>
      <w:r w:rsidRPr="00C42AF0">
        <w:rPr>
          <w:lang w:val="es-ES_tradnl"/>
        </w:rPr>
        <w:t>Presidenta</w:t>
      </w:r>
    </w:p>
    <w:p w14:paraId="23A81BB1" w14:textId="549AA562" w:rsidR="00707A17" w:rsidRPr="00C42AF0" w:rsidRDefault="00707A17" w:rsidP="00707A17">
      <w:pPr>
        <w:tabs>
          <w:tab w:val="left" w:pos="2835"/>
        </w:tabs>
        <w:ind w:right="6003"/>
        <w:jc w:val="center"/>
        <w:rPr>
          <w:lang w:val="es-ES_tradnl"/>
        </w:rPr>
      </w:pPr>
    </w:p>
    <w:p w14:paraId="033B1D16" w14:textId="086CC6A1" w:rsidR="00707A17" w:rsidRPr="00C42AF0" w:rsidRDefault="00707A17" w:rsidP="00707A17">
      <w:pPr>
        <w:tabs>
          <w:tab w:val="left" w:pos="2835"/>
        </w:tabs>
        <w:ind w:right="6003"/>
        <w:jc w:val="center"/>
        <w:rPr>
          <w:lang w:val="es-ES_tradnl"/>
        </w:rPr>
      </w:pPr>
    </w:p>
    <w:p w14:paraId="0DD788EC" w14:textId="77777777" w:rsidR="00707A17" w:rsidRPr="00C42AF0" w:rsidRDefault="00707A17" w:rsidP="00707A17">
      <w:pPr>
        <w:tabs>
          <w:tab w:val="left" w:pos="2835"/>
        </w:tabs>
        <w:ind w:right="6003"/>
        <w:jc w:val="center"/>
        <w:rPr>
          <w:lang w:val="es-ES_tradnl"/>
        </w:rPr>
      </w:pPr>
    </w:p>
    <w:p w14:paraId="20AC747F" w14:textId="52E8D8D1" w:rsidR="00707A17" w:rsidRPr="00C42AF0" w:rsidRDefault="00707A17" w:rsidP="00707A17">
      <w:pPr>
        <w:tabs>
          <w:tab w:val="left" w:pos="2835"/>
        </w:tabs>
        <w:ind w:right="6003"/>
        <w:jc w:val="center"/>
        <w:rPr>
          <w:lang w:val="es-ES_tradnl"/>
        </w:rPr>
      </w:pPr>
    </w:p>
    <w:p w14:paraId="12FDDD71" w14:textId="77777777" w:rsidR="00707A17" w:rsidRPr="00C42AF0" w:rsidRDefault="00707A17" w:rsidP="00707A17">
      <w:pPr>
        <w:tabs>
          <w:tab w:val="left" w:pos="2835"/>
        </w:tabs>
        <w:spacing w:line="240" w:lineRule="auto"/>
        <w:ind w:right="6003"/>
        <w:jc w:val="center"/>
        <w:rPr>
          <w:lang w:val="es-ES_tradnl"/>
        </w:rPr>
      </w:pPr>
    </w:p>
    <w:p w14:paraId="3024FF75" w14:textId="77777777" w:rsidR="00707A17" w:rsidRPr="00C42AF0" w:rsidRDefault="00707A17" w:rsidP="00707A17">
      <w:pPr>
        <w:tabs>
          <w:tab w:val="left" w:pos="2835"/>
        </w:tabs>
        <w:spacing w:line="240" w:lineRule="auto"/>
        <w:ind w:right="6003"/>
        <w:jc w:val="center"/>
        <w:rPr>
          <w:lang w:val="es-ES_tradnl"/>
        </w:rPr>
      </w:pPr>
      <w:r w:rsidRPr="00C42AF0">
        <w:rPr>
          <w:lang w:val="es-ES_tradnl"/>
        </w:rPr>
        <w:t>Pablo Saavedra Alessandri</w:t>
      </w:r>
    </w:p>
    <w:p w14:paraId="16690951" w14:textId="77777777" w:rsidR="00707A17" w:rsidRPr="00C42AF0" w:rsidRDefault="00707A17" w:rsidP="00707A17">
      <w:pPr>
        <w:tabs>
          <w:tab w:val="left" w:pos="2835"/>
        </w:tabs>
        <w:spacing w:line="240" w:lineRule="auto"/>
        <w:ind w:right="6003"/>
        <w:jc w:val="center"/>
        <w:rPr>
          <w:lang w:val="es-ES_tradnl"/>
        </w:rPr>
      </w:pPr>
      <w:r w:rsidRPr="00C42AF0">
        <w:rPr>
          <w:lang w:val="es-ES_tradnl"/>
        </w:rPr>
        <w:t>Secretario</w:t>
      </w:r>
    </w:p>
    <w:p w14:paraId="56972BC9" w14:textId="77777777" w:rsidR="00707A17" w:rsidRPr="00C42AF0" w:rsidRDefault="00707A17" w:rsidP="00707A17">
      <w:pPr>
        <w:rPr>
          <w:lang w:val="es-ES_tradnl"/>
        </w:rPr>
      </w:pPr>
    </w:p>
    <w:p w14:paraId="0077A32D" w14:textId="77777777" w:rsidR="00707A17" w:rsidRPr="00C42AF0" w:rsidRDefault="00707A17" w:rsidP="00707A17">
      <w:pPr>
        <w:rPr>
          <w:lang w:val="es-ES_tradnl"/>
        </w:rPr>
      </w:pPr>
    </w:p>
    <w:p w14:paraId="2384AA1A" w14:textId="77777777" w:rsidR="00707A17" w:rsidRPr="00C42AF0" w:rsidRDefault="00707A17" w:rsidP="00707A17">
      <w:pPr>
        <w:rPr>
          <w:lang w:val="es-ES_tradnl"/>
        </w:rPr>
      </w:pPr>
    </w:p>
    <w:p w14:paraId="337E6D04" w14:textId="77777777" w:rsidR="00707A17" w:rsidRPr="00C42AF0" w:rsidRDefault="00707A17" w:rsidP="00707A17">
      <w:pPr>
        <w:rPr>
          <w:lang w:val="es-ES_tradnl"/>
        </w:rPr>
      </w:pPr>
    </w:p>
    <w:p w14:paraId="1429122D" w14:textId="77777777" w:rsidR="00707A17" w:rsidRPr="00C42AF0" w:rsidRDefault="00707A17" w:rsidP="00707A17">
      <w:pPr>
        <w:rPr>
          <w:lang w:val="es-ES_tradnl"/>
        </w:rPr>
      </w:pPr>
      <w:r w:rsidRPr="00C42AF0">
        <w:rPr>
          <w:lang w:val="es-ES_tradnl"/>
        </w:rPr>
        <w:t>Comuníquese y ejecútese,</w:t>
      </w:r>
      <w:r w:rsidRPr="00C42AF0">
        <w:rPr>
          <w:lang w:val="es-ES_tradnl" w:eastAsia="es-CR"/>
        </w:rPr>
        <w:t xml:space="preserve"> </w:t>
      </w:r>
    </w:p>
    <w:p w14:paraId="06AB10C5" w14:textId="3E94AA2F" w:rsidR="00707A17" w:rsidRPr="00C42AF0" w:rsidRDefault="00707A17" w:rsidP="00707A17">
      <w:pPr>
        <w:rPr>
          <w:lang w:val="es-ES_tradnl"/>
        </w:rPr>
      </w:pPr>
    </w:p>
    <w:p w14:paraId="6BAF0B2D" w14:textId="7815A1FE" w:rsidR="00707A17" w:rsidRPr="00C42AF0" w:rsidRDefault="00707A17" w:rsidP="00707A17">
      <w:pPr>
        <w:rPr>
          <w:lang w:val="es-ES_tradnl"/>
        </w:rPr>
      </w:pPr>
    </w:p>
    <w:p w14:paraId="354CA8FC" w14:textId="77777777" w:rsidR="00707A17" w:rsidRPr="00C42AF0" w:rsidRDefault="00707A17" w:rsidP="00707A17">
      <w:pPr>
        <w:rPr>
          <w:lang w:val="es-ES_tradnl"/>
        </w:rPr>
      </w:pPr>
    </w:p>
    <w:p w14:paraId="58FB8F81" w14:textId="021FF157" w:rsidR="00707A17" w:rsidRPr="00C42AF0" w:rsidRDefault="00707A17" w:rsidP="00707A17">
      <w:pPr>
        <w:rPr>
          <w:lang w:val="es-ES_tradnl"/>
        </w:rPr>
      </w:pPr>
    </w:p>
    <w:p w14:paraId="45BD3E66" w14:textId="6851B572" w:rsidR="00707A17" w:rsidRPr="00C42AF0" w:rsidRDefault="00707A17" w:rsidP="00707A17">
      <w:pPr>
        <w:rPr>
          <w:lang w:val="es-ES_tradnl"/>
        </w:rPr>
      </w:pPr>
    </w:p>
    <w:p w14:paraId="080FB689" w14:textId="1C566D2A" w:rsidR="00707A17" w:rsidRPr="00C42AF0" w:rsidRDefault="00707A17" w:rsidP="00707A17">
      <w:pPr>
        <w:spacing w:line="240" w:lineRule="auto"/>
        <w:ind w:left="4536"/>
        <w:jc w:val="center"/>
        <w:rPr>
          <w:lang w:val="es-ES_tradnl"/>
        </w:rPr>
      </w:pPr>
      <w:r w:rsidRPr="00C42AF0">
        <w:rPr>
          <w:color w:val="000000"/>
          <w:spacing w:val="-2"/>
          <w:lang w:val="es-ES_tradnl" w:eastAsia="es-CR"/>
        </w:rPr>
        <w:t>Elizabeth Odio Benito</w:t>
      </w:r>
    </w:p>
    <w:p w14:paraId="5DDA5353" w14:textId="742E151D" w:rsidR="00707A17" w:rsidRPr="00E31349" w:rsidRDefault="00707A17" w:rsidP="00707A17">
      <w:pPr>
        <w:spacing w:line="240" w:lineRule="auto"/>
        <w:ind w:left="4536"/>
        <w:jc w:val="center"/>
      </w:pPr>
      <w:r w:rsidRPr="00E31349">
        <w:t>Presidenta</w:t>
      </w:r>
    </w:p>
    <w:p w14:paraId="1BBB81C7" w14:textId="5FE03481" w:rsidR="00707A17" w:rsidRPr="00E31349" w:rsidRDefault="00707A17" w:rsidP="00707A17"/>
    <w:p w14:paraId="036E74FB" w14:textId="77777777" w:rsidR="00707A17" w:rsidRPr="00E31349" w:rsidRDefault="00707A17" w:rsidP="00707A17"/>
    <w:p w14:paraId="3F8A71D0" w14:textId="7AF70B54" w:rsidR="00707A17" w:rsidRPr="00E31349" w:rsidRDefault="00707A17" w:rsidP="00707A17"/>
    <w:p w14:paraId="3D3D0DFB" w14:textId="5584CDDB" w:rsidR="00707A17" w:rsidRPr="00E31349" w:rsidRDefault="00707A17" w:rsidP="00707A17"/>
    <w:p w14:paraId="6A4E32B8" w14:textId="77777777" w:rsidR="00707A17" w:rsidRPr="00E31349" w:rsidRDefault="00707A17" w:rsidP="00707A17"/>
    <w:p w14:paraId="54FCA332" w14:textId="77777777" w:rsidR="00707A17" w:rsidRPr="00E31349" w:rsidRDefault="00707A17" w:rsidP="00707A17">
      <w:pPr>
        <w:spacing w:line="240" w:lineRule="auto"/>
        <w:ind w:right="6003"/>
        <w:jc w:val="center"/>
      </w:pPr>
      <w:r w:rsidRPr="00E31349">
        <w:t>Pablo Saavedra Alessandri</w:t>
      </w:r>
    </w:p>
    <w:p w14:paraId="7B0D93A5" w14:textId="77777777" w:rsidR="00707A17" w:rsidRPr="00E31349" w:rsidRDefault="00707A17" w:rsidP="00707A17">
      <w:pPr>
        <w:spacing w:line="240" w:lineRule="auto"/>
        <w:ind w:right="6003"/>
        <w:jc w:val="center"/>
      </w:pPr>
      <w:r w:rsidRPr="00E31349">
        <w:t>Secretario</w:t>
      </w:r>
    </w:p>
    <w:p w14:paraId="168F4B34" w14:textId="77777777" w:rsidR="00707A17" w:rsidRPr="00BD3748" w:rsidRDefault="00707A17" w:rsidP="00BD3748">
      <w:pPr>
        <w:spacing w:line="240" w:lineRule="auto"/>
        <w:rPr>
          <w:rFonts w:eastAsia="Calibri" w:cs="Calibri"/>
          <w:lang w:val="es-CO"/>
        </w:rPr>
      </w:pPr>
    </w:p>
    <w:sectPr w:rsidR="00707A17" w:rsidRPr="00BD3748" w:rsidSect="00C872B7">
      <w:headerReference w:type="even" r:id="rId8"/>
      <w:headerReference w:type="default" r:id="rId9"/>
      <w:pgSz w:w="12240" w:h="15840"/>
      <w:pgMar w:top="1440"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71925" w14:textId="77777777" w:rsidR="005F26B1" w:rsidRDefault="005F26B1" w:rsidP="00E97AA8">
      <w:r>
        <w:separator/>
      </w:r>
    </w:p>
    <w:p w14:paraId="20EC82AD" w14:textId="77777777" w:rsidR="005F26B1" w:rsidRDefault="005F26B1" w:rsidP="00E97AA8"/>
  </w:endnote>
  <w:endnote w:type="continuationSeparator" w:id="0">
    <w:p w14:paraId="284E0B29" w14:textId="77777777" w:rsidR="005F26B1" w:rsidRDefault="005F26B1" w:rsidP="00E97AA8">
      <w:r>
        <w:continuationSeparator/>
      </w:r>
    </w:p>
    <w:p w14:paraId="550EF5B7" w14:textId="77777777" w:rsidR="005F26B1" w:rsidRDefault="005F26B1" w:rsidP="00E97A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Antiqua-Bold">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Antiqua">
    <w:altName w:val="Cambria"/>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8604C" w14:textId="77777777" w:rsidR="005F26B1" w:rsidRDefault="005F26B1" w:rsidP="00E97AA8">
      <w:r>
        <w:separator/>
      </w:r>
    </w:p>
  </w:footnote>
  <w:footnote w:type="continuationSeparator" w:id="0">
    <w:p w14:paraId="28FE5D9F" w14:textId="77777777" w:rsidR="005F26B1" w:rsidRDefault="005F26B1" w:rsidP="00E97AA8">
      <w:r>
        <w:continuationSeparator/>
      </w:r>
    </w:p>
    <w:p w14:paraId="415A72EE" w14:textId="77777777" w:rsidR="005F26B1" w:rsidRDefault="005F26B1" w:rsidP="00E97AA8"/>
  </w:footnote>
  <w:footnote w:id="1">
    <w:p w14:paraId="49B97285" w14:textId="649C4F7C" w:rsidR="00993BAC" w:rsidRPr="003B2EF4" w:rsidRDefault="00993BAC" w:rsidP="00175284">
      <w:pPr>
        <w:autoSpaceDE w:val="0"/>
        <w:autoSpaceDN w:val="0"/>
        <w:adjustRightInd w:val="0"/>
        <w:spacing w:line="240" w:lineRule="auto"/>
        <w:jc w:val="both"/>
        <w:rPr>
          <w:sz w:val="16"/>
          <w:szCs w:val="16"/>
        </w:rPr>
      </w:pPr>
      <w:r w:rsidRPr="003B2EF4">
        <w:rPr>
          <w:rStyle w:val="Refdenotaalpie"/>
          <w:sz w:val="16"/>
          <w:szCs w:val="16"/>
        </w:rPr>
        <w:footnoteRef/>
      </w:r>
      <w:r w:rsidRPr="003B2EF4">
        <w:rPr>
          <w:sz w:val="16"/>
          <w:szCs w:val="16"/>
        </w:rPr>
        <w:t xml:space="preserve"> </w:t>
      </w:r>
      <w:r w:rsidRPr="003B2EF4">
        <w:rPr>
          <w:sz w:val="16"/>
          <w:szCs w:val="16"/>
        </w:rPr>
        <w:tab/>
        <w:t xml:space="preserve">La Comisión informó que el perito declararía sobre </w:t>
      </w:r>
      <w:r>
        <w:rPr>
          <w:sz w:val="16"/>
          <w:szCs w:val="16"/>
        </w:rPr>
        <w:t>“</w:t>
      </w:r>
      <w:r w:rsidRPr="003B2EF4">
        <w:rPr>
          <w:rFonts w:cs="Calibri"/>
          <w:sz w:val="16"/>
          <w:szCs w:val="16"/>
          <w:lang w:val="es-ES_tradnl"/>
        </w:rPr>
        <w:t xml:space="preserve">la utilización del derecho penal para criminalizar el ejercicio de la libertad de expresión sobre asuntos de interés público, así como a la utilización de las sanciones civiles de acuerdo con los criterios de necesidad, proporcionalidad y la doctrina de la real malicia. </w:t>
      </w:r>
      <w:r w:rsidR="00F24D44">
        <w:rPr>
          <w:rFonts w:cs="Calibri"/>
          <w:sz w:val="16"/>
          <w:szCs w:val="16"/>
          <w:lang w:val="es-ES_tradnl"/>
        </w:rPr>
        <w:t>Declarará sobre</w:t>
      </w:r>
      <w:r w:rsidRPr="003B2EF4">
        <w:rPr>
          <w:rFonts w:cs="Calibri"/>
          <w:sz w:val="16"/>
          <w:szCs w:val="16"/>
          <w:lang w:val="es-ES_tradnl"/>
        </w:rPr>
        <w:t xml:space="preserve"> la responsabilidad civil y penal de los directores y editores de un medio de comunicación frente a la publicación en dicho medio de noticias y/o artículos de opinión, cuando estos puedan ser considerados como lesivos de la reputación y el honor de terceros, así como los efectos que podría causar en el ejercicio del derecho a la libertad de expresión la aplicación de responsabilidades objetivas a los directores y editores. El peritaje abordará los más recientes desarrollos del derecho internacional de los derechos humanos y el derecho comparado para enfrentar esta problemática. Asimismo, podrá referirse al contexto ecuatoriano y a los hechos del caso a fin de ejemplificar los estándares del peritaje</w:t>
      </w:r>
      <w:r w:rsidR="00F24D44">
        <w:rPr>
          <w:rFonts w:cs="Calibri"/>
          <w:sz w:val="16"/>
          <w:szCs w:val="16"/>
          <w:lang w:val="es-ES_tradnl"/>
        </w:rPr>
        <w:t>”</w:t>
      </w:r>
      <w:r w:rsidRPr="003B2EF4">
        <w:rPr>
          <w:rFonts w:cs="Calibri"/>
          <w:sz w:val="16"/>
          <w:szCs w:val="16"/>
          <w:lang w:val="es-ES_tradnl"/>
        </w:rPr>
        <w:t>.</w:t>
      </w:r>
      <w:r w:rsidR="00F24D44">
        <w:rPr>
          <w:rFonts w:cs="Calibri"/>
          <w:sz w:val="16"/>
          <w:szCs w:val="16"/>
          <w:lang w:val="es-ES_tradnl"/>
        </w:rPr>
        <w:t xml:space="preserve"> </w:t>
      </w:r>
    </w:p>
  </w:footnote>
  <w:footnote w:id="2">
    <w:p w14:paraId="6E0500FE" w14:textId="1481A6AD" w:rsidR="00993BAC" w:rsidRPr="003B2EF4" w:rsidRDefault="00993BAC" w:rsidP="00175284">
      <w:pPr>
        <w:autoSpaceDE w:val="0"/>
        <w:autoSpaceDN w:val="0"/>
        <w:adjustRightInd w:val="0"/>
        <w:spacing w:line="240" w:lineRule="auto"/>
        <w:jc w:val="both"/>
        <w:rPr>
          <w:sz w:val="16"/>
          <w:szCs w:val="16"/>
        </w:rPr>
      </w:pPr>
      <w:r w:rsidRPr="003B2EF4">
        <w:rPr>
          <w:rStyle w:val="Refdenotaalpie"/>
          <w:rFonts w:eastAsia="Batang"/>
          <w:sz w:val="16"/>
          <w:szCs w:val="16"/>
        </w:rPr>
        <w:footnoteRef/>
      </w:r>
      <w:r w:rsidRPr="003B2EF4">
        <w:rPr>
          <w:sz w:val="16"/>
          <w:szCs w:val="16"/>
        </w:rPr>
        <w:t xml:space="preserve"> </w:t>
      </w:r>
      <w:r w:rsidRPr="003B2EF4">
        <w:rPr>
          <w:sz w:val="16"/>
          <w:szCs w:val="16"/>
        </w:rPr>
        <w:tab/>
        <w:t xml:space="preserve">La Comisión informó que el perito declararía sobre </w:t>
      </w:r>
      <w:r w:rsidR="00C40501">
        <w:rPr>
          <w:sz w:val="16"/>
          <w:szCs w:val="16"/>
        </w:rPr>
        <w:t>“</w:t>
      </w:r>
      <w:r w:rsidRPr="003B2EF4">
        <w:rPr>
          <w:rFonts w:cs="Times New Roman"/>
          <w:sz w:val="16"/>
          <w:szCs w:val="16"/>
          <w:lang w:val="es-ES_tradnl"/>
        </w:rPr>
        <w:t>las garantías de independencia e imparcialidad con las que deben contar los órganos judiciales frente a presiones externas en procesos penales relacionados con periodistas y medios de comunicación. Asimismo, podrá referirse a los hechos del caso a fin de ejemplifi</w:t>
      </w:r>
      <w:r w:rsidR="00C40501">
        <w:rPr>
          <w:rFonts w:cs="Times New Roman"/>
          <w:sz w:val="16"/>
          <w:szCs w:val="16"/>
          <w:lang w:val="es-ES_tradnl"/>
        </w:rPr>
        <w:t>car los estándares del peritaje</w:t>
      </w:r>
      <w:r w:rsidR="00196564">
        <w:rPr>
          <w:rFonts w:cs="Times New Roman"/>
          <w:sz w:val="16"/>
          <w:szCs w:val="16"/>
          <w:lang w:val="es-ES_tradnl"/>
        </w:rPr>
        <w:t>”</w:t>
      </w:r>
      <w:r w:rsidRPr="003B2EF4">
        <w:rPr>
          <w:rFonts w:cs="Times New Roman"/>
          <w:sz w:val="16"/>
          <w:szCs w:val="16"/>
          <w:lang w:val="es-ES_tradnl"/>
        </w:rPr>
        <w:t>.</w:t>
      </w:r>
    </w:p>
  </w:footnote>
  <w:footnote w:id="3">
    <w:p w14:paraId="54FD13DE" w14:textId="22AA5250" w:rsidR="00C40501" w:rsidRPr="00C40501" w:rsidRDefault="00C40501" w:rsidP="00175284">
      <w:pPr>
        <w:pStyle w:val="Textonotapie"/>
        <w:jc w:val="both"/>
        <w:rPr>
          <w:sz w:val="16"/>
          <w:szCs w:val="16"/>
        </w:rPr>
      </w:pPr>
      <w:r w:rsidRPr="00C40501">
        <w:rPr>
          <w:rStyle w:val="Refdenotaalpie"/>
          <w:sz w:val="16"/>
          <w:szCs w:val="16"/>
        </w:rPr>
        <w:footnoteRef/>
      </w:r>
      <w:r w:rsidRPr="00C40501">
        <w:rPr>
          <w:sz w:val="16"/>
          <w:szCs w:val="16"/>
        </w:rPr>
        <w:t xml:space="preserve"> </w:t>
      </w:r>
      <w:r w:rsidRPr="00C40501">
        <w:rPr>
          <w:sz w:val="16"/>
          <w:szCs w:val="16"/>
        </w:rPr>
        <w:tab/>
        <w:t>El artículo 49 del Reglamento establece lo siguiente: “</w:t>
      </w:r>
      <w:r w:rsidRPr="00C40501">
        <w:rPr>
          <w:rFonts w:cs="Arial"/>
          <w:sz w:val="16"/>
          <w:szCs w:val="16"/>
          <w:shd w:val="clear" w:color="auto" w:fill="FFFFFF"/>
        </w:rPr>
        <w:t>Excepcionalmente, frente a solicitud fundada y oído el parecer de la contraparte, la Corte podrá aceptar la sustitución de un declarante siempre que se individualice al sustituto y se respete el objeto de la declaración, testimonio o peritaje originalmente ofrecido</w:t>
      </w:r>
      <w:r w:rsidRPr="00C40501">
        <w:rPr>
          <w:sz w:val="16"/>
          <w:szCs w:val="16"/>
        </w:rPr>
        <w:t>”.</w:t>
      </w:r>
    </w:p>
  </w:footnote>
  <w:footnote w:id="4">
    <w:p w14:paraId="510409E2" w14:textId="77777777" w:rsidR="00993BAC" w:rsidRPr="009504CB" w:rsidRDefault="00993BAC" w:rsidP="00175284">
      <w:pPr>
        <w:pStyle w:val="Textonotapie"/>
        <w:jc w:val="both"/>
        <w:rPr>
          <w:sz w:val="16"/>
          <w:szCs w:val="16"/>
        </w:rPr>
      </w:pPr>
      <w:r w:rsidRPr="009504CB">
        <w:rPr>
          <w:rStyle w:val="Refdenotaalpie"/>
          <w:rFonts w:eastAsia="Batang"/>
          <w:sz w:val="16"/>
          <w:szCs w:val="16"/>
        </w:rPr>
        <w:footnoteRef/>
      </w:r>
      <w:r w:rsidRPr="009504CB">
        <w:rPr>
          <w:sz w:val="16"/>
          <w:szCs w:val="16"/>
        </w:rPr>
        <w:t xml:space="preserve"> </w:t>
      </w:r>
      <w:r w:rsidRPr="009504CB">
        <w:rPr>
          <w:sz w:val="16"/>
          <w:szCs w:val="16"/>
        </w:rPr>
        <w:tab/>
        <w:t>El artículo 35.1.f del Reglamento establece lo siguiente: “1. El caso será sometido a la Corte mediante la presentación del informe al que se refiere el artículo 50 de la Convención, que contenga todos los hechos supuestamente violatorios, inclusive la identificación de las presuntas víctimas. Para que el caso pueda ser examinado, la Corte deberá recibir la siguiente información: […] f. cuando se afecte de manera relevante el orden público interamericano de los derechos humanos, la eventual designación de peritos, indicando el objeto de sus declaraciones y acompañando su hoja de vida”.</w:t>
      </w:r>
    </w:p>
  </w:footnote>
  <w:footnote w:id="5">
    <w:p w14:paraId="22FBF573" w14:textId="37C20B49" w:rsidR="00993BAC" w:rsidRPr="00316774" w:rsidRDefault="00993BAC" w:rsidP="00175284">
      <w:pPr>
        <w:pStyle w:val="Textonotapie"/>
        <w:jc w:val="both"/>
        <w:rPr>
          <w:sz w:val="16"/>
          <w:szCs w:val="16"/>
        </w:rPr>
      </w:pPr>
      <w:r w:rsidRPr="00316774">
        <w:rPr>
          <w:rStyle w:val="Refdenotaalpie"/>
          <w:rFonts w:eastAsia="Batang"/>
          <w:sz w:val="16"/>
          <w:szCs w:val="16"/>
        </w:rPr>
        <w:footnoteRef/>
      </w:r>
      <w:r w:rsidRPr="00A93BB6">
        <w:rPr>
          <w:sz w:val="16"/>
          <w:szCs w:val="16"/>
          <w:lang w:val="pt-BR"/>
        </w:rPr>
        <w:t xml:space="preserve"> </w:t>
      </w:r>
      <w:r w:rsidRPr="00A93BB6">
        <w:rPr>
          <w:sz w:val="16"/>
          <w:szCs w:val="16"/>
          <w:lang w:val="pt-BR"/>
        </w:rPr>
        <w:tab/>
      </w:r>
      <w:r w:rsidRPr="00A93BB6">
        <w:rPr>
          <w:i/>
          <w:sz w:val="16"/>
          <w:szCs w:val="16"/>
          <w:lang w:val="pt-BR"/>
        </w:rPr>
        <w:t xml:space="preserve">Cfr. Caso Pedro Miguel Vera </w:t>
      </w:r>
      <w:proofErr w:type="spellStart"/>
      <w:r w:rsidRPr="00A93BB6">
        <w:rPr>
          <w:i/>
          <w:sz w:val="16"/>
          <w:szCs w:val="16"/>
          <w:lang w:val="pt-BR"/>
        </w:rPr>
        <w:t>Vera</w:t>
      </w:r>
      <w:proofErr w:type="spellEnd"/>
      <w:r w:rsidRPr="00A93BB6">
        <w:rPr>
          <w:i/>
          <w:sz w:val="16"/>
          <w:szCs w:val="16"/>
          <w:lang w:val="pt-BR"/>
        </w:rPr>
        <w:t xml:space="preserve"> y </w:t>
      </w:r>
      <w:proofErr w:type="spellStart"/>
      <w:r w:rsidRPr="00A93BB6">
        <w:rPr>
          <w:i/>
          <w:sz w:val="16"/>
          <w:szCs w:val="16"/>
          <w:lang w:val="pt-BR"/>
        </w:rPr>
        <w:t>otros</w:t>
      </w:r>
      <w:proofErr w:type="spellEnd"/>
      <w:r w:rsidRPr="00A93BB6">
        <w:rPr>
          <w:i/>
          <w:sz w:val="16"/>
          <w:szCs w:val="16"/>
          <w:lang w:val="pt-BR"/>
        </w:rPr>
        <w:t xml:space="preserve"> Vs. </w:t>
      </w:r>
      <w:r w:rsidRPr="00316774">
        <w:rPr>
          <w:i/>
          <w:sz w:val="16"/>
          <w:szCs w:val="16"/>
        </w:rPr>
        <w:t>Ecuador. Convocatoria a audiencia</w:t>
      </w:r>
      <w:r w:rsidRPr="00316774">
        <w:rPr>
          <w:sz w:val="16"/>
          <w:szCs w:val="16"/>
        </w:rPr>
        <w:t xml:space="preserve">. Resolución del Presidente de la Corte Interamericana de Derechos Humanos de 23 de diciembre de 2010, Considerando 9, y </w:t>
      </w:r>
      <w:r w:rsidRPr="00316774">
        <w:rPr>
          <w:rFonts w:cs="Arial"/>
          <w:i/>
          <w:sz w:val="16"/>
          <w:szCs w:val="16"/>
          <w:shd w:val="clear" w:color="auto" w:fill="FFFFFF"/>
        </w:rPr>
        <w:t xml:space="preserve">Caso </w:t>
      </w:r>
      <w:r w:rsidR="00196564">
        <w:rPr>
          <w:rFonts w:cs="Arial"/>
          <w:i/>
          <w:sz w:val="16"/>
          <w:szCs w:val="16"/>
          <w:shd w:val="clear" w:color="auto" w:fill="FFFFFF"/>
        </w:rPr>
        <w:t>Julien Grisonas y otros</w:t>
      </w:r>
      <w:r w:rsidRPr="00316774">
        <w:rPr>
          <w:rFonts w:cs="Arial"/>
          <w:i/>
          <w:sz w:val="16"/>
          <w:szCs w:val="16"/>
          <w:shd w:val="clear" w:color="auto" w:fill="FFFFFF"/>
        </w:rPr>
        <w:t xml:space="preserve"> Vs. </w:t>
      </w:r>
      <w:r w:rsidR="00196564">
        <w:rPr>
          <w:rFonts w:cs="Arial"/>
          <w:i/>
          <w:sz w:val="16"/>
          <w:szCs w:val="16"/>
          <w:shd w:val="clear" w:color="auto" w:fill="FFFFFF"/>
        </w:rPr>
        <w:t>Argentina</w:t>
      </w:r>
      <w:r w:rsidRPr="00316774">
        <w:rPr>
          <w:rFonts w:cs="Arial"/>
          <w:i/>
          <w:sz w:val="16"/>
          <w:szCs w:val="16"/>
          <w:shd w:val="clear" w:color="auto" w:fill="FFFFFF"/>
        </w:rPr>
        <w:t>. Convocatoria a audiencia.</w:t>
      </w:r>
      <w:r w:rsidRPr="00316774">
        <w:rPr>
          <w:rFonts w:cs="Arial"/>
          <w:sz w:val="16"/>
          <w:szCs w:val="16"/>
          <w:shd w:val="clear" w:color="auto" w:fill="FFFFFF"/>
        </w:rPr>
        <w:t xml:space="preserve"> Resolución de la Presidenta de la Corte Interamericana de Derechos Humanos de </w:t>
      </w:r>
      <w:r w:rsidR="00196564">
        <w:rPr>
          <w:rFonts w:cs="Arial"/>
          <w:sz w:val="16"/>
          <w:szCs w:val="16"/>
          <w:shd w:val="clear" w:color="auto" w:fill="FFFFFF"/>
        </w:rPr>
        <w:t>24</w:t>
      </w:r>
      <w:r w:rsidRPr="00316774">
        <w:rPr>
          <w:rFonts w:cs="Arial"/>
          <w:sz w:val="16"/>
          <w:szCs w:val="16"/>
          <w:shd w:val="clear" w:color="auto" w:fill="FFFFFF"/>
        </w:rPr>
        <w:t xml:space="preserve"> de marzo de 2021, Considerando </w:t>
      </w:r>
      <w:r w:rsidR="00196564">
        <w:rPr>
          <w:rFonts w:cs="Arial"/>
          <w:sz w:val="16"/>
          <w:szCs w:val="16"/>
          <w:shd w:val="clear" w:color="auto" w:fill="FFFFFF"/>
        </w:rPr>
        <w:t>13</w:t>
      </w:r>
      <w:r w:rsidRPr="00316774">
        <w:rPr>
          <w:rFonts w:cs="Arial"/>
          <w:sz w:val="16"/>
          <w:szCs w:val="16"/>
          <w:shd w:val="clear" w:color="auto" w:fill="FFFFFF"/>
        </w:rPr>
        <w:t>.</w:t>
      </w:r>
    </w:p>
  </w:footnote>
  <w:footnote w:id="6">
    <w:p w14:paraId="3765636E" w14:textId="61351070" w:rsidR="00993BAC" w:rsidRPr="006964CE" w:rsidRDefault="00993BAC" w:rsidP="00175284">
      <w:pPr>
        <w:autoSpaceDE w:val="0"/>
        <w:autoSpaceDN w:val="0"/>
        <w:adjustRightInd w:val="0"/>
        <w:spacing w:line="240" w:lineRule="auto"/>
        <w:jc w:val="both"/>
        <w:rPr>
          <w:sz w:val="16"/>
          <w:szCs w:val="16"/>
        </w:rPr>
      </w:pPr>
      <w:r w:rsidRPr="006964CE">
        <w:rPr>
          <w:rStyle w:val="Refdenotaalpie"/>
          <w:sz w:val="16"/>
          <w:szCs w:val="16"/>
        </w:rPr>
        <w:footnoteRef/>
      </w:r>
      <w:r w:rsidRPr="006964CE">
        <w:rPr>
          <w:sz w:val="16"/>
          <w:szCs w:val="16"/>
        </w:rPr>
        <w:t xml:space="preserve"> </w:t>
      </w:r>
      <w:r>
        <w:rPr>
          <w:sz w:val="16"/>
          <w:szCs w:val="16"/>
        </w:rPr>
        <w:tab/>
      </w:r>
      <w:r w:rsidRPr="006964CE">
        <w:rPr>
          <w:sz w:val="16"/>
          <w:szCs w:val="16"/>
        </w:rPr>
        <w:t>Los representantes manifestaron que el testigo</w:t>
      </w:r>
      <w:r>
        <w:rPr>
          <w:sz w:val="16"/>
          <w:szCs w:val="16"/>
        </w:rPr>
        <w:t>, quien es Gerente General del Diario el Universo desde 1990,</w:t>
      </w:r>
      <w:r w:rsidRPr="006964CE">
        <w:rPr>
          <w:sz w:val="16"/>
          <w:szCs w:val="16"/>
        </w:rPr>
        <w:t xml:space="preserve"> </w:t>
      </w:r>
      <w:r w:rsidRPr="006964CE">
        <w:rPr>
          <w:rFonts w:cs="BookAntiqua"/>
          <w:sz w:val="16"/>
          <w:szCs w:val="16"/>
          <w:lang w:val="es-ES_tradnl"/>
        </w:rPr>
        <w:t>declararía sobre “el impacto que las amenazas, ataques y el proceso penal y civil en contra de las víctimas tuvo sobre los trabajadores del Diario El Universo y la relación de la empresa con las autoridades gubernamentales</w:t>
      </w:r>
      <w:r w:rsidR="002C6961">
        <w:rPr>
          <w:rFonts w:cs="BookAntiqua"/>
          <w:sz w:val="16"/>
          <w:szCs w:val="16"/>
          <w:lang w:val="es-ES_tradnl"/>
        </w:rPr>
        <w:t>”</w:t>
      </w:r>
      <w:r w:rsidRPr="006964CE">
        <w:rPr>
          <w:rFonts w:cs="BookAntiqua"/>
          <w:sz w:val="16"/>
          <w:szCs w:val="16"/>
          <w:lang w:val="es-ES_tradnl"/>
        </w:rPr>
        <w:t>.</w:t>
      </w:r>
    </w:p>
  </w:footnote>
  <w:footnote w:id="7">
    <w:p w14:paraId="472DE244" w14:textId="728B1E02" w:rsidR="00993BAC" w:rsidRPr="006964CE" w:rsidRDefault="00993BAC" w:rsidP="00175284">
      <w:pPr>
        <w:autoSpaceDE w:val="0"/>
        <w:autoSpaceDN w:val="0"/>
        <w:adjustRightInd w:val="0"/>
        <w:spacing w:line="240" w:lineRule="auto"/>
        <w:jc w:val="both"/>
        <w:rPr>
          <w:sz w:val="16"/>
          <w:szCs w:val="16"/>
        </w:rPr>
      </w:pPr>
      <w:r w:rsidRPr="006964CE">
        <w:rPr>
          <w:rStyle w:val="Refdenotaalpie"/>
          <w:sz w:val="16"/>
          <w:szCs w:val="16"/>
        </w:rPr>
        <w:footnoteRef/>
      </w:r>
      <w:r w:rsidRPr="006964CE">
        <w:rPr>
          <w:sz w:val="16"/>
          <w:szCs w:val="16"/>
        </w:rPr>
        <w:t xml:space="preserve"> </w:t>
      </w:r>
      <w:r w:rsidRPr="006964CE">
        <w:rPr>
          <w:sz w:val="16"/>
          <w:szCs w:val="16"/>
        </w:rPr>
        <w:tab/>
        <w:t xml:space="preserve">Los representantes manifestaron que el testigo, quien es Editor General del Diario El Universo, </w:t>
      </w:r>
      <w:r w:rsidRPr="006964CE">
        <w:rPr>
          <w:rFonts w:cs="BookAntiqua"/>
          <w:sz w:val="16"/>
          <w:szCs w:val="16"/>
          <w:lang w:val="es-ES_tradnl"/>
        </w:rPr>
        <w:t>declararía sobre “el impacto que las amenazas, ataques y el proceso penal y civil en contra de las víctimas tuvo sobre los periodistas del Diario El Universo; así como sobre el ejercicio libre de la profesión del periodismo en el seno del medio de comunicación</w:t>
      </w:r>
      <w:r w:rsidR="002C6961">
        <w:rPr>
          <w:rFonts w:cs="BookAntiqua"/>
          <w:sz w:val="16"/>
          <w:szCs w:val="16"/>
          <w:lang w:val="es-ES_tradnl"/>
        </w:rPr>
        <w:t>”</w:t>
      </w:r>
      <w:r w:rsidRPr="006964CE">
        <w:rPr>
          <w:rFonts w:cs="BookAntiqua"/>
          <w:sz w:val="16"/>
          <w:szCs w:val="16"/>
          <w:lang w:val="es-ES_tradnl"/>
        </w:rPr>
        <w:t>.</w:t>
      </w:r>
    </w:p>
  </w:footnote>
  <w:footnote w:id="8">
    <w:p w14:paraId="781923FC" w14:textId="7771E051" w:rsidR="00993BAC" w:rsidRPr="006964CE" w:rsidRDefault="00993BAC" w:rsidP="00175284">
      <w:pPr>
        <w:autoSpaceDE w:val="0"/>
        <w:autoSpaceDN w:val="0"/>
        <w:adjustRightInd w:val="0"/>
        <w:spacing w:line="240" w:lineRule="auto"/>
        <w:jc w:val="both"/>
        <w:rPr>
          <w:sz w:val="16"/>
          <w:szCs w:val="16"/>
        </w:rPr>
      </w:pPr>
      <w:r w:rsidRPr="006964CE">
        <w:rPr>
          <w:rStyle w:val="Refdenotaalpie"/>
          <w:sz w:val="16"/>
          <w:szCs w:val="16"/>
        </w:rPr>
        <w:footnoteRef/>
      </w:r>
      <w:r w:rsidRPr="006964CE">
        <w:rPr>
          <w:sz w:val="16"/>
          <w:szCs w:val="16"/>
        </w:rPr>
        <w:t xml:space="preserve"> </w:t>
      </w:r>
      <w:r w:rsidRPr="006964CE">
        <w:rPr>
          <w:sz w:val="16"/>
          <w:szCs w:val="16"/>
        </w:rPr>
        <w:tab/>
        <w:t xml:space="preserve">Los representantes manifestaron que </w:t>
      </w:r>
      <w:r>
        <w:rPr>
          <w:sz w:val="16"/>
          <w:szCs w:val="16"/>
        </w:rPr>
        <w:t>la</w:t>
      </w:r>
      <w:r w:rsidRPr="006964CE">
        <w:rPr>
          <w:sz w:val="16"/>
          <w:szCs w:val="16"/>
        </w:rPr>
        <w:t xml:space="preserve"> testigo, quien es periodista del Diario El Universo, </w:t>
      </w:r>
      <w:r w:rsidRPr="006964CE">
        <w:rPr>
          <w:rFonts w:cs="BookAntiqua"/>
          <w:sz w:val="16"/>
          <w:szCs w:val="16"/>
          <w:lang w:val="es-ES_tradnl"/>
        </w:rPr>
        <w:t>declararía sobre “el impacto que las amenazas, ataques y el proceso penal y civil en contra de las víctimas tuvo sobre el ejercicio de su profesión y el de sus colegas, tanto dentro como fuera del Diario El Universo</w:t>
      </w:r>
      <w:r w:rsidR="006768F4">
        <w:rPr>
          <w:rFonts w:cs="BookAntiqua"/>
          <w:sz w:val="16"/>
          <w:szCs w:val="16"/>
          <w:lang w:val="es-ES_tradnl"/>
        </w:rPr>
        <w:t>”</w:t>
      </w:r>
      <w:r w:rsidRPr="006964CE">
        <w:rPr>
          <w:rFonts w:cs="BookAntiqua"/>
          <w:sz w:val="16"/>
          <w:szCs w:val="16"/>
          <w:lang w:val="es-ES_tradnl"/>
        </w:rPr>
        <w:t>.</w:t>
      </w:r>
    </w:p>
  </w:footnote>
  <w:footnote w:id="9">
    <w:p w14:paraId="66929B0D" w14:textId="4BD7C367" w:rsidR="00993BAC" w:rsidRPr="006964CE" w:rsidRDefault="00993BAC" w:rsidP="00175284">
      <w:pPr>
        <w:autoSpaceDE w:val="0"/>
        <w:autoSpaceDN w:val="0"/>
        <w:adjustRightInd w:val="0"/>
        <w:spacing w:line="240" w:lineRule="auto"/>
        <w:jc w:val="both"/>
        <w:rPr>
          <w:sz w:val="16"/>
          <w:szCs w:val="16"/>
        </w:rPr>
      </w:pPr>
      <w:r w:rsidRPr="006964CE">
        <w:rPr>
          <w:rStyle w:val="Refdenotaalpie"/>
          <w:sz w:val="16"/>
          <w:szCs w:val="16"/>
        </w:rPr>
        <w:footnoteRef/>
      </w:r>
      <w:r w:rsidRPr="006964CE">
        <w:rPr>
          <w:sz w:val="16"/>
          <w:szCs w:val="16"/>
        </w:rPr>
        <w:t xml:space="preserve"> </w:t>
      </w:r>
      <w:r w:rsidRPr="006964CE">
        <w:rPr>
          <w:sz w:val="16"/>
          <w:szCs w:val="16"/>
        </w:rPr>
        <w:tab/>
        <w:t xml:space="preserve">Los representantes manifestaron que la testigo, quien es esposa </w:t>
      </w:r>
      <w:r>
        <w:rPr>
          <w:sz w:val="16"/>
          <w:szCs w:val="16"/>
        </w:rPr>
        <w:t>de</w:t>
      </w:r>
      <w:r w:rsidRPr="006964CE">
        <w:rPr>
          <w:sz w:val="16"/>
          <w:szCs w:val="16"/>
        </w:rPr>
        <w:t xml:space="preserve"> Emilio Pa</w:t>
      </w:r>
      <w:r w:rsidR="006768F4">
        <w:rPr>
          <w:sz w:val="16"/>
          <w:szCs w:val="16"/>
        </w:rPr>
        <w:t>lacio</w:t>
      </w:r>
      <w:r w:rsidRPr="006964CE">
        <w:rPr>
          <w:sz w:val="16"/>
          <w:szCs w:val="16"/>
        </w:rPr>
        <w:t xml:space="preserve">, </w:t>
      </w:r>
      <w:r w:rsidRPr="006964CE">
        <w:rPr>
          <w:rFonts w:cs="BookAntiqua"/>
          <w:sz w:val="16"/>
          <w:szCs w:val="16"/>
          <w:lang w:val="es-ES_tradnl"/>
        </w:rPr>
        <w:t>declararía sobre “las vivencias de ella y su familia como consecuencia de la persecución que se llevó a cabo en contra de Emilio Palacio; al igual que el impacto que derivó de ello y los daños en el proyecto de vida de Emilio Palacio y su familia</w:t>
      </w:r>
      <w:r w:rsidR="006768F4">
        <w:rPr>
          <w:rFonts w:cs="BookAntiqua"/>
          <w:sz w:val="16"/>
          <w:szCs w:val="16"/>
          <w:lang w:val="es-ES_tradnl"/>
        </w:rPr>
        <w:t>”</w:t>
      </w:r>
      <w:r w:rsidRPr="006964CE">
        <w:rPr>
          <w:rFonts w:cs="BookAntiqua"/>
          <w:sz w:val="16"/>
          <w:szCs w:val="16"/>
          <w:lang w:val="es-ES_tradnl"/>
        </w:rPr>
        <w:t>.</w:t>
      </w:r>
    </w:p>
  </w:footnote>
  <w:footnote w:id="10">
    <w:p w14:paraId="2F76DE6B" w14:textId="792EB9D9" w:rsidR="004E1BAE" w:rsidRPr="004E1BAE" w:rsidRDefault="004E1BAE" w:rsidP="00175284">
      <w:pPr>
        <w:pStyle w:val="Textonotapie"/>
        <w:jc w:val="both"/>
        <w:rPr>
          <w:sz w:val="16"/>
          <w:szCs w:val="16"/>
        </w:rPr>
      </w:pPr>
      <w:r w:rsidRPr="004E1BAE">
        <w:rPr>
          <w:rStyle w:val="Refdenotaalpie"/>
          <w:sz w:val="16"/>
          <w:szCs w:val="16"/>
        </w:rPr>
        <w:footnoteRef/>
      </w:r>
      <w:r w:rsidRPr="004E1BAE">
        <w:rPr>
          <w:sz w:val="16"/>
          <w:szCs w:val="16"/>
        </w:rPr>
        <w:t xml:space="preserve"> </w:t>
      </w:r>
      <w:r w:rsidRPr="004E1BAE">
        <w:rPr>
          <w:sz w:val="16"/>
          <w:szCs w:val="16"/>
        </w:rPr>
        <w:tab/>
        <w:t>El artículo 51.3 del Reglamento establece lo siguiente: “</w:t>
      </w:r>
      <w:r w:rsidRPr="004E1BAE">
        <w:rPr>
          <w:rFonts w:cs="Arial"/>
          <w:sz w:val="16"/>
          <w:szCs w:val="16"/>
          <w:shd w:val="clear" w:color="auto" w:fill="FFFFFF"/>
        </w:rPr>
        <w:t>3. Después de verificada su identidad y antes de declarar, el testigo prestará juramento o hará una declaración en que afirmará que dirá la verdad, toda la verdad y nada más que la verdad</w:t>
      </w:r>
      <w:r w:rsidRPr="004E1BAE">
        <w:rPr>
          <w:sz w:val="16"/>
          <w:szCs w:val="16"/>
        </w:rPr>
        <w:t>”.</w:t>
      </w:r>
    </w:p>
  </w:footnote>
  <w:footnote w:id="11">
    <w:p w14:paraId="5DDEF74D" w14:textId="4982DDB8" w:rsidR="00993BAC" w:rsidRPr="00D02C25" w:rsidRDefault="00993BAC" w:rsidP="00175284">
      <w:pPr>
        <w:spacing w:line="240" w:lineRule="auto"/>
        <w:jc w:val="both"/>
        <w:rPr>
          <w:sz w:val="16"/>
          <w:szCs w:val="16"/>
        </w:rPr>
      </w:pPr>
      <w:r w:rsidRPr="00CE0CA7">
        <w:rPr>
          <w:rStyle w:val="Refdenotaalpie"/>
          <w:sz w:val="16"/>
          <w:szCs w:val="16"/>
        </w:rPr>
        <w:footnoteRef/>
      </w:r>
      <w:r w:rsidRPr="00CE0CA7">
        <w:rPr>
          <w:sz w:val="16"/>
          <w:szCs w:val="16"/>
        </w:rPr>
        <w:t xml:space="preserve"> </w:t>
      </w:r>
      <w:r w:rsidR="004E1BAE">
        <w:rPr>
          <w:sz w:val="16"/>
          <w:szCs w:val="16"/>
        </w:rPr>
        <w:tab/>
      </w:r>
      <w:r w:rsidRPr="00D02C25">
        <w:rPr>
          <w:i/>
          <w:sz w:val="16"/>
          <w:szCs w:val="16"/>
        </w:rPr>
        <w:t>Cfr. Caso Gabriela Perozo y otros Vs. Venezuela.</w:t>
      </w:r>
      <w:r w:rsidRPr="00D02C25">
        <w:rPr>
          <w:sz w:val="16"/>
          <w:szCs w:val="16"/>
        </w:rPr>
        <w:t xml:space="preserve"> Resolución de la Corte de 2 de mayo de 2008, párrafo considerativo 5, y </w:t>
      </w:r>
      <w:r w:rsidRPr="001F3E08">
        <w:rPr>
          <w:rFonts w:cs="Arial"/>
          <w:i/>
          <w:sz w:val="16"/>
          <w:szCs w:val="16"/>
          <w:shd w:val="clear" w:color="auto" w:fill="FFFFFF"/>
        </w:rPr>
        <w:t xml:space="preserve">Caso </w:t>
      </w:r>
      <w:r w:rsidR="006B3C4A">
        <w:rPr>
          <w:rFonts w:cs="Arial"/>
          <w:i/>
          <w:sz w:val="16"/>
          <w:szCs w:val="16"/>
          <w:shd w:val="clear" w:color="auto" w:fill="FFFFFF"/>
        </w:rPr>
        <w:t xml:space="preserve">I.V. </w:t>
      </w:r>
      <w:r w:rsidRPr="001F3E08">
        <w:rPr>
          <w:rFonts w:cs="Arial"/>
          <w:i/>
          <w:sz w:val="16"/>
          <w:szCs w:val="16"/>
          <w:shd w:val="clear" w:color="auto" w:fill="FFFFFF"/>
        </w:rPr>
        <w:t xml:space="preserve">Vs. </w:t>
      </w:r>
      <w:r w:rsidR="006B3C4A">
        <w:rPr>
          <w:rFonts w:cs="Arial"/>
          <w:i/>
          <w:sz w:val="16"/>
          <w:szCs w:val="16"/>
          <w:shd w:val="clear" w:color="auto" w:fill="FFFFFF"/>
        </w:rPr>
        <w:t>Bolivia</w:t>
      </w:r>
      <w:r w:rsidRPr="001F3E08">
        <w:rPr>
          <w:rFonts w:cs="Arial"/>
          <w:i/>
          <w:sz w:val="16"/>
          <w:szCs w:val="16"/>
          <w:shd w:val="clear" w:color="auto" w:fill="FFFFFF"/>
        </w:rPr>
        <w:t>.</w:t>
      </w:r>
      <w:r w:rsidRPr="001F3E08">
        <w:rPr>
          <w:rFonts w:cs="Arial"/>
          <w:sz w:val="16"/>
          <w:szCs w:val="16"/>
          <w:shd w:val="clear" w:color="auto" w:fill="FFFFFF"/>
        </w:rPr>
        <w:t xml:space="preserve"> </w:t>
      </w:r>
      <w:r w:rsidRPr="00FA5977">
        <w:rPr>
          <w:rFonts w:cs="Arial"/>
          <w:i/>
          <w:sz w:val="16"/>
          <w:szCs w:val="16"/>
          <w:shd w:val="clear" w:color="auto" w:fill="FFFFFF"/>
        </w:rPr>
        <w:t>Convocatoria a audiencia</w:t>
      </w:r>
      <w:r w:rsidRPr="001F3E08">
        <w:rPr>
          <w:rFonts w:cs="Arial"/>
          <w:sz w:val="16"/>
          <w:szCs w:val="16"/>
          <w:shd w:val="clear" w:color="auto" w:fill="FFFFFF"/>
        </w:rPr>
        <w:t xml:space="preserve">. Resolución del Presidente de la Corte Interamericana de Derechos Humanos de </w:t>
      </w:r>
      <w:r w:rsidR="006B3C4A">
        <w:rPr>
          <w:rFonts w:cs="Arial"/>
          <w:sz w:val="16"/>
          <w:szCs w:val="16"/>
          <w:shd w:val="clear" w:color="auto" w:fill="FFFFFF"/>
        </w:rPr>
        <w:t>29</w:t>
      </w:r>
      <w:r w:rsidRPr="001F3E08">
        <w:rPr>
          <w:rFonts w:cs="Arial"/>
          <w:sz w:val="16"/>
          <w:szCs w:val="16"/>
          <w:shd w:val="clear" w:color="auto" w:fill="FFFFFF"/>
        </w:rPr>
        <w:t xml:space="preserve"> de marzo de 2016, considerando </w:t>
      </w:r>
      <w:r w:rsidR="006B3C4A">
        <w:rPr>
          <w:rFonts w:cs="Arial"/>
          <w:sz w:val="16"/>
          <w:szCs w:val="16"/>
          <w:shd w:val="clear" w:color="auto" w:fill="FFFFFF"/>
        </w:rPr>
        <w:t>9</w:t>
      </w:r>
      <w:r w:rsidRPr="001F3E08">
        <w:rPr>
          <w:rFonts w:cs="Arial"/>
          <w:sz w:val="16"/>
          <w:szCs w:val="16"/>
          <w:shd w:val="clear" w:color="auto" w:fill="FFFFFF"/>
        </w:rPr>
        <w:t>.</w:t>
      </w:r>
    </w:p>
  </w:footnote>
  <w:footnote w:id="12">
    <w:p w14:paraId="4DC2276E" w14:textId="24CCDDAF" w:rsidR="00993BAC" w:rsidRPr="00D02C25" w:rsidRDefault="00993BAC" w:rsidP="00175284">
      <w:pPr>
        <w:spacing w:line="240" w:lineRule="auto"/>
        <w:jc w:val="both"/>
        <w:rPr>
          <w:sz w:val="16"/>
          <w:szCs w:val="16"/>
        </w:rPr>
      </w:pPr>
      <w:r w:rsidRPr="00CE0CA7">
        <w:rPr>
          <w:rStyle w:val="Refdenotaalpie"/>
          <w:sz w:val="16"/>
          <w:szCs w:val="16"/>
        </w:rPr>
        <w:footnoteRef/>
      </w:r>
      <w:r w:rsidRPr="00CE0CA7">
        <w:rPr>
          <w:sz w:val="16"/>
          <w:szCs w:val="16"/>
        </w:rPr>
        <w:t xml:space="preserve"> </w:t>
      </w:r>
      <w:r w:rsidR="004E1BAE">
        <w:rPr>
          <w:sz w:val="16"/>
          <w:szCs w:val="16"/>
        </w:rPr>
        <w:tab/>
      </w:r>
      <w:r w:rsidRPr="00D02C25">
        <w:rPr>
          <w:i/>
          <w:sz w:val="16"/>
          <w:szCs w:val="16"/>
        </w:rPr>
        <w:t>Cfr. Caso González y otras (“Campo Algodonero”) Vs. México</w:t>
      </w:r>
      <w:r w:rsidRPr="00D02C25">
        <w:rPr>
          <w:sz w:val="16"/>
          <w:szCs w:val="16"/>
        </w:rPr>
        <w:t>.</w:t>
      </w:r>
      <w:r w:rsidR="0080534A">
        <w:rPr>
          <w:sz w:val="16"/>
          <w:szCs w:val="16"/>
        </w:rPr>
        <w:t xml:space="preserve"> </w:t>
      </w:r>
      <w:r w:rsidR="0080534A" w:rsidRPr="00FA5977">
        <w:rPr>
          <w:i/>
          <w:sz w:val="16"/>
          <w:szCs w:val="16"/>
        </w:rPr>
        <w:t>Convocatoria a audiencia</w:t>
      </w:r>
      <w:r w:rsidR="0080534A">
        <w:rPr>
          <w:sz w:val="16"/>
          <w:szCs w:val="16"/>
        </w:rPr>
        <w:t>.</w:t>
      </w:r>
      <w:r w:rsidRPr="00D02C25">
        <w:rPr>
          <w:sz w:val="16"/>
          <w:szCs w:val="16"/>
        </w:rPr>
        <w:t xml:space="preserve"> Resolución de la Presidenta de la Corte Interamericana de Derechos Humanos de 18 de marzo de 2009, párrafo</w:t>
      </w:r>
      <w:r w:rsidR="0080534A">
        <w:rPr>
          <w:sz w:val="16"/>
          <w:szCs w:val="16"/>
        </w:rPr>
        <w:t>s</w:t>
      </w:r>
      <w:r w:rsidRPr="00D02C25">
        <w:rPr>
          <w:sz w:val="16"/>
          <w:szCs w:val="16"/>
        </w:rPr>
        <w:t xml:space="preserve"> considerativo</w:t>
      </w:r>
      <w:r w:rsidR="0080534A">
        <w:rPr>
          <w:sz w:val="16"/>
          <w:szCs w:val="16"/>
        </w:rPr>
        <w:t>s</w:t>
      </w:r>
      <w:r w:rsidRPr="00D02C25">
        <w:rPr>
          <w:sz w:val="16"/>
          <w:szCs w:val="16"/>
        </w:rPr>
        <w:t xml:space="preserve"> 44 y 45, y </w:t>
      </w:r>
      <w:r w:rsidRPr="00D02C25">
        <w:rPr>
          <w:rFonts w:cs="Arial"/>
          <w:i/>
          <w:sz w:val="16"/>
          <w:szCs w:val="16"/>
          <w:shd w:val="clear" w:color="auto" w:fill="FFFFFF"/>
        </w:rPr>
        <w:t>Caso Pollo Rivera y otros Vs. Perú.</w:t>
      </w:r>
      <w:r w:rsidRPr="00D02C25">
        <w:rPr>
          <w:rFonts w:cs="Arial"/>
          <w:sz w:val="16"/>
          <w:szCs w:val="16"/>
          <w:shd w:val="clear" w:color="auto" w:fill="FFFFFF"/>
        </w:rPr>
        <w:t xml:space="preserve"> </w:t>
      </w:r>
      <w:r w:rsidRPr="00FA5977">
        <w:rPr>
          <w:rFonts w:cs="Arial"/>
          <w:i/>
          <w:sz w:val="16"/>
          <w:szCs w:val="16"/>
          <w:shd w:val="clear" w:color="auto" w:fill="FFFFFF"/>
        </w:rPr>
        <w:t>Convocatoria a audiencia</w:t>
      </w:r>
      <w:r w:rsidRPr="00D02C25">
        <w:rPr>
          <w:rFonts w:cs="Arial"/>
          <w:sz w:val="16"/>
          <w:szCs w:val="16"/>
          <w:shd w:val="clear" w:color="auto" w:fill="FFFFFF"/>
        </w:rPr>
        <w:t xml:space="preserve">. Resolución del Presidente de la Corte Interamericana de Derechos Humanos de 10 de marzo de 2016, considerando </w:t>
      </w:r>
      <w:r w:rsidR="00D8482E">
        <w:rPr>
          <w:rFonts w:cs="Arial"/>
          <w:sz w:val="16"/>
          <w:szCs w:val="16"/>
          <w:shd w:val="clear" w:color="auto" w:fill="FFFFFF"/>
        </w:rPr>
        <w:t>30</w:t>
      </w:r>
      <w:r w:rsidRPr="00D02C25">
        <w:rPr>
          <w:rFonts w:cs="Arial"/>
          <w:sz w:val="16"/>
          <w:szCs w:val="16"/>
          <w:shd w:val="clear" w:color="auto" w:fill="FFFFFF"/>
        </w:rPr>
        <w:t>.</w:t>
      </w:r>
    </w:p>
  </w:footnote>
  <w:footnote w:id="13">
    <w:p w14:paraId="263EEFE9" w14:textId="4FB7EACD" w:rsidR="00993BAC" w:rsidRPr="00D02C25" w:rsidRDefault="00993BAC" w:rsidP="00175284">
      <w:pPr>
        <w:autoSpaceDE w:val="0"/>
        <w:autoSpaceDN w:val="0"/>
        <w:adjustRightInd w:val="0"/>
        <w:spacing w:line="240" w:lineRule="auto"/>
        <w:jc w:val="both"/>
        <w:rPr>
          <w:sz w:val="16"/>
          <w:szCs w:val="16"/>
        </w:rPr>
      </w:pPr>
      <w:r w:rsidRPr="00D02C25">
        <w:rPr>
          <w:rStyle w:val="Refdenotaalpie"/>
          <w:sz w:val="16"/>
          <w:szCs w:val="16"/>
        </w:rPr>
        <w:footnoteRef/>
      </w:r>
      <w:r w:rsidRPr="00D02C25">
        <w:rPr>
          <w:sz w:val="16"/>
          <w:szCs w:val="16"/>
        </w:rPr>
        <w:t xml:space="preserve"> </w:t>
      </w:r>
      <w:r>
        <w:rPr>
          <w:sz w:val="16"/>
          <w:szCs w:val="16"/>
        </w:rPr>
        <w:tab/>
      </w:r>
      <w:r w:rsidRPr="00D02C25">
        <w:rPr>
          <w:sz w:val="16"/>
          <w:szCs w:val="16"/>
        </w:rPr>
        <w:t>Los representantes informaron que el señor Albán declararía sobre</w:t>
      </w:r>
      <w:r>
        <w:rPr>
          <w:sz w:val="16"/>
          <w:szCs w:val="16"/>
        </w:rPr>
        <w:t xml:space="preserve"> los</w:t>
      </w:r>
      <w:r w:rsidRPr="00D02C25">
        <w:rPr>
          <w:sz w:val="16"/>
          <w:szCs w:val="16"/>
        </w:rPr>
        <w:t xml:space="preserve"> </w:t>
      </w:r>
      <w:r w:rsidRPr="00D02C25">
        <w:rPr>
          <w:rFonts w:cs="BookAntiqua"/>
          <w:sz w:val="16"/>
          <w:szCs w:val="16"/>
          <w:lang w:val="es-ES_tradnl"/>
        </w:rPr>
        <w:t>“delitos previstos en el Derecho ecuatoriano relacionados al ejercicio de la libertad de expresión, el delito de injuria calumniosa contra la autoridad y su posterior derogación parcial; el impacto y las consecuencias en el Derecho ecuatoriano de un proceso y una condena judicial penal y civil por delitos relacionados al ejercicio de la libertad de expresión; el perdón de la condena penal y civil, y sus efectos jurídicos en el ordenamiento jurídico ecuatoriano; y la situación de independencia del Poder Judicial en el Ecuador en el momento de los hechos</w:t>
      </w:r>
      <w:r w:rsidR="0080534A">
        <w:rPr>
          <w:rFonts w:cs="BookAntiqua"/>
          <w:sz w:val="16"/>
          <w:szCs w:val="16"/>
          <w:lang w:val="es-ES_tradnl"/>
        </w:rPr>
        <w:t>”</w:t>
      </w:r>
      <w:r w:rsidRPr="00D02C25">
        <w:rPr>
          <w:rFonts w:cs="BookAntiqua"/>
          <w:sz w:val="16"/>
          <w:szCs w:val="16"/>
          <w:lang w:val="es-ES_tradnl"/>
        </w:rPr>
        <w:t>.</w:t>
      </w:r>
    </w:p>
  </w:footnote>
  <w:footnote w:id="14">
    <w:p w14:paraId="22D9A065" w14:textId="29F1E2D4" w:rsidR="00993BAC" w:rsidRPr="00011B41" w:rsidRDefault="00993BAC" w:rsidP="00175284">
      <w:pPr>
        <w:autoSpaceDE w:val="0"/>
        <w:autoSpaceDN w:val="0"/>
        <w:adjustRightInd w:val="0"/>
        <w:spacing w:line="240" w:lineRule="auto"/>
        <w:jc w:val="both"/>
        <w:rPr>
          <w:sz w:val="16"/>
          <w:szCs w:val="16"/>
        </w:rPr>
      </w:pPr>
      <w:r w:rsidRPr="00011B41">
        <w:rPr>
          <w:rStyle w:val="Refdenotaalpie"/>
          <w:sz w:val="16"/>
          <w:szCs w:val="16"/>
        </w:rPr>
        <w:footnoteRef/>
      </w:r>
      <w:r w:rsidRPr="00011B41">
        <w:rPr>
          <w:sz w:val="16"/>
          <w:szCs w:val="16"/>
        </w:rPr>
        <w:t xml:space="preserve"> </w:t>
      </w:r>
      <w:r>
        <w:rPr>
          <w:sz w:val="16"/>
          <w:szCs w:val="16"/>
        </w:rPr>
        <w:tab/>
      </w:r>
      <w:r w:rsidRPr="00011B41">
        <w:rPr>
          <w:sz w:val="16"/>
          <w:szCs w:val="16"/>
        </w:rPr>
        <w:t xml:space="preserve">Los representantes informaron que el señor Cantón declararía sobre </w:t>
      </w:r>
      <w:r w:rsidRPr="00011B41">
        <w:rPr>
          <w:rFonts w:cs="BookAntiqua"/>
          <w:sz w:val="16"/>
          <w:szCs w:val="16"/>
          <w:lang w:val="es-ES_tradnl"/>
        </w:rPr>
        <w:t>“</w:t>
      </w:r>
      <w:r w:rsidRPr="00011B41">
        <w:rPr>
          <w:rFonts w:cs="TimesNewRomanPSMT"/>
          <w:sz w:val="16"/>
          <w:szCs w:val="16"/>
          <w:lang w:val="es-ES_tradnl"/>
        </w:rPr>
        <w:t>los estándares internacionales sobre protección a la libertad de expresión; la prohibición de la criminalización de la libertad de expresión crítica frente a los discursos de funcionarios públicos que conciernen el interés público; el menor umbral de protección frente al ejercicio de la libertad de expresión que tienen los servidores públicos en los asuntos que conciernen al interés público; y el efecto de las sanciones civiles desproporcionadas para sancionar la libertad de expresión crítica frente a los discursos de funcionarios públicos que conciernen el interés público</w:t>
      </w:r>
      <w:r w:rsidR="0080534A">
        <w:rPr>
          <w:rFonts w:cs="TimesNewRomanPSMT"/>
          <w:sz w:val="16"/>
          <w:szCs w:val="16"/>
          <w:lang w:val="es-ES_tradnl"/>
        </w:rPr>
        <w:t>”</w:t>
      </w:r>
      <w:r w:rsidRPr="00011B41">
        <w:rPr>
          <w:rFonts w:cs="TimesNewRomanPSMT"/>
          <w:sz w:val="16"/>
          <w:szCs w:val="16"/>
          <w:lang w:val="es-ES_tradnl"/>
        </w:rPr>
        <w:t>.</w:t>
      </w:r>
      <w:r w:rsidRPr="00011B41">
        <w:rPr>
          <w:rFonts w:cs="BookAntiqua"/>
          <w:sz w:val="16"/>
          <w:szCs w:val="16"/>
          <w:lang w:val="es-ES_tradnl"/>
        </w:rPr>
        <w:t>”</w:t>
      </w:r>
    </w:p>
  </w:footnote>
  <w:footnote w:id="15">
    <w:p w14:paraId="10AE1F91" w14:textId="3A1E6DDD" w:rsidR="001F3E08" w:rsidRPr="001F3E08" w:rsidRDefault="001F3E08" w:rsidP="00175284">
      <w:pPr>
        <w:pStyle w:val="Textonotapie"/>
        <w:jc w:val="both"/>
        <w:rPr>
          <w:sz w:val="16"/>
          <w:szCs w:val="16"/>
        </w:rPr>
      </w:pPr>
      <w:r w:rsidRPr="001F3E08">
        <w:rPr>
          <w:rStyle w:val="Refdenotaalpie"/>
          <w:sz w:val="16"/>
          <w:szCs w:val="16"/>
        </w:rPr>
        <w:footnoteRef/>
      </w:r>
      <w:r w:rsidRPr="001F3E08">
        <w:rPr>
          <w:sz w:val="16"/>
          <w:szCs w:val="16"/>
        </w:rPr>
        <w:t xml:space="preserve"> </w:t>
      </w:r>
      <w:r>
        <w:rPr>
          <w:sz w:val="16"/>
          <w:szCs w:val="16"/>
        </w:rPr>
        <w:tab/>
      </w:r>
      <w:r w:rsidRPr="001F3E08">
        <w:rPr>
          <w:sz w:val="16"/>
          <w:szCs w:val="16"/>
        </w:rPr>
        <w:t>El artículo 48.1.f del Reglamento establece lo siguiente: “</w:t>
      </w:r>
      <w:r w:rsidRPr="001F3E08">
        <w:rPr>
          <w:rFonts w:cs="Arial"/>
          <w:sz w:val="16"/>
          <w:szCs w:val="16"/>
          <w:shd w:val="clear" w:color="auto" w:fill="FFFFFF"/>
        </w:rPr>
        <w:t>1. Los peritos podrán ser recusados cuando incurran en alguna de las siguientes causales: f. haber intervenido con anterioridad, a cualquier título, y en cualquier instancia, nacional o internacional, en relación con la misma causa</w:t>
      </w:r>
      <w:r w:rsidR="0080534A">
        <w:rPr>
          <w:rFonts w:cs="Arial"/>
          <w:sz w:val="16"/>
          <w:szCs w:val="16"/>
          <w:shd w:val="clear" w:color="auto" w:fill="FFFFFF"/>
        </w:rPr>
        <w:t>”</w:t>
      </w:r>
      <w:r w:rsidRPr="001F3E08">
        <w:rPr>
          <w:rFonts w:cs="Arial"/>
          <w:sz w:val="16"/>
          <w:szCs w:val="16"/>
          <w:shd w:val="clear" w:color="auto" w:fill="FFFFFF"/>
        </w:rPr>
        <w:t>.</w:t>
      </w:r>
    </w:p>
  </w:footnote>
  <w:footnote w:id="16">
    <w:p w14:paraId="29239949" w14:textId="41556275" w:rsidR="001F3E08" w:rsidRPr="001F3E08" w:rsidRDefault="001F3E08" w:rsidP="00175284">
      <w:pPr>
        <w:pStyle w:val="Textonotapie"/>
        <w:jc w:val="both"/>
        <w:rPr>
          <w:sz w:val="16"/>
          <w:szCs w:val="16"/>
        </w:rPr>
      </w:pPr>
      <w:r w:rsidRPr="001F3E08">
        <w:rPr>
          <w:rStyle w:val="Refdenotaalpie"/>
          <w:sz w:val="16"/>
          <w:szCs w:val="16"/>
        </w:rPr>
        <w:footnoteRef/>
      </w:r>
      <w:r w:rsidRPr="001F3E08">
        <w:rPr>
          <w:sz w:val="16"/>
          <w:szCs w:val="16"/>
        </w:rPr>
        <w:t xml:space="preserve"> </w:t>
      </w:r>
      <w:r w:rsidRPr="001F3E08">
        <w:rPr>
          <w:sz w:val="16"/>
          <w:szCs w:val="16"/>
        </w:rPr>
        <w:tab/>
        <w:t>El artículo 48.1.d del Reglamento establece lo siguiente: “</w:t>
      </w:r>
      <w:r w:rsidRPr="001F3E08">
        <w:rPr>
          <w:rFonts w:cs="Arial"/>
          <w:sz w:val="16"/>
          <w:szCs w:val="16"/>
          <w:shd w:val="clear" w:color="auto" w:fill="FFFFFF"/>
        </w:rPr>
        <w:t>1. Los peritos podrán ser recusados cuando incurran en alguna de las siguientes causales: d. ser o haber sido funcionario de la Comisión con conocimiento del caso en litigio en que se solicita su peritaje</w:t>
      </w:r>
      <w:r w:rsidR="0080534A">
        <w:rPr>
          <w:rFonts w:cs="Arial"/>
          <w:sz w:val="16"/>
          <w:szCs w:val="16"/>
          <w:shd w:val="clear" w:color="auto" w:fill="FFFFFF"/>
        </w:rPr>
        <w:t>”</w:t>
      </w:r>
      <w:r w:rsidRPr="001F3E08">
        <w:rPr>
          <w:rFonts w:cs="Arial"/>
          <w:sz w:val="16"/>
          <w:szCs w:val="16"/>
          <w:shd w:val="clear" w:color="auto" w:fill="FFFFFF"/>
        </w:rPr>
        <w:t>.</w:t>
      </w:r>
      <w:r w:rsidRPr="001F3E08">
        <w:rPr>
          <w:sz w:val="16"/>
          <w:szCs w:val="16"/>
        </w:rPr>
        <w:t>”</w:t>
      </w:r>
    </w:p>
  </w:footnote>
  <w:footnote w:id="17">
    <w:p w14:paraId="42997074" w14:textId="7BEE14E0" w:rsidR="006C5388" w:rsidRPr="006C5388" w:rsidRDefault="006C5388" w:rsidP="00175284">
      <w:pPr>
        <w:pStyle w:val="Textonotapie"/>
        <w:jc w:val="both"/>
        <w:rPr>
          <w:sz w:val="16"/>
          <w:szCs w:val="16"/>
        </w:rPr>
      </w:pPr>
      <w:r w:rsidRPr="006C5388">
        <w:rPr>
          <w:rStyle w:val="Refdenotaalpie"/>
          <w:sz w:val="16"/>
          <w:szCs w:val="16"/>
        </w:rPr>
        <w:footnoteRef/>
      </w:r>
      <w:r w:rsidRPr="006C5388">
        <w:rPr>
          <w:sz w:val="16"/>
          <w:szCs w:val="16"/>
        </w:rPr>
        <w:t xml:space="preserve"> </w:t>
      </w:r>
      <w:r w:rsidRPr="006C5388">
        <w:rPr>
          <w:sz w:val="16"/>
          <w:szCs w:val="16"/>
        </w:rPr>
        <w:tab/>
      </w:r>
      <w:r w:rsidRPr="006C5388">
        <w:rPr>
          <w:i/>
          <w:sz w:val="16"/>
          <w:szCs w:val="16"/>
        </w:rPr>
        <w:t xml:space="preserve">Cfr. </w:t>
      </w:r>
      <w:r w:rsidRPr="00777F82">
        <w:rPr>
          <w:rFonts w:cs="Arial"/>
          <w:i/>
          <w:sz w:val="16"/>
          <w:szCs w:val="16"/>
          <w:shd w:val="clear" w:color="auto" w:fill="FFFFFF"/>
        </w:rPr>
        <w:t>Caso Álvarez Ramos Vs. Venezuela. Convocatoria a audiencia</w:t>
      </w:r>
      <w:r w:rsidRPr="006C5388">
        <w:rPr>
          <w:rFonts w:cs="Arial"/>
          <w:sz w:val="16"/>
          <w:szCs w:val="16"/>
          <w:shd w:val="clear" w:color="auto" w:fill="FFFFFF"/>
        </w:rPr>
        <w:t>. Resolución del Presidente de la Corte Interamericana de Derechos Humanos de 21 de junio de 2018, Considerando 25.</w:t>
      </w:r>
    </w:p>
  </w:footnote>
  <w:footnote w:id="18">
    <w:p w14:paraId="0ADA9F38" w14:textId="7241FC21" w:rsidR="00993BAC" w:rsidRPr="00D32B19" w:rsidRDefault="00993BAC" w:rsidP="00175284">
      <w:pPr>
        <w:pStyle w:val="Textonotapie"/>
        <w:jc w:val="both"/>
        <w:rPr>
          <w:sz w:val="16"/>
          <w:szCs w:val="16"/>
        </w:rPr>
      </w:pPr>
      <w:r w:rsidRPr="00D32B19">
        <w:rPr>
          <w:rStyle w:val="Refdenotaalpie"/>
          <w:sz w:val="16"/>
          <w:szCs w:val="16"/>
        </w:rPr>
        <w:footnoteRef/>
      </w:r>
      <w:r w:rsidR="004E1BAE">
        <w:rPr>
          <w:sz w:val="16"/>
          <w:szCs w:val="16"/>
        </w:rPr>
        <w:t xml:space="preserve"> </w:t>
      </w:r>
      <w:r w:rsidR="004E1BAE">
        <w:rPr>
          <w:sz w:val="16"/>
          <w:szCs w:val="16"/>
        </w:rPr>
        <w:tab/>
        <w:t>Nota del D</w:t>
      </w:r>
      <w:r w:rsidRPr="00D32B19">
        <w:rPr>
          <w:sz w:val="16"/>
          <w:szCs w:val="16"/>
        </w:rPr>
        <w:t>iario La República, titulad</w:t>
      </w:r>
      <w:r w:rsidR="00A926C0">
        <w:rPr>
          <w:sz w:val="16"/>
          <w:szCs w:val="16"/>
        </w:rPr>
        <w:t>a</w:t>
      </w:r>
      <w:r w:rsidRPr="00D32B19">
        <w:rPr>
          <w:sz w:val="16"/>
          <w:szCs w:val="16"/>
        </w:rPr>
        <w:t xml:space="preserve"> “Santiago Cantón piensa que Patricio Pazmiño no es idóneo para ser juez de la Corte Interamericana”, de 13 de abril de 2015, disponible en</w:t>
      </w:r>
    </w:p>
    <w:p w14:paraId="43AFA77D" w14:textId="38718627" w:rsidR="00993BAC" w:rsidRPr="00D32B19" w:rsidRDefault="00993BAC" w:rsidP="00175284">
      <w:pPr>
        <w:pStyle w:val="Textonotapie"/>
        <w:jc w:val="both"/>
        <w:rPr>
          <w:sz w:val="16"/>
          <w:szCs w:val="16"/>
        </w:rPr>
      </w:pPr>
      <w:r w:rsidRPr="00F44CCA">
        <w:rPr>
          <w:sz w:val="16"/>
          <w:szCs w:val="16"/>
        </w:rPr>
        <w:t>https://www.larepublica.ec/blog/2015/04/13/santiago-canton-piensa-que-patricio-pazmino-no-es-idoneo-para-ser-juez-de-la-corte-interamericana/</w:t>
      </w:r>
      <w:r w:rsidR="00A926C0">
        <w:rPr>
          <w:sz w:val="16"/>
          <w:szCs w:val="16"/>
        </w:rPr>
        <w:t>.</w:t>
      </w:r>
      <w:r w:rsidRPr="00D32B19">
        <w:rPr>
          <w:sz w:val="16"/>
          <w:szCs w:val="16"/>
        </w:rPr>
        <w:t xml:space="preserve"> </w:t>
      </w:r>
    </w:p>
  </w:footnote>
  <w:footnote w:id="19">
    <w:p w14:paraId="6CA1AB5B" w14:textId="1F6A4DAC" w:rsidR="00993BAC" w:rsidRPr="00D32B19" w:rsidRDefault="00993BAC" w:rsidP="00175284">
      <w:pPr>
        <w:pStyle w:val="Textonotapie"/>
        <w:jc w:val="both"/>
      </w:pPr>
      <w:r w:rsidRPr="00D32B19">
        <w:rPr>
          <w:rStyle w:val="Refdenotaalpie"/>
          <w:sz w:val="16"/>
          <w:szCs w:val="16"/>
        </w:rPr>
        <w:footnoteRef/>
      </w:r>
      <w:r w:rsidRPr="00D32B19">
        <w:rPr>
          <w:sz w:val="16"/>
          <w:szCs w:val="16"/>
        </w:rPr>
        <w:t xml:space="preserve"> </w:t>
      </w:r>
      <w:r w:rsidRPr="00D32B19">
        <w:rPr>
          <w:sz w:val="16"/>
          <w:szCs w:val="16"/>
        </w:rPr>
        <w:tab/>
        <w:t xml:space="preserve">Nota de prensa del medio VOA, titulada “La CIDH sentencia a Correa”, de 21 de febrero de 2012, disponible en </w:t>
      </w:r>
      <w:r w:rsidRPr="00F44CCA">
        <w:rPr>
          <w:sz w:val="16"/>
          <w:szCs w:val="16"/>
        </w:rPr>
        <w:t>https://www.vozdeamerica.com/archivo/cidh-correa-139985873</w:t>
      </w:r>
      <w:r w:rsidR="00A926C0">
        <w:rPr>
          <w:sz w:val="16"/>
          <w:szCs w:val="16"/>
        </w:rPr>
        <w:t>.</w:t>
      </w:r>
      <w:r>
        <w:t xml:space="preserve"> </w:t>
      </w:r>
    </w:p>
  </w:footnote>
  <w:footnote w:id="20">
    <w:p w14:paraId="4B6AC930" w14:textId="612B679E" w:rsidR="009B1101" w:rsidRPr="001A2ED6" w:rsidRDefault="009B1101" w:rsidP="00175284">
      <w:pPr>
        <w:pStyle w:val="Textonotapie"/>
        <w:jc w:val="both"/>
        <w:rPr>
          <w:sz w:val="16"/>
          <w:szCs w:val="16"/>
        </w:rPr>
      </w:pPr>
      <w:r w:rsidRPr="001A2ED6">
        <w:rPr>
          <w:rStyle w:val="Refdenotaalpie"/>
          <w:sz w:val="16"/>
          <w:szCs w:val="16"/>
        </w:rPr>
        <w:footnoteRef/>
      </w:r>
      <w:r w:rsidRPr="001A2ED6">
        <w:rPr>
          <w:sz w:val="16"/>
          <w:szCs w:val="16"/>
        </w:rPr>
        <w:t xml:space="preserve"> </w:t>
      </w:r>
      <w:r w:rsidR="001A2ED6">
        <w:rPr>
          <w:sz w:val="16"/>
          <w:szCs w:val="16"/>
        </w:rPr>
        <w:tab/>
      </w:r>
      <w:r w:rsidR="000D4CB9">
        <w:rPr>
          <w:i/>
          <w:sz w:val="16"/>
          <w:szCs w:val="16"/>
        </w:rPr>
        <w:t xml:space="preserve">Cfr. </w:t>
      </w:r>
      <w:r w:rsidR="000D4CB9">
        <w:rPr>
          <w:sz w:val="16"/>
          <w:szCs w:val="16"/>
        </w:rPr>
        <w:t>Dictamen del Perito Alfredo Morales Hernández</w:t>
      </w:r>
      <w:r w:rsidRPr="001A2ED6">
        <w:rPr>
          <w:sz w:val="16"/>
          <w:szCs w:val="16"/>
        </w:rPr>
        <w:t xml:space="preserve"> </w:t>
      </w:r>
      <w:r w:rsidR="00D21220">
        <w:rPr>
          <w:sz w:val="16"/>
          <w:szCs w:val="16"/>
        </w:rPr>
        <w:t>rendido</w:t>
      </w:r>
      <w:r w:rsidR="000D4CB9">
        <w:rPr>
          <w:sz w:val="16"/>
          <w:szCs w:val="16"/>
        </w:rPr>
        <w:t xml:space="preserve"> en el caso </w:t>
      </w:r>
      <w:proofErr w:type="spellStart"/>
      <w:r w:rsidR="000D4CB9" w:rsidRPr="00D21220">
        <w:rPr>
          <w:rFonts w:cs="Arial"/>
          <w:i/>
          <w:sz w:val="16"/>
          <w:szCs w:val="16"/>
          <w:shd w:val="clear" w:color="auto" w:fill="FFFFFF"/>
        </w:rPr>
        <w:t>Caso</w:t>
      </w:r>
      <w:proofErr w:type="spellEnd"/>
      <w:r w:rsidR="000D4CB9" w:rsidRPr="00D21220">
        <w:rPr>
          <w:rFonts w:cs="Arial"/>
          <w:i/>
          <w:sz w:val="16"/>
          <w:szCs w:val="16"/>
          <w:shd w:val="clear" w:color="auto" w:fill="FFFFFF"/>
        </w:rPr>
        <w:t xml:space="preserve"> Granier y otros (Radio Caracas Televisión) Vs. Venezuela. Excepciones Preliminares, Fondo, Reparaciones y Costas</w:t>
      </w:r>
      <w:r w:rsidR="000D4CB9" w:rsidRPr="00D21220">
        <w:rPr>
          <w:rFonts w:cs="Arial"/>
          <w:sz w:val="16"/>
          <w:szCs w:val="16"/>
          <w:shd w:val="clear" w:color="auto" w:fill="FFFFFF"/>
        </w:rPr>
        <w:t>. Sentencia de 22 de junio de 2015. Serie C No. 293.</w:t>
      </w:r>
    </w:p>
  </w:footnote>
  <w:footnote w:id="21">
    <w:p w14:paraId="6B8BBB8D" w14:textId="023863D9" w:rsidR="00993BAC" w:rsidRPr="00954BE5" w:rsidRDefault="00993BAC" w:rsidP="00175284">
      <w:pPr>
        <w:autoSpaceDE w:val="0"/>
        <w:autoSpaceDN w:val="0"/>
        <w:adjustRightInd w:val="0"/>
        <w:spacing w:line="240" w:lineRule="auto"/>
        <w:jc w:val="both"/>
        <w:rPr>
          <w:sz w:val="16"/>
          <w:szCs w:val="16"/>
        </w:rPr>
      </w:pPr>
      <w:r w:rsidRPr="00954BE5">
        <w:rPr>
          <w:rStyle w:val="Refdenotaalpie"/>
          <w:sz w:val="16"/>
          <w:szCs w:val="16"/>
        </w:rPr>
        <w:footnoteRef/>
      </w:r>
      <w:r w:rsidRPr="00954BE5">
        <w:rPr>
          <w:sz w:val="16"/>
          <w:szCs w:val="16"/>
        </w:rPr>
        <w:t xml:space="preserve"> </w:t>
      </w:r>
      <w:r w:rsidRPr="00954BE5">
        <w:rPr>
          <w:sz w:val="16"/>
          <w:szCs w:val="16"/>
        </w:rPr>
        <w:tab/>
        <w:t xml:space="preserve">El Estado informó que el señor Sosa presentaría </w:t>
      </w:r>
      <w:r w:rsidRPr="00954BE5">
        <w:rPr>
          <w:rFonts w:cs="Times New Roman"/>
          <w:sz w:val="16"/>
          <w:szCs w:val="16"/>
          <w:lang w:val="es-ES_tradnl"/>
        </w:rPr>
        <w:t>“un Informe comparativo sobre la situación financiera tanto de la Compañía Anónima El Universo como del señor Emilio Palacio Urrutia, durante el período comprendido entre los años 2009 a 2013, a partir de la información tributaria presentada en dicho período</w:t>
      </w:r>
      <w:r w:rsidR="00A926C0">
        <w:rPr>
          <w:rFonts w:cs="Times New Roman"/>
          <w:sz w:val="16"/>
          <w:szCs w:val="16"/>
          <w:lang w:val="es-ES_tradnl"/>
        </w:rPr>
        <w:t>”</w:t>
      </w:r>
      <w:r w:rsidRPr="00954BE5">
        <w:rPr>
          <w:rFonts w:cs="Times New Roman"/>
          <w:sz w:val="16"/>
          <w:szCs w:val="16"/>
          <w:lang w:val="es-ES_tradnl"/>
        </w:rPr>
        <w:t>.</w:t>
      </w:r>
    </w:p>
  </w:footnote>
  <w:footnote w:id="22">
    <w:p w14:paraId="24875957" w14:textId="491A7592" w:rsidR="00DA20DD" w:rsidRPr="00DA20DD" w:rsidRDefault="00DA20DD" w:rsidP="00175284">
      <w:pPr>
        <w:pStyle w:val="Textonotapie"/>
        <w:jc w:val="both"/>
        <w:rPr>
          <w:sz w:val="16"/>
          <w:szCs w:val="16"/>
          <w:lang w:val="es-ES"/>
        </w:rPr>
      </w:pPr>
      <w:r w:rsidRPr="00DA20DD">
        <w:rPr>
          <w:rStyle w:val="Refdenotaalpie"/>
          <w:sz w:val="16"/>
          <w:szCs w:val="16"/>
        </w:rPr>
        <w:footnoteRef/>
      </w:r>
      <w:r w:rsidRPr="00DA20DD">
        <w:rPr>
          <w:sz w:val="16"/>
          <w:szCs w:val="16"/>
        </w:rPr>
        <w:t xml:space="preserve"> </w:t>
      </w:r>
      <w:r w:rsidRPr="00DA20DD">
        <w:rPr>
          <w:sz w:val="16"/>
          <w:szCs w:val="16"/>
        </w:rPr>
        <w:tab/>
        <w:t>El artículo 48.1.c del Reglamento establece lo siguiente: “</w:t>
      </w:r>
      <w:r w:rsidRPr="00DA20DD">
        <w:rPr>
          <w:rFonts w:cs="Arial"/>
          <w:sz w:val="16"/>
          <w:szCs w:val="16"/>
          <w:shd w:val="clear" w:color="auto" w:fill="FFFFFF"/>
        </w:rPr>
        <w:t>1. Los peritos podrán ser recusados cuando incurran en alguna de las siguientes causales: c. tener o haber tenido vínculos estrechos o relación de subordinación funcional con la parte que lo propone y que a juicio de la Corte pudiera afectar su imparcialidad</w:t>
      </w:r>
      <w:r w:rsidR="00D8482E">
        <w:rPr>
          <w:rFonts w:cs="Arial"/>
          <w:sz w:val="16"/>
          <w:szCs w:val="16"/>
          <w:shd w:val="clear" w:color="auto" w:fill="FFFFFF"/>
        </w:rPr>
        <w:t>”</w:t>
      </w:r>
      <w:r w:rsidRPr="00DA20DD">
        <w:rPr>
          <w:rFonts w:cs="Arial"/>
          <w:sz w:val="16"/>
          <w:szCs w:val="16"/>
          <w:shd w:val="clear" w:color="auto" w:fill="FFFFFF"/>
        </w:rPr>
        <w:t>.</w:t>
      </w:r>
    </w:p>
  </w:footnote>
  <w:footnote w:id="23">
    <w:p w14:paraId="4932AC79" w14:textId="2995F5F8" w:rsidR="00993BAC" w:rsidRPr="004071CC" w:rsidRDefault="00993BAC" w:rsidP="00175284">
      <w:pPr>
        <w:pStyle w:val="Textonotapie"/>
        <w:jc w:val="both"/>
        <w:rPr>
          <w:bCs/>
          <w:color w:val="000000"/>
          <w:sz w:val="16"/>
          <w:shd w:val="clear" w:color="auto" w:fill="FFFFFF"/>
          <w:lang w:val="es-BO"/>
        </w:rPr>
      </w:pPr>
      <w:r w:rsidRPr="004071CC">
        <w:rPr>
          <w:rStyle w:val="Refdenotaalpie"/>
          <w:sz w:val="16"/>
        </w:rPr>
        <w:footnoteRef/>
      </w:r>
      <w:r w:rsidRPr="004071CC">
        <w:rPr>
          <w:rStyle w:val="Refdenotaalpie"/>
          <w:sz w:val="16"/>
          <w:lang w:val="es-BO"/>
        </w:rPr>
        <w:t xml:space="preserve"> </w:t>
      </w:r>
      <w:r w:rsidRPr="004071CC">
        <w:rPr>
          <w:sz w:val="16"/>
          <w:lang w:val="es-BO"/>
        </w:rPr>
        <w:tab/>
      </w:r>
      <w:r w:rsidRPr="004071CC">
        <w:rPr>
          <w:rStyle w:val="Textoennegrita"/>
          <w:b w:val="0"/>
          <w:i/>
          <w:color w:val="000000"/>
          <w:sz w:val="16"/>
          <w:shd w:val="clear" w:color="auto" w:fill="FFFFFF"/>
          <w:lang w:val="es-BO"/>
        </w:rPr>
        <w:t>Cfr. Caso Díaz Peña Vs. Venezuela</w:t>
      </w:r>
      <w:r w:rsidRPr="004071CC">
        <w:rPr>
          <w:rStyle w:val="Textoennegrita"/>
          <w:b w:val="0"/>
          <w:color w:val="000000"/>
          <w:sz w:val="16"/>
          <w:shd w:val="clear" w:color="auto" w:fill="FFFFFF"/>
          <w:lang w:val="es-BO"/>
        </w:rPr>
        <w:t>.</w:t>
      </w:r>
      <w:r w:rsidR="00033EE5">
        <w:rPr>
          <w:rStyle w:val="Textoennegrita"/>
          <w:b w:val="0"/>
          <w:color w:val="000000"/>
          <w:sz w:val="16"/>
          <w:shd w:val="clear" w:color="auto" w:fill="FFFFFF"/>
          <w:lang w:val="es-BO"/>
        </w:rPr>
        <w:t xml:space="preserve"> </w:t>
      </w:r>
      <w:r w:rsidR="00033EE5" w:rsidRPr="00FA5977">
        <w:rPr>
          <w:rStyle w:val="Textoennegrita"/>
          <w:b w:val="0"/>
          <w:i/>
          <w:color w:val="000000"/>
          <w:sz w:val="16"/>
          <w:shd w:val="clear" w:color="auto" w:fill="FFFFFF"/>
          <w:lang w:val="es-BO"/>
        </w:rPr>
        <w:t>Convocatoria a audiencia</w:t>
      </w:r>
      <w:r w:rsidR="00033EE5">
        <w:rPr>
          <w:rStyle w:val="Textoennegrita"/>
          <w:b w:val="0"/>
          <w:color w:val="000000"/>
          <w:sz w:val="16"/>
          <w:shd w:val="clear" w:color="auto" w:fill="FFFFFF"/>
          <w:lang w:val="es-BO"/>
        </w:rPr>
        <w:t>.</w:t>
      </w:r>
      <w:r w:rsidRPr="004071CC">
        <w:rPr>
          <w:rStyle w:val="Textoennegrita"/>
          <w:b w:val="0"/>
          <w:color w:val="000000"/>
          <w:sz w:val="16"/>
          <w:shd w:val="clear" w:color="auto" w:fill="FFFFFF"/>
          <w:lang w:val="es-BO"/>
        </w:rPr>
        <w:t xml:space="preserve"> Resolución del Presidente de la Corte de 2 de noviembre de 2011, Considerando </w:t>
      </w:r>
      <w:r w:rsidR="00D21220">
        <w:rPr>
          <w:rStyle w:val="Textoennegrita"/>
          <w:b w:val="0"/>
          <w:color w:val="000000"/>
          <w:sz w:val="16"/>
          <w:shd w:val="clear" w:color="auto" w:fill="FFFFFF"/>
          <w:lang w:val="es-BO"/>
        </w:rPr>
        <w:t>11</w:t>
      </w:r>
      <w:r w:rsidRPr="004071CC">
        <w:rPr>
          <w:rStyle w:val="Textoennegrita"/>
          <w:b w:val="0"/>
          <w:color w:val="000000"/>
          <w:sz w:val="16"/>
          <w:shd w:val="clear" w:color="auto" w:fill="FFFFFF"/>
          <w:lang w:val="es-BO"/>
        </w:rPr>
        <w:t xml:space="preserve">, y </w:t>
      </w:r>
      <w:r w:rsidRPr="004071CC">
        <w:rPr>
          <w:rStyle w:val="Textoennegrita"/>
          <w:b w:val="0"/>
          <w:i/>
          <w:color w:val="000000"/>
          <w:sz w:val="16"/>
          <w:shd w:val="clear" w:color="auto" w:fill="FFFFFF"/>
          <w:lang w:val="es-BO"/>
        </w:rPr>
        <w:t>Caso Humberto Maldonado Vargas y otros Vs. Chile</w:t>
      </w:r>
      <w:r w:rsidRPr="004071CC">
        <w:rPr>
          <w:rStyle w:val="Textoennegrita"/>
          <w:b w:val="0"/>
          <w:color w:val="000000"/>
          <w:sz w:val="16"/>
          <w:shd w:val="clear" w:color="auto" w:fill="FFFFFF"/>
          <w:lang w:val="es-BO"/>
        </w:rPr>
        <w:t>.</w:t>
      </w:r>
      <w:r w:rsidR="00033EE5">
        <w:rPr>
          <w:rStyle w:val="Textoennegrita"/>
          <w:b w:val="0"/>
          <w:color w:val="000000"/>
          <w:sz w:val="16"/>
          <w:shd w:val="clear" w:color="auto" w:fill="FFFFFF"/>
          <w:lang w:val="es-BO"/>
        </w:rPr>
        <w:t xml:space="preserve"> </w:t>
      </w:r>
      <w:r w:rsidR="00033EE5" w:rsidRPr="00FA5977">
        <w:rPr>
          <w:rStyle w:val="Textoennegrita"/>
          <w:b w:val="0"/>
          <w:i/>
          <w:color w:val="000000"/>
          <w:sz w:val="16"/>
          <w:shd w:val="clear" w:color="auto" w:fill="FFFFFF"/>
          <w:lang w:val="es-BO"/>
        </w:rPr>
        <w:t>Convocatoria a audiencia</w:t>
      </w:r>
      <w:r w:rsidR="00033EE5">
        <w:rPr>
          <w:rStyle w:val="Textoennegrita"/>
          <w:b w:val="0"/>
          <w:color w:val="000000"/>
          <w:sz w:val="16"/>
          <w:shd w:val="clear" w:color="auto" w:fill="FFFFFF"/>
          <w:lang w:val="es-BO"/>
        </w:rPr>
        <w:t>.</w:t>
      </w:r>
      <w:r w:rsidRPr="004071CC">
        <w:rPr>
          <w:rStyle w:val="Textoennegrita"/>
          <w:b w:val="0"/>
          <w:color w:val="000000"/>
          <w:sz w:val="16"/>
          <w:shd w:val="clear" w:color="auto" w:fill="FFFFFF"/>
          <w:lang w:val="es-BO"/>
        </w:rPr>
        <w:t xml:space="preserve"> Resolución del Presidente de la Corte de 10 de marzo de 2015, Considerando </w:t>
      </w:r>
      <w:r w:rsidR="00D21220">
        <w:rPr>
          <w:rStyle w:val="Textoennegrita"/>
          <w:b w:val="0"/>
          <w:color w:val="000000"/>
          <w:sz w:val="16"/>
          <w:shd w:val="clear" w:color="auto" w:fill="FFFFFF"/>
          <w:lang w:val="es-BO"/>
        </w:rPr>
        <w:t>17</w:t>
      </w:r>
      <w:r w:rsidRPr="004071CC">
        <w:rPr>
          <w:rStyle w:val="Textoennegrita"/>
          <w:b w:val="0"/>
          <w:color w:val="000000"/>
          <w:sz w:val="16"/>
          <w:shd w:val="clear" w:color="auto" w:fill="FFFFFF"/>
          <w:lang w:val="es-BO"/>
        </w:rPr>
        <w:t>.</w:t>
      </w:r>
    </w:p>
  </w:footnote>
  <w:footnote w:id="24">
    <w:p w14:paraId="5704444C" w14:textId="3AAE3DA1" w:rsidR="00993BAC" w:rsidRPr="004071CC" w:rsidRDefault="00993BAC" w:rsidP="00175284">
      <w:pPr>
        <w:pStyle w:val="Textonotapie"/>
        <w:jc w:val="both"/>
        <w:rPr>
          <w:sz w:val="16"/>
        </w:rPr>
      </w:pPr>
      <w:r w:rsidRPr="004071CC">
        <w:rPr>
          <w:rStyle w:val="Refdenotaalpie"/>
          <w:sz w:val="16"/>
        </w:rPr>
        <w:footnoteRef/>
      </w:r>
      <w:r w:rsidRPr="004071CC">
        <w:rPr>
          <w:sz w:val="16"/>
          <w:lang w:val="es-BO"/>
        </w:rPr>
        <w:t xml:space="preserve"> </w:t>
      </w:r>
      <w:r w:rsidRPr="004071CC">
        <w:rPr>
          <w:sz w:val="16"/>
          <w:lang w:val="es-BO"/>
        </w:rPr>
        <w:tab/>
      </w:r>
      <w:r w:rsidRPr="004071CC">
        <w:rPr>
          <w:i/>
          <w:iCs/>
          <w:sz w:val="16"/>
          <w:lang w:val="es-BO"/>
        </w:rPr>
        <w:t xml:space="preserve">Cfr. </w:t>
      </w:r>
      <w:r w:rsidRPr="004071CC">
        <w:rPr>
          <w:i/>
          <w:sz w:val="16"/>
          <w:lang w:val="es-BO"/>
        </w:rPr>
        <w:t>Caso Zulema Tarazona Arrieta y otros Vs. Perú</w:t>
      </w:r>
      <w:r w:rsidRPr="004071CC">
        <w:rPr>
          <w:sz w:val="16"/>
          <w:lang w:val="es-BO"/>
        </w:rPr>
        <w:t>.</w:t>
      </w:r>
      <w:r w:rsidR="00033EE5">
        <w:rPr>
          <w:sz w:val="16"/>
          <w:lang w:val="es-BO"/>
        </w:rPr>
        <w:t xml:space="preserve"> </w:t>
      </w:r>
      <w:r w:rsidR="00033EE5" w:rsidRPr="00FA5977">
        <w:rPr>
          <w:i/>
          <w:sz w:val="16"/>
          <w:lang w:val="es-BO"/>
        </w:rPr>
        <w:t>Convocatoria a audiencia</w:t>
      </w:r>
      <w:r w:rsidR="00033EE5">
        <w:rPr>
          <w:sz w:val="16"/>
          <w:lang w:val="es-BO"/>
        </w:rPr>
        <w:t>.</w:t>
      </w:r>
      <w:r w:rsidRPr="004071CC">
        <w:rPr>
          <w:sz w:val="16"/>
          <w:lang w:val="es-BO"/>
        </w:rPr>
        <w:t xml:space="preserve"> Resolución del Presidente de la Corte de 26 de marzo de 2014, Considerando </w:t>
      </w:r>
      <w:r w:rsidR="00D21220">
        <w:rPr>
          <w:sz w:val="16"/>
          <w:lang w:val="es-BO"/>
        </w:rPr>
        <w:t>32</w:t>
      </w:r>
      <w:r w:rsidRPr="004071CC">
        <w:rPr>
          <w:sz w:val="16"/>
          <w:lang w:val="es-BO"/>
        </w:rPr>
        <w:t xml:space="preserve">, y </w:t>
      </w:r>
      <w:r w:rsidR="00D21220" w:rsidRPr="00D21220">
        <w:rPr>
          <w:rFonts w:cs="Arial"/>
          <w:i/>
          <w:sz w:val="16"/>
          <w:szCs w:val="16"/>
          <w:shd w:val="clear" w:color="auto" w:fill="FFFFFF"/>
        </w:rPr>
        <w:t xml:space="preserve">Caso </w:t>
      </w:r>
      <w:r w:rsidR="0027488C">
        <w:rPr>
          <w:rFonts w:cs="Arial"/>
          <w:i/>
          <w:sz w:val="16"/>
          <w:szCs w:val="16"/>
          <w:shd w:val="clear" w:color="auto" w:fill="FFFFFF"/>
        </w:rPr>
        <w:t>Andrade Salmón</w:t>
      </w:r>
      <w:r w:rsidR="00D21220" w:rsidRPr="00D21220">
        <w:rPr>
          <w:rFonts w:cs="Arial"/>
          <w:i/>
          <w:sz w:val="16"/>
          <w:szCs w:val="16"/>
          <w:shd w:val="clear" w:color="auto" w:fill="FFFFFF"/>
        </w:rPr>
        <w:t xml:space="preserve"> Vs. </w:t>
      </w:r>
      <w:r w:rsidR="0027488C">
        <w:rPr>
          <w:rFonts w:cs="Arial"/>
          <w:i/>
          <w:sz w:val="16"/>
          <w:szCs w:val="16"/>
          <w:shd w:val="clear" w:color="auto" w:fill="FFFFFF"/>
        </w:rPr>
        <w:t>Bolivia</w:t>
      </w:r>
      <w:r w:rsidR="00D21220" w:rsidRPr="00D21220">
        <w:rPr>
          <w:rFonts w:cs="Arial"/>
          <w:sz w:val="16"/>
          <w:szCs w:val="16"/>
          <w:shd w:val="clear" w:color="auto" w:fill="FFFFFF"/>
        </w:rPr>
        <w:t xml:space="preserve">. </w:t>
      </w:r>
      <w:r w:rsidR="00D21220" w:rsidRPr="00FA5977">
        <w:rPr>
          <w:rFonts w:cs="Arial"/>
          <w:i/>
          <w:sz w:val="16"/>
          <w:szCs w:val="16"/>
          <w:shd w:val="clear" w:color="auto" w:fill="FFFFFF"/>
        </w:rPr>
        <w:t>Convocatoria a audiencia</w:t>
      </w:r>
      <w:r w:rsidR="00D21220" w:rsidRPr="00D21220">
        <w:rPr>
          <w:rFonts w:cs="Arial"/>
          <w:sz w:val="16"/>
          <w:szCs w:val="16"/>
          <w:shd w:val="clear" w:color="auto" w:fill="FFFFFF"/>
        </w:rPr>
        <w:t>. Resolución del Presidente de la Corte Interamericana de Derechos Humanos de 1</w:t>
      </w:r>
      <w:r w:rsidR="0027488C">
        <w:rPr>
          <w:rFonts w:cs="Arial"/>
          <w:sz w:val="16"/>
          <w:szCs w:val="16"/>
          <w:shd w:val="clear" w:color="auto" w:fill="FFFFFF"/>
        </w:rPr>
        <w:t>0</w:t>
      </w:r>
      <w:r w:rsidR="00D21220" w:rsidRPr="00D21220">
        <w:rPr>
          <w:rFonts w:cs="Arial"/>
          <w:sz w:val="16"/>
          <w:szCs w:val="16"/>
          <w:shd w:val="clear" w:color="auto" w:fill="FFFFFF"/>
        </w:rPr>
        <w:t xml:space="preserve"> de </w:t>
      </w:r>
      <w:r w:rsidR="0027488C">
        <w:rPr>
          <w:rFonts w:cs="Arial"/>
          <w:sz w:val="16"/>
          <w:szCs w:val="16"/>
          <w:shd w:val="clear" w:color="auto" w:fill="FFFFFF"/>
        </w:rPr>
        <w:t>mayo</w:t>
      </w:r>
      <w:r w:rsidR="00D21220" w:rsidRPr="00D21220">
        <w:rPr>
          <w:rFonts w:cs="Arial"/>
          <w:sz w:val="16"/>
          <w:szCs w:val="16"/>
          <w:shd w:val="clear" w:color="auto" w:fill="FFFFFF"/>
        </w:rPr>
        <w:t xml:space="preserve"> de 201</w:t>
      </w:r>
      <w:r w:rsidR="0027488C">
        <w:rPr>
          <w:rFonts w:cs="Arial"/>
          <w:sz w:val="16"/>
          <w:szCs w:val="16"/>
          <w:shd w:val="clear" w:color="auto" w:fill="FFFFFF"/>
        </w:rPr>
        <w:t>6</w:t>
      </w:r>
      <w:r w:rsidRPr="00D21220">
        <w:rPr>
          <w:rStyle w:val="Textoennegrita"/>
          <w:b w:val="0"/>
          <w:i/>
          <w:sz w:val="16"/>
          <w:szCs w:val="16"/>
          <w:shd w:val="clear" w:color="auto" w:fill="FFFFFF"/>
          <w:lang w:val="es-BO"/>
        </w:rPr>
        <w:t>,</w:t>
      </w:r>
      <w:r w:rsidRPr="00D21220">
        <w:rPr>
          <w:rStyle w:val="Textoennegrita"/>
          <w:b w:val="0"/>
          <w:i/>
          <w:sz w:val="16"/>
          <w:shd w:val="clear" w:color="auto" w:fill="FFFFFF"/>
          <w:lang w:val="es-BO"/>
        </w:rPr>
        <w:t xml:space="preserve"> </w:t>
      </w:r>
      <w:r w:rsidRPr="004071CC">
        <w:rPr>
          <w:rStyle w:val="Textoennegrita"/>
          <w:b w:val="0"/>
          <w:color w:val="000000"/>
          <w:sz w:val="16"/>
          <w:shd w:val="clear" w:color="auto" w:fill="FFFFFF"/>
          <w:lang w:val="es-BO"/>
        </w:rPr>
        <w:t xml:space="preserve">Considerando </w:t>
      </w:r>
      <w:r w:rsidR="0027488C">
        <w:rPr>
          <w:rStyle w:val="Textoennegrita"/>
          <w:b w:val="0"/>
          <w:color w:val="000000"/>
          <w:sz w:val="16"/>
          <w:shd w:val="clear" w:color="auto" w:fill="FFFFFF"/>
          <w:lang w:val="es-BO"/>
        </w:rPr>
        <w:t>34</w:t>
      </w:r>
      <w:r w:rsidRPr="004071CC">
        <w:rPr>
          <w:rStyle w:val="Textoennegrita"/>
          <w:b w:val="0"/>
          <w:color w:val="000000"/>
          <w:sz w:val="16"/>
          <w:shd w:val="clear" w:color="auto" w:fill="FFFFFF"/>
          <w:lang w:val="es-BO"/>
        </w:rPr>
        <w:t xml:space="preserve">. </w:t>
      </w:r>
    </w:p>
  </w:footnote>
  <w:footnote w:id="25">
    <w:p w14:paraId="3B04CDEB" w14:textId="11F0CA17" w:rsidR="00FD5CAD" w:rsidRPr="00FD5CAD" w:rsidRDefault="00FD5CAD" w:rsidP="00175284">
      <w:pPr>
        <w:pStyle w:val="Textonotapie"/>
        <w:jc w:val="both"/>
        <w:rPr>
          <w:sz w:val="16"/>
          <w:szCs w:val="16"/>
        </w:rPr>
      </w:pPr>
      <w:r w:rsidRPr="00FD5CAD">
        <w:rPr>
          <w:rStyle w:val="Refdenotaalpie"/>
          <w:sz w:val="16"/>
          <w:szCs w:val="16"/>
        </w:rPr>
        <w:footnoteRef/>
      </w:r>
      <w:r w:rsidRPr="00FD5CAD">
        <w:rPr>
          <w:sz w:val="16"/>
          <w:szCs w:val="16"/>
        </w:rPr>
        <w:t xml:space="preserve"> </w:t>
      </w:r>
      <w:r w:rsidRPr="00FD5CAD">
        <w:rPr>
          <w:sz w:val="16"/>
          <w:szCs w:val="16"/>
        </w:rPr>
        <w:tab/>
        <w:t>El señor Santiago Sosa Chiriboga se ha desempeñado en diversos cargos dentro del Servicio de Rentas Internas de Ecuador, que incluyen los cargos de “Experto de Gestión Tributaria”, “Jefe Nacional de Área de Apoyo y Supervisión al Contralor Tributario”, y “Coordinador Nacional de Auditoría Tributaria-Sociedades”, puesto que ocupa actualmente.</w:t>
      </w:r>
    </w:p>
  </w:footnote>
  <w:footnote w:id="26">
    <w:p w14:paraId="180915FE" w14:textId="530F2D7C" w:rsidR="008D2617" w:rsidRPr="002B3048" w:rsidRDefault="008D2617" w:rsidP="00175284">
      <w:pPr>
        <w:pStyle w:val="Textonotapie"/>
        <w:jc w:val="both"/>
        <w:rPr>
          <w:sz w:val="16"/>
          <w:szCs w:val="16"/>
        </w:rPr>
      </w:pPr>
      <w:r w:rsidRPr="002B3048">
        <w:rPr>
          <w:rStyle w:val="Refdenotaalpie"/>
          <w:sz w:val="16"/>
          <w:szCs w:val="16"/>
        </w:rPr>
        <w:footnoteRef/>
      </w:r>
      <w:r w:rsidRPr="002B3048">
        <w:rPr>
          <w:sz w:val="16"/>
          <w:szCs w:val="16"/>
        </w:rPr>
        <w:t xml:space="preserve"> </w:t>
      </w:r>
      <w:r w:rsidRPr="002B3048">
        <w:rPr>
          <w:sz w:val="16"/>
          <w:szCs w:val="16"/>
        </w:rPr>
        <w:tab/>
      </w:r>
      <w:r w:rsidRPr="002B3048">
        <w:rPr>
          <w:i/>
          <w:sz w:val="16"/>
          <w:szCs w:val="16"/>
        </w:rPr>
        <w:t>Cfr</w:t>
      </w:r>
      <w:r w:rsidRPr="002B3048">
        <w:rPr>
          <w:sz w:val="16"/>
          <w:szCs w:val="16"/>
        </w:rPr>
        <w:t xml:space="preserve">. Caso </w:t>
      </w:r>
      <w:proofErr w:type="spellStart"/>
      <w:r w:rsidRPr="002B3048">
        <w:rPr>
          <w:i/>
          <w:sz w:val="16"/>
          <w:szCs w:val="16"/>
        </w:rPr>
        <w:t>Barbani</w:t>
      </w:r>
      <w:proofErr w:type="spellEnd"/>
      <w:r w:rsidRPr="002B3048">
        <w:rPr>
          <w:i/>
          <w:sz w:val="16"/>
          <w:szCs w:val="16"/>
        </w:rPr>
        <w:t xml:space="preserve"> Duarte</w:t>
      </w:r>
      <w:r w:rsidR="00033EE5">
        <w:rPr>
          <w:i/>
          <w:sz w:val="16"/>
          <w:szCs w:val="16"/>
        </w:rPr>
        <w:t>, María del Huerto Breccia y otros (Gripo de ahorristas del Banco de Montevideo)</w:t>
      </w:r>
      <w:r w:rsidRPr="002B3048">
        <w:rPr>
          <w:i/>
          <w:sz w:val="16"/>
          <w:szCs w:val="16"/>
        </w:rPr>
        <w:t xml:space="preserve"> Vs. Uruguay</w:t>
      </w:r>
      <w:r w:rsidRPr="002B3048">
        <w:rPr>
          <w:sz w:val="16"/>
          <w:szCs w:val="16"/>
        </w:rPr>
        <w:t>.</w:t>
      </w:r>
      <w:r w:rsidR="00033EE5">
        <w:rPr>
          <w:sz w:val="16"/>
          <w:szCs w:val="16"/>
        </w:rPr>
        <w:t xml:space="preserve"> </w:t>
      </w:r>
      <w:r w:rsidR="00033EE5" w:rsidRPr="00FA5977">
        <w:rPr>
          <w:i/>
          <w:sz w:val="16"/>
          <w:szCs w:val="16"/>
        </w:rPr>
        <w:t>Convocatoria a audiencia</w:t>
      </w:r>
      <w:r w:rsidR="00033EE5">
        <w:rPr>
          <w:sz w:val="16"/>
          <w:szCs w:val="16"/>
        </w:rPr>
        <w:t>.</w:t>
      </w:r>
      <w:r w:rsidRPr="002B3048">
        <w:rPr>
          <w:sz w:val="16"/>
          <w:szCs w:val="16"/>
        </w:rPr>
        <w:t xml:space="preserve"> Resolución del Presidente de la Corte Interamericana de Derechos Humanos de 31 de enero de 2011, Considerando 16, y </w:t>
      </w:r>
      <w:r w:rsidRPr="002B3048">
        <w:rPr>
          <w:i/>
          <w:sz w:val="16"/>
          <w:szCs w:val="16"/>
        </w:rPr>
        <w:t xml:space="preserve">Caso </w:t>
      </w:r>
      <w:r w:rsidR="00AB3D58">
        <w:rPr>
          <w:i/>
          <w:sz w:val="16"/>
          <w:szCs w:val="16"/>
        </w:rPr>
        <w:t>V.R.P. y V.P.C.</w:t>
      </w:r>
      <w:r w:rsidRPr="002B3048">
        <w:rPr>
          <w:i/>
          <w:sz w:val="16"/>
          <w:szCs w:val="16"/>
        </w:rPr>
        <w:t xml:space="preserve"> Vs. </w:t>
      </w:r>
      <w:r w:rsidR="00AB3D58">
        <w:rPr>
          <w:i/>
          <w:sz w:val="16"/>
          <w:szCs w:val="16"/>
        </w:rPr>
        <w:t>Nicaragua</w:t>
      </w:r>
      <w:r w:rsidRPr="002B3048">
        <w:rPr>
          <w:sz w:val="16"/>
          <w:szCs w:val="16"/>
        </w:rPr>
        <w:t>.</w:t>
      </w:r>
      <w:r w:rsidR="00033EE5">
        <w:rPr>
          <w:sz w:val="16"/>
          <w:szCs w:val="16"/>
        </w:rPr>
        <w:t xml:space="preserve"> </w:t>
      </w:r>
      <w:r w:rsidR="00033EE5" w:rsidRPr="00FA5977">
        <w:rPr>
          <w:i/>
          <w:sz w:val="16"/>
          <w:szCs w:val="16"/>
        </w:rPr>
        <w:t>Convocatoria a audiencia</w:t>
      </w:r>
      <w:r w:rsidR="00033EE5">
        <w:rPr>
          <w:sz w:val="16"/>
          <w:szCs w:val="16"/>
        </w:rPr>
        <w:t>.</w:t>
      </w:r>
      <w:r w:rsidRPr="002B3048">
        <w:rPr>
          <w:sz w:val="16"/>
          <w:szCs w:val="16"/>
        </w:rPr>
        <w:t xml:space="preserve"> Resolución del Presidente de la Corte Interamericana de Derechos Humanos de </w:t>
      </w:r>
      <w:r w:rsidR="00AB3D58">
        <w:rPr>
          <w:sz w:val="16"/>
          <w:szCs w:val="16"/>
        </w:rPr>
        <w:t xml:space="preserve">21 de </w:t>
      </w:r>
      <w:proofErr w:type="spellStart"/>
      <w:r w:rsidR="00AB3D58">
        <w:rPr>
          <w:sz w:val="16"/>
          <w:szCs w:val="16"/>
        </w:rPr>
        <w:t>septembre</w:t>
      </w:r>
      <w:proofErr w:type="spellEnd"/>
      <w:r w:rsidRPr="002B3048">
        <w:rPr>
          <w:sz w:val="16"/>
          <w:szCs w:val="16"/>
        </w:rPr>
        <w:t xml:space="preserve"> de 2017, Considerando </w:t>
      </w:r>
      <w:r w:rsidR="00AB3D58">
        <w:rPr>
          <w:sz w:val="16"/>
          <w:szCs w:val="16"/>
        </w:rPr>
        <w:t>38</w:t>
      </w:r>
      <w:r w:rsidRPr="002B3048">
        <w:rPr>
          <w:sz w:val="16"/>
          <w:szCs w:val="16"/>
        </w:rPr>
        <w:t>.</w:t>
      </w:r>
    </w:p>
  </w:footnote>
  <w:footnote w:id="27">
    <w:p w14:paraId="473D25A5" w14:textId="7584E883" w:rsidR="00DA20DD" w:rsidRPr="00DC2DE1" w:rsidRDefault="00DA20DD" w:rsidP="00175284">
      <w:pPr>
        <w:pStyle w:val="Textonotapie"/>
        <w:jc w:val="both"/>
        <w:rPr>
          <w:sz w:val="16"/>
          <w:szCs w:val="16"/>
          <w:lang w:val="es-ES"/>
        </w:rPr>
      </w:pPr>
      <w:r w:rsidRPr="00DC2DE1">
        <w:rPr>
          <w:rStyle w:val="Refdenotaalpie"/>
          <w:sz w:val="16"/>
          <w:szCs w:val="16"/>
        </w:rPr>
        <w:footnoteRef/>
      </w:r>
      <w:r w:rsidRPr="00DC2DE1">
        <w:rPr>
          <w:sz w:val="16"/>
          <w:szCs w:val="16"/>
        </w:rPr>
        <w:t xml:space="preserve"> </w:t>
      </w:r>
      <w:r w:rsidRPr="00DC2DE1">
        <w:rPr>
          <w:sz w:val="16"/>
          <w:szCs w:val="16"/>
          <w:lang w:val="es-ES"/>
        </w:rPr>
        <w:tab/>
      </w:r>
      <w:r w:rsidRPr="00DC2DE1">
        <w:rPr>
          <w:sz w:val="16"/>
          <w:szCs w:val="16"/>
        </w:rPr>
        <w:t>El artículo 50.3 y 50.5 del Reglamento establece lo siguiente: “</w:t>
      </w:r>
      <w:r w:rsidRPr="00DC2DE1">
        <w:rPr>
          <w:rFonts w:cs="Arial"/>
          <w:sz w:val="16"/>
          <w:szCs w:val="16"/>
          <w:shd w:val="clear" w:color="auto" w:fill="FFFFFF"/>
        </w:rPr>
        <w:t>3. Las declaraciones versarán únicamente sobre el objeto que la Corte definió en la resolución a la que hace referencia el numeral 1 del presente artículo. Excepcionalmente, ante solicitud fundada y oído el parecer de la contraparte, la Corte podrá modificar el objeto de la declaración o aceptar una declaración que haya excedido el objeto fijado</w:t>
      </w:r>
      <w:r w:rsidR="00033EE5">
        <w:rPr>
          <w:rFonts w:cs="Arial"/>
          <w:sz w:val="16"/>
          <w:szCs w:val="16"/>
          <w:shd w:val="clear" w:color="auto" w:fill="FFFFFF"/>
        </w:rPr>
        <w:t>” y</w:t>
      </w:r>
      <w:r w:rsidR="00FA5977">
        <w:rPr>
          <w:rFonts w:cs="Arial"/>
          <w:sz w:val="16"/>
          <w:szCs w:val="16"/>
          <w:shd w:val="clear" w:color="auto" w:fill="FFFFFF"/>
        </w:rPr>
        <w:t xml:space="preserve"> </w:t>
      </w:r>
      <w:r w:rsidR="00033EE5">
        <w:rPr>
          <w:rFonts w:cs="Arial"/>
          <w:sz w:val="16"/>
          <w:szCs w:val="16"/>
          <w:shd w:val="clear" w:color="auto" w:fill="FFFFFF"/>
        </w:rPr>
        <w:t>“</w:t>
      </w:r>
      <w:r w:rsidR="00DC2DE1" w:rsidRPr="00DC2DE1">
        <w:rPr>
          <w:rFonts w:cs="Arial"/>
          <w:sz w:val="16"/>
          <w:szCs w:val="16"/>
          <w:shd w:val="clear" w:color="auto" w:fill="FFFFFF"/>
        </w:rPr>
        <w:t>5. Las presuntas víctimas o sus representantes, el Estado demandado y, en su caso, el Estado demandante podrán formular preguntas por escrito a los declarantes ofrecidos por la contraparte y, en su caso, por la Comisión, que hayan sido llamados a prestar declaración ante fedatario público (</w:t>
      </w:r>
      <w:r w:rsidR="00DC2DE1" w:rsidRPr="00DC2DE1">
        <w:rPr>
          <w:rStyle w:val="nfasis"/>
          <w:rFonts w:cs="Arial"/>
          <w:bCs/>
          <w:sz w:val="16"/>
          <w:szCs w:val="16"/>
          <w:shd w:val="clear" w:color="auto" w:fill="FFFFFF"/>
        </w:rPr>
        <w:t>affidávit</w:t>
      </w:r>
      <w:r w:rsidR="00DC2DE1" w:rsidRPr="00DC2DE1">
        <w:rPr>
          <w:rFonts w:cs="Arial"/>
          <w:sz w:val="16"/>
          <w:szCs w:val="16"/>
          <w:shd w:val="clear" w:color="auto" w:fill="FFFFFF"/>
        </w:rPr>
        <w:t>). La Presidencia estará facultada para resolver sobre la pertinencia de las preguntas formuladas y para dispensar de responderlas a la persona a quien vayan dirigidas, a menos que la Corte resuelva otra cosa. No serán admitidas las preguntas que induzcan las respuestas y que no se refieran al objeto determinado oportunamente</w:t>
      </w:r>
      <w:r w:rsidR="00033EE5">
        <w:rPr>
          <w:rFonts w:cs="Arial"/>
          <w:sz w:val="16"/>
          <w:szCs w:val="16"/>
          <w:shd w:val="clear" w:color="auto" w:fill="FFFFFF"/>
        </w:rPr>
        <w:t>”</w:t>
      </w:r>
      <w:r w:rsidR="00DC2DE1" w:rsidRPr="00DC2DE1">
        <w:rPr>
          <w:rFonts w:cs="Arial"/>
          <w:sz w:val="16"/>
          <w:szCs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195D6" w14:textId="77777777" w:rsidR="00993BAC" w:rsidRDefault="00993BAC" w:rsidP="00E97AA8">
    <w:pPr>
      <w:pStyle w:val="Encabezado"/>
      <w:rPr>
        <w:rStyle w:val="Nmerodepgina"/>
      </w:rPr>
    </w:pPr>
    <w:r>
      <w:rPr>
        <w:rStyle w:val="Nmerodepgina"/>
      </w:rPr>
      <w:fldChar w:fldCharType="begin"/>
    </w:r>
    <w:r>
      <w:rPr>
        <w:rStyle w:val="Nmerodepgina"/>
      </w:rPr>
      <w:instrText xml:space="preserve">PAGE  </w:instrText>
    </w:r>
    <w:r>
      <w:rPr>
        <w:rStyle w:val="Nmerodepgina"/>
      </w:rPr>
      <w:fldChar w:fldCharType="end"/>
    </w:r>
  </w:p>
  <w:p w14:paraId="02E3986A" w14:textId="77777777" w:rsidR="00993BAC" w:rsidRDefault="00993BAC" w:rsidP="00E97AA8">
    <w:pPr>
      <w:pStyle w:val="Encabezado"/>
    </w:pPr>
  </w:p>
  <w:p w14:paraId="2773835B" w14:textId="77777777" w:rsidR="00993BAC" w:rsidRDefault="00993BAC" w:rsidP="00E97A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2202" w14:textId="3B89FBD3" w:rsidR="00993BAC" w:rsidRDefault="00993BAC" w:rsidP="00E97AA8">
    <w:pPr>
      <w:pStyle w:val="Encabezado"/>
      <w:jc w:val="center"/>
      <w:rPr>
        <w:rStyle w:val="Nmerodepgina"/>
      </w:rPr>
    </w:pPr>
    <w:r w:rsidRPr="00205583">
      <w:rPr>
        <w:rStyle w:val="Nmerodepgina"/>
      </w:rPr>
      <w:t xml:space="preserve">- </w:t>
    </w:r>
    <w:r w:rsidRPr="00205583">
      <w:rPr>
        <w:rStyle w:val="Nmerodepgina"/>
      </w:rPr>
      <w:fldChar w:fldCharType="begin"/>
    </w:r>
    <w:r w:rsidRPr="00205583">
      <w:rPr>
        <w:rStyle w:val="Nmerodepgina"/>
      </w:rPr>
      <w:instrText xml:space="preserve">PAGE  </w:instrText>
    </w:r>
    <w:r w:rsidRPr="00205583">
      <w:rPr>
        <w:rStyle w:val="Nmerodepgina"/>
      </w:rPr>
      <w:fldChar w:fldCharType="separate"/>
    </w:r>
    <w:r w:rsidR="00141240">
      <w:rPr>
        <w:rStyle w:val="Nmerodepgina"/>
        <w:noProof/>
      </w:rPr>
      <w:t>2</w:t>
    </w:r>
    <w:r w:rsidRPr="00205583">
      <w:rPr>
        <w:rStyle w:val="Nmerodepgina"/>
      </w:rPr>
      <w:fldChar w:fldCharType="end"/>
    </w:r>
    <w:r>
      <w:rPr>
        <w:rStyle w:val="Nmerodepgina"/>
      </w:rPr>
      <w:t xml:space="preserve"> -</w:t>
    </w:r>
  </w:p>
  <w:p w14:paraId="6907126A" w14:textId="77777777" w:rsidR="00993BAC" w:rsidRDefault="00993BAC" w:rsidP="00E97AA8">
    <w:pPr>
      <w:pStyle w:val="Encabezado"/>
    </w:pPr>
  </w:p>
  <w:p w14:paraId="34E6923E" w14:textId="77777777" w:rsidR="00993BAC" w:rsidRDefault="00993BAC" w:rsidP="00E97A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3712"/>
    <w:multiLevelType w:val="hybridMultilevel"/>
    <w:tmpl w:val="84120ADC"/>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F22B03"/>
    <w:multiLevelType w:val="hybridMultilevel"/>
    <w:tmpl w:val="ABEE6602"/>
    <w:lvl w:ilvl="0" w:tplc="EA50B83A">
      <w:start w:val="1"/>
      <w:numFmt w:val="lowerLetter"/>
      <w:lvlText w:val="%1)"/>
      <w:lvlJc w:val="left"/>
      <w:pPr>
        <w:ind w:left="1440" w:hanging="360"/>
      </w:pPr>
      <w:rPr>
        <w:i/>
        <w:iCs/>
      </w:rPr>
    </w:lvl>
    <w:lvl w:ilvl="1" w:tplc="04090019">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C4C790E"/>
    <w:multiLevelType w:val="hybridMultilevel"/>
    <w:tmpl w:val="D34A4374"/>
    <w:lvl w:ilvl="0" w:tplc="887A47F8">
      <w:start w:val="1"/>
      <w:numFmt w:val="decimal"/>
      <w:pStyle w:val="PrrafodeSentencia"/>
      <w:lvlText w:val="%1."/>
      <w:lvlJc w:val="left"/>
      <w:pPr>
        <w:ind w:left="72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F555492"/>
    <w:multiLevelType w:val="hybridMultilevel"/>
    <w:tmpl w:val="B840F306"/>
    <w:lvl w:ilvl="0" w:tplc="115EB01E">
      <w:start w:val="1"/>
      <w:numFmt w:val="upperLetter"/>
      <w:pStyle w:val="Ttulo1"/>
      <w:lvlText w:val="%1."/>
      <w:lvlJc w:val="left"/>
      <w:pPr>
        <w:ind w:left="4188" w:hanging="360"/>
      </w:pPr>
      <w:rPr>
        <w:rFonts w:hint="default"/>
        <w:b/>
        <w:i/>
        <w:color w:val="auto"/>
        <w:sz w:val="20"/>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6FFC71A2">
      <w:start w:val="1"/>
      <w:numFmt w:val="decimal"/>
      <w:lvlText w:val="%4."/>
      <w:lvlJc w:val="left"/>
      <w:pPr>
        <w:ind w:left="2062" w:hanging="360"/>
      </w:pPr>
      <w:rPr>
        <w:rFonts w:ascii="Verdana" w:eastAsiaTheme="minorHAnsi" w:hAnsi="Verdana" w:cstheme="minorBidi"/>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F266CF58">
      <w:start w:val="1"/>
      <w:numFmt w:val="decimal"/>
      <w:lvlText w:val="%7."/>
      <w:lvlJc w:val="left"/>
      <w:pPr>
        <w:ind w:left="2062" w:hanging="360"/>
      </w:pPr>
      <w:rPr>
        <w:i w:val="0"/>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4E557E2"/>
    <w:multiLevelType w:val="hybridMultilevel"/>
    <w:tmpl w:val="20B88036"/>
    <w:lvl w:ilvl="0" w:tplc="3ECEBBE8">
      <w:start w:val="1"/>
      <w:numFmt w:val="lowerLetter"/>
      <w:lvlText w:val="%1)"/>
      <w:lvlJc w:val="left"/>
      <w:pPr>
        <w:ind w:left="720" w:hanging="360"/>
      </w:pPr>
      <w:rPr>
        <w:rFonts w:cs="BookAntiqua-Bold" w:hint="default"/>
        <w:i/>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80D679D"/>
    <w:multiLevelType w:val="hybridMultilevel"/>
    <w:tmpl w:val="20B88036"/>
    <w:lvl w:ilvl="0" w:tplc="3ECEBBE8">
      <w:start w:val="1"/>
      <w:numFmt w:val="lowerLetter"/>
      <w:lvlText w:val="%1)"/>
      <w:lvlJc w:val="left"/>
      <w:pPr>
        <w:ind w:left="1560" w:hanging="360"/>
      </w:pPr>
      <w:rPr>
        <w:rFonts w:cs="BookAntiqua-Bold" w:hint="default"/>
        <w:i/>
      </w:rPr>
    </w:lvl>
    <w:lvl w:ilvl="1" w:tplc="040A0019" w:tentative="1">
      <w:start w:val="1"/>
      <w:numFmt w:val="lowerLetter"/>
      <w:lvlText w:val="%2."/>
      <w:lvlJc w:val="left"/>
      <w:pPr>
        <w:ind w:left="2280" w:hanging="360"/>
      </w:pPr>
    </w:lvl>
    <w:lvl w:ilvl="2" w:tplc="040A001B" w:tentative="1">
      <w:start w:val="1"/>
      <w:numFmt w:val="lowerRoman"/>
      <w:lvlText w:val="%3."/>
      <w:lvlJc w:val="right"/>
      <w:pPr>
        <w:ind w:left="3000" w:hanging="180"/>
      </w:pPr>
    </w:lvl>
    <w:lvl w:ilvl="3" w:tplc="040A000F" w:tentative="1">
      <w:start w:val="1"/>
      <w:numFmt w:val="decimal"/>
      <w:lvlText w:val="%4."/>
      <w:lvlJc w:val="left"/>
      <w:pPr>
        <w:ind w:left="3720" w:hanging="360"/>
      </w:pPr>
    </w:lvl>
    <w:lvl w:ilvl="4" w:tplc="040A0019" w:tentative="1">
      <w:start w:val="1"/>
      <w:numFmt w:val="lowerLetter"/>
      <w:lvlText w:val="%5."/>
      <w:lvlJc w:val="left"/>
      <w:pPr>
        <w:ind w:left="4440" w:hanging="360"/>
      </w:pPr>
    </w:lvl>
    <w:lvl w:ilvl="5" w:tplc="040A001B" w:tentative="1">
      <w:start w:val="1"/>
      <w:numFmt w:val="lowerRoman"/>
      <w:lvlText w:val="%6."/>
      <w:lvlJc w:val="right"/>
      <w:pPr>
        <w:ind w:left="5160" w:hanging="180"/>
      </w:pPr>
    </w:lvl>
    <w:lvl w:ilvl="6" w:tplc="040A000F" w:tentative="1">
      <w:start w:val="1"/>
      <w:numFmt w:val="decimal"/>
      <w:lvlText w:val="%7."/>
      <w:lvlJc w:val="left"/>
      <w:pPr>
        <w:ind w:left="5880" w:hanging="360"/>
      </w:pPr>
    </w:lvl>
    <w:lvl w:ilvl="7" w:tplc="040A0019" w:tentative="1">
      <w:start w:val="1"/>
      <w:numFmt w:val="lowerLetter"/>
      <w:lvlText w:val="%8."/>
      <w:lvlJc w:val="left"/>
      <w:pPr>
        <w:ind w:left="6600" w:hanging="360"/>
      </w:pPr>
    </w:lvl>
    <w:lvl w:ilvl="8" w:tplc="040A001B" w:tentative="1">
      <w:start w:val="1"/>
      <w:numFmt w:val="lowerRoman"/>
      <w:lvlText w:val="%9."/>
      <w:lvlJc w:val="right"/>
      <w:pPr>
        <w:ind w:left="7320" w:hanging="180"/>
      </w:pPr>
    </w:lvl>
  </w:abstractNum>
  <w:abstractNum w:abstractNumId="6" w15:restartNumberingAfterBreak="0">
    <w:nsid w:val="193E04E2"/>
    <w:multiLevelType w:val="hybridMultilevel"/>
    <w:tmpl w:val="E968E2CA"/>
    <w:lvl w:ilvl="0" w:tplc="DE563928">
      <w:start w:val="1"/>
      <w:numFmt w:val="lowerLetter"/>
      <w:lvlText w:val="%1)"/>
      <w:lvlJc w:val="left"/>
      <w:pPr>
        <w:ind w:left="720" w:hanging="360"/>
      </w:pPr>
      <w:rPr>
        <w:rFonts w:ascii="Verdana" w:hAnsi="Verdana" w:cs="Times New Roman" w:hint="default"/>
        <w:i/>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26B7794E"/>
    <w:multiLevelType w:val="hybridMultilevel"/>
    <w:tmpl w:val="D6BA4424"/>
    <w:lvl w:ilvl="0" w:tplc="ED6CEDBC">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9B37BC5"/>
    <w:multiLevelType w:val="hybridMultilevel"/>
    <w:tmpl w:val="4D16C584"/>
    <w:lvl w:ilvl="0" w:tplc="F280BB7C">
      <w:start w:val="1"/>
      <w:numFmt w:val="lowerLetter"/>
      <w:lvlText w:val="%1)"/>
      <w:lvlJc w:val="left"/>
      <w:pPr>
        <w:ind w:left="1440" w:hanging="360"/>
      </w:pPr>
      <w:rPr>
        <w:i/>
        <w:iCs/>
      </w:rPr>
    </w:lvl>
    <w:lvl w:ilvl="1" w:tplc="04090019">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B46E5F"/>
    <w:multiLevelType w:val="hybridMultilevel"/>
    <w:tmpl w:val="D5A4AE20"/>
    <w:lvl w:ilvl="0" w:tplc="A6685D32">
      <w:start w:val="1"/>
      <w:numFmt w:val="lowerLetter"/>
      <w:lvlText w:val="%1)"/>
      <w:lvlJc w:val="left"/>
      <w:pPr>
        <w:ind w:left="720" w:hanging="360"/>
      </w:pPr>
      <w:rPr>
        <w:rFonts w:cs="BookAntiqua-Bold" w:hint="default"/>
        <w:i/>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835025F"/>
    <w:multiLevelType w:val="hybridMultilevel"/>
    <w:tmpl w:val="0F441E5C"/>
    <w:lvl w:ilvl="0" w:tplc="F9780AD4">
      <w:start w:val="1"/>
      <w:numFmt w:val="lowerLetter"/>
      <w:lvlText w:val="%1)"/>
      <w:lvlJc w:val="left"/>
      <w:pPr>
        <w:ind w:left="1080" w:hanging="360"/>
      </w:pPr>
      <w:rPr>
        <w:rFonts w:cs="BookAntiqua-Bold" w:hint="default"/>
        <w:i/>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1" w15:restartNumberingAfterBreak="0">
    <w:nsid w:val="3A1E4BCD"/>
    <w:multiLevelType w:val="hybridMultilevel"/>
    <w:tmpl w:val="AC8AA9C6"/>
    <w:lvl w:ilvl="0" w:tplc="BC7C7B02">
      <w:start w:val="1"/>
      <w:numFmt w:val="lowerLetter"/>
      <w:lvlText w:val="%1)"/>
      <w:lvlJc w:val="left"/>
      <w:pPr>
        <w:ind w:left="1440" w:hanging="360"/>
      </w:pPr>
      <w:rPr>
        <w:b w:val="0"/>
        <w:bCs/>
        <w:i/>
        <w:iCs/>
      </w:rPr>
    </w:lvl>
    <w:lvl w:ilvl="1" w:tplc="04090019">
      <w:start w:val="1"/>
      <w:numFmt w:val="lowerLetter"/>
      <w:lvlText w:val="%2."/>
      <w:lvlJc w:val="left"/>
      <w:pPr>
        <w:ind w:left="2160" w:hanging="360"/>
      </w:pPr>
    </w:lvl>
    <w:lvl w:ilvl="2" w:tplc="D2521FDE">
      <w:start w:val="1"/>
      <w:numFmt w:val="lowerLetter"/>
      <w:lvlText w:val="%3)"/>
      <w:lvlJc w:val="left"/>
      <w:pPr>
        <w:ind w:left="2880" w:hanging="180"/>
      </w:pPr>
      <w:rPr>
        <w:b w:val="0"/>
        <w:bCs/>
        <w:i/>
        <w:iCs/>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A38404A"/>
    <w:multiLevelType w:val="hybridMultilevel"/>
    <w:tmpl w:val="FABCC80C"/>
    <w:lvl w:ilvl="0" w:tplc="96607EE2">
      <w:start w:val="1"/>
      <w:numFmt w:val="decimal"/>
      <w:lvlText w:val="%1."/>
      <w:lvlJc w:val="left"/>
      <w:pPr>
        <w:tabs>
          <w:tab w:val="num" w:pos="387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3" w15:restartNumberingAfterBreak="0">
    <w:nsid w:val="3E4E7652"/>
    <w:multiLevelType w:val="hybridMultilevel"/>
    <w:tmpl w:val="D6762670"/>
    <w:lvl w:ilvl="0" w:tplc="06E03C86">
      <w:start w:val="1"/>
      <w:numFmt w:val="decimal"/>
      <w:lvlText w:val="%1."/>
      <w:lvlJc w:val="left"/>
      <w:pPr>
        <w:ind w:left="786" w:hanging="360"/>
      </w:pPr>
      <w:rPr>
        <w:rFonts w:ascii="Verdana" w:hAnsi="Verdana" w:cs="Times New Roman"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662117"/>
    <w:multiLevelType w:val="hybridMultilevel"/>
    <w:tmpl w:val="84120ADC"/>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004AD5"/>
    <w:multiLevelType w:val="hybridMultilevel"/>
    <w:tmpl w:val="01627CDC"/>
    <w:lvl w:ilvl="0" w:tplc="A3966368">
      <w:start w:val="1"/>
      <w:numFmt w:val="upperLetter"/>
      <w:lvlText w:val="%1."/>
      <w:lvlJc w:val="left"/>
      <w:pPr>
        <w:ind w:left="720" w:hanging="360"/>
      </w:pPr>
      <w:rPr>
        <w:b/>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141F4D"/>
    <w:multiLevelType w:val="hybridMultilevel"/>
    <w:tmpl w:val="01627CDC"/>
    <w:lvl w:ilvl="0" w:tplc="A3966368">
      <w:start w:val="1"/>
      <w:numFmt w:val="upperLetter"/>
      <w:lvlText w:val="%1."/>
      <w:lvlJc w:val="left"/>
      <w:pPr>
        <w:ind w:left="720" w:hanging="360"/>
      </w:pPr>
      <w:rPr>
        <w:b/>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A612BD2"/>
    <w:multiLevelType w:val="hybridMultilevel"/>
    <w:tmpl w:val="4BEE7F42"/>
    <w:lvl w:ilvl="0" w:tplc="669E31B0">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4CF22900"/>
    <w:multiLevelType w:val="hybridMultilevel"/>
    <w:tmpl w:val="BB88D33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20603F8"/>
    <w:multiLevelType w:val="hybridMultilevel"/>
    <w:tmpl w:val="6CCC5F3C"/>
    <w:lvl w:ilvl="0" w:tplc="FCD8746A">
      <w:start w:val="1"/>
      <w:numFmt w:val="lowerLetter"/>
      <w:lvlText w:val="%1)"/>
      <w:lvlJc w:val="left"/>
      <w:pPr>
        <w:ind w:left="720" w:hanging="360"/>
      </w:pPr>
      <w:rPr>
        <w:rFonts w:cs="BookAntiqua-Bold" w:hint="default"/>
        <w:i/>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53680F1F"/>
    <w:multiLevelType w:val="hybridMultilevel"/>
    <w:tmpl w:val="C548EB4A"/>
    <w:lvl w:ilvl="0" w:tplc="F0E40644">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547846BE"/>
    <w:multiLevelType w:val="multilevel"/>
    <w:tmpl w:val="DA800222"/>
    <w:lvl w:ilvl="0">
      <w:start w:val="1"/>
      <w:numFmt w:val="decimal"/>
      <w:lvlText w:val="%1."/>
      <w:lvlJc w:val="left"/>
      <w:pPr>
        <w:ind w:left="360" w:hanging="360"/>
      </w:pPr>
      <w:rPr>
        <w:rFonts w:ascii="Verdana" w:hAnsi="Verdana" w:hint="default"/>
        <w:b w:val="0"/>
        <w:i w:val="0"/>
        <w:color w:val="auto"/>
        <w:sz w:val="20"/>
        <w:szCs w:val="20"/>
      </w:rPr>
    </w:lvl>
    <w:lvl w:ilvl="1">
      <w:start w:val="1"/>
      <w:numFmt w:val="lowerLetter"/>
      <w:lvlText w:val="%2."/>
      <w:lvlJc w:val="left"/>
      <w:pPr>
        <w:ind w:left="-2672" w:hanging="360"/>
      </w:pPr>
      <w:rPr>
        <w:rFonts w:hint="default"/>
        <w:b w:val="0"/>
      </w:rPr>
    </w:lvl>
    <w:lvl w:ilvl="2">
      <w:start w:val="1"/>
      <w:numFmt w:val="lowerRoman"/>
      <w:lvlText w:val="%3."/>
      <w:lvlJc w:val="right"/>
      <w:pPr>
        <w:ind w:left="-1952" w:hanging="180"/>
      </w:pPr>
      <w:rPr>
        <w:rFonts w:hint="default"/>
      </w:rPr>
    </w:lvl>
    <w:lvl w:ilvl="3">
      <w:start w:val="1"/>
      <w:numFmt w:val="decimal"/>
      <w:lvlText w:val="%4."/>
      <w:lvlJc w:val="left"/>
      <w:pPr>
        <w:ind w:left="-1232" w:hanging="360"/>
      </w:pPr>
      <w:rPr>
        <w:rFonts w:hint="default"/>
      </w:rPr>
    </w:lvl>
    <w:lvl w:ilvl="4">
      <w:start w:val="1"/>
      <w:numFmt w:val="lowerLetter"/>
      <w:lvlText w:val="%5."/>
      <w:lvlJc w:val="left"/>
      <w:pPr>
        <w:ind w:left="-512" w:hanging="360"/>
      </w:pPr>
      <w:rPr>
        <w:rFonts w:hint="default"/>
      </w:rPr>
    </w:lvl>
    <w:lvl w:ilvl="5">
      <w:start w:val="1"/>
      <w:numFmt w:val="lowerRoman"/>
      <w:lvlText w:val="%6."/>
      <w:lvlJc w:val="right"/>
      <w:pPr>
        <w:ind w:left="208" w:hanging="180"/>
      </w:pPr>
      <w:rPr>
        <w:rFonts w:hint="default"/>
      </w:rPr>
    </w:lvl>
    <w:lvl w:ilvl="6">
      <w:start w:val="1"/>
      <w:numFmt w:val="decimal"/>
      <w:lvlText w:val="%7."/>
      <w:lvlJc w:val="left"/>
      <w:pPr>
        <w:ind w:left="928" w:hanging="360"/>
      </w:pPr>
      <w:rPr>
        <w:rFonts w:hint="default"/>
      </w:rPr>
    </w:lvl>
    <w:lvl w:ilvl="7">
      <w:start w:val="1"/>
      <w:numFmt w:val="lowerLetter"/>
      <w:lvlText w:val="%8."/>
      <w:lvlJc w:val="left"/>
      <w:pPr>
        <w:ind w:left="1648" w:hanging="360"/>
      </w:pPr>
      <w:rPr>
        <w:rFonts w:hint="default"/>
      </w:rPr>
    </w:lvl>
    <w:lvl w:ilvl="8">
      <w:start w:val="1"/>
      <w:numFmt w:val="lowerRoman"/>
      <w:lvlText w:val="%9."/>
      <w:lvlJc w:val="right"/>
      <w:pPr>
        <w:ind w:left="2368" w:hanging="180"/>
      </w:pPr>
      <w:rPr>
        <w:rFonts w:hint="default"/>
      </w:rPr>
    </w:lvl>
  </w:abstractNum>
  <w:abstractNum w:abstractNumId="22" w15:restartNumberingAfterBreak="0">
    <w:nsid w:val="578B3593"/>
    <w:multiLevelType w:val="hybridMultilevel"/>
    <w:tmpl w:val="C548EB4A"/>
    <w:lvl w:ilvl="0" w:tplc="F0E40644">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588C4B47"/>
    <w:multiLevelType w:val="hybridMultilevel"/>
    <w:tmpl w:val="2EFAB530"/>
    <w:lvl w:ilvl="0" w:tplc="74E29B24">
      <w:start w:val="1"/>
      <w:numFmt w:val="lowerLetter"/>
      <w:lvlText w:val="%1)"/>
      <w:lvlJc w:val="left"/>
      <w:pPr>
        <w:ind w:left="1920" w:hanging="360"/>
      </w:pPr>
      <w:rPr>
        <w:rFonts w:ascii="Calibri-Bold" w:hAnsi="Calibri-Bold" w:cs="Calibri-Bold" w:hint="default"/>
        <w:b w:val="0"/>
        <w:i/>
      </w:rPr>
    </w:lvl>
    <w:lvl w:ilvl="1" w:tplc="040A0019" w:tentative="1">
      <w:start w:val="1"/>
      <w:numFmt w:val="lowerLetter"/>
      <w:lvlText w:val="%2."/>
      <w:lvlJc w:val="left"/>
      <w:pPr>
        <w:ind w:left="2640" w:hanging="360"/>
      </w:pPr>
    </w:lvl>
    <w:lvl w:ilvl="2" w:tplc="040A001B" w:tentative="1">
      <w:start w:val="1"/>
      <w:numFmt w:val="lowerRoman"/>
      <w:lvlText w:val="%3."/>
      <w:lvlJc w:val="right"/>
      <w:pPr>
        <w:ind w:left="3360" w:hanging="180"/>
      </w:pPr>
    </w:lvl>
    <w:lvl w:ilvl="3" w:tplc="040A000F" w:tentative="1">
      <w:start w:val="1"/>
      <w:numFmt w:val="decimal"/>
      <w:lvlText w:val="%4."/>
      <w:lvlJc w:val="left"/>
      <w:pPr>
        <w:ind w:left="4080" w:hanging="360"/>
      </w:pPr>
    </w:lvl>
    <w:lvl w:ilvl="4" w:tplc="040A0019" w:tentative="1">
      <w:start w:val="1"/>
      <w:numFmt w:val="lowerLetter"/>
      <w:lvlText w:val="%5."/>
      <w:lvlJc w:val="left"/>
      <w:pPr>
        <w:ind w:left="4800" w:hanging="360"/>
      </w:pPr>
    </w:lvl>
    <w:lvl w:ilvl="5" w:tplc="040A001B" w:tentative="1">
      <w:start w:val="1"/>
      <w:numFmt w:val="lowerRoman"/>
      <w:lvlText w:val="%6."/>
      <w:lvlJc w:val="right"/>
      <w:pPr>
        <w:ind w:left="5520" w:hanging="180"/>
      </w:pPr>
    </w:lvl>
    <w:lvl w:ilvl="6" w:tplc="040A000F" w:tentative="1">
      <w:start w:val="1"/>
      <w:numFmt w:val="decimal"/>
      <w:lvlText w:val="%7."/>
      <w:lvlJc w:val="left"/>
      <w:pPr>
        <w:ind w:left="6240" w:hanging="360"/>
      </w:pPr>
    </w:lvl>
    <w:lvl w:ilvl="7" w:tplc="040A0019" w:tentative="1">
      <w:start w:val="1"/>
      <w:numFmt w:val="lowerLetter"/>
      <w:lvlText w:val="%8."/>
      <w:lvlJc w:val="left"/>
      <w:pPr>
        <w:ind w:left="6960" w:hanging="360"/>
      </w:pPr>
    </w:lvl>
    <w:lvl w:ilvl="8" w:tplc="040A001B" w:tentative="1">
      <w:start w:val="1"/>
      <w:numFmt w:val="lowerRoman"/>
      <w:lvlText w:val="%9."/>
      <w:lvlJc w:val="right"/>
      <w:pPr>
        <w:ind w:left="7680" w:hanging="180"/>
      </w:pPr>
    </w:lvl>
  </w:abstractNum>
  <w:abstractNum w:abstractNumId="24" w15:restartNumberingAfterBreak="0">
    <w:nsid w:val="5DDB6DC6"/>
    <w:multiLevelType w:val="hybridMultilevel"/>
    <w:tmpl w:val="BF803A00"/>
    <w:lvl w:ilvl="0" w:tplc="83943FF2">
      <w:start w:val="1"/>
      <w:numFmt w:val="decimal"/>
      <w:pStyle w:val="Sinespaciado"/>
      <w:lvlText w:val="%1."/>
      <w:lvlJc w:val="left"/>
      <w:pPr>
        <w:ind w:left="8015" w:hanging="360"/>
      </w:pPr>
      <w:rPr>
        <w:rFonts w:ascii="Verdana" w:hAnsi="Verdana" w:hint="default"/>
        <w:b w:val="0"/>
        <w:i w:val="0"/>
        <w:color w:val="auto"/>
        <w:sz w:val="20"/>
        <w:szCs w:val="20"/>
        <w:lang w:val="es-CR"/>
      </w:rPr>
    </w:lvl>
    <w:lvl w:ilvl="1" w:tplc="04090019">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5" w15:restartNumberingAfterBreak="0">
    <w:nsid w:val="60C81F1D"/>
    <w:multiLevelType w:val="hybridMultilevel"/>
    <w:tmpl w:val="9FAAC642"/>
    <w:lvl w:ilvl="0" w:tplc="87BCD632">
      <w:start w:val="1"/>
      <w:numFmt w:val="lowerLetter"/>
      <w:lvlText w:val="%1)"/>
      <w:lvlJc w:val="left"/>
      <w:pPr>
        <w:ind w:left="1800" w:hanging="360"/>
      </w:pPr>
      <w:rPr>
        <w:rFonts w:ascii="Verdana" w:hAnsi="Verdana" w:cs="Times New Roman" w:hint="default"/>
        <w:i/>
      </w:rPr>
    </w:lvl>
    <w:lvl w:ilvl="1" w:tplc="040A0019" w:tentative="1">
      <w:start w:val="1"/>
      <w:numFmt w:val="lowerLetter"/>
      <w:lvlText w:val="%2."/>
      <w:lvlJc w:val="left"/>
      <w:pPr>
        <w:ind w:left="2520" w:hanging="360"/>
      </w:pPr>
    </w:lvl>
    <w:lvl w:ilvl="2" w:tplc="040A001B" w:tentative="1">
      <w:start w:val="1"/>
      <w:numFmt w:val="lowerRoman"/>
      <w:lvlText w:val="%3."/>
      <w:lvlJc w:val="right"/>
      <w:pPr>
        <w:ind w:left="3240" w:hanging="180"/>
      </w:pPr>
    </w:lvl>
    <w:lvl w:ilvl="3" w:tplc="040A000F" w:tentative="1">
      <w:start w:val="1"/>
      <w:numFmt w:val="decimal"/>
      <w:lvlText w:val="%4."/>
      <w:lvlJc w:val="left"/>
      <w:pPr>
        <w:ind w:left="3960" w:hanging="360"/>
      </w:pPr>
    </w:lvl>
    <w:lvl w:ilvl="4" w:tplc="040A0019" w:tentative="1">
      <w:start w:val="1"/>
      <w:numFmt w:val="lowerLetter"/>
      <w:lvlText w:val="%5."/>
      <w:lvlJc w:val="left"/>
      <w:pPr>
        <w:ind w:left="4680" w:hanging="360"/>
      </w:pPr>
    </w:lvl>
    <w:lvl w:ilvl="5" w:tplc="040A001B" w:tentative="1">
      <w:start w:val="1"/>
      <w:numFmt w:val="lowerRoman"/>
      <w:lvlText w:val="%6."/>
      <w:lvlJc w:val="right"/>
      <w:pPr>
        <w:ind w:left="5400" w:hanging="180"/>
      </w:pPr>
    </w:lvl>
    <w:lvl w:ilvl="6" w:tplc="040A000F" w:tentative="1">
      <w:start w:val="1"/>
      <w:numFmt w:val="decimal"/>
      <w:lvlText w:val="%7."/>
      <w:lvlJc w:val="left"/>
      <w:pPr>
        <w:ind w:left="6120" w:hanging="360"/>
      </w:pPr>
    </w:lvl>
    <w:lvl w:ilvl="7" w:tplc="040A0019" w:tentative="1">
      <w:start w:val="1"/>
      <w:numFmt w:val="lowerLetter"/>
      <w:lvlText w:val="%8."/>
      <w:lvlJc w:val="left"/>
      <w:pPr>
        <w:ind w:left="6840" w:hanging="360"/>
      </w:pPr>
    </w:lvl>
    <w:lvl w:ilvl="8" w:tplc="040A001B" w:tentative="1">
      <w:start w:val="1"/>
      <w:numFmt w:val="lowerRoman"/>
      <w:lvlText w:val="%9."/>
      <w:lvlJc w:val="right"/>
      <w:pPr>
        <w:ind w:left="7560" w:hanging="180"/>
      </w:pPr>
    </w:lvl>
  </w:abstractNum>
  <w:abstractNum w:abstractNumId="26" w15:restartNumberingAfterBreak="0">
    <w:nsid w:val="62C97D24"/>
    <w:multiLevelType w:val="hybridMultilevel"/>
    <w:tmpl w:val="EF646EAA"/>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7" w15:restartNumberingAfterBreak="0">
    <w:nsid w:val="64AB3EA2"/>
    <w:multiLevelType w:val="hybridMultilevel"/>
    <w:tmpl w:val="06BE1790"/>
    <w:lvl w:ilvl="0" w:tplc="693A63CE">
      <w:start w:val="1"/>
      <w:numFmt w:val="lowerLetter"/>
      <w:lvlText w:val="%1)"/>
      <w:lvlJc w:val="left"/>
      <w:pPr>
        <w:ind w:left="1440" w:hanging="360"/>
      </w:pPr>
      <w:rPr>
        <w:i/>
      </w:rPr>
    </w:lvl>
    <w:lvl w:ilvl="1" w:tplc="04090019">
      <w:start w:val="1"/>
      <w:numFmt w:val="lowerLetter"/>
      <w:lvlText w:val="%2."/>
      <w:lvlJc w:val="left"/>
      <w:pPr>
        <w:ind w:left="2160" w:hanging="360"/>
      </w:pPr>
    </w:lvl>
    <w:lvl w:ilvl="2" w:tplc="04090017">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4C8295A"/>
    <w:multiLevelType w:val="hybridMultilevel"/>
    <w:tmpl w:val="4BAECF3C"/>
    <w:lvl w:ilvl="0" w:tplc="17848532">
      <w:start w:val="1"/>
      <w:numFmt w:val="upperLetter"/>
      <w:lvlText w:val="%1)"/>
      <w:lvlJc w:val="left"/>
      <w:pPr>
        <w:ind w:left="720"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FDD4F5F"/>
    <w:multiLevelType w:val="hybridMultilevel"/>
    <w:tmpl w:val="A8E61AF4"/>
    <w:lvl w:ilvl="0" w:tplc="4530CB34">
      <w:start w:val="1"/>
      <w:numFmt w:val="lowerLetter"/>
      <w:lvlText w:val="%1)"/>
      <w:lvlJc w:val="left"/>
      <w:pPr>
        <w:ind w:left="1429" w:hanging="360"/>
      </w:pPr>
      <w:rPr>
        <w:i/>
        <w:iCs/>
      </w:rPr>
    </w:lvl>
    <w:lvl w:ilvl="1" w:tplc="04090019">
      <w:start w:val="1"/>
      <w:numFmt w:val="lowerLetter"/>
      <w:lvlText w:val="%2."/>
      <w:lvlJc w:val="left"/>
      <w:pPr>
        <w:ind w:left="2149" w:hanging="360"/>
      </w:pPr>
    </w:lvl>
    <w:lvl w:ilvl="2" w:tplc="04090017">
      <w:start w:val="1"/>
      <w:numFmt w:val="lowerLetter"/>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0" w15:restartNumberingAfterBreak="0">
    <w:nsid w:val="75FB7C72"/>
    <w:multiLevelType w:val="hybridMultilevel"/>
    <w:tmpl w:val="A73E6BF8"/>
    <w:lvl w:ilvl="0" w:tplc="73E0E530">
      <w:start w:val="1"/>
      <w:numFmt w:val="upperLetter"/>
      <w:lvlText w:val="%1."/>
      <w:lvlJc w:val="left"/>
      <w:pPr>
        <w:ind w:left="450" w:hanging="360"/>
      </w:pPr>
      <w:rPr>
        <w:rFonts w:hint="default"/>
        <w:lang w:val="es-ES_tradnl"/>
      </w:rPr>
    </w:lvl>
    <w:lvl w:ilvl="1" w:tplc="323EEAAC">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7A253DA6"/>
    <w:multiLevelType w:val="hybridMultilevel"/>
    <w:tmpl w:val="8E9C95BC"/>
    <w:lvl w:ilvl="0" w:tplc="832253D8">
      <w:start w:val="1"/>
      <w:numFmt w:val="lowerLetter"/>
      <w:lvlText w:val="%1)"/>
      <w:lvlJc w:val="left"/>
      <w:pPr>
        <w:ind w:left="1440" w:hanging="360"/>
      </w:pPr>
      <w:rPr>
        <w:i/>
      </w:rPr>
    </w:lvl>
    <w:lvl w:ilvl="1" w:tplc="04090019">
      <w:start w:val="1"/>
      <w:numFmt w:val="lowerLetter"/>
      <w:lvlText w:val="%2."/>
      <w:lvlJc w:val="left"/>
      <w:pPr>
        <w:ind w:left="2160" w:hanging="360"/>
      </w:pPr>
    </w:lvl>
    <w:lvl w:ilvl="2" w:tplc="BA748A4E">
      <w:start w:val="1"/>
      <w:numFmt w:val="lowerLetter"/>
      <w:lvlText w:val="%3)"/>
      <w:lvlJc w:val="left"/>
      <w:pPr>
        <w:ind w:left="2880" w:hanging="180"/>
      </w:pPr>
      <w:rPr>
        <w:i/>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A852245"/>
    <w:multiLevelType w:val="hybridMultilevel"/>
    <w:tmpl w:val="84120ADC"/>
    <w:lvl w:ilvl="0" w:tplc="04090011">
      <w:start w:val="1"/>
      <w:numFmt w:val="decimal"/>
      <w:lvlText w:val="%1)"/>
      <w:lvlJc w:val="left"/>
      <w:pPr>
        <w:ind w:left="786" w:hanging="360"/>
      </w:pPr>
      <w:rPr>
        <w:rFonts w:hint="default"/>
        <w:b w:val="0"/>
        <w:i w:val="0"/>
        <w:color w:val="auto"/>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4"/>
  </w:num>
  <w:num w:numId="2">
    <w:abstractNumId w:val="3"/>
  </w:num>
  <w:num w:numId="3">
    <w:abstractNumId w:val="2"/>
  </w:num>
  <w:num w:numId="4">
    <w:abstractNumId w:val="13"/>
  </w:num>
  <w:num w:numId="5">
    <w:abstractNumId w:val="28"/>
  </w:num>
  <w:num w:numId="6">
    <w:abstractNumId w:val="32"/>
  </w:num>
  <w:num w:numId="7">
    <w:abstractNumId w:val="17"/>
  </w:num>
  <w:num w:numId="8">
    <w:abstractNumId w:val="14"/>
  </w:num>
  <w:num w:numId="9">
    <w:abstractNumId w:val="0"/>
  </w:num>
  <w:num w:numId="10">
    <w:abstractNumId w:val="24"/>
  </w:num>
  <w:num w:numId="11">
    <w:abstractNumId w:val="24"/>
  </w:num>
  <w:num w:numId="12">
    <w:abstractNumId w:val="12"/>
  </w:num>
  <w:num w:numId="13">
    <w:abstractNumId w:val="26"/>
  </w:num>
  <w:num w:numId="14">
    <w:abstractNumId w:val="30"/>
  </w:num>
  <w:num w:numId="15">
    <w:abstractNumId w:val="7"/>
  </w:num>
  <w:num w:numId="16">
    <w:abstractNumId w:val="22"/>
  </w:num>
  <w:num w:numId="17">
    <w:abstractNumId w:val="20"/>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1"/>
  </w:num>
  <w:num w:numId="21">
    <w:abstractNumId w:val="8"/>
  </w:num>
  <w:num w:numId="22">
    <w:abstractNumId w:val="11"/>
  </w:num>
  <w:num w:numId="23">
    <w:abstractNumId w:val="27"/>
  </w:num>
  <w:num w:numId="24">
    <w:abstractNumId w:val="1"/>
  </w:num>
  <w:num w:numId="25">
    <w:abstractNumId w:val="29"/>
  </w:num>
  <w:num w:numId="26">
    <w:abstractNumId w:val="18"/>
  </w:num>
  <w:num w:numId="27">
    <w:abstractNumId w:val="31"/>
  </w:num>
  <w:num w:numId="28">
    <w:abstractNumId w:val="19"/>
  </w:num>
  <w:num w:numId="29">
    <w:abstractNumId w:val="10"/>
  </w:num>
  <w:num w:numId="30">
    <w:abstractNumId w:val="23"/>
  </w:num>
  <w:num w:numId="31">
    <w:abstractNumId w:val="4"/>
  </w:num>
  <w:num w:numId="32">
    <w:abstractNumId w:val="9"/>
  </w:num>
  <w:num w:numId="33">
    <w:abstractNumId w:val="6"/>
  </w:num>
  <w:num w:numId="34">
    <w:abstractNumId w:val="25"/>
  </w:num>
  <w:num w:numId="3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CR"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AR" w:vendorID="64" w:dllVersion="6" w:nlCheck="1" w:checkStyle="0"/>
  <w:activeWritingStyle w:appName="MSWord" w:lang="es-CR"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CO" w:vendorID="64" w:dllVersion="6" w:nlCheck="1" w:checkStyle="0"/>
  <w:activeWritingStyle w:appName="MSWord" w:lang="es-CL" w:vendorID="64" w:dllVersion="6" w:nlCheck="1" w:checkStyle="0"/>
  <w:activeWritingStyle w:appName="MSWord" w:lang="es-BO" w:vendorID="64" w:dllVersion="6" w:nlCheck="1" w:checkStyle="0"/>
  <w:activeWritingStyle w:appName="MSWord" w:lang="es-CL" w:vendorID="64" w:dllVersion="4096" w:nlCheck="1" w:checkStyle="0"/>
  <w:activeWritingStyle w:appName="MSWord" w:lang="es-CO" w:vendorID="64" w:dllVersion="4096" w:nlCheck="1" w:checkStyle="0"/>
  <w:activeWritingStyle w:appName="MSWord" w:lang="es-AR" w:vendorID="64" w:dllVersion="4096" w:nlCheck="1" w:checkStyle="0"/>
  <w:activeWritingStyle w:appName="MSWord" w:lang="es-BO" w:vendorID="64" w:dllVersion="4096" w:nlCheck="1" w:checkStyle="0"/>
  <w:activeWritingStyle w:appName="MSWord" w:lang="es-ES_tradnl" w:vendorID="64" w:dllVersion="0" w:nlCheck="1" w:checkStyle="0"/>
  <w:activeWritingStyle w:appName="MSWord" w:lang="es-CR" w:vendorID="64" w:dllVersion="0" w:nlCheck="1" w:checkStyle="0"/>
  <w:activeWritingStyle w:appName="MSWord" w:lang="es-CO" w:vendorID="64" w:dllVersion="0" w:nlCheck="1" w:checkStyle="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191"/>
    <w:rsid w:val="0000022D"/>
    <w:rsid w:val="00000EE8"/>
    <w:rsid w:val="000033D7"/>
    <w:rsid w:val="000054D5"/>
    <w:rsid w:val="00005C3B"/>
    <w:rsid w:val="00010226"/>
    <w:rsid w:val="00010255"/>
    <w:rsid w:val="0001041C"/>
    <w:rsid w:val="00011410"/>
    <w:rsid w:val="00011B41"/>
    <w:rsid w:val="00012E73"/>
    <w:rsid w:val="00013BA9"/>
    <w:rsid w:val="00014289"/>
    <w:rsid w:val="000142CB"/>
    <w:rsid w:val="00014AD2"/>
    <w:rsid w:val="00014C78"/>
    <w:rsid w:val="00016191"/>
    <w:rsid w:val="00017AD6"/>
    <w:rsid w:val="000205AC"/>
    <w:rsid w:val="0002209F"/>
    <w:rsid w:val="000223CE"/>
    <w:rsid w:val="00033EE5"/>
    <w:rsid w:val="000341DA"/>
    <w:rsid w:val="00035149"/>
    <w:rsid w:val="00036095"/>
    <w:rsid w:val="00036B28"/>
    <w:rsid w:val="000411C8"/>
    <w:rsid w:val="0004268F"/>
    <w:rsid w:val="00043F00"/>
    <w:rsid w:val="0004514C"/>
    <w:rsid w:val="00045F17"/>
    <w:rsid w:val="00047269"/>
    <w:rsid w:val="00047780"/>
    <w:rsid w:val="00055052"/>
    <w:rsid w:val="000551B0"/>
    <w:rsid w:val="000572C5"/>
    <w:rsid w:val="00060660"/>
    <w:rsid w:val="00062639"/>
    <w:rsid w:val="00063975"/>
    <w:rsid w:val="00063C33"/>
    <w:rsid w:val="00063E3C"/>
    <w:rsid w:val="0006429F"/>
    <w:rsid w:val="00065FFD"/>
    <w:rsid w:val="00066CD6"/>
    <w:rsid w:val="00067B7C"/>
    <w:rsid w:val="00070C5A"/>
    <w:rsid w:val="000719A4"/>
    <w:rsid w:val="00073E13"/>
    <w:rsid w:val="000759AC"/>
    <w:rsid w:val="00077840"/>
    <w:rsid w:val="0008188C"/>
    <w:rsid w:val="00082CF9"/>
    <w:rsid w:val="00082D54"/>
    <w:rsid w:val="000848E5"/>
    <w:rsid w:val="00086C27"/>
    <w:rsid w:val="00087ED4"/>
    <w:rsid w:val="00090055"/>
    <w:rsid w:val="0009389A"/>
    <w:rsid w:val="00093B23"/>
    <w:rsid w:val="00094A32"/>
    <w:rsid w:val="000951A5"/>
    <w:rsid w:val="00095AA5"/>
    <w:rsid w:val="00095C3B"/>
    <w:rsid w:val="00096CC8"/>
    <w:rsid w:val="00096D19"/>
    <w:rsid w:val="000A07F1"/>
    <w:rsid w:val="000A0FDA"/>
    <w:rsid w:val="000A41E4"/>
    <w:rsid w:val="000A4368"/>
    <w:rsid w:val="000A6FEA"/>
    <w:rsid w:val="000A7575"/>
    <w:rsid w:val="000B3001"/>
    <w:rsid w:val="000B3065"/>
    <w:rsid w:val="000B398F"/>
    <w:rsid w:val="000B61CF"/>
    <w:rsid w:val="000C00AC"/>
    <w:rsid w:val="000C116F"/>
    <w:rsid w:val="000C41A4"/>
    <w:rsid w:val="000C54D2"/>
    <w:rsid w:val="000C5F41"/>
    <w:rsid w:val="000C7B74"/>
    <w:rsid w:val="000D0F0E"/>
    <w:rsid w:val="000D150C"/>
    <w:rsid w:val="000D3879"/>
    <w:rsid w:val="000D4C2C"/>
    <w:rsid w:val="000D4C8E"/>
    <w:rsid w:val="000D4CB9"/>
    <w:rsid w:val="000D608F"/>
    <w:rsid w:val="000D7B5F"/>
    <w:rsid w:val="000E3401"/>
    <w:rsid w:val="000F00E0"/>
    <w:rsid w:val="000F095D"/>
    <w:rsid w:val="000F1688"/>
    <w:rsid w:val="000F1A7C"/>
    <w:rsid w:val="000F4504"/>
    <w:rsid w:val="000F74B5"/>
    <w:rsid w:val="001003B8"/>
    <w:rsid w:val="0010097D"/>
    <w:rsid w:val="00101232"/>
    <w:rsid w:val="00101B65"/>
    <w:rsid w:val="00102153"/>
    <w:rsid w:val="001031A7"/>
    <w:rsid w:val="00104117"/>
    <w:rsid w:val="00104220"/>
    <w:rsid w:val="0010494F"/>
    <w:rsid w:val="00106103"/>
    <w:rsid w:val="00107F5E"/>
    <w:rsid w:val="00110401"/>
    <w:rsid w:val="001128B5"/>
    <w:rsid w:val="00113DF4"/>
    <w:rsid w:val="00113F6D"/>
    <w:rsid w:val="0011434A"/>
    <w:rsid w:val="00114775"/>
    <w:rsid w:val="00115083"/>
    <w:rsid w:val="00115A14"/>
    <w:rsid w:val="00117C4F"/>
    <w:rsid w:val="00117CED"/>
    <w:rsid w:val="00122A75"/>
    <w:rsid w:val="00122B93"/>
    <w:rsid w:val="00123050"/>
    <w:rsid w:val="00123C72"/>
    <w:rsid w:val="0012551A"/>
    <w:rsid w:val="00126567"/>
    <w:rsid w:val="001275D0"/>
    <w:rsid w:val="00127AB3"/>
    <w:rsid w:val="001320F8"/>
    <w:rsid w:val="00133CE7"/>
    <w:rsid w:val="00135069"/>
    <w:rsid w:val="001362D7"/>
    <w:rsid w:val="001369CA"/>
    <w:rsid w:val="00136A3D"/>
    <w:rsid w:val="00136EDC"/>
    <w:rsid w:val="00137784"/>
    <w:rsid w:val="0014071A"/>
    <w:rsid w:val="001409D0"/>
    <w:rsid w:val="00141240"/>
    <w:rsid w:val="001418D3"/>
    <w:rsid w:val="00141F7E"/>
    <w:rsid w:val="00143B34"/>
    <w:rsid w:val="001448E6"/>
    <w:rsid w:val="00150BD8"/>
    <w:rsid w:val="001517BD"/>
    <w:rsid w:val="00154BBD"/>
    <w:rsid w:val="00155125"/>
    <w:rsid w:val="00155D07"/>
    <w:rsid w:val="00155FB3"/>
    <w:rsid w:val="00160E30"/>
    <w:rsid w:val="001619EC"/>
    <w:rsid w:val="00162BD2"/>
    <w:rsid w:val="00162F23"/>
    <w:rsid w:val="0016379E"/>
    <w:rsid w:val="0016461B"/>
    <w:rsid w:val="00164C90"/>
    <w:rsid w:val="00165C80"/>
    <w:rsid w:val="00167396"/>
    <w:rsid w:val="00171A62"/>
    <w:rsid w:val="00171AAD"/>
    <w:rsid w:val="0017204D"/>
    <w:rsid w:val="0017284C"/>
    <w:rsid w:val="001735A7"/>
    <w:rsid w:val="00174B71"/>
    <w:rsid w:val="00174FE7"/>
    <w:rsid w:val="00175284"/>
    <w:rsid w:val="001762B9"/>
    <w:rsid w:val="001804D1"/>
    <w:rsid w:val="001859C1"/>
    <w:rsid w:val="00186B85"/>
    <w:rsid w:val="00187EE7"/>
    <w:rsid w:val="0019023E"/>
    <w:rsid w:val="00191BEF"/>
    <w:rsid w:val="00191CE9"/>
    <w:rsid w:val="001921B7"/>
    <w:rsid w:val="00192232"/>
    <w:rsid w:val="00194D24"/>
    <w:rsid w:val="00196564"/>
    <w:rsid w:val="00196F0B"/>
    <w:rsid w:val="001977CD"/>
    <w:rsid w:val="001A0EFB"/>
    <w:rsid w:val="001A1A7F"/>
    <w:rsid w:val="001A26F3"/>
    <w:rsid w:val="001A2ED6"/>
    <w:rsid w:val="001A4569"/>
    <w:rsid w:val="001A4E32"/>
    <w:rsid w:val="001A5338"/>
    <w:rsid w:val="001A5456"/>
    <w:rsid w:val="001A549A"/>
    <w:rsid w:val="001B0154"/>
    <w:rsid w:val="001B03B6"/>
    <w:rsid w:val="001B2ADF"/>
    <w:rsid w:val="001B2DF7"/>
    <w:rsid w:val="001B475B"/>
    <w:rsid w:val="001B480E"/>
    <w:rsid w:val="001B5010"/>
    <w:rsid w:val="001B5654"/>
    <w:rsid w:val="001B73FC"/>
    <w:rsid w:val="001B7D90"/>
    <w:rsid w:val="001C04CC"/>
    <w:rsid w:val="001C05FA"/>
    <w:rsid w:val="001C2B5C"/>
    <w:rsid w:val="001C338D"/>
    <w:rsid w:val="001C3BCD"/>
    <w:rsid w:val="001C4681"/>
    <w:rsid w:val="001C510E"/>
    <w:rsid w:val="001D05D4"/>
    <w:rsid w:val="001D221F"/>
    <w:rsid w:val="001D33D6"/>
    <w:rsid w:val="001D3737"/>
    <w:rsid w:val="001D5765"/>
    <w:rsid w:val="001E10EE"/>
    <w:rsid w:val="001E1C89"/>
    <w:rsid w:val="001E245F"/>
    <w:rsid w:val="001E33CC"/>
    <w:rsid w:val="001E35BA"/>
    <w:rsid w:val="001E3CCF"/>
    <w:rsid w:val="001E47F0"/>
    <w:rsid w:val="001E5716"/>
    <w:rsid w:val="001F06EF"/>
    <w:rsid w:val="001F0928"/>
    <w:rsid w:val="001F0CAB"/>
    <w:rsid w:val="001F1FFC"/>
    <w:rsid w:val="001F3986"/>
    <w:rsid w:val="001F3E08"/>
    <w:rsid w:val="001F6A02"/>
    <w:rsid w:val="001F6CFD"/>
    <w:rsid w:val="00201075"/>
    <w:rsid w:val="002045CB"/>
    <w:rsid w:val="002049B3"/>
    <w:rsid w:val="00205052"/>
    <w:rsid w:val="00205583"/>
    <w:rsid w:val="00205B18"/>
    <w:rsid w:val="00205F3D"/>
    <w:rsid w:val="0020665D"/>
    <w:rsid w:val="00206ECA"/>
    <w:rsid w:val="00210D02"/>
    <w:rsid w:val="002114F5"/>
    <w:rsid w:val="002133D6"/>
    <w:rsid w:val="00213509"/>
    <w:rsid w:val="00213BBF"/>
    <w:rsid w:val="00213D56"/>
    <w:rsid w:val="00215668"/>
    <w:rsid w:val="00216C80"/>
    <w:rsid w:val="00220455"/>
    <w:rsid w:val="002232C5"/>
    <w:rsid w:val="00223A2A"/>
    <w:rsid w:val="00226D4A"/>
    <w:rsid w:val="00227A4B"/>
    <w:rsid w:val="002320B9"/>
    <w:rsid w:val="00233193"/>
    <w:rsid w:val="00234D9B"/>
    <w:rsid w:val="00237232"/>
    <w:rsid w:val="002374FD"/>
    <w:rsid w:val="00237B9F"/>
    <w:rsid w:val="00240830"/>
    <w:rsid w:val="00240A37"/>
    <w:rsid w:val="00240A3F"/>
    <w:rsid w:val="00241D46"/>
    <w:rsid w:val="00241F49"/>
    <w:rsid w:val="00247084"/>
    <w:rsid w:val="00247B1B"/>
    <w:rsid w:val="002507D6"/>
    <w:rsid w:val="002509A8"/>
    <w:rsid w:val="00250AE1"/>
    <w:rsid w:val="00250BCA"/>
    <w:rsid w:val="00251166"/>
    <w:rsid w:val="00251F34"/>
    <w:rsid w:val="002543B5"/>
    <w:rsid w:val="0026413C"/>
    <w:rsid w:val="00264697"/>
    <w:rsid w:val="00264ECD"/>
    <w:rsid w:val="0026641E"/>
    <w:rsid w:val="00266BB1"/>
    <w:rsid w:val="0027088B"/>
    <w:rsid w:val="00271C1F"/>
    <w:rsid w:val="00271CF5"/>
    <w:rsid w:val="00271F05"/>
    <w:rsid w:val="00273A56"/>
    <w:rsid w:val="0027488C"/>
    <w:rsid w:val="00275652"/>
    <w:rsid w:val="0027578F"/>
    <w:rsid w:val="002759D8"/>
    <w:rsid w:val="00277D66"/>
    <w:rsid w:val="00280F34"/>
    <w:rsid w:val="002835F4"/>
    <w:rsid w:val="00283E1B"/>
    <w:rsid w:val="00285304"/>
    <w:rsid w:val="00287B48"/>
    <w:rsid w:val="00292673"/>
    <w:rsid w:val="002929AD"/>
    <w:rsid w:val="002950D5"/>
    <w:rsid w:val="0029627E"/>
    <w:rsid w:val="00297045"/>
    <w:rsid w:val="002A16CB"/>
    <w:rsid w:val="002A1F81"/>
    <w:rsid w:val="002A3AA8"/>
    <w:rsid w:val="002A56A4"/>
    <w:rsid w:val="002A6C1F"/>
    <w:rsid w:val="002A6EFA"/>
    <w:rsid w:val="002B0877"/>
    <w:rsid w:val="002B0E72"/>
    <w:rsid w:val="002B0FEB"/>
    <w:rsid w:val="002B12E1"/>
    <w:rsid w:val="002B13C6"/>
    <w:rsid w:val="002B22C5"/>
    <w:rsid w:val="002B3048"/>
    <w:rsid w:val="002B6344"/>
    <w:rsid w:val="002B7166"/>
    <w:rsid w:val="002C039F"/>
    <w:rsid w:val="002C03B3"/>
    <w:rsid w:val="002C0961"/>
    <w:rsid w:val="002C152E"/>
    <w:rsid w:val="002C32E0"/>
    <w:rsid w:val="002C4107"/>
    <w:rsid w:val="002C49A5"/>
    <w:rsid w:val="002C4F31"/>
    <w:rsid w:val="002C5F94"/>
    <w:rsid w:val="002C6961"/>
    <w:rsid w:val="002D0D39"/>
    <w:rsid w:val="002D3F56"/>
    <w:rsid w:val="002D4465"/>
    <w:rsid w:val="002D5571"/>
    <w:rsid w:val="002D6B08"/>
    <w:rsid w:val="002E2762"/>
    <w:rsid w:val="002E27BE"/>
    <w:rsid w:val="002E32C7"/>
    <w:rsid w:val="002E6E4E"/>
    <w:rsid w:val="002E739F"/>
    <w:rsid w:val="002F02F0"/>
    <w:rsid w:val="002F07BD"/>
    <w:rsid w:val="002F1900"/>
    <w:rsid w:val="002F1E83"/>
    <w:rsid w:val="002F254E"/>
    <w:rsid w:val="002F421E"/>
    <w:rsid w:val="002F4E07"/>
    <w:rsid w:val="002F548B"/>
    <w:rsid w:val="002F6D60"/>
    <w:rsid w:val="002F6E28"/>
    <w:rsid w:val="00300EE1"/>
    <w:rsid w:val="00301F23"/>
    <w:rsid w:val="0030272E"/>
    <w:rsid w:val="00302F7C"/>
    <w:rsid w:val="00303190"/>
    <w:rsid w:val="00304EF4"/>
    <w:rsid w:val="003056CA"/>
    <w:rsid w:val="00305A57"/>
    <w:rsid w:val="00305EFF"/>
    <w:rsid w:val="003071BB"/>
    <w:rsid w:val="00310C35"/>
    <w:rsid w:val="003113F3"/>
    <w:rsid w:val="00311412"/>
    <w:rsid w:val="00312E2A"/>
    <w:rsid w:val="00313DAF"/>
    <w:rsid w:val="00314476"/>
    <w:rsid w:val="00314F96"/>
    <w:rsid w:val="00316774"/>
    <w:rsid w:val="00316B6E"/>
    <w:rsid w:val="00316D90"/>
    <w:rsid w:val="00317041"/>
    <w:rsid w:val="00320AD0"/>
    <w:rsid w:val="00320CAF"/>
    <w:rsid w:val="003211AF"/>
    <w:rsid w:val="00325908"/>
    <w:rsid w:val="00325AE6"/>
    <w:rsid w:val="00325C8E"/>
    <w:rsid w:val="003264BA"/>
    <w:rsid w:val="00327854"/>
    <w:rsid w:val="00332454"/>
    <w:rsid w:val="00332A4B"/>
    <w:rsid w:val="00333A97"/>
    <w:rsid w:val="003344D3"/>
    <w:rsid w:val="00335797"/>
    <w:rsid w:val="00335D11"/>
    <w:rsid w:val="0033759D"/>
    <w:rsid w:val="00337604"/>
    <w:rsid w:val="00340DD9"/>
    <w:rsid w:val="00341753"/>
    <w:rsid w:val="003426AC"/>
    <w:rsid w:val="00342A8B"/>
    <w:rsid w:val="00344E69"/>
    <w:rsid w:val="00345597"/>
    <w:rsid w:val="00351965"/>
    <w:rsid w:val="00352332"/>
    <w:rsid w:val="00352C5B"/>
    <w:rsid w:val="00354CF0"/>
    <w:rsid w:val="00355A97"/>
    <w:rsid w:val="003569F4"/>
    <w:rsid w:val="00357610"/>
    <w:rsid w:val="00357794"/>
    <w:rsid w:val="00357D3C"/>
    <w:rsid w:val="00361FBC"/>
    <w:rsid w:val="0036290C"/>
    <w:rsid w:val="00363877"/>
    <w:rsid w:val="003675B1"/>
    <w:rsid w:val="0036773E"/>
    <w:rsid w:val="00371A50"/>
    <w:rsid w:val="00371A5C"/>
    <w:rsid w:val="00371CC7"/>
    <w:rsid w:val="00371D98"/>
    <w:rsid w:val="00372891"/>
    <w:rsid w:val="003729C8"/>
    <w:rsid w:val="0037566C"/>
    <w:rsid w:val="003825E7"/>
    <w:rsid w:val="00384AAA"/>
    <w:rsid w:val="0038607F"/>
    <w:rsid w:val="003862C7"/>
    <w:rsid w:val="00387450"/>
    <w:rsid w:val="00387D2B"/>
    <w:rsid w:val="00391C4F"/>
    <w:rsid w:val="00393472"/>
    <w:rsid w:val="00393673"/>
    <w:rsid w:val="00393775"/>
    <w:rsid w:val="003945D3"/>
    <w:rsid w:val="00394ACD"/>
    <w:rsid w:val="003959FA"/>
    <w:rsid w:val="00395A68"/>
    <w:rsid w:val="00397E8F"/>
    <w:rsid w:val="003A018B"/>
    <w:rsid w:val="003A2389"/>
    <w:rsid w:val="003A364D"/>
    <w:rsid w:val="003A4FA8"/>
    <w:rsid w:val="003A6106"/>
    <w:rsid w:val="003B01EB"/>
    <w:rsid w:val="003B2554"/>
    <w:rsid w:val="003B2EF4"/>
    <w:rsid w:val="003B3838"/>
    <w:rsid w:val="003B38A5"/>
    <w:rsid w:val="003B3F36"/>
    <w:rsid w:val="003B657E"/>
    <w:rsid w:val="003B706E"/>
    <w:rsid w:val="003B733D"/>
    <w:rsid w:val="003B787B"/>
    <w:rsid w:val="003C0856"/>
    <w:rsid w:val="003C1366"/>
    <w:rsid w:val="003C2C2D"/>
    <w:rsid w:val="003C2E75"/>
    <w:rsid w:val="003C3723"/>
    <w:rsid w:val="003C3755"/>
    <w:rsid w:val="003C51F4"/>
    <w:rsid w:val="003C6116"/>
    <w:rsid w:val="003C753B"/>
    <w:rsid w:val="003D07FD"/>
    <w:rsid w:val="003D1F38"/>
    <w:rsid w:val="003D245B"/>
    <w:rsid w:val="003D25B3"/>
    <w:rsid w:val="003D2AFA"/>
    <w:rsid w:val="003D3EA0"/>
    <w:rsid w:val="003D7D50"/>
    <w:rsid w:val="003E055B"/>
    <w:rsid w:val="003E09BD"/>
    <w:rsid w:val="003E171E"/>
    <w:rsid w:val="003E1E70"/>
    <w:rsid w:val="003E2807"/>
    <w:rsid w:val="003E520F"/>
    <w:rsid w:val="003E5A75"/>
    <w:rsid w:val="003E5B6C"/>
    <w:rsid w:val="003E70A7"/>
    <w:rsid w:val="003E77F1"/>
    <w:rsid w:val="003E7ABF"/>
    <w:rsid w:val="003F3ED7"/>
    <w:rsid w:val="003F6603"/>
    <w:rsid w:val="00404DE4"/>
    <w:rsid w:val="00405626"/>
    <w:rsid w:val="004065DD"/>
    <w:rsid w:val="004071CC"/>
    <w:rsid w:val="00407CC9"/>
    <w:rsid w:val="00412A02"/>
    <w:rsid w:val="004139A3"/>
    <w:rsid w:val="004149C3"/>
    <w:rsid w:val="0041576C"/>
    <w:rsid w:val="0041579F"/>
    <w:rsid w:val="00416450"/>
    <w:rsid w:val="00421DD4"/>
    <w:rsid w:val="0042377F"/>
    <w:rsid w:val="00425126"/>
    <w:rsid w:val="00426042"/>
    <w:rsid w:val="004260E7"/>
    <w:rsid w:val="00434006"/>
    <w:rsid w:val="00435A39"/>
    <w:rsid w:val="0044020B"/>
    <w:rsid w:val="0044039C"/>
    <w:rsid w:val="0044136C"/>
    <w:rsid w:val="004416D4"/>
    <w:rsid w:val="004419E0"/>
    <w:rsid w:val="0044308A"/>
    <w:rsid w:val="00445F10"/>
    <w:rsid w:val="004468E7"/>
    <w:rsid w:val="00450A75"/>
    <w:rsid w:val="00450B25"/>
    <w:rsid w:val="004522A7"/>
    <w:rsid w:val="00454412"/>
    <w:rsid w:val="00454E64"/>
    <w:rsid w:val="00455B1E"/>
    <w:rsid w:val="00456572"/>
    <w:rsid w:val="00456601"/>
    <w:rsid w:val="00456B13"/>
    <w:rsid w:val="00457D89"/>
    <w:rsid w:val="0046106D"/>
    <w:rsid w:val="0046323D"/>
    <w:rsid w:val="00463738"/>
    <w:rsid w:val="004638E1"/>
    <w:rsid w:val="00466837"/>
    <w:rsid w:val="00467027"/>
    <w:rsid w:val="00467E9F"/>
    <w:rsid w:val="00470241"/>
    <w:rsid w:val="004718FD"/>
    <w:rsid w:val="00476E16"/>
    <w:rsid w:val="00477642"/>
    <w:rsid w:val="00482043"/>
    <w:rsid w:val="00482112"/>
    <w:rsid w:val="004822C3"/>
    <w:rsid w:val="00482A2E"/>
    <w:rsid w:val="00482C53"/>
    <w:rsid w:val="004836BA"/>
    <w:rsid w:val="00484610"/>
    <w:rsid w:val="00485BA2"/>
    <w:rsid w:val="00485BA7"/>
    <w:rsid w:val="004863CD"/>
    <w:rsid w:val="00486B44"/>
    <w:rsid w:val="0048700D"/>
    <w:rsid w:val="0048750C"/>
    <w:rsid w:val="00487AE7"/>
    <w:rsid w:val="00487FF6"/>
    <w:rsid w:val="0049025D"/>
    <w:rsid w:val="0049396D"/>
    <w:rsid w:val="00494BDC"/>
    <w:rsid w:val="004969BD"/>
    <w:rsid w:val="00496EA3"/>
    <w:rsid w:val="00497516"/>
    <w:rsid w:val="00497960"/>
    <w:rsid w:val="00497C16"/>
    <w:rsid w:val="004A08DF"/>
    <w:rsid w:val="004A1516"/>
    <w:rsid w:val="004A1DF8"/>
    <w:rsid w:val="004A1F2A"/>
    <w:rsid w:val="004A48FE"/>
    <w:rsid w:val="004A4C8E"/>
    <w:rsid w:val="004B0452"/>
    <w:rsid w:val="004B2167"/>
    <w:rsid w:val="004B3910"/>
    <w:rsid w:val="004B3B1D"/>
    <w:rsid w:val="004B5999"/>
    <w:rsid w:val="004B6D68"/>
    <w:rsid w:val="004B75E3"/>
    <w:rsid w:val="004B7966"/>
    <w:rsid w:val="004C0F6E"/>
    <w:rsid w:val="004C1066"/>
    <w:rsid w:val="004C139E"/>
    <w:rsid w:val="004C3045"/>
    <w:rsid w:val="004C3A43"/>
    <w:rsid w:val="004C4537"/>
    <w:rsid w:val="004D24A4"/>
    <w:rsid w:val="004D7FAA"/>
    <w:rsid w:val="004E1BAE"/>
    <w:rsid w:val="004E1CF9"/>
    <w:rsid w:val="004E29E8"/>
    <w:rsid w:val="004E3C65"/>
    <w:rsid w:val="004E3D3D"/>
    <w:rsid w:val="004E4058"/>
    <w:rsid w:val="004E4C9C"/>
    <w:rsid w:val="004E5443"/>
    <w:rsid w:val="004E698B"/>
    <w:rsid w:val="004E76A1"/>
    <w:rsid w:val="004E7F58"/>
    <w:rsid w:val="004F0195"/>
    <w:rsid w:val="004F14E2"/>
    <w:rsid w:val="004F30E5"/>
    <w:rsid w:val="004F5858"/>
    <w:rsid w:val="004F5AD2"/>
    <w:rsid w:val="004F5D1A"/>
    <w:rsid w:val="004F670C"/>
    <w:rsid w:val="004F6DA0"/>
    <w:rsid w:val="004F708F"/>
    <w:rsid w:val="004F75CB"/>
    <w:rsid w:val="00501D23"/>
    <w:rsid w:val="005020C1"/>
    <w:rsid w:val="00506AF2"/>
    <w:rsid w:val="00506B75"/>
    <w:rsid w:val="00507CF0"/>
    <w:rsid w:val="005114E8"/>
    <w:rsid w:val="005117D8"/>
    <w:rsid w:val="00511937"/>
    <w:rsid w:val="00511C16"/>
    <w:rsid w:val="00512CB8"/>
    <w:rsid w:val="00513D5C"/>
    <w:rsid w:val="00513DEC"/>
    <w:rsid w:val="00514246"/>
    <w:rsid w:val="005145B8"/>
    <w:rsid w:val="0051653C"/>
    <w:rsid w:val="0052032D"/>
    <w:rsid w:val="005236B8"/>
    <w:rsid w:val="005237C5"/>
    <w:rsid w:val="00523AC8"/>
    <w:rsid w:val="005245EB"/>
    <w:rsid w:val="00525495"/>
    <w:rsid w:val="00526998"/>
    <w:rsid w:val="00530162"/>
    <w:rsid w:val="005352E1"/>
    <w:rsid w:val="0053557B"/>
    <w:rsid w:val="00536C09"/>
    <w:rsid w:val="00537B8E"/>
    <w:rsid w:val="0054014E"/>
    <w:rsid w:val="00540E03"/>
    <w:rsid w:val="00541C53"/>
    <w:rsid w:val="00542633"/>
    <w:rsid w:val="005440B2"/>
    <w:rsid w:val="0054465C"/>
    <w:rsid w:val="00544E5A"/>
    <w:rsid w:val="00546CE6"/>
    <w:rsid w:val="00547329"/>
    <w:rsid w:val="00547633"/>
    <w:rsid w:val="005509C5"/>
    <w:rsid w:val="0055209C"/>
    <w:rsid w:val="00552FD8"/>
    <w:rsid w:val="00553094"/>
    <w:rsid w:val="00556A78"/>
    <w:rsid w:val="00556AD4"/>
    <w:rsid w:val="00557B43"/>
    <w:rsid w:val="00561917"/>
    <w:rsid w:val="00561A41"/>
    <w:rsid w:val="005620AF"/>
    <w:rsid w:val="0056356E"/>
    <w:rsid w:val="00563E96"/>
    <w:rsid w:val="005643E0"/>
    <w:rsid w:val="00564E82"/>
    <w:rsid w:val="00564EC8"/>
    <w:rsid w:val="005657F8"/>
    <w:rsid w:val="0056628D"/>
    <w:rsid w:val="00567C99"/>
    <w:rsid w:val="005704D4"/>
    <w:rsid w:val="005705AB"/>
    <w:rsid w:val="00571AB1"/>
    <w:rsid w:val="00572CAE"/>
    <w:rsid w:val="00574629"/>
    <w:rsid w:val="00575D79"/>
    <w:rsid w:val="00576413"/>
    <w:rsid w:val="00576AEA"/>
    <w:rsid w:val="0057712C"/>
    <w:rsid w:val="00580898"/>
    <w:rsid w:val="00582B9D"/>
    <w:rsid w:val="00582D26"/>
    <w:rsid w:val="00584797"/>
    <w:rsid w:val="00585877"/>
    <w:rsid w:val="005872DB"/>
    <w:rsid w:val="00590A58"/>
    <w:rsid w:val="00590B6A"/>
    <w:rsid w:val="005917E0"/>
    <w:rsid w:val="00592F17"/>
    <w:rsid w:val="005931DB"/>
    <w:rsid w:val="0059335C"/>
    <w:rsid w:val="005937AA"/>
    <w:rsid w:val="00595502"/>
    <w:rsid w:val="0059627C"/>
    <w:rsid w:val="005A21F8"/>
    <w:rsid w:val="005A2E9C"/>
    <w:rsid w:val="005A3225"/>
    <w:rsid w:val="005A36DC"/>
    <w:rsid w:val="005A5A75"/>
    <w:rsid w:val="005A5BFA"/>
    <w:rsid w:val="005B1AB8"/>
    <w:rsid w:val="005B368E"/>
    <w:rsid w:val="005B3DE6"/>
    <w:rsid w:val="005B5B88"/>
    <w:rsid w:val="005B65A2"/>
    <w:rsid w:val="005B69AA"/>
    <w:rsid w:val="005B6B9A"/>
    <w:rsid w:val="005B701F"/>
    <w:rsid w:val="005C0F81"/>
    <w:rsid w:val="005C20CF"/>
    <w:rsid w:val="005C5664"/>
    <w:rsid w:val="005C5EF4"/>
    <w:rsid w:val="005C6C93"/>
    <w:rsid w:val="005D25DF"/>
    <w:rsid w:val="005D4FAC"/>
    <w:rsid w:val="005E1076"/>
    <w:rsid w:val="005E192A"/>
    <w:rsid w:val="005E1BF7"/>
    <w:rsid w:val="005E291F"/>
    <w:rsid w:val="005E37D4"/>
    <w:rsid w:val="005E54E7"/>
    <w:rsid w:val="005E59AE"/>
    <w:rsid w:val="005E66F8"/>
    <w:rsid w:val="005E698B"/>
    <w:rsid w:val="005F130F"/>
    <w:rsid w:val="005F152E"/>
    <w:rsid w:val="005F201B"/>
    <w:rsid w:val="005F26B1"/>
    <w:rsid w:val="005F40E2"/>
    <w:rsid w:val="005F4EF2"/>
    <w:rsid w:val="005F548F"/>
    <w:rsid w:val="005F5770"/>
    <w:rsid w:val="005F632C"/>
    <w:rsid w:val="005F7B36"/>
    <w:rsid w:val="00601AE8"/>
    <w:rsid w:val="0060416C"/>
    <w:rsid w:val="00605EAB"/>
    <w:rsid w:val="006064E0"/>
    <w:rsid w:val="0060651A"/>
    <w:rsid w:val="00607534"/>
    <w:rsid w:val="00607755"/>
    <w:rsid w:val="006112B3"/>
    <w:rsid w:val="006145F1"/>
    <w:rsid w:val="00614D4B"/>
    <w:rsid w:val="006157EB"/>
    <w:rsid w:val="00615CCA"/>
    <w:rsid w:val="0061651F"/>
    <w:rsid w:val="006203C4"/>
    <w:rsid w:val="00620414"/>
    <w:rsid w:val="00622405"/>
    <w:rsid w:val="00623828"/>
    <w:rsid w:val="00624328"/>
    <w:rsid w:val="006306B6"/>
    <w:rsid w:val="00630F17"/>
    <w:rsid w:val="006312E3"/>
    <w:rsid w:val="00631E58"/>
    <w:rsid w:val="006328EB"/>
    <w:rsid w:val="00635EE5"/>
    <w:rsid w:val="006422E8"/>
    <w:rsid w:val="00643114"/>
    <w:rsid w:val="00643A12"/>
    <w:rsid w:val="00644103"/>
    <w:rsid w:val="006457FF"/>
    <w:rsid w:val="00645A5F"/>
    <w:rsid w:val="00647660"/>
    <w:rsid w:val="006520ED"/>
    <w:rsid w:val="00652D45"/>
    <w:rsid w:val="00652E83"/>
    <w:rsid w:val="0065468B"/>
    <w:rsid w:val="00654FAD"/>
    <w:rsid w:val="00655850"/>
    <w:rsid w:val="006560AE"/>
    <w:rsid w:val="00656E82"/>
    <w:rsid w:val="00657907"/>
    <w:rsid w:val="00657EBA"/>
    <w:rsid w:val="00662AE7"/>
    <w:rsid w:val="00663191"/>
    <w:rsid w:val="00663628"/>
    <w:rsid w:val="006637F7"/>
    <w:rsid w:val="0066415E"/>
    <w:rsid w:val="00666A2C"/>
    <w:rsid w:val="00666ABF"/>
    <w:rsid w:val="00666B62"/>
    <w:rsid w:val="006701EE"/>
    <w:rsid w:val="006707EE"/>
    <w:rsid w:val="006709EC"/>
    <w:rsid w:val="00671AC8"/>
    <w:rsid w:val="006720F9"/>
    <w:rsid w:val="006747CB"/>
    <w:rsid w:val="006768F4"/>
    <w:rsid w:val="00677DC8"/>
    <w:rsid w:val="00677E19"/>
    <w:rsid w:val="006810D4"/>
    <w:rsid w:val="00685F6B"/>
    <w:rsid w:val="00687787"/>
    <w:rsid w:val="00690509"/>
    <w:rsid w:val="00691AF7"/>
    <w:rsid w:val="006929A3"/>
    <w:rsid w:val="00693874"/>
    <w:rsid w:val="00694E18"/>
    <w:rsid w:val="00695284"/>
    <w:rsid w:val="006954FE"/>
    <w:rsid w:val="00695A38"/>
    <w:rsid w:val="006964CE"/>
    <w:rsid w:val="00696DC4"/>
    <w:rsid w:val="006A0BE5"/>
    <w:rsid w:val="006A17CB"/>
    <w:rsid w:val="006A3BB1"/>
    <w:rsid w:val="006A40EA"/>
    <w:rsid w:val="006A47BC"/>
    <w:rsid w:val="006A5C0F"/>
    <w:rsid w:val="006A60ED"/>
    <w:rsid w:val="006A6EED"/>
    <w:rsid w:val="006B279B"/>
    <w:rsid w:val="006B36C4"/>
    <w:rsid w:val="006B3C4A"/>
    <w:rsid w:val="006B402C"/>
    <w:rsid w:val="006B5876"/>
    <w:rsid w:val="006B6D4D"/>
    <w:rsid w:val="006C2730"/>
    <w:rsid w:val="006C38AC"/>
    <w:rsid w:val="006C4C30"/>
    <w:rsid w:val="006C5388"/>
    <w:rsid w:val="006C6FA5"/>
    <w:rsid w:val="006C7A8D"/>
    <w:rsid w:val="006C7E81"/>
    <w:rsid w:val="006D05AE"/>
    <w:rsid w:val="006D0C9B"/>
    <w:rsid w:val="006D1B7C"/>
    <w:rsid w:val="006D54A3"/>
    <w:rsid w:val="006D565D"/>
    <w:rsid w:val="006D68FA"/>
    <w:rsid w:val="006D7485"/>
    <w:rsid w:val="006E1807"/>
    <w:rsid w:val="006E1B2E"/>
    <w:rsid w:val="006E39E4"/>
    <w:rsid w:val="006E4645"/>
    <w:rsid w:val="006E576F"/>
    <w:rsid w:val="006E5B3E"/>
    <w:rsid w:val="006E713F"/>
    <w:rsid w:val="006F168C"/>
    <w:rsid w:val="006F1A47"/>
    <w:rsid w:val="006F6096"/>
    <w:rsid w:val="006F7C96"/>
    <w:rsid w:val="00702526"/>
    <w:rsid w:val="00702CEE"/>
    <w:rsid w:val="0070396C"/>
    <w:rsid w:val="00704831"/>
    <w:rsid w:val="007051D8"/>
    <w:rsid w:val="0070659E"/>
    <w:rsid w:val="00706A10"/>
    <w:rsid w:val="0070726A"/>
    <w:rsid w:val="00707A17"/>
    <w:rsid w:val="007118D1"/>
    <w:rsid w:val="0071192E"/>
    <w:rsid w:val="00711F2A"/>
    <w:rsid w:val="0071244C"/>
    <w:rsid w:val="00721EA7"/>
    <w:rsid w:val="00723B0F"/>
    <w:rsid w:val="00725A67"/>
    <w:rsid w:val="00727142"/>
    <w:rsid w:val="00727EB6"/>
    <w:rsid w:val="00727F7F"/>
    <w:rsid w:val="00730250"/>
    <w:rsid w:val="0073089C"/>
    <w:rsid w:val="0073103B"/>
    <w:rsid w:val="0073170E"/>
    <w:rsid w:val="007335D2"/>
    <w:rsid w:val="007339F3"/>
    <w:rsid w:val="00736AB2"/>
    <w:rsid w:val="00736BAF"/>
    <w:rsid w:val="0074090B"/>
    <w:rsid w:val="00740C5E"/>
    <w:rsid w:val="00741277"/>
    <w:rsid w:val="007414E1"/>
    <w:rsid w:val="007414EF"/>
    <w:rsid w:val="00742CB6"/>
    <w:rsid w:val="00743421"/>
    <w:rsid w:val="00743707"/>
    <w:rsid w:val="007438D2"/>
    <w:rsid w:val="00744983"/>
    <w:rsid w:val="00745F74"/>
    <w:rsid w:val="0074714D"/>
    <w:rsid w:val="00747485"/>
    <w:rsid w:val="00747EEE"/>
    <w:rsid w:val="00750F33"/>
    <w:rsid w:val="00751245"/>
    <w:rsid w:val="007521F8"/>
    <w:rsid w:val="0075254D"/>
    <w:rsid w:val="00754DCB"/>
    <w:rsid w:val="00755142"/>
    <w:rsid w:val="00762315"/>
    <w:rsid w:val="0076551D"/>
    <w:rsid w:val="00766C3F"/>
    <w:rsid w:val="00766DD3"/>
    <w:rsid w:val="007702C3"/>
    <w:rsid w:val="00770E9C"/>
    <w:rsid w:val="00771038"/>
    <w:rsid w:val="00772254"/>
    <w:rsid w:val="0077293A"/>
    <w:rsid w:val="007743B9"/>
    <w:rsid w:val="007764B3"/>
    <w:rsid w:val="0077681D"/>
    <w:rsid w:val="0077745B"/>
    <w:rsid w:val="00777465"/>
    <w:rsid w:val="00777F82"/>
    <w:rsid w:val="00781FBE"/>
    <w:rsid w:val="0078329C"/>
    <w:rsid w:val="00784A6C"/>
    <w:rsid w:val="007856AF"/>
    <w:rsid w:val="00786674"/>
    <w:rsid w:val="00787F35"/>
    <w:rsid w:val="0079442E"/>
    <w:rsid w:val="00794D07"/>
    <w:rsid w:val="00796032"/>
    <w:rsid w:val="007960FD"/>
    <w:rsid w:val="00796E22"/>
    <w:rsid w:val="0079705C"/>
    <w:rsid w:val="007A0CCC"/>
    <w:rsid w:val="007A0FB6"/>
    <w:rsid w:val="007A3312"/>
    <w:rsid w:val="007A4D1E"/>
    <w:rsid w:val="007A581C"/>
    <w:rsid w:val="007A5EE8"/>
    <w:rsid w:val="007A607F"/>
    <w:rsid w:val="007A6A1E"/>
    <w:rsid w:val="007A7106"/>
    <w:rsid w:val="007B0226"/>
    <w:rsid w:val="007B1867"/>
    <w:rsid w:val="007B1D63"/>
    <w:rsid w:val="007B3564"/>
    <w:rsid w:val="007B50AF"/>
    <w:rsid w:val="007B5BB0"/>
    <w:rsid w:val="007B6003"/>
    <w:rsid w:val="007B7AB7"/>
    <w:rsid w:val="007C00CB"/>
    <w:rsid w:val="007C03FD"/>
    <w:rsid w:val="007C1A2F"/>
    <w:rsid w:val="007C1F48"/>
    <w:rsid w:val="007C32EE"/>
    <w:rsid w:val="007C47F0"/>
    <w:rsid w:val="007C5725"/>
    <w:rsid w:val="007C5933"/>
    <w:rsid w:val="007C709E"/>
    <w:rsid w:val="007D0789"/>
    <w:rsid w:val="007D1558"/>
    <w:rsid w:val="007D1957"/>
    <w:rsid w:val="007D244B"/>
    <w:rsid w:val="007D2464"/>
    <w:rsid w:val="007D3859"/>
    <w:rsid w:val="007D4727"/>
    <w:rsid w:val="007E04D4"/>
    <w:rsid w:val="007E0F00"/>
    <w:rsid w:val="007E1372"/>
    <w:rsid w:val="007E2B3D"/>
    <w:rsid w:val="007E3522"/>
    <w:rsid w:val="007E3782"/>
    <w:rsid w:val="007E433E"/>
    <w:rsid w:val="007E503E"/>
    <w:rsid w:val="007E5130"/>
    <w:rsid w:val="007E7781"/>
    <w:rsid w:val="007E7815"/>
    <w:rsid w:val="007F0063"/>
    <w:rsid w:val="007F0C73"/>
    <w:rsid w:val="007F3AAA"/>
    <w:rsid w:val="007F58A9"/>
    <w:rsid w:val="007F5F37"/>
    <w:rsid w:val="00802BD5"/>
    <w:rsid w:val="0080534A"/>
    <w:rsid w:val="008058A0"/>
    <w:rsid w:val="00805A8D"/>
    <w:rsid w:val="00810709"/>
    <w:rsid w:val="00813B30"/>
    <w:rsid w:val="00815649"/>
    <w:rsid w:val="00815F5A"/>
    <w:rsid w:val="00816E5B"/>
    <w:rsid w:val="0082056B"/>
    <w:rsid w:val="00821219"/>
    <w:rsid w:val="00822BEF"/>
    <w:rsid w:val="00822F45"/>
    <w:rsid w:val="00824C61"/>
    <w:rsid w:val="008274AA"/>
    <w:rsid w:val="008279F3"/>
    <w:rsid w:val="0083088A"/>
    <w:rsid w:val="00831A60"/>
    <w:rsid w:val="008323D2"/>
    <w:rsid w:val="00833277"/>
    <w:rsid w:val="0083405E"/>
    <w:rsid w:val="00837140"/>
    <w:rsid w:val="00837746"/>
    <w:rsid w:val="00837AEB"/>
    <w:rsid w:val="00837B2A"/>
    <w:rsid w:val="008418CF"/>
    <w:rsid w:val="00844163"/>
    <w:rsid w:val="0084440D"/>
    <w:rsid w:val="00850EBD"/>
    <w:rsid w:val="00853AD5"/>
    <w:rsid w:val="00854FA7"/>
    <w:rsid w:val="008563F2"/>
    <w:rsid w:val="0085713C"/>
    <w:rsid w:val="008606A8"/>
    <w:rsid w:val="00860A9B"/>
    <w:rsid w:val="00864CC2"/>
    <w:rsid w:val="00864F68"/>
    <w:rsid w:val="00865380"/>
    <w:rsid w:val="00866938"/>
    <w:rsid w:val="008679A8"/>
    <w:rsid w:val="00870BE2"/>
    <w:rsid w:val="00871010"/>
    <w:rsid w:val="00873CFF"/>
    <w:rsid w:val="00874312"/>
    <w:rsid w:val="00877A81"/>
    <w:rsid w:val="00880E65"/>
    <w:rsid w:val="0088228E"/>
    <w:rsid w:val="00885622"/>
    <w:rsid w:val="0088784D"/>
    <w:rsid w:val="0089097B"/>
    <w:rsid w:val="00891D15"/>
    <w:rsid w:val="00891EF9"/>
    <w:rsid w:val="0089559C"/>
    <w:rsid w:val="00895A6A"/>
    <w:rsid w:val="008974B0"/>
    <w:rsid w:val="00897846"/>
    <w:rsid w:val="00897B18"/>
    <w:rsid w:val="008A14DD"/>
    <w:rsid w:val="008A26E0"/>
    <w:rsid w:val="008A2D33"/>
    <w:rsid w:val="008A327A"/>
    <w:rsid w:val="008A61FF"/>
    <w:rsid w:val="008A6894"/>
    <w:rsid w:val="008A748C"/>
    <w:rsid w:val="008B3852"/>
    <w:rsid w:val="008B55C3"/>
    <w:rsid w:val="008B69D6"/>
    <w:rsid w:val="008B7B36"/>
    <w:rsid w:val="008C024E"/>
    <w:rsid w:val="008C0F48"/>
    <w:rsid w:val="008C1B7B"/>
    <w:rsid w:val="008C2726"/>
    <w:rsid w:val="008C2D49"/>
    <w:rsid w:val="008C32C1"/>
    <w:rsid w:val="008C33CC"/>
    <w:rsid w:val="008C4F57"/>
    <w:rsid w:val="008C654F"/>
    <w:rsid w:val="008C760E"/>
    <w:rsid w:val="008D0467"/>
    <w:rsid w:val="008D0527"/>
    <w:rsid w:val="008D21FF"/>
    <w:rsid w:val="008D2617"/>
    <w:rsid w:val="008D2A98"/>
    <w:rsid w:val="008D2FDC"/>
    <w:rsid w:val="008D44FA"/>
    <w:rsid w:val="008D5BAC"/>
    <w:rsid w:val="008D5DDF"/>
    <w:rsid w:val="008D6573"/>
    <w:rsid w:val="008D7101"/>
    <w:rsid w:val="008E074D"/>
    <w:rsid w:val="008E474C"/>
    <w:rsid w:val="008E4D9A"/>
    <w:rsid w:val="008E5B95"/>
    <w:rsid w:val="008E5D6A"/>
    <w:rsid w:val="008E60CA"/>
    <w:rsid w:val="008E6444"/>
    <w:rsid w:val="008E6F90"/>
    <w:rsid w:val="008E7E64"/>
    <w:rsid w:val="008F0658"/>
    <w:rsid w:val="008F1D22"/>
    <w:rsid w:val="008F3747"/>
    <w:rsid w:val="008F3C41"/>
    <w:rsid w:val="008F3F54"/>
    <w:rsid w:val="008F7143"/>
    <w:rsid w:val="008F757F"/>
    <w:rsid w:val="0090123E"/>
    <w:rsid w:val="00901513"/>
    <w:rsid w:val="009018B3"/>
    <w:rsid w:val="00901AE0"/>
    <w:rsid w:val="00902AB2"/>
    <w:rsid w:val="00903666"/>
    <w:rsid w:val="00903EFA"/>
    <w:rsid w:val="009042C4"/>
    <w:rsid w:val="0090445B"/>
    <w:rsid w:val="009050C9"/>
    <w:rsid w:val="00911FD5"/>
    <w:rsid w:val="00913666"/>
    <w:rsid w:val="00913E6B"/>
    <w:rsid w:val="009149A2"/>
    <w:rsid w:val="00915580"/>
    <w:rsid w:val="009167EA"/>
    <w:rsid w:val="0091746C"/>
    <w:rsid w:val="00920638"/>
    <w:rsid w:val="00921C02"/>
    <w:rsid w:val="009230D3"/>
    <w:rsid w:val="009232EF"/>
    <w:rsid w:val="00924F1F"/>
    <w:rsid w:val="00931D35"/>
    <w:rsid w:val="00932A7B"/>
    <w:rsid w:val="00932AD4"/>
    <w:rsid w:val="00932AE5"/>
    <w:rsid w:val="0093392B"/>
    <w:rsid w:val="009346C2"/>
    <w:rsid w:val="009358B5"/>
    <w:rsid w:val="009365A1"/>
    <w:rsid w:val="009366A7"/>
    <w:rsid w:val="00936935"/>
    <w:rsid w:val="00936BB0"/>
    <w:rsid w:val="009426A8"/>
    <w:rsid w:val="00942758"/>
    <w:rsid w:val="009430D0"/>
    <w:rsid w:val="00943224"/>
    <w:rsid w:val="00943C6B"/>
    <w:rsid w:val="00944981"/>
    <w:rsid w:val="00954BE5"/>
    <w:rsid w:val="00954D63"/>
    <w:rsid w:val="009551EF"/>
    <w:rsid w:val="00955248"/>
    <w:rsid w:val="009557CE"/>
    <w:rsid w:val="00955EE9"/>
    <w:rsid w:val="009565D6"/>
    <w:rsid w:val="00956916"/>
    <w:rsid w:val="00956993"/>
    <w:rsid w:val="009573B3"/>
    <w:rsid w:val="009604A3"/>
    <w:rsid w:val="009605F0"/>
    <w:rsid w:val="00962F9D"/>
    <w:rsid w:val="00963A24"/>
    <w:rsid w:val="009649A4"/>
    <w:rsid w:val="00964EBE"/>
    <w:rsid w:val="00965342"/>
    <w:rsid w:val="00966BB2"/>
    <w:rsid w:val="00972551"/>
    <w:rsid w:val="00976EF7"/>
    <w:rsid w:val="00977843"/>
    <w:rsid w:val="00977E05"/>
    <w:rsid w:val="00981541"/>
    <w:rsid w:val="00981EC7"/>
    <w:rsid w:val="00982D01"/>
    <w:rsid w:val="00983032"/>
    <w:rsid w:val="009855E5"/>
    <w:rsid w:val="00985D84"/>
    <w:rsid w:val="009868B7"/>
    <w:rsid w:val="00987556"/>
    <w:rsid w:val="009876CB"/>
    <w:rsid w:val="00991CA9"/>
    <w:rsid w:val="00992076"/>
    <w:rsid w:val="00993BAC"/>
    <w:rsid w:val="009948FD"/>
    <w:rsid w:val="00995828"/>
    <w:rsid w:val="00995865"/>
    <w:rsid w:val="00995CA4"/>
    <w:rsid w:val="00996530"/>
    <w:rsid w:val="00997ED8"/>
    <w:rsid w:val="009A0C4C"/>
    <w:rsid w:val="009A0F43"/>
    <w:rsid w:val="009A1764"/>
    <w:rsid w:val="009A38DB"/>
    <w:rsid w:val="009A5B72"/>
    <w:rsid w:val="009A7363"/>
    <w:rsid w:val="009B1101"/>
    <w:rsid w:val="009B2926"/>
    <w:rsid w:val="009B3872"/>
    <w:rsid w:val="009B45CF"/>
    <w:rsid w:val="009B5283"/>
    <w:rsid w:val="009B617B"/>
    <w:rsid w:val="009B7E8A"/>
    <w:rsid w:val="009C0110"/>
    <w:rsid w:val="009C14DC"/>
    <w:rsid w:val="009C2AF5"/>
    <w:rsid w:val="009C6485"/>
    <w:rsid w:val="009C6F4F"/>
    <w:rsid w:val="009D0142"/>
    <w:rsid w:val="009D078A"/>
    <w:rsid w:val="009D194E"/>
    <w:rsid w:val="009D2232"/>
    <w:rsid w:val="009D2EA3"/>
    <w:rsid w:val="009D52E0"/>
    <w:rsid w:val="009D6F17"/>
    <w:rsid w:val="009D7164"/>
    <w:rsid w:val="009E37F2"/>
    <w:rsid w:val="009E5C52"/>
    <w:rsid w:val="009E645F"/>
    <w:rsid w:val="009E6C4C"/>
    <w:rsid w:val="009E6DF2"/>
    <w:rsid w:val="009F0251"/>
    <w:rsid w:val="009F1DCB"/>
    <w:rsid w:val="009F2719"/>
    <w:rsid w:val="009F2E3C"/>
    <w:rsid w:val="009F40AC"/>
    <w:rsid w:val="009F44A5"/>
    <w:rsid w:val="009F4A9C"/>
    <w:rsid w:val="009F4D08"/>
    <w:rsid w:val="009F5B4F"/>
    <w:rsid w:val="00A00E05"/>
    <w:rsid w:val="00A01EAC"/>
    <w:rsid w:val="00A0286B"/>
    <w:rsid w:val="00A0297E"/>
    <w:rsid w:val="00A029C1"/>
    <w:rsid w:val="00A06994"/>
    <w:rsid w:val="00A113A8"/>
    <w:rsid w:val="00A11AA5"/>
    <w:rsid w:val="00A11C8C"/>
    <w:rsid w:val="00A138D5"/>
    <w:rsid w:val="00A13BDA"/>
    <w:rsid w:val="00A146BE"/>
    <w:rsid w:val="00A15F82"/>
    <w:rsid w:val="00A166D6"/>
    <w:rsid w:val="00A16FFF"/>
    <w:rsid w:val="00A20177"/>
    <w:rsid w:val="00A21F4D"/>
    <w:rsid w:val="00A21F5E"/>
    <w:rsid w:val="00A22125"/>
    <w:rsid w:val="00A221A4"/>
    <w:rsid w:val="00A232BF"/>
    <w:rsid w:val="00A25BB2"/>
    <w:rsid w:val="00A26988"/>
    <w:rsid w:val="00A27B21"/>
    <w:rsid w:val="00A31777"/>
    <w:rsid w:val="00A324EA"/>
    <w:rsid w:val="00A33D8B"/>
    <w:rsid w:val="00A347B1"/>
    <w:rsid w:val="00A35B20"/>
    <w:rsid w:val="00A35D95"/>
    <w:rsid w:val="00A378F8"/>
    <w:rsid w:val="00A37A21"/>
    <w:rsid w:val="00A40638"/>
    <w:rsid w:val="00A4195E"/>
    <w:rsid w:val="00A451AF"/>
    <w:rsid w:val="00A4549C"/>
    <w:rsid w:val="00A47102"/>
    <w:rsid w:val="00A50558"/>
    <w:rsid w:val="00A5121E"/>
    <w:rsid w:val="00A51CC4"/>
    <w:rsid w:val="00A52D5F"/>
    <w:rsid w:val="00A534C7"/>
    <w:rsid w:val="00A5486B"/>
    <w:rsid w:val="00A54E14"/>
    <w:rsid w:val="00A5680E"/>
    <w:rsid w:val="00A5763C"/>
    <w:rsid w:val="00A609DE"/>
    <w:rsid w:val="00A60BFB"/>
    <w:rsid w:val="00A62CB6"/>
    <w:rsid w:val="00A63841"/>
    <w:rsid w:val="00A64DCF"/>
    <w:rsid w:val="00A673CE"/>
    <w:rsid w:val="00A675BA"/>
    <w:rsid w:val="00A71713"/>
    <w:rsid w:val="00A73EFD"/>
    <w:rsid w:val="00A74249"/>
    <w:rsid w:val="00A74BC1"/>
    <w:rsid w:val="00A76228"/>
    <w:rsid w:val="00A81731"/>
    <w:rsid w:val="00A81839"/>
    <w:rsid w:val="00A81B57"/>
    <w:rsid w:val="00A81E8A"/>
    <w:rsid w:val="00A822D8"/>
    <w:rsid w:val="00A827A0"/>
    <w:rsid w:val="00A82AFA"/>
    <w:rsid w:val="00A82E3B"/>
    <w:rsid w:val="00A83462"/>
    <w:rsid w:val="00A84670"/>
    <w:rsid w:val="00A84FCB"/>
    <w:rsid w:val="00A862C6"/>
    <w:rsid w:val="00A87E60"/>
    <w:rsid w:val="00A926C0"/>
    <w:rsid w:val="00A934BC"/>
    <w:rsid w:val="00A93BB6"/>
    <w:rsid w:val="00A945AF"/>
    <w:rsid w:val="00A94AF1"/>
    <w:rsid w:val="00A951B6"/>
    <w:rsid w:val="00A9685E"/>
    <w:rsid w:val="00A9698F"/>
    <w:rsid w:val="00A97748"/>
    <w:rsid w:val="00AA1D35"/>
    <w:rsid w:val="00AA316F"/>
    <w:rsid w:val="00AA337F"/>
    <w:rsid w:val="00AA34C6"/>
    <w:rsid w:val="00AA53AD"/>
    <w:rsid w:val="00AA55AA"/>
    <w:rsid w:val="00AB0957"/>
    <w:rsid w:val="00AB2A8E"/>
    <w:rsid w:val="00AB37F0"/>
    <w:rsid w:val="00AB3D58"/>
    <w:rsid w:val="00AB490A"/>
    <w:rsid w:val="00AC02E5"/>
    <w:rsid w:val="00AC2E2B"/>
    <w:rsid w:val="00AC3D61"/>
    <w:rsid w:val="00AC3DFD"/>
    <w:rsid w:val="00AC57C1"/>
    <w:rsid w:val="00AC5CB4"/>
    <w:rsid w:val="00AC7647"/>
    <w:rsid w:val="00AC7AB0"/>
    <w:rsid w:val="00AD18AD"/>
    <w:rsid w:val="00AD4454"/>
    <w:rsid w:val="00AD6AE9"/>
    <w:rsid w:val="00AD6BA7"/>
    <w:rsid w:val="00AD6E59"/>
    <w:rsid w:val="00AD7167"/>
    <w:rsid w:val="00AE0104"/>
    <w:rsid w:val="00AE18A6"/>
    <w:rsid w:val="00AE1D31"/>
    <w:rsid w:val="00AE2B46"/>
    <w:rsid w:val="00AE3BB0"/>
    <w:rsid w:val="00AE3CDF"/>
    <w:rsid w:val="00AE45CE"/>
    <w:rsid w:val="00AE6899"/>
    <w:rsid w:val="00AF0E62"/>
    <w:rsid w:val="00AF1B9E"/>
    <w:rsid w:val="00AF1E16"/>
    <w:rsid w:val="00AF28DC"/>
    <w:rsid w:val="00AF3442"/>
    <w:rsid w:val="00AF388A"/>
    <w:rsid w:val="00AF3961"/>
    <w:rsid w:val="00B00546"/>
    <w:rsid w:val="00B01CEE"/>
    <w:rsid w:val="00B01CFF"/>
    <w:rsid w:val="00B02A4F"/>
    <w:rsid w:val="00B0532B"/>
    <w:rsid w:val="00B05548"/>
    <w:rsid w:val="00B0564F"/>
    <w:rsid w:val="00B05CE3"/>
    <w:rsid w:val="00B07D05"/>
    <w:rsid w:val="00B10052"/>
    <w:rsid w:val="00B10C05"/>
    <w:rsid w:val="00B113C1"/>
    <w:rsid w:val="00B13C1A"/>
    <w:rsid w:val="00B15143"/>
    <w:rsid w:val="00B157E6"/>
    <w:rsid w:val="00B15EC1"/>
    <w:rsid w:val="00B17811"/>
    <w:rsid w:val="00B17B2B"/>
    <w:rsid w:val="00B17D0F"/>
    <w:rsid w:val="00B17E2B"/>
    <w:rsid w:val="00B22B99"/>
    <w:rsid w:val="00B2418E"/>
    <w:rsid w:val="00B242D1"/>
    <w:rsid w:val="00B26D97"/>
    <w:rsid w:val="00B30169"/>
    <w:rsid w:val="00B31CC4"/>
    <w:rsid w:val="00B32373"/>
    <w:rsid w:val="00B339DA"/>
    <w:rsid w:val="00B33E13"/>
    <w:rsid w:val="00B34A76"/>
    <w:rsid w:val="00B35224"/>
    <w:rsid w:val="00B379C0"/>
    <w:rsid w:val="00B400D6"/>
    <w:rsid w:val="00B41044"/>
    <w:rsid w:val="00B43C78"/>
    <w:rsid w:val="00B47C1E"/>
    <w:rsid w:val="00B51D9B"/>
    <w:rsid w:val="00B51F1B"/>
    <w:rsid w:val="00B53A26"/>
    <w:rsid w:val="00B53D50"/>
    <w:rsid w:val="00B55BF9"/>
    <w:rsid w:val="00B56EFB"/>
    <w:rsid w:val="00B57FCA"/>
    <w:rsid w:val="00B60EA2"/>
    <w:rsid w:val="00B62304"/>
    <w:rsid w:val="00B64B6F"/>
    <w:rsid w:val="00B64CCB"/>
    <w:rsid w:val="00B66B14"/>
    <w:rsid w:val="00B67B2D"/>
    <w:rsid w:val="00B67F60"/>
    <w:rsid w:val="00B71B60"/>
    <w:rsid w:val="00B72EB2"/>
    <w:rsid w:val="00B72F88"/>
    <w:rsid w:val="00B72FBD"/>
    <w:rsid w:val="00B73E67"/>
    <w:rsid w:val="00B77977"/>
    <w:rsid w:val="00B80F9E"/>
    <w:rsid w:val="00B81A87"/>
    <w:rsid w:val="00B81FBB"/>
    <w:rsid w:val="00B82897"/>
    <w:rsid w:val="00B8377B"/>
    <w:rsid w:val="00B90658"/>
    <w:rsid w:val="00B91801"/>
    <w:rsid w:val="00B91DF7"/>
    <w:rsid w:val="00B9306E"/>
    <w:rsid w:val="00B93E45"/>
    <w:rsid w:val="00B952F5"/>
    <w:rsid w:val="00B95EBC"/>
    <w:rsid w:val="00BA00EE"/>
    <w:rsid w:val="00BA051C"/>
    <w:rsid w:val="00BA0675"/>
    <w:rsid w:val="00BA06A6"/>
    <w:rsid w:val="00BA1328"/>
    <w:rsid w:val="00BA1C2A"/>
    <w:rsid w:val="00BA1CF2"/>
    <w:rsid w:val="00BA2335"/>
    <w:rsid w:val="00BA2806"/>
    <w:rsid w:val="00BA2861"/>
    <w:rsid w:val="00BA3628"/>
    <w:rsid w:val="00BA6210"/>
    <w:rsid w:val="00BA7C0D"/>
    <w:rsid w:val="00BA7E23"/>
    <w:rsid w:val="00BB2FDD"/>
    <w:rsid w:val="00BB32A2"/>
    <w:rsid w:val="00BB44AC"/>
    <w:rsid w:val="00BB66EA"/>
    <w:rsid w:val="00BB7BCF"/>
    <w:rsid w:val="00BC0019"/>
    <w:rsid w:val="00BC3D03"/>
    <w:rsid w:val="00BC5189"/>
    <w:rsid w:val="00BC6875"/>
    <w:rsid w:val="00BC7919"/>
    <w:rsid w:val="00BC7A7F"/>
    <w:rsid w:val="00BD0FDA"/>
    <w:rsid w:val="00BD1F0D"/>
    <w:rsid w:val="00BD3748"/>
    <w:rsid w:val="00BD485A"/>
    <w:rsid w:val="00BD4898"/>
    <w:rsid w:val="00BD530A"/>
    <w:rsid w:val="00BD639F"/>
    <w:rsid w:val="00BD6995"/>
    <w:rsid w:val="00BE0EEB"/>
    <w:rsid w:val="00BE7FD0"/>
    <w:rsid w:val="00BF0249"/>
    <w:rsid w:val="00BF2B66"/>
    <w:rsid w:val="00BF346E"/>
    <w:rsid w:val="00BF3E71"/>
    <w:rsid w:val="00BF40FC"/>
    <w:rsid w:val="00BF6548"/>
    <w:rsid w:val="00BF73D3"/>
    <w:rsid w:val="00BF78B5"/>
    <w:rsid w:val="00C04D12"/>
    <w:rsid w:val="00C069DE"/>
    <w:rsid w:val="00C07F13"/>
    <w:rsid w:val="00C10454"/>
    <w:rsid w:val="00C1111F"/>
    <w:rsid w:val="00C12030"/>
    <w:rsid w:val="00C12A5D"/>
    <w:rsid w:val="00C12DE5"/>
    <w:rsid w:val="00C16549"/>
    <w:rsid w:val="00C17AFD"/>
    <w:rsid w:val="00C200CF"/>
    <w:rsid w:val="00C20360"/>
    <w:rsid w:val="00C20FE3"/>
    <w:rsid w:val="00C25585"/>
    <w:rsid w:val="00C26738"/>
    <w:rsid w:val="00C26A61"/>
    <w:rsid w:val="00C30643"/>
    <w:rsid w:val="00C33C9B"/>
    <w:rsid w:val="00C33F93"/>
    <w:rsid w:val="00C34570"/>
    <w:rsid w:val="00C35123"/>
    <w:rsid w:val="00C3598D"/>
    <w:rsid w:val="00C3672E"/>
    <w:rsid w:val="00C40501"/>
    <w:rsid w:val="00C41151"/>
    <w:rsid w:val="00C414A0"/>
    <w:rsid w:val="00C41522"/>
    <w:rsid w:val="00C41CF4"/>
    <w:rsid w:val="00C41D45"/>
    <w:rsid w:val="00C42693"/>
    <w:rsid w:val="00C43841"/>
    <w:rsid w:val="00C44461"/>
    <w:rsid w:val="00C44DAF"/>
    <w:rsid w:val="00C50713"/>
    <w:rsid w:val="00C51ED9"/>
    <w:rsid w:val="00C524FA"/>
    <w:rsid w:val="00C55A95"/>
    <w:rsid w:val="00C57004"/>
    <w:rsid w:val="00C57751"/>
    <w:rsid w:val="00C57F7E"/>
    <w:rsid w:val="00C60969"/>
    <w:rsid w:val="00C61AC0"/>
    <w:rsid w:val="00C61C5E"/>
    <w:rsid w:val="00C631E0"/>
    <w:rsid w:val="00C64DBD"/>
    <w:rsid w:val="00C66A19"/>
    <w:rsid w:val="00C66FEA"/>
    <w:rsid w:val="00C67690"/>
    <w:rsid w:val="00C7035C"/>
    <w:rsid w:val="00C73FBA"/>
    <w:rsid w:val="00C74022"/>
    <w:rsid w:val="00C74CCD"/>
    <w:rsid w:val="00C74D73"/>
    <w:rsid w:val="00C77B5B"/>
    <w:rsid w:val="00C80327"/>
    <w:rsid w:val="00C807A8"/>
    <w:rsid w:val="00C80DBD"/>
    <w:rsid w:val="00C81033"/>
    <w:rsid w:val="00C8141A"/>
    <w:rsid w:val="00C84D79"/>
    <w:rsid w:val="00C86BDC"/>
    <w:rsid w:val="00C872B7"/>
    <w:rsid w:val="00C9221B"/>
    <w:rsid w:val="00C92895"/>
    <w:rsid w:val="00C92D82"/>
    <w:rsid w:val="00C94B21"/>
    <w:rsid w:val="00C94DEE"/>
    <w:rsid w:val="00C951F4"/>
    <w:rsid w:val="00C95294"/>
    <w:rsid w:val="00C95CAE"/>
    <w:rsid w:val="00C967B5"/>
    <w:rsid w:val="00C97631"/>
    <w:rsid w:val="00C9786D"/>
    <w:rsid w:val="00CA144D"/>
    <w:rsid w:val="00CA27DE"/>
    <w:rsid w:val="00CA372D"/>
    <w:rsid w:val="00CA488F"/>
    <w:rsid w:val="00CA4F8E"/>
    <w:rsid w:val="00CA50D1"/>
    <w:rsid w:val="00CB1CFE"/>
    <w:rsid w:val="00CB1E8F"/>
    <w:rsid w:val="00CB3465"/>
    <w:rsid w:val="00CB643B"/>
    <w:rsid w:val="00CB74EB"/>
    <w:rsid w:val="00CB7FDB"/>
    <w:rsid w:val="00CC26D8"/>
    <w:rsid w:val="00CC3AD7"/>
    <w:rsid w:val="00CC3C93"/>
    <w:rsid w:val="00CC4B93"/>
    <w:rsid w:val="00CC6484"/>
    <w:rsid w:val="00CC69AA"/>
    <w:rsid w:val="00CC74FC"/>
    <w:rsid w:val="00CD0EAC"/>
    <w:rsid w:val="00CD1842"/>
    <w:rsid w:val="00CD2200"/>
    <w:rsid w:val="00CD327A"/>
    <w:rsid w:val="00CD33AA"/>
    <w:rsid w:val="00CD3750"/>
    <w:rsid w:val="00CD3DEB"/>
    <w:rsid w:val="00CD48D7"/>
    <w:rsid w:val="00CD5D52"/>
    <w:rsid w:val="00CD77F2"/>
    <w:rsid w:val="00CD7F19"/>
    <w:rsid w:val="00CE0CA7"/>
    <w:rsid w:val="00CE16DE"/>
    <w:rsid w:val="00CE1C2A"/>
    <w:rsid w:val="00CE2030"/>
    <w:rsid w:val="00CE2865"/>
    <w:rsid w:val="00CE647D"/>
    <w:rsid w:val="00CE794A"/>
    <w:rsid w:val="00CF1C87"/>
    <w:rsid w:val="00CF2AEE"/>
    <w:rsid w:val="00CF3CF0"/>
    <w:rsid w:val="00CF5CA7"/>
    <w:rsid w:val="00D01A04"/>
    <w:rsid w:val="00D01E11"/>
    <w:rsid w:val="00D01E1E"/>
    <w:rsid w:val="00D02C25"/>
    <w:rsid w:val="00D06B51"/>
    <w:rsid w:val="00D06FC4"/>
    <w:rsid w:val="00D0766A"/>
    <w:rsid w:val="00D1095B"/>
    <w:rsid w:val="00D1213D"/>
    <w:rsid w:val="00D12DC5"/>
    <w:rsid w:val="00D14531"/>
    <w:rsid w:val="00D1644F"/>
    <w:rsid w:val="00D21220"/>
    <w:rsid w:val="00D21B21"/>
    <w:rsid w:val="00D21BAF"/>
    <w:rsid w:val="00D22112"/>
    <w:rsid w:val="00D2294E"/>
    <w:rsid w:val="00D23B38"/>
    <w:rsid w:val="00D242D3"/>
    <w:rsid w:val="00D24541"/>
    <w:rsid w:val="00D24CBB"/>
    <w:rsid w:val="00D25560"/>
    <w:rsid w:val="00D25B3E"/>
    <w:rsid w:val="00D26DFD"/>
    <w:rsid w:val="00D277E6"/>
    <w:rsid w:val="00D303E4"/>
    <w:rsid w:val="00D303E5"/>
    <w:rsid w:val="00D30DB0"/>
    <w:rsid w:val="00D31ECF"/>
    <w:rsid w:val="00D32B19"/>
    <w:rsid w:val="00D3317E"/>
    <w:rsid w:val="00D33298"/>
    <w:rsid w:val="00D336D8"/>
    <w:rsid w:val="00D348BF"/>
    <w:rsid w:val="00D3505E"/>
    <w:rsid w:val="00D37330"/>
    <w:rsid w:val="00D375D1"/>
    <w:rsid w:val="00D37B74"/>
    <w:rsid w:val="00D43BDF"/>
    <w:rsid w:val="00D447EB"/>
    <w:rsid w:val="00D44A68"/>
    <w:rsid w:val="00D470B2"/>
    <w:rsid w:val="00D47459"/>
    <w:rsid w:val="00D47A3C"/>
    <w:rsid w:val="00D50BFD"/>
    <w:rsid w:val="00D51DEB"/>
    <w:rsid w:val="00D54C6F"/>
    <w:rsid w:val="00D57727"/>
    <w:rsid w:val="00D6230E"/>
    <w:rsid w:val="00D62C02"/>
    <w:rsid w:val="00D6345F"/>
    <w:rsid w:val="00D643EE"/>
    <w:rsid w:val="00D6699F"/>
    <w:rsid w:val="00D66C3C"/>
    <w:rsid w:val="00D67107"/>
    <w:rsid w:val="00D76AB0"/>
    <w:rsid w:val="00D81515"/>
    <w:rsid w:val="00D81E43"/>
    <w:rsid w:val="00D82234"/>
    <w:rsid w:val="00D8288E"/>
    <w:rsid w:val="00D828ED"/>
    <w:rsid w:val="00D82D3B"/>
    <w:rsid w:val="00D8389D"/>
    <w:rsid w:val="00D83B62"/>
    <w:rsid w:val="00D83CB9"/>
    <w:rsid w:val="00D83FC4"/>
    <w:rsid w:val="00D8482E"/>
    <w:rsid w:val="00D85549"/>
    <w:rsid w:val="00D85B24"/>
    <w:rsid w:val="00D86B7F"/>
    <w:rsid w:val="00D9010B"/>
    <w:rsid w:val="00D90640"/>
    <w:rsid w:val="00D909CB"/>
    <w:rsid w:val="00D925BC"/>
    <w:rsid w:val="00D9449C"/>
    <w:rsid w:val="00D94674"/>
    <w:rsid w:val="00D96387"/>
    <w:rsid w:val="00D97C4E"/>
    <w:rsid w:val="00DA087C"/>
    <w:rsid w:val="00DA13CC"/>
    <w:rsid w:val="00DA20DD"/>
    <w:rsid w:val="00DA468B"/>
    <w:rsid w:val="00DA5B2D"/>
    <w:rsid w:val="00DA69CC"/>
    <w:rsid w:val="00DA7CBA"/>
    <w:rsid w:val="00DB0F9A"/>
    <w:rsid w:val="00DB38D3"/>
    <w:rsid w:val="00DB3AFF"/>
    <w:rsid w:val="00DB3E4B"/>
    <w:rsid w:val="00DB4289"/>
    <w:rsid w:val="00DB4395"/>
    <w:rsid w:val="00DB4A3F"/>
    <w:rsid w:val="00DB649B"/>
    <w:rsid w:val="00DB7037"/>
    <w:rsid w:val="00DC2403"/>
    <w:rsid w:val="00DC2DE1"/>
    <w:rsid w:val="00DC30A0"/>
    <w:rsid w:val="00DC4872"/>
    <w:rsid w:val="00DC55E9"/>
    <w:rsid w:val="00DC6638"/>
    <w:rsid w:val="00DC766E"/>
    <w:rsid w:val="00DD1A47"/>
    <w:rsid w:val="00DD25BE"/>
    <w:rsid w:val="00DD4CCD"/>
    <w:rsid w:val="00DD52D9"/>
    <w:rsid w:val="00DD5787"/>
    <w:rsid w:val="00DD647C"/>
    <w:rsid w:val="00DE0C1B"/>
    <w:rsid w:val="00DE3635"/>
    <w:rsid w:val="00DE4095"/>
    <w:rsid w:val="00DE4349"/>
    <w:rsid w:val="00DE50B3"/>
    <w:rsid w:val="00DE56DE"/>
    <w:rsid w:val="00DF0810"/>
    <w:rsid w:val="00DF0EC3"/>
    <w:rsid w:val="00DF2A8A"/>
    <w:rsid w:val="00DF3A39"/>
    <w:rsid w:val="00DF5305"/>
    <w:rsid w:val="00DF5B63"/>
    <w:rsid w:val="00DF5C67"/>
    <w:rsid w:val="00DF61CC"/>
    <w:rsid w:val="00DF62D2"/>
    <w:rsid w:val="00DF68EB"/>
    <w:rsid w:val="00DF75C5"/>
    <w:rsid w:val="00E0037C"/>
    <w:rsid w:val="00E021A8"/>
    <w:rsid w:val="00E03794"/>
    <w:rsid w:val="00E04AD8"/>
    <w:rsid w:val="00E04FF8"/>
    <w:rsid w:val="00E05358"/>
    <w:rsid w:val="00E1130E"/>
    <w:rsid w:val="00E11A4F"/>
    <w:rsid w:val="00E1444A"/>
    <w:rsid w:val="00E14C6B"/>
    <w:rsid w:val="00E1514B"/>
    <w:rsid w:val="00E15368"/>
    <w:rsid w:val="00E16756"/>
    <w:rsid w:val="00E17956"/>
    <w:rsid w:val="00E179EE"/>
    <w:rsid w:val="00E17E92"/>
    <w:rsid w:val="00E206D7"/>
    <w:rsid w:val="00E20AE5"/>
    <w:rsid w:val="00E20C06"/>
    <w:rsid w:val="00E22361"/>
    <w:rsid w:val="00E23B6C"/>
    <w:rsid w:val="00E23D61"/>
    <w:rsid w:val="00E26B05"/>
    <w:rsid w:val="00E300F8"/>
    <w:rsid w:val="00E31FB7"/>
    <w:rsid w:val="00E33948"/>
    <w:rsid w:val="00E340C2"/>
    <w:rsid w:val="00E34689"/>
    <w:rsid w:val="00E34A30"/>
    <w:rsid w:val="00E35BA0"/>
    <w:rsid w:val="00E366F0"/>
    <w:rsid w:val="00E4054B"/>
    <w:rsid w:val="00E4080D"/>
    <w:rsid w:val="00E40E0A"/>
    <w:rsid w:val="00E42C79"/>
    <w:rsid w:val="00E46F8A"/>
    <w:rsid w:val="00E47711"/>
    <w:rsid w:val="00E50AC5"/>
    <w:rsid w:val="00E52F3D"/>
    <w:rsid w:val="00E53AA4"/>
    <w:rsid w:val="00E5453C"/>
    <w:rsid w:val="00E62414"/>
    <w:rsid w:val="00E6434E"/>
    <w:rsid w:val="00E64D54"/>
    <w:rsid w:val="00E65CAE"/>
    <w:rsid w:val="00E6602E"/>
    <w:rsid w:val="00E66096"/>
    <w:rsid w:val="00E70596"/>
    <w:rsid w:val="00E716F3"/>
    <w:rsid w:val="00E71CBE"/>
    <w:rsid w:val="00E743E2"/>
    <w:rsid w:val="00E74D80"/>
    <w:rsid w:val="00E7515E"/>
    <w:rsid w:val="00E75338"/>
    <w:rsid w:val="00E756DE"/>
    <w:rsid w:val="00E758C6"/>
    <w:rsid w:val="00E760B2"/>
    <w:rsid w:val="00E761A4"/>
    <w:rsid w:val="00E82AD2"/>
    <w:rsid w:val="00E82F6E"/>
    <w:rsid w:val="00E8338D"/>
    <w:rsid w:val="00E83D45"/>
    <w:rsid w:val="00E85855"/>
    <w:rsid w:val="00E8671B"/>
    <w:rsid w:val="00E87CD2"/>
    <w:rsid w:val="00E87E21"/>
    <w:rsid w:val="00E90780"/>
    <w:rsid w:val="00E90B7E"/>
    <w:rsid w:val="00E91200"/>
    <w:rsid w:val="00E91797"/>
    <w:rsid w:val="00E918AD"/>
    <w:rsid w:val="00E92310"/>
    <w:rsid w:val="00E92832"/>
    <w:rsid w:val="00E92AA5"/>
    <w:rsid w:val="00E93338"/>
    <w:rsid w:val="00E93486"/>
    <w:rsid w:val="00E949E1"/>
    <w:rsid w:val="00E962EC"/>
    <w:rsid w:val="00E96D59"/>
    <w:rsid w:val="00E97294"/>
    <w:rsid w:val="00E97461"/>
    <w:rsid w:val="00E97AA8"/>
    <w:rsid w:val="00E97B41"/>
    <w:rsid w:val="00EA0F7B"/>
    <w:rsid w:val="00EA3ECA"/>
    <w:rsid w:val="00EA4BE8"/>
    <w:rsid w:val="00EA5E6B"/>
    <w:rsid w:val="00EA6913"/>
    <w:rsid w:val="00EA71EC"/>
    <w:rsid w:val="00EA7F7F"/>
    <w:rsid w:val="00EB0412"/>
    <w:rsid w:val="00EB1BE1"/>
    <w:rsid w:val="00EB2297"/>
    <w:rsid w:val="00EB2DAD"/>
    <w:rsid w:val="00EB48FA"/>
    <w:rsid w:val="00EB4920"/>
    <w:rsid w:val="00EB753C"/>
    <w:rsid w:val="00EB7768"/>
    <w:rsid w:val="00EC0566"/>
    <w:rsid w:val="00EC1883"/>
    <w:rsid w:val="00EC24E4"/>
    <w:rsid w:val="00EC5169"/>
    <w:rsid w:val="00EC5585"/>
    <w:rsid w:val="00EC5EFF"/>
    <w:rsid w:val="00EC644B"/>
    <w:rsid w:val="00EC6EE2"/>
    <w:rsid w:val="00ED12CE"/>
    <w:rsid w:val="00ED13F4"/>
    <w:rsid w:val="00ED2826"/>
    <w:rsid w:val="00ED2CDA"/>
    <w:rsid w:val="00ED2EB4"/>
    <w:rsid w:val="00ED2F37"/>
    <w:rsid w:val="00ED3795"/>
    <w:rsid w:val="00ED3B4E"/>
    <w:rsid w:val="00ED4988"/>
    <w:rsid w:val="00ED6E80"/>
    <w:rsid w:val="00ED7BDD"/>
    <w:rsid w:val="00EE01E6"/>
    <w:rsid w:val="00EE18D8"/>
    <w:rsid w:val="00EE1C2C"/>
    <w:rsid w:val="00EE321C"/>
    <w:rsid w:val="00EE3BE1"/>
    <w:rsid w:val="00EE45DC"/>
    <w:rsid w:val="00EE49ED"/>
    <w:rsid w:val="00EE4DBC"/>
    <w:rsid w:val="00EE52D3"/>
    <w:rsid w:val="00EE56A8"/>
    <w:rsid w:val="00EE6554"/>
    <w:rsid w:val="00EE74CF"/>
    <w:rsid w:val="00EE7921"/>
    <w:rsid w:val="00EF0034"/>
    <w:rsid w:val="00EF0ACA"/>
    <w:rsid w:val="00EF17B6"/>
    <w:rsid w:val="00EF1BE0"/>
    <w:rsid w:val="00EF1FA6"/>
    <w:rsid w:val="00EF21C1"/>
    <w:rsid w:val="00EF2BDD"/>
    <w:rsid w:val="00EF51DC"/>
    <w:rsid w:val="00EF6C60"/>
    <w:rsid w:val="00EF780A"/>
    <w:rsid w:val="00EF79E9"/>
    <w:rsid w:val="00F00CD6"/>
    <w:rsid w:val="00F01E13"/>
    <w:rsid w:val="00F02548"/>
    <w:rsid w:val="00F0339C"/>
    <w:rsid w:val="00F04AE1"/>
    <w:rsid w:val="00F06D4A"/>
    <w:rsid w:val="00F12A52"/>
    <w:rsid w:val="00F12D7B"/>
    <w:rsid w:val="00F12F79"/>
    <w:rsid w:val="00F13E2D"/>
    <w:rsid w:val="00F13FF4"/>
    <w:rsid w:val="00F1634B"/>
    <w:rsid w:val="00F206A7"/>
    <w:rsid w:val="00F2098D"/>
    <w:rsid w:val="00F20A17"/>
    <w:rsid w:val="00F20F60"/>
    <w:rsid w:val="00F21FF2"/>
    <w:rsid w:val="00F2290E"/>
    <w:rsid w:val="00F24D44"/>
    <w:rsid w:val="00F254DF"/>
    <w:rsid w:val="00F3082B"/>
    <w:rsid w:val="00F320FB"/>
    <w:rsid w:val="00F32956"/>
    <w:rsid w:val="00F32B19"/>
    <w:rsid w:val="00F35D08"/>
    <w:rsid w:val="00F36125"/>
    <w:rsid w:val="00F364C2"/>
    <w:rsid w:val="00F36D1A"/>
    <w:rsid w:val="00F377DA"/>
    <w:rsid w:val="00F402CB"/>
    <w:rsid w:val="00F41E57"/>
    <w:rsid w:val="00F427F3"/>
    <w:rsid w:val="00F42DE9"/>
    <w:rsid w:val="00F44CCA"/>
    <w:rsid w:val="00F5042B"/>
    <w:rsid w:val="00F52407"/>
    <w:rsid w:val="00F56B6A"/>
    <w:rsid w:val="00F6094C"/>
    <w:rsid w:val="00F63304"/>
    <w:rsid w:val="00F64A68"/>
    <w:rsid w:val="00F66814"/>
    <w:rsid w:val="00F66B9C"/>
    <w:rsid w:val="00F67455"/>
    <w:rsid w:val="00F67C76"/>
    <w:rsid w:val="00F67E89"/>
    <w:rsid w:val="00F7020E"/>
    <w:rsid w:val="00F71814"/>
    <w:rsid w:val="00F71F56"/>
    <w:rsid w:val="00F72EF5"/>
    <w:rsid w:val="00F743BA"/>
    <w:rsid w:val="00F7468B"/>
    <w:rsid w:val="00F74726"/>
    <w:rsid w:val="00F74801"/>
    <w:rsid w:val="00F80DD2"/>
    <w:rsid w:val="00F81A80"/>
    <w:rsid w:val="00F81ADC"/>
    <w:rsid w:val="00F81D74"/>
    <w:rsid w:val="00F82439"/>
    <w:rsid w:val="00F8279C"/>
    <w:rsid w:val="00F82B11"/>
    <w:rsid w:val="00F83459"/>
    <w:rsid w:val="00F91152"/>
    <w:rsid w:val="00F91CE5"/>
    <w:rsid w:val="00F923BC"/>
    <w:rsid w:val="00F95EAC"/>
    <w:rsid w:val="00FA22DE"/>
    <w:rsid w:val="00FA32DC"/>
    <w:rsid w:val="00FA3A59"/>
    <w:rsid w:val="00FA3AA6"/>
    <w:rsid w:val="00FA3BB6"/>
    <w:rsid w:val="00FA56C4"/>
    <w:rsid w:val="00FA5977"/>
    <w:rsid w:val="00FA642E"/>
    <w:rsid w:val="00FB0EE1"/>
    <w:rsid w:val="00FB27D6"/>
    <w:rsid w:val="00FB6218"/>
    <w:rsid w:val="00FB70EF"/>
    <w:rsid w:val="00FB7869"/>
    <w:rsid w:val="00FC1614"/>
    <w:rsid w:val="00FC4252"/>
    <w:rsid w:val="00FC55E6"/>
    <w:rsid w:val="00FC724B"/>
    <w:rsid w:val="00FC72B9"/>
    <w:rsid w:val="00FC7CB8"/>
    <w:rsid w:val="00FD126D"/>
    <w:rsid w:val="00FD1695"/>
    <w:rsid w:val="00FD37E4"/>
    <w:rsid w:val="00FD5CAD"/>
    <w:rsid w:val="00FD631D"/>
    <w:rsid w:val="00FD6873"/>
    <w:rsid w:val="00FE3D4F"/>
    <w:rsid w:val="00FE61C7"/>
    <w:rsid w:val="00FE66A7"/>
    <w:rsid w:val="00FF00AE"/>
    <w:rsid w:val="00FF0397"/>
    <w:rsid w:val="00FF082F"/>
    <w:rsid w:val="00FF08A6"/>
    <w:rsid w:val="00FF0DDE"/>
    <w:rsid w:val="00FF2ACE"/>
    <w:rsid w:val="00FF3D83"/>
    <w:rsid w:val="00FF5A5D"/>
    <w:rsid w:val="00FF5B5F"/>
    <w:rsid w:val="00FF630C"/>
    <w:rsid w:val="00FF651B"/>
    <w:rsid w:val="00FF6AD7"/>
    <w:rsid w:val="00FF789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35756C"/>
  <w15:docId w15:val="{FECB3087-28F8-46A2-B62D-3082D82A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249"/>
    <w:pPr>
      <w:spacing w:after="0"/>
    </w:pPr>
    <w:rPr>
      <w:rFonts w:ascii="Verdana" w:hAnsi="Verdana"/>
      <w:sz w:val="20"/>
      <w:szCs w:val="20"/>
      <w:lang w:val="es-CR"/>
    </w:rPr>
  </w:style>
  <w:style w:type="paragraph" w:styleId="Ttulo1">
    <w:name w:val="heading 1"/>
    <w:basedOn w:val="Normal"/>
    <w:next w:val="Normal"/>
    <w:link w:val="Ttulo1Car"/>
    <w:uiPriority w:val="9"/>
    <w:qFormat/>
    <w:rsid w:val="006637F7"/>
    <w:pPr>
      <w:keepNext/>
      <w:numPr>
        <w:numId w:val="2"/>
      </w:numPr>
      <w:tabs>
        <w:tab w:val="left" w:pos="567"/>
      </w:tabs>
      <w:spacing w:line="240" w:lineRule="auto"/>
      <w:jc w:val="both"/>
      <w:outlineLvl w:val="0"/>
    </w:pPr>
    <w:rPr>
      <w:rFonts w:eastAsia="Calibri" w:cs="Verdana"/>
      <w:b/>
      <w:bCs/>
      <w:i/>
      <w:iCs/>
    </w:rPr>
  </w:style>
  <w:style w:type="paragraph" w:styleId="Ttulo2">
    <w:name w:val="heading 2"/>
    <w:basedOn w:val="Normal"/>
    <w:next w:val="Normal"/>
    <w:link w:val="Ttulo2Car"/>
    <w:uiPriority w:val="9"/>
    <w:unhideWhenUsed/>
    <w:qFormat/>
    <w:rsid w:val="00450A75"/>
    <w:pPr>
      <w:keepNext/>
      <w:keepLines/>
      <w:spacing w:before="40"/>
      <w:ind w:left="1276"/>
      <w:outlineLvl w:val="1"/>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List Paragraph2,List Paragraph1,Lista vistosa - Énfasis 11,Párrafo de lista1,Colorful List - Accent 11,List Paragraph11,Subtle Emphasis1,Footnote1,Parrafos"/>
    <w:basedOn w:val="Normal"/>
    <w:link w:val="PrrafodelistaCar"/>
    <w:qFormat/>
    <w:rsid w:val="00016191"/>
    <w:pPr>
      <w:ind w:left="720"/>
      <w:contextualSpacing/>
    </w:pPr>
  </w:style>
  <w:style w:type="character" w:styleId="Refdecomentario">
    <w:name w:val="annotation reference"/>
    <w:basedOn w:val="Fuentedeprrafopredeter"/>
    <w:uiPriority w:val="99"/>
    <w:semiHidden/>
    <w:unhideWhenUsed/>
    <w:rsid w:val="00995865"/>
    <w:rPr>
      <w:sz w:val="16"/>
      <w:szCs w:val="16"/>
    </w:rPr>
  </w:style>
  <w:style w:type="paragraph" w:styleId="Textocomentario">
    <w:name w:val="annotation text"/>
    <w:basedOn w:val="Normal"/>
    <w:link w:val="TextocomentarioCar"/>
    <w:uiPriority w:val="99"/>
    <w:unhideWhenUsed/>
    <w:rsid w:val="00995865"/>
    <w:pPr>
      <w:spacing w:line="240" w:lineRule="auto"/>
    </w:pPr>
  </w:style>
  <w:style w:type="character" w:customStyle="1" w:styleId="TextocomentarioCar">
    <w:name w:val="Texto comentario Car"/>
    <w:basedOn w:val="Fuentedeprrafopredeter"/>
    <w:link w:val="Textocomentario"/>
    <w:uiPriority w:val="99"/>
    <w:rsid w:val="00995865"/>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995865"/>
    <w:rPr>
      <w:b/>
      <w:bCs/>
    </w:rPr>
  </w:style>
  <w:style w:type="character" w:customStyle="1" w:styleId="AsuntodelcomentarioCar">
    <w:name w:val="Asunto del comentario Car"/>
    <w:basedOn w:val="TextocomentarioCar"/>
    <w:link w:val="Asuntodelcomentario"/>
    <w:uiPriority w:val="99"/>
    <w:semiHidden/>
    <w:rsid w:val="00995865"/>
    <w:rPr>
      <w:b/>
      <w:bCs/>
      <w:sz w:val="20"/>
      <w:szCs w:val="20"/>
      <w:lang w:val="es-CR"/>
    </w:rPr>
  </w:style>
  <w:style w:type="paragraph" w:styleId="Textodeglobo">
    <w:name w:val="Balloon Text"/>
    <w:basedOn w:val="Normal"/>
    <w:link w:val="TextodegloboCar"/>
    <w:uiPriority w:val="99"/>
    <w:semiHidden/>
    <w:unhideWhenUsed/>
    <w:rsid w:val="0099586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95865"/>
    <w:rPr>
      <w:rFonts w:ascii="Tahoma" w:hAnsi="Tahoma" w:cs="Tahoma"/>
      <w:sz w:val="16"/>
      <w:szCs w:val="16"/>
      <w:lang w:val="es-CR"/>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iPriority w:val="99"/>
    <w:unhideWhenUsed/>
    <w:qFormat/>
    <w:rsid w:val="006A0BE5"/>
    <w:pPr>
      <w:spacing w:line="240" w:lineRule="auto"/>
    </w:p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uiPriority w:val="99"/>
    <w:qFormat/>
    <w:rsid w:val="006A0BE5"/>
    <w:rPr>
      <w:sz w:val="20"/>
      <w:szCs w:val="20"/>
      <w:lang w:val="es-CR"/>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nhideWhenUsed/>
    <w:qFormat/>
    <w:rsid w:val="006A0BE5"/>
    <w:rPr>
      <w:vertAlign w:val="superscript"/>
    </w:rPr>
  </w:style>
  <w:style w:type="character" w:styleId="Textoennegrita">
    <w:name w:val="Strong"/>
    <w:uiPriority w:val="22"/>
    <w:qFormat/>
    <w:rsid w:val="00CB74EB"/>
    <w:rPr>
      <w:b/>
      <w:bCs/>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uiPriority w:val="99"/>
    <w:locked/>
    <w:rsid w:val="006B279B"/>
    <w:rPr>
      <w:rFonts w:ascii="Verdana" w:hAnsi="Verdana" w:cs="Verdana"/>
      <w:sz w:val="16"/>
      <w:szCs w:val="16"/>
      <w:lang w:val="es-ES_tradnl" w:eastAsia="es-ES"/>
    </w:rPr>
  </w:style>
  <w:style w:type="paragraph" w:styleId="Encabezado">
    <w:name w:val="header"/>
    <w:basedOn w:val="Normal"/>
    <w:link w:val="EncabezadoCar"/>
    <w:uiPriority w:val="99"/>
    <w:unhideWhenUsed/>
    <w:rsid w:val="007B50AF"/>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7B50AF"/>
    <w:rPr>
      <w:lang w:val="es-CR"/>
    </w:rPr>
  </w:style>
  <w:style w:type="paragraph" w:styleId="Piedepgina">
    <w:name w:val="footer"/>
    <w:basedOn w:val="Normal"/>
    <w:link w:val="PiedepginaCar"/>
    <w:uiPriority w:val="99"/>
    <w:unhideWhenUsed/>
    <w:rsid w:val="007B50AF"/>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7B50AF"/>
    <w:rPr>
      <w:lang w:val="es-CR"/>
    </w:rPr>
  </w:style>
  <w:style w:type="paragraph" w:styleId="NormalWeb">
    <w:name w:val="Normal (Web)"/>
    <w:basedOn w:val="Normal"/>
    <w:uiPriority w:val="99"/>
    <w:unhideWhenUsed/>
    <w:rsid w:val="00063E3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customStyle="1" w:styleId="Ttulo2Car">
    <w:name w:val="Título 2 Car"/>
    <w:basedOn w:val="Fuentedeprrafopredeter"/>
    <w:link w:val="Ttulo2"/>
    <w:uiPriority w:val="9"/>
    <w:rsid w:val="00450A75"/>
    <w:rPr>
      <w:rFonts w:ascii="Verdana" w:eastAsiaTheme="majorEastAsia" w:hAnsi="Verdana" w:cstheme="majorBidi"/>
      <w:b/>
      <w:sz w:val="20"/>
      <w:szCs w:val="20"/>
      <w:lang w:val="es-CR"/>
    </w:rPr>
  </w:style>
  <w:style w:type="character" w:styleId="Nmerodepgina">
    <w:name w:val="page number"/>
    <w:basedOn w:val="Fuentedeprrafopredeter"/>
    <w:uiPriority w:val="99"/>
    <w:semiHidden/>
    <w:unhideWhenUsed/>
    <w:rsid w:val="00205583"/>
  </w:style>
  <w:style w:type="character" w:customStyle="1" w:styleId="Ttulo1Car">
    <w:name w:val="Título 1 Car"/>
    <w:basedOn w:val="Fuentedeprrafopredeter"/>
    <w:link w:val="Ttulo1"/>
    <w:uiPriority w:val="9"/>
    <w:rsid w:val="006637F7"/>
    <w:rPr>
      <w:rFonts w:ascii="Verdana" w:eastAsia="Calibri" w:hAnsi="Verdana" w:cs="Verdana"/>
      <w:b/>
      <w:bCs/>
      <w:i/>
      <w:iCs/>
      <w:sz w:val="20"/>
      <w:szCs w:val="20"/>
      <w:lang w:val="es-CR"/>
    </w:rPr>
  </w:style>
  <w:style w:type="character" w:styleId="Hipervnculo">
    <w:name w:val="Hyperlink"/>
    <w:basedOn w:val="Fuentedeprrafopredeter"/>
    <w:uiPriority w:val="99"/>
    <w:unhideWhenUsed/>
    <w:rsid w:val="00E53AA4"/>
    <w:rPr>
      <w:color w:val="0000FF" w:themeColor="hyperlink"/>
      <w:u w:val="single"/>
    </w:rPr>
  </w:style>
  <w:style w:type="character" w:styleId="Hipervnculovisitado">
    <w:name w:val="FollowedHyperlink"/>
    <w:basedOn w:val="Fuentedeprrafopredeter"/>
    <w:uiPriority w:val="99"/>
    <w:semiHidden/>
    <w:unhideWhenUsed/>
    <w:rsid w:val="00E53AA4"/>
    <w:rPr>
      <w:color w:val="800080" w:themeColor="followedHyperlink"/>
      <w:u w:val="single"/>
    </w:rPr>
  </w:style>
  <w:style w:type="character" w:styleId="Nmerodelnea">
    <w:name w:val="line number"/>
    <w:basedOn w:val="Fuentedeprrafopredeter"/>
    <w:uiPriority w:val="99"/>
    <w:semiHidden/>
    <w:unhideWhenUsed/>
    <w:rsid w:val="00E6602E"/>
  </w:style>
  <w:style w:type="paragraph" w:styleId="Ttulo">
    <w:name w:val="Title"/>
    <w:basedOn w:val="Normal"/>
    <w:link w:val="TtuloCar"/>
    <w:uiPriority w:val="99"/>
    <w:qFormat/>
    <w:rsid w:val="00796E22"/>
    <w:pPr>
      <w:spacing w:line="240" w:lineRule="auto"/>
      <w:jc w:val="center"/>
    </w:pPr>
    <w:rPr>
      <w:rFonts w:ascii="Garamond" w:eastAsia="Times New Roman" w:hAnsi="Garamond" w:cs="Times New Roman"/>
      <w:b/>
      <w:sz w:val="32"/>
      <w:lang w:val="es-ES_tradnl" w:eastAsia="es-ES"/>
    </w:rPr>
  </w:style>
  <w:style w:type="character" w:customStyle="1" w:styleId="TtuloCar">
    <w:name w:val="Título Car"/>
    <w:basedOn w:val="Fuentedeprrafopredeter"/>
    <w:link w:val="Ttulo"/>
    <w:uiPriority w:val="99"/>
    <w:rsid w:val="00796E22"/>
    <w:rPr>
      <w:rFonts w:ascii="Garamond" w:eastAsia="Times New Roman" w:hAnsi="Garamond" w:cs="Times New Roman"/>
      <w:b/>
      <w:sz w:val="32"/>
      <w:szCs w:val="20"/>
      <w:lang w:val="es-ES_tradnl" w:eastAsia="es-ES"/>
    </w:rPr>
  </w:style>
  <w:style w:type="character" w:styleId="nfasissutil">
    <w:name w:val="Subtle Emphasis"/>
    <w:uiPriority w:val="19"/>
    <w:qFormat/>
    <w:rsid w:val="00796E22"/>
    <w:rPr>
      <w:rFonts w:ascii="Verdana" w:hAnsi="Verdana"/>
      <w:i/>
      <w:iCs/>
      <w:color w:val="808080"/>
      <w:sz w:val="20"/>
      <w:u w:val="single"/>
    </w:rPr>
  </w:style>
  <w:style w:type="paragraph" w:customStyle="1" w:styleId="PrrafodeSentencia">
    <w:name w:val="*. Párrafo de Sentencia"/>
    <w:basedOn w:val="Normal"/>
    <w:rsid w:val="00AC5CB4"/>
    <w:pPr>
      <w:numPr>
        <w:numId w:val="3"/>
      </w:numPr>
    </w:pPr>
  </w:style>
  <w:style w:type="character" w:customStyle="1" w:styleId="PrrafodelistaCar">
    <w:name w:val="Párrafo de lista Car"/>
    <w:aliases w:val="Footnote Car,List Paragraph2 Car,List Paragraph1 Car,Lista vistosa - Énfasis 11 Car,Párrafo de lista1 Car,Colorful List - Accent 11 Car,List Paragraph11 Car,Subtle Emphasis1 Car,Footnote1 Car,Parrafos Car"/>
    <w:link w:val="Prrafodelista"/>
    <w:locked/>
    <w:rsid w:val="00C33F93"/>
    <w:rPr>
      <w:lang w:val="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C33F93"/>
    <w:pPr>
      <w:spacing w:line="240" w:lineRule="auto"/>
      <w:jc w:val="both"/>
    </w:pPr>
    <w:rPr>
      <w:vertAlign w:val="superscript"/>
      <w:lang w:val="en-US"/>
    </w:rPr>
  </w:style>
  <w:style w:type="paragraph" w:styleId="Sinespaciado">
    <w:name w:val="No Spacing"/>
    <w:basedOn w:val="Prrafodelista"/>
    <w:uiPriority w:val="1"/>
    <w:qFormat/>
    <w:rsid w:val="00F81ADC"/>
    <w:pPr>
      <w:widowControl w:val="0"/>
      <w:numPr>
        <w:numId w:val="1"/>
      </w:numPr>
      <w:tabs>
        <w:tab w:val="left" w:pos="0"/>
        <w:tab w:val="left" w:pos="567"/>
      </w:tabs>
      <w:autoSpaceDE w:val="0"/>
      <w:autoSpaceDN w:val="0"/>
      <w:adjustRightInd w:val="0"/>
      <w:spacing w:line="240" w:lineRule="auto"/>
      <w:ind w:left="7560" w:right="22"/>
      <w:jc w:val="both"/>
    </w:pPr>
    <w:rPr>
      <w:bCs/>
      <w:iCs/>
    </w:rPr>
  </w:style>
  <w:style w:type="paragraph" w:styleId="HTMLconformatoprevio">
    <w:name w:val="HTML Preformatted"/>
    <w:basedOn w:val="Normal"/>
    <w:link w:val="HTMLconformatoprevioCar"/>
    <w:uiPriority w:val="99"/>
    <w:unhideWhenUsed/>
    <w:rsid w:val="00CE1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lang w:eastAsia="es-CR"/>
    </w:rPr>
  </w:style>
  <w:style w:type="character" w:customStyle="1" w:styleId="HTMLconformatoprevioCar">
    <w:name w:val="HTML con formato previo Car"/>
    <w:basedOn w:val="Fuentedeprrafopredeter"/>
    <w:link w:val="HTMLconformatoprevio"/>
    <w:uiPriority w:val="99"/>
    <w:rsid w:val="00CE16DE"/>
    <w:rPr>
      <w:rFonts w:ascii="Courier New" w:eastAsia="Times New Roman" w:hAnsi="Courier New" w:cs="Courier New"/>
      <w:sz w:val="20"/>
      <w:szCs w:val="20"/>
      <w:lang w:val="es-CR" w:eastAsia="es-CR"/>
    </w:rPr>
  </w:style>
  <w:style w:type="paragraph" w:customStyle="1" w:styleId="Default">
    <w:name w:val="Default"/>
    <w:rsid w:val="00E14C6B"/>
    <w:pPr>
      <w:autoSpaceDE w:val="0"/>
      <w:autoSpaceDN w:val="0"/>
      <w:adjustRightInd w:val="0"/>
      <w:spacing w:after="0" w:line="240" w:lineRule="auto"/>
    </w:pPr>
    <w:rPr>
      <w:rFonts w:ascii="Times New Roman" w:hAnsi="Times New Roman" w:cs="Times New Roman"/>
      <w:color w:val="000000"/>
      <w:sz w:val="24"/>
      <w:szCs w:val="24"/>
      <w:lang w:val="es-CR"/>
    </w:rPr>
  </w:style>
  <w:style w:type="paragraph" w:styleId="Revisin">
    <w:name w:val="Revision"/>
    <w:hidden/>
    <w:uiPriority w:val="99"/>
    <w:semiHidden/>
    <w:rsid w:val="00B93E45"/>
    <w:pPr>
      <w:spacing w:after="0" w:line="240" w:lineRule="auto"/>
    </w:pPr>
    <w:rPr>
      <w:rFonts w:ascii="Verdana" w:hAnsi="Verdana"/>
      <w:sz w:val="20"/>
      <w:szCs w:val="20"/>
      <w:lang w:val="es-CR"/>
    </w:rPr>
  </w:style>
  <w:style w:type="character" w:customStyle="1" w:styleId="FAFuCar2">
    <w:name w:val="FA Fu Car2"/>
    <w:aliases w:val="Footnote Text Char Char Char Char Char Car1,Footnote Text Char Char Char Char Car1,Footnote reference Car1,Footnote Text Char Char Char Car1,FA Fu Car Car2,FA Fu Car Car Car1,Footnote Text Cha Car1,FA Fußnotentext Car1"/>
    <w:basedOn w:val="Fuentedeprrafopredeter"/>
    <w:uiPriority w:val="99"/>
    <w:semiHidden/>
    <w:rsid w:val="00D30DB0"/>
    <w:rPr>
      <w:rFonts w:ascii="Verdana" w:eastAsia="Calibri" w:hAnsi="Verdana" w:cs="Times"/>
      <w:sz w:val="20"/>
      <w:szCs w:val="20"/>
      <w:lang w:val="es-ES_tradnl" w:eastAsia="es-ES"/>
    </w:rPr>
  </w:style>
  <w:style w:type="character" w:styleId="Textodelmarcadordeposicin">
    <w:name w:val="Placeholder Text"/>
    <w:basedOn w:val="Fuentedeprrafopredeter"/>
    <w:uiPriority w:val="99"/>
    <w:semiHidden/>
    <w:rsid w:val="00325AE6"/>
    <w:rPr>
      <w:color w:val="808080"/>
    </w:rPr>
  </w:style>
  <w:style w:type="paragraph" w:styleId="Sangradetextonormal">
    <w:name w:val="Body Text Indent"/>
    <w:basedOn w:val="Normal"/>
    <w:link w:val="SangradetextonormalCar"/>
    <w:uiPriority w:val="99"/>
    <w:unhideWhenUsed/>
    <w:rsid w:val="00095AA5"/>
    <w:pPr>
      <w:spacing w:after="120" w:line="240" w:lineRule="auto"/>
      <w:ind w:left="283"/>
      <w:jc w:val="both"/>
    </w:pPr>
    <w:rPr>
      <w:rFonts w:eastAsia="Calibri" w:cs="Times New Roman"/>
      <w:szCs w:val="24"/>
      <w:lang w:val="es-ES_tradnl" w:eastAsia="es-ES"/>
    </w:rPr>
  </w:style>
  <w:style w:type="character" w:customStyle="1" w:styleId="SangradetextonormalCar">
    <w:name w:val="Sangría de texto normal Car"/>
    <w:basedOn w:val="Fuentedeprrafopredeter"/>
    <w:link w:val="Sangradetextonormal"/>
    <w:uiPriority w:val="99"/>
    <w:rsid w:val="00095AA5"/>
    <w:rPr>
      <w:rFonts w:ascii="Verdana" w:eastAsia="Calibri" w:hAnsi="Verdana" w:cs="Times New Roman"/>
      <w:sz w:val="20"/>
      <w:szCs w:val="24"/>
      <w:lang w:val="es-ES_tradnl" w:eastAsia="es-ES"/>
    </w:rPr>
  </w:style>
  <w:style w:type="character" w:styleId="nfasis">
    <w:name w:val="Emphasis"/>
    <w:basedOn w:val="Fuentedeprrafopredeter"/>
    <w:uiPriority w:val="20"/>
    <w:qFormat/>
    <w:rsid w:val="00DC2D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47675">
      <w:bodyDiv w:val="1"/>
      <w:marLeft w:val="0"/>
      <w:marRight w:val="0"/>
      <w:marTop w:val="0"/>
      <w:marBottom w:val="0"/>
      <w:divBdr>
        <w:top w:val="none" w:sz="0" w:space="0" w:color="auto"/>
        <w:left w:val="none" w:sz="0" w:space="0" w:color="auto"/>
        <w:bottom w:val="none" w:sz="0" w:space="0" w:color="auto"/>
        <w:right w:val="none" w:sz="0" w:space="0" w:color="auto"/>
      </w:divBdr>
      <w:divsChild>
        <w:div w:id="1860198233">
          <w:marLeft w:val="0"/>
          <w:marRight w:val="0"/>
          <w:marTop w:val="0"/>
          <w:marBottom w:val="0"/>
          <w:divBdr>
            <w:top w:val="none" w:sz="0" w:space="0" w:color="auto"/>
            <w:left w:val="none" w:sz="0" w:space="0" w:color="auto"/>
            <w:bottom w:val="none" w:sz="0" w:space="0" w:color="auto"/>
            <w:right w:val="none" w:sz="0" w:space="0" w:color="auto"/>
          </w:divBdr>
        </w:div>
        <w:div w:id="2013101181">
          <w:marLeft w:val="0"/>
          <w:marRight w:val="0"/>
          <w:marTop w:val="0"/>
          <w:marBottom w:val="0"/>
          <w:divBdr>
            <w:top w:val="none" w:sz="0" w:space="0" w:color="auto"/>
            <w:left w:val="none" w:sz="0" w:space="0" w:color="auto"/>
            <w:bottom w:val="none" w:sz="0" w:space="0" w:color="auto"/>
            <w:right w:val="none" w:sz="0" w:space="0" w:color="auto"/>
          </w:divBdr>
        </w:div>
        <w:div w:id="1654597532">
          <w:marLeft w:val="0"/>
          <w:marRight w:val="0"/>
          <w:marTop w:val="0"/>
          <w:marBottom w:val="0"/>
          <w:divBdr>
            <w:top w:val="none" w:sz="0" w:space="0" w:color="auto"/>
            <w:left w:val="none" w:sz="0" w:space="0" w:color="auto"/>
            <w:bottom w:val="none" w:sz="0" w:space="0" w:color="auto"/>
            <w:right w:val="none" w:sz="0" w:space="0" w:color="auto"/>
          </w:divBdr>
          <w:divsChild>
            <w:div w:id="1681466465">
              <w:marLeft w:val="0"/>
              <w:marRight w:val="0"/>
              <w:marTop w:val="0"/>
              <w:marBottom w:val="0"/>
              <w:divBdr>
                <w:top w:val="none" w:sz="0" w:space="0" w:color="auto"/>
                <w:left w:val="none" w:sz="0" w:space="0" w:color="auto"/>
                <w:bottom w:val="none" w:sz="0" w:space="0" w:color="auto"/>
                <w:right w:val="none" w:sz="0" w:space="0" w:color="auto"/>
              </w:divBdr>
            </w:div>
            <w:div w:id="404642281">
              <w:marLeft w:val="0"/>
              <w:marRight w:val="0"/>
              <w:marTop w:val="0"/>
              <w:marBottom w:val="0"/>
              <w:divBdr>
                <w:top w:val="none" w:sz="0" w:space="0" w:color="auto"/>
                <w:left w:val="none" w:sz="0" w:space="0" w:color="auto"/>
                <w:bottom w:val="none" w:sz="0" w:space="0" w:color="auto"/>
                <w:right w:val="none" w:sz="0" w:space="0" w:color="auto"/>
              </w:divBdr>
              <w:divsChild>
                <w:div w:id="1119184646">
                  <w:marLeft w:val="0"/>
                  <w:marRight w:val="0"/>
                  <w:marTop w:val="0"/>
                  <w:marBottom w:val="0"/>
                  <w:divBdr>
                    <w:top w:val="none" w:sz="0" w:space="0" w:color="auto"/>
                    <w:left w:val="none" w:sz="0" w:space="0" w:color="auto"/>
                    <w:bottom w:val="none" w:sz="0" w:space="0" w:color="auto"/>
                    <w:right w:val="none" w:sz="0" w:space="0" w:color="auto"/>
                  </w:divBdr>
                </w:div>
                <w:div w:id="1975981605">
                  <w:marLeft w:val="0"/>
                  <w:marRight w:val="0"/>
                  <w:marTop w:val="0"/>
                  <w:marBottom w:val="0"/>
                  <w:divBdr>
                    <w:top w:val="none" w:sz="0" w:space="0" w:color="auto"/>
                    <w:left w:val="none" w:sz="0" w:space="0" w:color="auto"/>
                    <w:bottom w:val="none" w:sz="0" w:space="0" w:color="auto"/>
                    <w:right w:val="none" w:sz="0" w:space="0" w:color="auto"/>
                  </w:divBdr>
                </w:div>
                <w:div w:id="203370792">
                  <w:marLeft w:val="0"/>
                  <w:marRight w:val="0"/>
                  <w:marTop w:val="0"/>
                  <w:marBottom w:val="0"/>
                  <w:divBdr>
                    <w:top w:val="none" w:sz="0" w:space="0" w:color="auto"/>
                    <w:left w:val="none" w:sz="0" w:space="0" w:color="auto"/>
                    <w:bottom w:val="none" w:sz="0" w:space="0" w:color="auto"/>
                    <w:right w:val="none" w:sz="0" w:space="0" w:color="auto"/>
                  </w:divBdr>
                </w:div>
                <w:div w:id="1502087090">
                  <w:marLeft w:val="0"/>
                  <w:marRight w:val="0"/>
                  <w:marTop w:val="0"/>
                  <w:marBottom w:val="0"/>
                  <w:divBdr>
                    <w:top w:val="none" w:sz="0" w:space="0" w:color="auto"/>
                    <w:left w:val="none" w:sz="0" w:space="0" w:color="auto"/>
                    <w:bottom w:val="none" w:sz="0" w:space="0" w:color="auto"/>
                    <w:right w:val="none" w:sz="0" w:space="0" w:color="auto"/>
                  </w:divBdr>
                </w:div>
                <w:div w:id="1370300082">
                  <w:marLeft w:val="0"/>
                  <w:marRight w:val="0"/>
                  <w:marTop w:val="0"/>
                  <w:marBottom w:val="0"/>
                  <w:divBdr>
                    <w:top w:val="none" w:sz="0" w:space="0" w:color="auto"/>
                    <w:left w:val="none" w:sz="0" w:space="0" w:color="auto"/>
                    <w:bottom w:val="none" w:sz="0" w:space="0" w:color="auto"/>
                    <w:right w:val="none" w:sz="0" w:space="0" w:color="auto"/>
                  </w:divBdr>
                </w:div>
                <w:div w:id="668630717">
                  <w:marLeft w:val="0"/>
                  <w:marRight w:val="0"/>
                  <w:marTop w:val="0"/>
                  <w:marBottom w:val="0"/>
                  <w:divBdr>
                    <w:top w:val="none" w:sz="0" w:space="0" w:color="auto"/>
                    <w:left w:val="none" w:sz="0" w:space="0" w:color="auto"/>
                    <w:bottom w:val="none" w:sz="0" w:space="0" w:color="auto"/>
                    <w:right w:val="none" w:sz="0" w:space="0" w:color="auto"/>
                  </w:divBdr>
                </w:div>
                <w:div w:id="1173102608">
                  <w:marLeft w:val="0"/>
                  <w:marRight w:val="0"/>
                  <w:marTop w:val="0"/>
                  <w:marBottom w:val="0"/>
                  <w:divBdr>
                    <w:top w:val="none" w:sz="0" w:space="0" w:color="auto"/>
                    <w:left w:val="none" w:sz="0" w:space="0" w:color="auto"/>
                    <w:bottom w:val="none" w:sz="0" w:space="0" w:color="auto"/>
                    <w:right w:val="none" w:sz="0" w:space="0" w:color="auto"/>
                  </w:divBdr>
                </w:div>
                <w:div w:id="242885411">
                  <w:marLeft w:val="0"/>
                  <w:marRight w:val="0"/>
                  <w:marTop w:val="0"/>
                  <w:marBottom w:val="0"/>
                  <w:divBdr>
                    <w:top w:val="none" w:sz="0" w:space="0" w:color="auto"/>
                    <w:left w:val="none" w:sz="0" w:space="0" w:color="auto"/>
                    <w:bottom w:val="none" w:sz="0" w:space="0" w:color="auto"/>
                    <w:right w:val="none" w:sz="0" w:space="0" w:color="auto"/>
                  </w:divBdr>
                </w:div>
                <w:div w:id="1924029687">
                  <w:marLeft w:val="0"/>
                  <w:marRight w:val="0"/>
                  <w:marTop w:val="0"/>
                  <w:marBottom w:val="0"/>
                  <w:divBdr>
                    <w:top w:val="none" w:sz="0" w:space="0" w:color="auto"/>
                    <w:left w:val="none" w:sz="0" w:space="0" w:color="auto"/>
                    <w:bottom w:val="none" w:sz="0" w:space="0" w:color="auto"/>
                    <w:right w:val="none" w:sz="0" w:space="0" w:color="auto"/>
                  </w:divBdr>
                  <w:divsChild>
                    <w:div w:id="35935276">
                      <w:marLeft w:val="0"/>
                      <w:marRight w:val="0"/>
                      <w:marTop w:val="0"/>
                      <w:marBottom w:val="0"/>
                      <w:divBdr>
                        <w:top w:val="none" w:sz="0" w:space="0" w:color="auto"/>
                        <w:left w:val="none" w:sz="0" w:space="0" w:color="auto"/>
                        <w:bottom w:val="none" w:sz="0" w:space="0" w:color="auto"/>
                        <w:right w:val="none" w:sz="0" w:space="0" w:color="auto"/>
                      </w:divBdr>
                    </w:div>
                    <w:div w:id="886378710">
                      <w:marLeft w:val="0"/>
                      <w:marRight w:val="0"/>
                      <w:marTop w:val="0"/>
                      <w:marBottom w:val="0"/>
                      <w:divBdr>
                        <w:top w:val="none" w:sz="0" w:space="0" w:color="auto"/>
                        <w:left w:val="none" w:sz="0" w:space="0" w:color="auto"/>
                        <w:bottom w:val="none" w:sz="0" w:space="0" w:color="auto"/>
                        <w:right w:val="none" w:sz="0" w:space="0" w:color="auto"/>
                      </w:divBdr>
                    </w:div>
                    <w:div w:id="1811243356">
                      <w:marLeft w:val="0"/>
                      <w:marRight w:val="0"/>
                      <w:marTop w:val="0"/>
                      <w:marBottom w:val="0"/>
                      <w:divBdr>
                        <w:top w:val="none" w:sz="0" w:space="0" w:color="auto"/>
                        <w:left w:val="none" w:sz="0" w:space="0" w:color="auto"/>
                        <w:bottom w:val="none" w:sz="0" w:space="0" w:color="auto"/>
                        <w:right w:val="none" w:sz="0" w:space="0" w:color="auto"/>
                      </w:divBdr>
                    </w:div>
                    <w:div w:id="870069975">
                      <w:marLeft w:val="0"/>
                      <w:marRight w:val="0"/>
                      <w:marTop w:val="0"/>
                      <w:marBottom w:val="0"/>
                      <w:divBdr>
                        <w:top w:val="none" w:sz="0" w:space="0" w:color="auto"/>
                        <w:left w:val="none" w:sz="0" w:space="0" w:color="auto"/>
                        <w:bottom w:val="none" w:sz="0" w:space="0" w:color="auto"/>
                        <w:right w:val="none" w:sz="0" w:space="0" w:color="auto"/>
                      </w:divBdr>
                    </w:div>
                    <w:div w:id="167403798">
                      <w:marLeft w:val="0"/>
                      <w:marRight w:val="0"/>
                      <w:marTop w:val="0"/>
                      <w:marBottom w:val="0"/>
                      <w:divBdr>
                        <w:top w:val="none" w:sz="0" w:space="0" w:color="auto"/>
                        <w:left w:val="none" w:sz="0" w:space="0" w:color="auto"/>
                        <w:bottom w:val="none" w:sz="0" w:space="0" w:color="auto"/>
                        <w:right w:val="none" w:sz="0" w:space="0" w:color="auto"/>
                      </w:divBdr>
                      <w:divsChild>
                        <w:div w:id="1772356211">
                          <w:marLeft w:val="0"/>
                          <w:marRight w:val="0"/>
                          <w:marTop w:val="0"/>
                          <w:marBottom w:val="0"/>
                          <w:divBdr>
                            <w:top w:val="none" w:sz="0" w:space="0" w:color="auto"/>
                            <w:left w:val="none" w:sz="0" w:space="0" w:color="auto"/>
                            <w:bottom w:val="none" w:sz="0" w:space="0" w:color="auto"/>
                            <w:right w:val="none" w:sz="0" w:space="0" w:color="auto"/>
                          </w:divBdr>
                        </w:div>
                      </w:divsChild>
                    </w:div>
                    <w:div w:id="475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81303">
          <w:marLeft w:val="0"/>
          <w:marRight w:val="0"/>
          <w:marTop w:val="0"/>
          <w:marBottom w:val="0"/>
          <w:divBdr>
            <w:top w:val="none" w:sz="0" w:space="0" w:color="auto"/>
            <w:left w:val="none" w:sz="0" w:space="0" w:color="auto"/>
            <w:bottom w:val="none" w:sz="0" w:space="0" w:color="auto"/>
            <w:right w:val="none" w:sz="0" w:space="0" w:color="auto"/>
          </w:divBdr>
          <w:divsChild>
            <w:div w:id="284625508">
              <w:marLeft w:val="0"/>
              <w:marRight w:val="0"/>
              <w:marTop w:val="0"/>
              <w:marBottom w:val="0"/>
              <w:divBdr>
                <w:top w:val="none" w:sz="0" w:space="0" w:color="auto"/>
                <w:left w:val="none" w:sz="0" w:space="0" w:color="auto"/>
                <w:bottom w:val="none" w:sz="0" w:space="0" w:color="auto"/>
                <w:right w:val="none" w:sz="0" w:space="0" w:color="auto"/>
              </w:divBdr>
            </w:div>
            <w:div w:id="425074819">
              <w:marLeft w:val="0"/>
              <w:marRight w:val="0"/>
              <w:marTop w:val="0"/>
              <w:marBottom w:val="0"/>
              <w:divBdr>
                <w:top w:val="none" w:sz="0" w:space="0" w:color="auto"/>
                <w:left w:val="none" w:sz="0" w:space="0" w:color="auto"/>
                <w:bottom w:val="none" w:sz="0" w:space="0" w:color="auto"/>
                <w:right w:val="none" w:sz="0" w:space="0" w:color="auto"/>
              </w:divBdr>
            </w:div>
            <w:div w:id="1623533639">
              <w:marLeft w:val="0"/>
              <w:marRight w:val="0"/>
              <w:marTop w:val="0"/>
              <w:marBottom w:val="0"/>
              <w:divBdr>
                <w:top w:val="none" w:sz="0" w:space="0" w:color="auto"/>
                <w:left w:val="none" w:sz="0" w:space="0" w:color="auto"/>
                <w:bottom w:val="none" w:sz="0" w:space="0" w:color="auto"/>
                <w:right w:val="none" w:sz="0" w:space="0" w:color="auto"/>
              </w:divBdr>
            </w:div>
            <w:div w:id="1157302934">
              <w:marLeft w:val="0"/>
              <w:marRight w:val="0"/>
              <w:marTop w:val="0"/>
              <w:marBottom w:val="0"/>
              <w:divBdr>
                <w:top w:val="none" w:sz="0" w:space="0" w:color="auto"/>
                <w:left w:val="none" w:sz="0" w:space="0" w:color="auto"/>
                <w:bottom w:val="none" w:sz="0" w:space="0" w:color="auto"/>
                <w:right w:val="none" w:sz="0" w:space="0" w:color="auto"/>
              </w:divBdr>
            </w:div>
            <w:div w:id="801268046">
              <w:marLeft w:val="0"/>
              <w:marRight w:val="0"/>
              <w:marTop w:val="0"/>
              <w:marBottom w:val="0"/>
              <w:divBdr>
                <w:top w:val="none" w:sz="0" w:space="0" w:color="auto"/>
                <w:left w:val="none" w:sz="0" w:space="0" w:color="auto"/>
                <w:bottom w:val="none" w:sz="0" w:space="0" w:color="auto"/>
                <w:right w:val="none" w:sz="0" w:space="0" w:color="auto"/>
              </w:divBdr>
            </w:div>
            <w:div w:id="170874060">
              <w:marLeft w:val="0"/>
              <w:marRight w:val="0"/>
              <w:marTop w:val="0"/>
              <w:marBottom w:val="0"/>
              <w:divBdr>
                <w:top w:val="none" w:sz="0" w:space="0" w:color="auto"/>
                <w:left w:val="none" w:sz="0" w:space="0" w:color="auto"/>
                <w:bottom w:val="none" w:sz="0" w:space="0" w:color="auto"/>
                <w:right w:val="none" w:sz="0" w:space="0" w:color="auto"/>
              </w:divBdr>
            </w:div>
          </w:divsChild>
        </w:div>
        <w:div w:id="1535121796">
          <w:marLeft w:val="0"/>
          <w:marRight w:val="0"/>
          <w:marTop w:val="0"/>
          <w:marBottom w:val="0"/>
          <w:divBdr>
            <w:top w:val="none" w:sz="0" w:space="0" w:color="auto"/>
            <w:left w:val="none" w:sz="0" w:space="0" w:color="auto"/>
            <w:bottom w:val="none" w:sz="0" w:space="0" w:color="auto"/>
            <w:right w:val="none" w:sz="0" w:space="0" w:color="auto"/>
          </w:divBdr>
        </w:div>
        <w:div w:id="1890528678">
          <w:marLeft w:val="0"/>
          <w:marRight w:val="0"/>
          <w:marTop w:val="0"/>
          <w:marBottom w:val="0"/>
          <w:divBdr>
            <w:top w:val="none" w:sz="0" w:space="0" w:color="auto"/>
            <w:left w:val="none" w:sz="0" w:space="0" w:color="auto"/>
            <w:bottom w:val="none" w:sz="0" w:space="0" w:color="auto"/>
            <w:right w:val="none" w:sz="0" w:space="0" w:color="auto"/>
          </w:divBdr>
          <w:divsChild>
            <w:div w:id="1914393352">
              <w:marLeft w:val="0"/>
              <w:marRight w:val="0"/>
              <w:marTop w:val="0"/>
              <w:marBottom w:val="0"/>
              <w:divBdr>
                <w:top w:val="none" w:sz="0" w:space="0" w:color="auto"/>
                <w:left w:val="none" w:sz="0" w:space="0" w:color="auto"/>
                <w:bottom w:val="none" w:sz="0" w:space="0" w:color="auto"/>
                <w:right w:val="none" w:sz="0" w:space="0" w:color="auto"/>
              </w:divBdr>
            </w:div>
          </w:divsChild>
        </w:div>
        <w:div w:id="1402293461">
          <w:marLeft w:val="0"/>
          <w:marRight w:val="0"/>
          <w:marTop w:val="0"/>
          <w:marBottom w:val="0"/>
          <w:divBdr>
            <w:top w:val="none" w:sz="0" w:space="0" w:color="auto"/>
            <w:left w:val="none" w:sz="0" w:space="0" w:color="auto"/>
            <w:bottom w:val="none" w:sz="0" w:space="0" w:color="auto"/>
            <w:right w:val="none" w:sz="0" w:space="0" w:color="auto"/>
          </w:divBdr>
          <w:divsChild>
            <w:div w:id="1258248776">
              <w:marLeft w:val="0"/>
              <w:marRight w:val="0"/>
              <w:marTop w:val="0"/>
              <w:marBottom w:val="0"/>
              <w:divBdr>
                <w:top w:val="none" w:sz="0" w:space="0" w:color="auto"/>
                <w:left w:val="none" w:sz="0" w:space="0" w:color="auto"/>
                <w:bottom w:val="none" w:sz="0" w:space="0" w:color="auto"/>
                <w:right w:val="none" w:sz="0" w:space="0" w:color="auto"/>
              </w:divBdr>
            </w:div>
            <w:div w:id="300110341">
              <w:marLeft w:val="0"/>
              <w:marRight w:val="0"/>
              <w:marTop w:val="0"/>
              <w:marBottom w:val="0"/>
              <w:divBdr>
                <w:top w:val="none" w:sz="0" w:space="0" w:color="auto"/>
                <w:left w:val="none" w:sz="0" w:space="0" w:color="auto"/>
                <w:bottom w:val="none" w:sz="0" w:space="0" w:color="auto"/>
                <w:right w:val="none" w:sz="0" w:space="0" w:color="auto"/>
              </w:divBdr>
            </w:div>
            <w:div w:id="889342151">
              <w:marLeft w:val="0"/>
              <w:marRight w:val="0"/>
              <w:marTop w:val="0"/>
              <w:marBottom w:val="0"/>
              <w:divBdr>
                <w:top w:val="none" w:sz="0" w:space="0" w:color="auto"/>
                <w:left w:val="none" w:sz="0" w:space="0" w:color="auto"/>
                <w:bottom w:val="none" w:sz="0" w:space="0" w:color="auto"/>
                <w:right w:val="none" w:sz="0" w:space="0" w:color="auto"/>
              </w:divBdr>
            </w:div>
            <w:div w:id="590050326">
              <w:marLeft w:val="0"/>
              <w:marRight w:val="0"/>
              <w:marTop w:val="0"/>
              <w:marBottom w:val="0"/>
              <w:divBdr>
                <w:top w:val="none" w:sz="0" w:space="0" w:color="auto"/>
                <w:left w:val="none" w:sz="0" w:space="0" w:color="auto"/>
                <w:bottom w:val="none" w:sz="0" w:space="0" w:color="auto"/>
                <w:right w:val="none" w:sz="0" w:space="0" w:color="auto"/>
              </w:divBdr>
            </w:div>
            <w:div w:id="756244227">
              <w:marLeft w:val="0"/>
              <w:marRight w:val="0"/>
              <w:marTop w:val="0"/>
              <w:marBottom w:val="0"/>
              <w:divBdr>
                <w:top w:val="none" w:sz="0" w:space="0" w:color="auto"/>
                <w:left w:val="none" w:sz="0" w:space="0" w:color="auto"/>
                <w:bottom w:val="none" w:sz="0" w:space="0" w:color="auto"/>
                <w:right w:val="none" w:sz="0" w:space="0" w:color="auto"/>
              </w:divBdr>
            </w:div>
            <w:div w:id="563951085">
              <w:marLeft w:val="0"/>
              <w:marRight w:val="0"/>
              <w:marTop w:val="0"/>
              <w:marBottom w:val="0"/>
              <w:divBdr>
                <w:top w:val="none" w:sz="0" w:space="0" w:color="auto"/>
                <w:left w:val="none" w:sz="0" w:space="0" w:color="auto"/>
                <w:bottom w:val="none" w:sz="0" w:space="0" w:color="auto"/>
                <w:right w:val="none" w:sz="0" w:space="0" w:color="auto"/>
              </w:divBdr>
            </w:div>
            <w:div w:id="1412311649">
              <w:marLeft w:val="0"/>
              <w:marRight w:val="0"/>
              <w:marTop w:val="0"/>
              <w:marBottom w:val="0"/>
              <w:divBdr>
                <w:top w:val="none" w:sz="0" w:space="0" w:color="auto"/>
                <w:left w:val="none" w:sz="0" w:space="0" w:color="auto"/>
                <w:bottom w:val="none" w:sz="0" w:space="0" w:color="auto"/>
                <w:right w:val="none" w:sz="0" w:space="0" w:color="auto"/>
              </w:divBdr>
            </w:div>
            <w:div w:id="1523088634">
              <w:marLeft w:val="0"/>
              <w:marRight w:val="0"/>
              <w:marTop w:val="0"/>
              <w:marBottom w:val="0"/>
              <w:divBdr>
                <w:top w:val="none" w:sz="0" w:space="0" w:color="auto"/>
                <w:left w:val="none" w:sz="0" w:space="0" w:color="auto"/>
                <w:bottom w:val="none" w:sz="0" w:space="0" w:color="auto"/>
                <w:right w:val="none" w:sz="0" w:space="0" w:color="auto"/>
              </w:divBdr>
            </w:div>
            <w:div w:id="522670329">
              <w:marLeft w:val="0"/>
              <w:marRight w:val="0"/>
              <w:marTop w:val="0"/>
              <w:marBottom w:val="0"/>
              <w:divBdr>
                <w:top w:val="none" w:sz="0" w:space="0" w:color="auto"/>
                <w:left w:val="none" w:sz="0" w:space="0" w:color="auto"/>
                <w:bottom w:val="none" w:sz="0" w:space="0" w:color="auto"/>
                <w:right w:val="none" w:sz="0" w:space="0" w:color="auto"/>
              </w:divBdr>
            </w:div>
            <w:div w:id="1344815638">
              <w:marLeft w:val="0"/>
              <w:marRight w:val="0"/>
              <w:marTop w:val="0"/>
              <w:marBottom w:val="0"/>
              <w:divBdr>
                <w:top w:val="none" w:sz="0" w:space="0" w:color="auto"/>
                <w:left w:val="none" w:sz="0" w:space="0" w:color="auto"/>
                <w:bottom w:val="none" w:sz="0" w:space="0" w:color="auto"/>
                <w:right w:val="none" w:sz="0" w:space="0" w:color="auto"/>
              </w:divBdr>
              <w:divsChild>
                <w:div w:id="2610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2811">
          <w:marLeft w:val="0"/>
          <w:marRight w:val="0"/>
          <w:marTop w:val="0"/>
          <w:marBottom w:val="0"/>
          <w:divBdr>
            <w:top w:val="none" w:sz="0" w:space="0" w:color="auto"/>
            <w:left w:val="none" w:sz="0" w:space="0" w:color="auto"/>
            <w:bottom w:val="none" w:sz="0" w:space="0" w:color="auto"/>
            <w:right w:val="none" w:sz="0" w:space="0" w:color="auto"/>
          </w:divBdr>
          <w:divsChild>
            <w:div w:id="85684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4432">
      <w:bodyDiv w:val="1"/>
      <w:marLeft w:val="0"/>
      <w:marRight w:val="0"/>
      <w:marTop w:val="0"/>
      <w:marBottom w:val="0"/>
      <w:divBdr>
        <w:top w:val="none" w:sz="0" w:space="0" w:color="auto"/>
        <w:left w:val="none" w:sz="0" w:space="0" w:color="auto"/>
        <w:bottom w:val="none" w:sz="0" w:space="0" w:color="auto"/>
        <w:right w:val="none" w:sz="0" w:space="0" w:color="auto"/>
      </w:divBdr>
    </w:div>
    <w:div w:id="78523708">
      <w:bodyDiv w:val="1"/>
      <w:marLeft w:val="0"/>
      <w:marRight w:val="0"/>
      <w:marTop w:val="0"/>
      <w:marBottom w:val="0"/>
      <w:divBdr>
        <w:top w:val="none" w:sz="0" w:space="0" w:color="auto"/>
        <w:left w:val="none" w:sz="0" w:space="0" w:color="auto"/>
        <w:bottom w:val="none" w:sz="0" w:space="0" w:color="auto"/>
        <w:right w:val="none" w:sz="0" w:space="0" w:color="auto"/>
      </w:divBdr>
      <w:divsChild>
        <w:div w:id="1201896236">
          <w:marLeft w:val="0"/>
          <w:marRight w:val="0"/>
          <w:marTop w:val="0"/>
          <w:marBottom w:val="0"/>
          <w:divBdr>
            <w:top w:val="none" w:sz="0" w:space="0" w:color="auto"/>
            <w:left w:val="none" w:sz="0" w:space="0" w:color="auto"/>
            <w:bottom w:val="none" w:sz="0" w:space="0" w:color="auto"/>
            <w:right w:val="none" w:sz="0" w:space="0" w:color="auto"/>
          </w:divBdr>
          <w:divsChild>
            <w:div w:id="1623732456">
              <w:marLeft w:val="0"/>
              <w:marRight w:val="0"/>
              <w:marTop w:val="0"/>
              <w:marBottom w:val="0"/>
              <w:divBdr>
                <w:top w:val="none" w:sz="0" w:space="0" w:color="auto"/>
                <w:left w:val="none" w:sz="0" w:space="0" w:color="auto"/>
                <w:bottom w:val="none" w:sz="0" w:space="0" w:color="auto"/>
                <w:right w:val="none" w:sz="0" w:space="0" w:color="auto"/>
              </w:divBdr>
              <w:divsChild>
                <w:div w:id="154752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7367">
      <w:bodyDiv w:val="1"/>
      <w:marLeft w:val="0"/>
      <w:marRight w:val="0"/>
      <w:marTop w:val="0"/>
      <w:marBottom w:val="0"/>
      <w:divBdr>
        <w:top w:val="none" w:sz="0" w:space="0" w:color="auto"/>
        <w:left w:val="none" w:sz="0" w:space="0" w:color="auto"/>
        <w:bottom w:val="none" w:sz="0" w:space="0" w:color="auto"/>
        <w:right w:val="none" w:sz="0" w:space="0" w:color="auto"/>
      </w:divBdr>
      <w:divsChild>
        <w:div w:id="120003639">
          <w:marLeft w:val="0"/>
          <w:marRight w:val="0"/>
          <w:marTop w:val="0"/>
          <w:marBottom w:val="0"/>
          <w:divBdr>
            <w:top w:val="none" w:sz="0" w:space="0" w:color="auto"/>
            <w:left w:val="none" w:sz="0" w:space="0" w:color="auto"/>
            <w:bottom w:val="none" w:sz="0" w:space="0" w:color="auto"/>
            <w:right w:val="none" w:sz="0" w:space="0" w:color="auto"/>
          </w:divBdr>
          <w:divsChild>
            <w:div w:id="179007519">
              <w:marLeft w:val="0"/>
              <w:marRight w:val="0"/>
              <w:marTop w:val="0"/>
              <w:marBottom w:val="0"/>
              <w:divBdr>
                <w:top w:val="none" w:sz="0" w:space="0" w:color="auto"/>
                <w:left w:val="none" w:sz="0" w:space="0" w:color="auto"/>
                <w:bottom w:val="none" w:sz="0" w:space="0" w:color="auto"/>
                <w:right w:val="none" w:sz="0" w:space="0" w:color="auto"/>
              </w:divBdr>
              <w:divsChild>
                <w:div w:id="118227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6801">
      <w:bodyDiv w:val="1"/>
      <w:marLeft w:val="0"/>
      <w:marRight w:val="0"/>
      <w:marTop w:val="0"/>
      <w:marBottom w:val="0"/>
      <w:divBdr>
        <w:top w:val="none" w:sz="0" w:space="0" w:color="auto"/>
        <w:left w:val="none" w:sz="0" w:space="0" w:color="auto"/>
        <w:bottom w:val="none" w:sz="0" w:space="0" w:color="auto"/>
        <w:right w:val="none" w:sz="0" w:space="0" w:color="auto"/>
      </w:divBdr>
      <w:divsChild>
        <w:div w:id="848375281">
          <w:marLeft w:val="0"/>
          <w:marRight w:val="0"/>
          <w:marTop w:val="0"/>
          <w:marBottom w:val="0"/>
          <w:divBdr>
            <w:top w:val="none" w:sz="0" w:space="0" w:color="auto"/>
            <w:left w:val="none" w:sz="0" w:space="0" w:color="auto"/>
            <w:bottom w:val="none" w:sz="0" w:space="0" w:color="auto"/>
            <w:right w:val="none" w:sz="0" w:space="0" w:color="auto"/>
          </w:divBdr>
          <w:divsChild>
            <w:div w:id="836457928">
              <w:marLeft w:val="0"/>
              <w:marRight w:val="0"/>
              <w:marTop w:val="0"/>
              <w:marBottom w:val="0"/>
              <w:divBdr>
                <w:top w:val="none" w:sz="0" w:space="0" w:color="auto"/>
                <w:left w:val="none" w:sz="0" w:space="0" w:color="auto"/>
                <w:bottom w:val="none" w:sz="0" w:space="0" w:color="auto"/>
                <w:right w:val="none" w:sz="0" w:space="0" w:color="auto"/>
              </w:divBdr>
              <w:divsChild>
                <w:div w:id="1017972718">
                  <w:marLeft w:val="0"/>
                  <w:marRight w:val="0"/>
                  <w:marTop w:val="0"/>
                  <w:marBottom w:val="0"/>
                  <w:divBdr>
                    <w:top w:val="none" w:sz="0" w:space="0" w:color="auto"/>
                    <w:left w:val="none" w:sz="0" w:space="0" w:color="auto"/>
                    <w:bottom w:val="none" w:sz="0" w:space="0" w:color="auto"/>
                    <w:right w:val="none" w:sz="0" w:space="0" w:color="auto"/>
                  </w:divBdr>
                </w:div>
              </w:divsChild>
            </w:div>
            <w:div w:id="1017273715">
              <w:marLeft w:val="0"/>
              <w:marRight w:val="0"/>
              <w:marTop w:val="0"/>
              <w:marBottom w:val="0"/>
              <w:divBdr>
                <w:top w:val="none" w:sz="0" w:space="0" w:color="auto"/>
                <w:left w:val="none" w:sz="0" w:space="0" w:color="auto"/>
                <w:bottom w:val="none" w:sz="0" w:space="0" w:color="auto"/>
                <w:right w:val="none" w:sz="0" w:space="0" w:color="auto"/>
              </w:divBdr>
              <w:divsChild>
                <w:div w:id="18482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292086">
      <w:bodyDiv w:val="1"/>
      <w:marLeft w:val="0"/>
      <w:marRight w:val="0"/>
      <w:marTop w:val="0"/>
      <w:marBottom w:val="0"/>
      <w:divBdr>
        <w:top w:val="none" w:sz="0" w:space="0" w:color="auto"/>
        <w:left w:val="none" w:sz="0" w:space="0" w:color="auto"/>
        <w:bottom w:val="none" w:sz="0" w:space="0" w:color="auto"/>
        <w:right w:val="none" w:sz="0" w:space="0" w:color="auto"/>
      </w:divBdr>
      <w:divsChild>
        <w:div w:id="1118521896">
          <w:marLeft w:val="0"/>
          <w:marRight w:val="0"/>
          <w:marTop w:val="0"/>
          <w:marBottom w:val="0"/>
          <w:divBdr>
            <w:top w:val="none" w:sz="0" w:space="0" w:color="auto"/>
            <w:left w:val="none" w:sz="0" w:space="0" w:color="auto"/>
            <w:bottom w:val="none" w:sz="0" w:space="0" w:color="auto"/>
            <w:right w:val="none" w:sz="0" w:space="0" w:color="auto"/>
          </w:divBdr>
          <w:divsChild>
            <w:div w:id="435029541">
              <w:marLeft w:val="0"/>
              <w:marRight w:val="0"/>
              <w:marTop w:val="0"/>
              <w:marBottom w:val="0"/>
              <w:divBdr>
                <w:top w:val="none" w:sz="0" w:space="0" w:color="auto"/>
                <w:left w:val="none" w:sz="0" w:space="0" w:color="auto"/>
                <w:bottom w:val="none" w:sz="0" w:space="0" w:color="auto"/>
                <w:right w:val="none" w:sz="0" w:space="0" w:color="auto"/>
              </w:divBdr>
              <w:divsChild>
                <w:div w:id="8393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952851">
      <w:bodyDiv w:val="1"/>
      <w:marLeft w:val="0"/>
      <w:marRight w:val="0"/>
      <w:marTop w:val="0"/>
      <w:marBottom w:val="0"/>
      <w:divBdr>
        <w:top w:val="none" w:sz="0" w:space="0" w:color="auto"/>
        <w:left w:val="none" w:sz="0" w:space="0" w:color="auto"/>
        <w:bottom w:val="none" w:sz="0" w:space="0" w:color="auto"/>
        <w:right w:val="none" w:sz="0" w:space="0" w:color="auto"/>
      </w:divBdr>
    </w:div>
    <w:div w:id="280311183">
      <w:bodyDiv w:val="1"/>
      <w:marLeft w:val="0"/>
      <w:marRight w:val="0"/>
      <w:marTop w:val="0"/>
      <w:marBottom w:val="0"/>
      <w:divBdr>
        <w:top w:val="none" w:sz="0" w:space="0" w:color="auto"/>
        <w:left w:val="none" w:sz="0" w:space="0" w:color="auto"/>
        <w:bottom w:val="none" w:sz="0" w:space="0" w:color="auto"/>
        <w:right w:val="none" w:sz="0" w:space="0" w:color="auto"/>
      </w:divBdr>
    </w:div>
    <w:div w:id="336998730">
      <w:bodyDiv w:val="1"/>
      <w:marLeft w:val="0"/>
      <w:marRight w:val="0"/>
      <w:marTop w:val="0"/>
      <w:marBottom w:val="0"/>
      <w:divBdr>
        <w:top w:val="none" w:sz="0" w:space="0" w:color="auto"/>
        <w:left w:val="none" w:sz="0" w:space="0" w:color="auto"/>
        <w:bottom w:val="none" w:sz="0" w:space="0" w:color="auto"/>
        <w:right w:val="none" w:sz="0" w:space="0" w:color="auto"/>
      </w:divBdr>
    </w:div>
    <w:div w:id="358627866">
      <w:bodyDiv w:val="1"/>
      <w:marLeft w:val="0"/>
      <w:marRight w:val="0"/>
      <w:marTop w:val="0"/>
      <w:marBottom w:val="0"/>
      <w:divBdr>
        <w:top w:val="none" w:sz="0" w:space="0" w:color="auto"/>
        <w:left w:val="none" w:sz="0" w:space="0" w:color="auto"/>
        <w:bottom w:val="none" w:sz="0" w:space="0" w:color="auto"/>
        <w:right w:val="none" w:sz="0" w:space="0" w:color="auto"/>
      </w:divBdr>
    </w:div>
    <w:div w:id="361437330">
      <w:bodyDiv w:val="1"/>
      <w:marLeft w:val="0"/>
      <w:marRight w:val="0"/>
      <w:marTop w:val="0"/>
      <w:marBottom w:val="0"/>
      <w:divBdr>
        <w:top w:val="none" w:sz="0" w:space="0" w:color="auto"/>
        <w:left w:val="none" w:sz="0" w:space="0" w:color="auto"/>
        <w:bottom w:val="none" w:sz="0" w:space="0" w:color="auto"/>
        <w:right w:val="none" w:sz="0" w:space="0" w:color="auto"/>
      </w:divBdr>
    </w:div>
    <w:div w:id="409890146">
      <w:bodyDiv w:val="1"/>
      <w:marLeft w:val="0"/>
      <w:marRight w:val="0"/>
      <w:marTop w:val="0"/>
      <w:marBottom w:val="0"/>
      <w:divBdr>
        <w:top w:val="none" w:sz="0" w:space="0" w:color="auto"/>
        <w:left w:val="none" w:sz="0" w:space="0" w:color="auto"/>
        <w:bottom w:val="none" w:sz="0" w:space="0" w:color="auto"/>
        <w:right w:val="none" w:sz="0" w:space="0" w:color="auto"/>
      </w:divBdr>
      <w:divsChild>
        <w:div w:id="944574709">
          <w:marLeft w:val="0"/>
          <w:marRight w:val="0"/>
          <w:marTop w:val="0"/>
          <w:marBottom w:val="0"/>
          <w:divBdr>
            <w:top w:val="none" w:sz="0" w:space="0" w:color="auto"/>
            <w:left w:val="none" w:sz="0" w:space="0" w:color="auto"/>
            <w:bottom w:val="none" w:sz="0" w:space="0" w:color="auto"/>
            <w:right w:val="none" w:sz="0" w:space="0" w:color="auto"/>
          </w:divBdr>
          <w:divsChild>
            <w:div w:id="1842312211">
              <w:marLeft w:val="0"/>
              <w:marRight w:val="0"/>
              <w:marTop w:val="0"/>
              <w:marBottom w:val="0"/>
              <w:divBdr>
                <w:top w:val="none" w:sz="0" w:space="0" w:color="auto"/>
                <w:left w:val="none" w:sz="0" w:space="0" w:color="auto"/>
                <w:bottom w:val="none" w:sz="0" w:space="0" w:color="auto"/>
                <w:right w:val="none" w:sz="0" w:space="0" w:color="auto"/>
              </w:divBdr>
              <w:divsChild>
                <w:div w:id="20001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0052">
      <w:bodyDiv w:val="1"/>
      <w:marLeft w:val="0"/>
      <w:marRight w:val="0"/>
      <w:marTop w:val="0"/>
      <w:marBottom w:val="0"/>
      <w:divBdr>
        <w:top w:val="none" w:sz="0" w:space="0" w:color="auto"/>
        <w:left w:val="none" w:sz="0" w:space="0" w:color="auto"/>
        <w:bottom w:val="none" w:sz="0" w:space="0" w:color="auto"/>
        <w:right w:val="none" w:sz="0" w:space="0" w:color="auto"/>
      </w:divBdr>
      <w:divsChild>
        <w:div w:id="1364398686">
          <w:marLeft w:val="0"/>
          <w:marRight w:val="0"/>
          <w:marTop w:val="0"/>
          <w:marBottom w:val="0"/>
          <w:divBdr>
            <w:top w:val="none" w:sz="0" w:space="0" w:color="auto"/>
            <w:left w:val="none" w:sz="0" w:space="0" w:color="auto"/>
            <w:bottom w:val="none" w:sz="0" w:space="0" w:color="auto"/>
            <w:right w:val="none" w:sz="0" w:space="0" w:color="auto"/>
          </w:divBdr>
          <w:divsChild>
            <w:div w:id="1568569972">
              <w:marLeft w:val="0"/>
              <w:marRight w:val="0"/>
              <w:marTop w:val="0"/>
              <w:marBottom w:val="0"/>
              <w:divBdr>
                <w:top w:val="none" w:sz="0" w:space="0" w:color="auto"/>
                <w:left w:val="none" w:sz="0" w:space="0" w:color="auto"/>
                <w:bottom w:val="none" w:sz="0" w:space="0" w:color="auto"/>
                <w:right w:val="none" w:sz="0" w:space="0" w:color="auto"/>
              </w:divBdr>
              <w:divsChild>
                <w:div w:id="5741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13520">
      <w:bodyDiv w:val="1"/>
      <w:marLeft w:val="0"/>
      <w:marRight w:val="0"/>
      <w:marTop w:val="0"/>
      <w:marBottom w:val="0"/>
      <w:divBdr>
        <w:top w:val="none" w:sz="0" w:space="0" w:color="auto"/>
        <w:left w:val="none" w:sz="0" w:space="0" w:color="auto"/>
        <w:bottom w:val="none" w:sz="0" w:space="0" w:color="auto"/>
        <w:right w:val="none" w:sz="0" w:space="0" w:color="auto"/>
      </w:divBdr>
      <w:divsChild>
        <w:div w:id="1104301602">
          <w:marLeft w:val="0"/>
          <w:marRight w:val="0"/>
          <w:marTop w:val="0"/>
          <w:marBottom w:val="0"/>
          <w:divBdr>
            <w:top w:val="none" w:sz="0" w:space="0" w:color="auto"/>
            <w:left w:val="none" w:sz="0" w:space="0" w:color="auto"/>
            <w:bottom w:val="none" w:sz="0" w:space="0" w:color="auto"/>
            <w:right w:val="none" w:sz="0" w:space="0" w:color="auto"/>
          </w:divBdr>
          <w:divsChild>
            <w:div w:id="1708986894">
              <w:marLeft w:val="0"/>
              <w:marRight w:val="0"/>
              <w:marTop w:val="0"/>
              <w:marBottom w:val="0"/>
              <w:divBdr>
                <w:top w:val="none" w:sz="0" w:space="0" w:color="auto"/>
                <w:left w:val="none" w:sz="0" w:space="0" w:color="auto"/>
                <w:bottom w:val="none" w:sz="0" w:space="0" w:color="auto"/>
                <w:right w:val="none" w:sz="0" w:space="0" w:color="auto"/>
              </w:divBdr>
              <w:divsChild>
                <w:div w:id="59317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436069">
      <w:bodyDiv w:val="1"/>
      <w:marLeft w:val="0"/>
      <w:marRight w:val="0"/>
      <w:marTop w:val="0"/>
      <w:marBottom w:val="0"/>
      <w:divBdr>
        <w:top w:val="none" w:sz="0" w:space="0" w:color="auto"/>
        <w:left w:val="none" w:sz="0" w:space="0" w:color="auto"/>
        <w:bottom w:val="none" w:sz="0" w:space="0" w:color="auto"/>
        <w:right w:val="none" w:sz="0" w:space="0" w:color="auto"/>
      </w:divBdr>
    </w:div>
    <w:div w:id="519318760">
      <w:bodyDiv w:val="1"/>
      <w:marLeft w:val="0"/>
      <w:marRight w:val="0"/>
      <w:marTop w:val="0"/>
      <w:marBottom w:val="0"/>
      <w:divBdr>
        <w:top w:val="none" w:sz="0" w:space="0" w:color="auto"/>
        <w:left w:val="none" w:sz="0" w:space="0" w:color="auto"/>
        <w:bottom w:val="none" w:sz="0" w:space="0" w:color="auto"/>
        <w:right w:val="none" w:sz="0" w:space="0" w:color="auto"/>
      </w:divBdr>
    </w:div>
    <w:div w:id="565143014">
      <w:bodyDiv w:val="1"/>
      <w:marLeft w:val="0"/>
      <w:marRight w:val="0"/>
      <w:marTop w:val="0"/>
      <w:marBottom w:val="0"/>
      <w:divBdr>
        <w:top w:val="none" w:sz="0" w:space="0" w:color="auto"/>
        <w:left w:val="none" w:sz="0" w:space="0" w:color="auto"/>
        <w:bottom w:val="none" w:sz="0" w:space="0" w:color="auto"/>
        <w:right w:val="none" w:sz="0" w:space="0" w:color="auto"/>
      </w:divBdr>
      <w:divsChild>
        <w:div w:id="157578829">
          <w:marLeft w:val="0"/>
          <w:marRight w:val="0"/>
          <w:marTop w:val="0"/>
          <w:marBottom w:val="0"/>
          <w:divBdr>
            <w:top w:val="none" w:sz="0" w:space="0" w:color="auto"/>
            <w:left w:val="none" w:sz="0" w:space="0" w:color="auto"/>
            <w:bottom w:val="none" w:sz="0" w:space="0" w:color="auto"/>
            <w:right w:val="none" w:sz="0" w:space="0" w:color="auto"/>
          </w:divBdr>
          <w:divsChild>
            <w:div w:id="1778910872">
              <w:marLeft w:val="0"/>
              <w:marRight w:val="0"/>
              <w:marTop w:val="0"/>
              <w:marBottom w:val="0"/>
              <w:divBdr>
                <w:top w:val="none" w:sz="0" w:space="0" w:color="auto"/>
                <w:left w:val="none" w:sz="0" w:space="0" w:color="auto"/>
                <w:bottom w:val="none" w:sz="0" w:space="0" w:color="auto"/>
                <w:right w:val="none" w:sz="0" w:space="0" w:color="auto"/>
              </w:divBdr>
              <w:divsChild>
                <w:div w:id="13258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5546">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8">
          <w:marLeft w:val="0"/>
          <w:marRight w:val="0"/>
          <w:marTop w:val="0"/>
          <w:marBottom w:val="0"/>
          <w:divBdr>
            <w:top w:val="none" w:sz="0" w:space="0" w:color="auto"/>
            <w:left w:val="none" w:sz="0" w:space="0" w:color="auto"/>
            <w:bottom w:val="none" w:sz="0" w:space="0" w:color="auto"/>
            <w:right w:val="none" w:sz="0" w:space="0" w:color="auto"/>
          </w:divBdr>
          <w:divsChild>
            <w:div w:id="1707102012">
              <w:marLeft w:val="0"/>
              <w:marRight w:val="0"/>
              <w:marTop w:val="0"/>
              <w:marBottom w:val="0"/>
              <w:divBdr>
                <w:top w:val="none" w:sz="0" w:space="0" w:color="auto"/>
                <w:left w:val="none" w:sz="0" w:space="0" w:color="auto"/>
                <w:bottom w:val="none" w:sz="0" w:space="0" w:color="auto"/>
                <w:right w:val="none" w:sz="0" w:space="0" w:color="auto"/>
              </w:divBdr>
              <w:divsChild>
                <w:div w:id="1516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2679">
      <w:bodyDiv w:val="1"/>
      <w:marLeft w:val="0"/>
      <w:marRight w:val="0"/>
      <w:marTop w:val="0"/>
      <w:marBottom w:val="0"/>
      <w:divBdr>
        <w:top w:val="none" w:sz="0" w:space="0" w:color="auto"/>
        <w:left w:val="none" w:sz="0" w:space="0" w:color="auto"/>
        <w:bottom w:val="none" w:sz="0" w:space="0" w:color="auto"/>
        <w:right w:val="none" w:sz="0" w:space="0" w:color="auto"/>
      </w:divBdr>
      <w:divsChild>
        <w:div w:id="1367828495">
          <w:marLeft w:val="0"/>
          <w:marRight w:val="0"/>
          <w:marTop w:val="0"/>
          <w:marBottom w:val="0"/>
          <w:divBdr>
            <w:top w:val="none" w:sz="0" w:space="0" w:color="auto"/>
            <w:left w:val="none" w:sz="0" w:space="0" w:color="auto"/>
            <w:bottom w:val="none" w:sz="0" w:space="0" w:color="auto"/>
            <w:right w:val="none" w:sz="0" w:space="0" w:color="auto"/>
          </w:divBdr>
          <w:divsChild>
            <w:div w:id="1893685586">
              <w:marLeft w:val="0"/>
              <w:marRight w:val="0"/>
              <w:marTop w:val="0"/>
              <w:marBottom w:val="0"/>
              <w:divBdr>
                <w:top w:val="none" w:sz="0" w:space="0" w:color="auto"/>
                <w:left w:val="none" w:sz="0" w:space="0" w:color="auto"/>
                <w:bottom w:val="none" w:sz="0" w:space="0" w:color="auto"/>
                <w:right w:val="none" w:sz="0" w:space="0" w:color="auto"/>
              </w:divBdr>
              <w:divsChild>
                <w:div w:id="72503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909">
      <w:bodyDiv w:val="1"/>
      <w:marLeft w:val="0"/>
      <w:marRight w:val="0"/>
      <w:marTop w:val="0"/>
      <w:marBottom w:val="0"/>
      <w:divBdr>
        <w:top w:val="none" w:sz="0" w:space="0" w:color="auto"/>
        <w:left w:val="none" w:sz="0" w:space="0" w:color="auto"/>
        <w:bottom w:val="none" w:sz="0" w:space="0" w:color="auto"/>
        <w:right w:val="none" w:sz="0" w:space="0" w:color="auto"/>
      </w:divBdr>
      <w:divsChild>
        <w:div w:id="141430940">
          <w:marLeft w:val="0"/>
          <w:marRight w:val="0"/>
          <w:marTop w:val="0"/>
          <w:marBottom w:val="0"/>
          <w:divBdr>
            <w:top w:val="none" w:sz="0" w:space="0" w:color="auto"/>
            <w:left w:val="none" w:sz="0" w:space="0" w:color="auto"/>
            <w:bottom w:val="none" w:sz="0" w:space="0" w:color="auto"/>
            <w:right w:val="none" w:sz="0" w:space="0" w:color="auto"/>
          </w:divBdr>
          <w:divsChild>
            <w:div w:id="1337809706">
              <w:marLeft w:val="0"/>
              <w:marRight w:val="0"/>
              <w:marTop w:val="0"/>
              <w:marBottom w:val="0"/>
              <w:divBdr>
                <w:top w:val="none" w:sz="0" w:space="0" w:color="auto"/>
                <w:left w:val="none" w:sz="0" w:space="0" w:color="auto"/>
                <w:bottom w:val="none" w:sz="0" w:space="0" w:color="auto"/>
                <w:right w:val="none" w:sz="0" w:space="0" w:color="auto"/>
              </w:divBdr>
              <w:divsChild>
                <w:div w:id="124133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88984">
      <w:bodyDiv w:val="1"/>
      <w:marLeft w:val="0"/>
      <w:marRight w:val="0"/>
      <w:marTop w:val="0"/>
      <w:marBottom w:val="0"/>
      <w:divBdr>
        <w:top w:val="none" w:sz="0" w:space="0" w:color="auto"/>
        <w:left w:val="none" w:sz="0" w:space="0" w:color="auto"/>
        <w:bottom w:val="none" w:sz="0" w:space="0" w:color="auto"/>
        <w:right w:val="none" w:sz="0" w:space="0" w:color="auto"/>
      </w:divBdr>
    </w:div>
    <w:div w:id="817965806">
      <w:bodyDiv w:val="1"/>
      <w:marLeft w:val="0"/>
      <w:marRight w:val="0"/>
      <w:marTop w:val="0"/>
      <w:marBottom w:val="0"/>
      <w:divBdr>
        <w:top w:val="none" w:sz="0" w:space="0" w:color="auto"/>
        <w:left w:val="none" w:sz="0" w:space="0" w:color="auto"/>
        <w:bottom w:val="none" w:sz="0" w:space="0" w:color="auto"/>
        <w:right w:val="none" w:sz="0" w:space="0" w:color="auto"/>
      </w:divBdr>
    </w:div>
    <w:div w:id="852576250">
      <w:bodyDiv w:val="1"/>
      <w:marLeft w:val="0"/>
      <w:marRight w:val="0"/>
      <w:marTop w:val="0"/>
      <w:marBottom w:val="0"/>
      <w:divBdr>
        <w:top w:val="none" w:sz="0" w:space="0" w:color="auto"/>
        <w:left w:val="none" w:sz="0" w:space="0" w:color="auto"/>
        <w:bottom w:val="none" w:sz="0" w:space="0" w:color="auto"/>
        <w:right w:val="none" w:sz="0" w:space="0" w:color="auto"/>
      </w:divBdr>
      <w:divsChild>
        <w:div w:id="580795844">
          <w:marLeft w:val="0"/>
          <w:marRight w:val="0"/>
          <w:marTop w:val="0"/>
          <w:marBottom w:val="0"/>
          <w:divBdr>
            <w:top w:val="none" w:sz="0" w:space="0" w:color="auto"/>
            <w:left w:val="none" w:sz="0" w:space="0" w:color="auto"/>
            <w:bottom w:val="none" w:sz="0" w:space="0" w:color="auto"/>
            <w:right w:val="none" w:sz="0" w:space="0" w:color="auto"/>
          </w:divBdr>
          <w:divsChild>
            <w:div w:id="1327857313">
              <w:marLeft w:val="0"/>
              <w:marRight w:val="0"/>
              <w:marTop w:val="0"/>
              <w:marBottom w:val="0"/>
              <w:divBdr>
                <w:top w:val="none" w:sz="0" w:space="0" w:color="auto"/>
                <w:left w:val="none" w:sz="0" w:space="0" w:color="auto"/>
                <w:bottom w:val="none" w:sz="0" w:space="0" w:color="auto"/>
                <w:right w:val="none" w:sz="0" w:space="0" w:color="auto"/>
              </w:divBdr>
              <w:divsChild>
                <w:div w:id="21363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04130">
      <w:bodyDiv w:val="1"/>
      <w:marLeft w:val="0"/>
      <w:marRight w:val="0"/>
      <w:marTop w:val="0"/>
      <w:marBottom w:val="0"/>
      <w:divBdr>
        <w:top w:val="none" w:sz="0" w:space="0" w:color="auto"/>
        <w:left w:val="none" w:sz="0" w:space="0" w:color="auto"/>
        <w:bottom w:val="none" w:sz="0" w:space="0" w:color="auto"/>
        <w:right w:val="none" w:sz="0" w:space="0" w:color="auto"/>
      </w:divBdr>
      <w:divsChild>
        <w:div w:id="615527152">
          <w:marLeft w:val="0"/>
          <w:marRight w:val="0"/>
          <w:marTop w:val="0"/>
          <w:marBottom w:val="0"/>
          <w:divBdr>
            <w:top w:val="none" w:sz="0" w:space="0" w:color="auto"/>
            <w:left w:val="none" w:sz="0" w:space="0" w:color="auto"/>
            <w:bottom w:val="none" w:sz="0" w:space="0" w:color="auto"/>
            <w:right w:val="none" w:sz="0" w:space="0" w:color="auto"/>
          </w:divBdr>
          <w:divsChild>
            <w:div w:id="94372998">
              <w:marLeft w:val="0"/>
              <w:marRight w:val="0"/>
              <w:marTop w:val="0"/>
              <w:marBottom w:val="0"/>
              <w:divBdr>
                <w:top w:val="none" w:sz="0" w:space="0" w:color="auto"/>
                <w:left w:val="none" w:sz="0" w:space="0" w:color="auto"/>
                <w:bottom w:val="none" w:sz="0" w:space="0" w:color="auto"/>
                <w:right w:val="none" w:sz="0" w:space="0" w:color="auto"/>
              </w:divBdr>
              <w:divsChild>
                <w:div w:id="954604799">
                  <w:marLeft w:val="0"/>
                  <w:marRight w:val="0"/>
                  <w:marTop w:val="0"/>
                  <w:marBottom w:val="0"/>
                  <w:divBdr>
                    <w:top w:val="none" w:sz="0" w:space="0" w:color="auto"/>
                    <w:left w:val="none" w:sz="0" w:space="0" w:color="auto"/>
                    <w:bottom w:val="none" w:sz="0" w:space="0" w:color="auto"/>
                    <w:right w:val="none" w:sz="0" w:space="0" w:color="auto"/>
                  </w:divBdr>
                  <w:divsChild>
                    <w:div w:id="1988627662">
                      <w:marLeft w:val="0"/>
                      <w:marRight w:val="0"/>
                      <w:marTop w:val="0"/>
                      <w:marBottom w:val="0"/>
                      <w:divBdr>
                        <w:top w:val="none" w:sz="0" w:space="0" w:color="auto"/>
                        <w:left w:val="none" w:sz="0" w:space="0" w:color="auto"/>
                        <w:bottom w:val="none" w:sz="0" w:space="0" w:color="auto"/>
                        <w:right w:val="none" w:sz="0" w:space="0" w:color="auto"/>
                      </w:divBdr>
                      <w:divsChild>
                        <w:div w:id="14338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794760">
      <w:bodyDiv w:val="1"/>
      <w:marLeft w:val="0"/>
      <w:marRight w:val="0"/>
      <w:marTop w:val="0"/>
      <w:marBottom w:val="0"/>
      <w:divBdr>
        <w:top w:val="none" w:sz="0" w:space="0" w:color="auto"/>
        <w:left w:val="none" w:sz="0" w:space="0" w:color="auto"/>
        <w:bottom w:val="none" w:sz="0" w:space="0" w:color="auto"/>
        <w:right w:val="none" w:sz="0" w:space="0" w:color="auto"/>
      </w:divBdr>
    </w:div>
    <w:div w:id="940838873">
      <w:bodyDiv w:val="1"/>
      <w:marLeft w:val="0"/>
      <w:marRight w:val="0"/>
      <w:marTop w:val="0"/>
      <w:marBottom w:val="0"/>
      <w:divBdr>
        <w:top w:val="none" w:sz="0" w:space="0" w:color="auto"/>
        <w:left w:val="none" w:sz="0" w:space="0" w:color="auto"/>
        <w:bottom w:val="none" w:sz="0" w:space="0" w:color="auto"/>
        <w:right w:val="none" w:sz="0" w:space="0" w:color="auto"/>
      </w:divBdr>
    </w:div>
    <w:div w:id="948004646">
      <w:bodyDiv w:val="1"/>
      <w:marLeft w:val="0"/>
      <w:marRight w:val="0"/>
      <w:marTop w:val="0"/>
      <w:marBottom w:val="0"/>
      <w:divBdr>
        <w:top w:val="none" w:sz="0" w:space="0" w:color="auto"/>
        <w:left w:val="none" w:sz="0" w:space="0" w:color="auto"/>
        <w:bottom w:val="none" w:sz="0" w:space="0" w:color="auto"/>
        <w:right w:val="none" w:sz="0" w:space="0" w:color="auto"/>
      </w:divBdr>
      <w:divsChild>
        <w:div w:id="1053580069">
          <w:blockQuote w:val="1"/>
          <w:marLeft w:val="480"/>
          <w:marRight w:val="0"/>
          <w:marTop w:val="0"/>
          <w:marBottom w:val="0"/>
          <w:divBdr>
            <w:top w:val="none" w:sz="0" w:space="0" w:color="auto"/>
            <w:left w:val="none" w:sz="0" w:space="0" w:color="auto"/>
            <w:bottom w:val="none" w:sz="0" w:space="0" w:color="auto"/>
            <w:right w:val="none" w:sz="0" w:space="0" w:color="auto"/>
          </w:divBdr>
        </w:div>
      </w:divsChild>
    </w:div>
    <w:div w:id="978919537">
      <w:bodyDiv w:val="1"/>
      <w:marLeft w:val="0"/>
      <w:marRight w:val="0"/>
      <w:marTop w:val="0"/>
      <w:marBottom w:val="0"/>
      <w:divBdr>
        <w:top w:val="none" w:sz="0" w:space="0" w:color="auto"/>
        <w:left w:val="none" w:sz="0" w:space="0" w:color="auto"/>
        <w:bottom w:val="none" w:sz="0" w:space="0" w:color="auto"/>
        <w:right w:val="none" w:sz="0" w:space="0" w:color="auto"/>
      </w:divBdr>
    </w:div>
    <w:div w:id="1027020805">
      <w:bodyDiv w:val="1"/>
      <w:marLeft w:val="0"/>
      <w:marRight w:val="0"/>
      <w:marTop w:val="0"/>
      <w:marBottom w:val="0"/>
      <w:divBdr>
        <w:top w:val="none" w:sz="0" w:space="0" w:color="auto"/>
        <w:left w:val="none" w:sz="0" w:space="0" w:color="auto"/>
        <w:bottom w:val="none" w:sz="0" w:space="0" w:color="auto"/>
        <w:right w:val="none" w:sz="0" w:space="0" w:color="auto"/>
      </w:divBdr>
    </w:div>
    <w:div w:id="1080172794">
      <w:bodyDiv w:val="1"/>
      <w:marLeft w:val="0"/>
      <w:marRight w:val="0"/>
      <w:marTop w:val="0"/>
      <w:marBottom w:val="0"/>
      <w:divBdr>
        <w:top w:val="none" w:sz="0" w:space="0" w:color="auto"/>
        <w:left w:val="none" w:sz="0" w:space="0" w:color="auto"/>
        <w:bottom w:val="none" w:sz="0" w:space="0" w:color="auto"/>
        <w:right w:val="none" w:sz="0" w:space="0" w:color="auto"/>
      </w:divBdr>
    </w:div>
    <w:div w:id="1102532189">
      <w:bodyDiv w:val="1"/>
      <w:marLeft w:val="0"/>
      <w:marRight w:val="0"/>
      <w:marTop w:val="0"/>
      <w:marBottom w:val="0"/>
      <w:divBdr>
        <w:top w:val="none" w:sz="0" w:space="0" w:color="auto"/>
        <w:left w:val="none" w:sz="0" w:space="0" w:color="auto"/>
        <w:bottom w:val="none" w:sz="0" w:space="0" w:color="auto"/>
        <w:right w:val="none" w:sz="0" w:space="0" w:color="auto"/>
      </w:divBdr>
      <w:divsChild>
        <w:div w:id="1246380772">
          <w:marLeft w:val="0"/>
          <w:marRight w:val="0"/>
          <w:marTop w:val="0"/>
          <w:marBottom w:val="0"/>
          <w:divBdr>
            <w:top w:val="none" w:sz="0" w:space="0" w:color="auto"/>
            <w:left w:val="none" w:sz="0" w:space="0" w:color="auto"/>
            <w:bottom w:val="none" w:sz="0" w:space="0" w:color="auto"/>
            <w:right w:val="none" w:sz="0" w:space="0" w:color="auto"/>
          </w:divBdr>
          <w:divsChild>
            <w:div w:id="94786247">
              <w:marLeft w:val="0"/>
              <w:marRight w:val="0"/>
              <w:marTop w:val="0"/>
              <w:marBottom w:val="0"/>
              <w:divBdr>
                <w:top w:val="none" w:sz="0" w:space="0" w:color="auto"/>
                <w:left w:val="none" w:sz="0" w:space="0" w:color="auto"/>
                <w:bottom w:val="none" w:sz="0" w:space="0" w:color="auto"/>
                <w:right w:val="none" w:sz="0" w:space="0" w:color="auto"/>
              </w:divBdr>
              <w:divsChild>
                <w:div w:id="7670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664">
      <w:bodyDiv w:val="1"/>
      <w:marLeft w:val="0"/>
      <w:marRight w:val="0"/>
      <w:marTop w:val="0"/>
      <w:marBottom w:val="0"/>
      <w:divBdr>
        <w:top w:val="none" w:sz="0" w:space="0" w:color="auto"/>
        <w:left w:val="none" w:sz="0" w:space="0" w:color="auto"/>
        <w:bottom w:val="none" w:sz="0" w:space="0" w:color="auto"/>
        <w:right w:val="none" w:sz="0" w:space="0" w:color="auto"/>
      </w:divBdr>
      <w:divsChild>
        <w:div w:id="1664159016">
          <w:marLeft w:val="0"/>
          <w:marRight w:val="0"/>
          <w:marTop w:val="0"/>
          <w:marBottom w:val="0"/>
          <w:divBdr>
            <w:top w:val="none" w:sz="0" w:space="0" w:color="auto"/>
            <w:left w:val="none" w:sz="0" w:space="0" w:color="auto"/>
            <w:bottom w:val="none" w:sz="0" w:space="0" w:color="auto"/>
            <w:right w:val="none" w:sz="0" w:space="0" w:color="auto"/>
          </w:divBdr>
          <w:divsChild>
            <w:div w:id="826479113">
              <w:marLeft w:val="0"/>
              <w:marRight w:val="0"/>
              <w:marTop w:val="0"/>
              <w:marBottom w:val="0"/>
              <w:divBdr>
                <w:top w:val="none" w:sz="0" w:space="0" w:color="auto"/>
                <w:left w:val="none" w:sz="0" w:space="0" w:color="auto"/>
                <w:bottom w:val="none" w:sz="0" w:space="0" w:color="auto"/>
                <w:right w:val="none" w:sz="0" w:space="0" w:color="auto"/>
              </w:divBdr>
              <w:divsChild>
                <w:div w:id="33797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884345">
      <w:bodyDiv w:val="1"/>
      <w:marLeft w:val="0"/>
      <w:marRight w:val="0"/>
      <w:marTop w:val="0"/>
      <w:marBottom w:val="0"/>
      <w:divBdr>
        <w:top w:val="none" w:sz="0" w:space="0" w:color="auto"/>
        <w:left w:val="none" w:sz="0" w:space="0" w:color="auto"/>
        <w:bottom w:val="none" w:sz="0" w:space="0" w:color="auto"/>
        <w:right w:val="none" w:sz="0" w:space="0" w:color="auto"/>
      </w:divBdr>
    </w:div>
    <w:div w:id="1117480073">
      <w:bodyDiv w:val="1"/>
      <w:marLeft w:val="0"/>
      <w:marRight w:val="0"/>
      <w:marTop w:val="0"/>
      <w:marBottom w:val="0"/>
      <w:divBdr>
        <w:top w:val="none" w:sz="0" w:space="0" w:color="auto"/>
        <w:left w:val="none" w:sz="0" w:space="0" w:color="auto"/>
        <w:bottom w:val="none" w:sz="0" w:space="0" w:color="auto"/>
        <w:right w:val="none" w:sz="0" w:space="0" w:color="auto"/>
      </w:divBdr>
      <w:divsChild>
        <w:div w:id="1620450668">
          <w:marLeft w:val="0"/>
          <w:marRight w:val="0"/>
          <w:marTop w:val="0"/>
          <w:marBottom w:val="0"/>
          <w:divBdr>
            <w:top w:val="none" w:sz="0" w:space="0" w:color="auto"/>
            <w:left w:val="none" w:sz="0" w:space="0" w:color="auto"/>
            <w:bottom w:val="none" w:sz="0" w:space="0" w:color="auto"/>
            <w:right w:val="none" w:sz="0" w:space="0" w:color="auto"/>
          </w:divBdr>
          <w:divsChild>
            <w:div w:id="38747409">
              <w:marLeft w:val="0"/>
              <w:marRight w:val="0"/>
              <w:marTop w:val="0"/>
              <w:marBottom w:val="0"/>
              <w:divBdr>
                <w:top w:val="none" w:sz="0" w:space="0" w:color="auto"/>
                <w:left w:val="none" w:sz="0" w:space="0" w:color="auto"/>
                <w:bottom w:val="none" w:sz="0" w:space="0" w:color="auto"/>
                <w:right w:val="none" w:sz="0" w:space="0" w:color="auto"/>
              </w:divBdr>
              <w:divsChild>
                <w:div w:id="21372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565213">
      <w:bodyDiv w:val="1"/>
      <w:marLeft w:val="0"/>
      <w:marRight w:val="0"/>
      <w:marTop w:val="0"/>
      <w:marBottom w:val="0"/>
      <w:divBdr>
        <w:top w:val="none" w:sz="0" w:space="0" w:color="auto"/>
        <w:left w:val="none" w:sz="0" w:space="0" w:color="auto"/>
        <w:bottom w:val="none" w:sz="0" w:space="0" w:color="auto"/>
        <w:right w:val="none" w:sz="0" w:space="0" w:color="auto"/>
      </w:divBdr>
    </w:div>
    <w:div w:id="1220439615">
      <w:bodyDiv w:val="1"/>
      <w:marLeft w:val="0"/>
      <w:marRight w:val="0"/>
      <w:marTop w:val="0"/>
      <w:marBottom w:val="0"/>
      <w:divBdr>
        <w:top w:val="none" w:sz="0" w:space="0" w:color="auto"/>
        <w:left w:val="none" w:sz="0" w:space="0" w:color="auto"/>
        <w:bottom w:val="none" w:sz="0" w:space="0" w:color="auto"/>
        <w:right w:val="none" w:sz="0" w:space="0" w:color="auto"/>
      </w:divBdr>
    </w:div>
    <w:div w:id="1227302377">
      <w:bodyDiv w:val="1"/>
      <w:marLeft w:val="0"/>
      <w:marRight w:val="0"/>
      <w:marTop w:val="0"/>
      <w:marBottom w:val="0"/>
      <w:divBdr>
        <w:top w:val="none" w:sz="0" w:space="0" w:color="auto"/>
        <w:left w:val="none" w:sz="0" w:space="0" w:color="auto"/>
        <w:bottom w:val="none" w:sz="0" w:space="0" w:color="auto"/>
        <w:right w:val="none" w:sz="0" w:space="0" w:color="auto"/>
      </w:divBdr>
    </w:div>
    <w:div w:id="1273243385">
      <w:bodyDiv w:val="1"/>
      <w:marLeft w:val="0"/>
      <w:marRight w:val="0"/>
      <w:marTop w:val="0"/>
      <w:marBottom w:val="0"/>
      <w:divBdr>
        <w:top w:val="none" w:sz="0" w:space="0" w:color="auto"/>
        <w:left w:val="none" w:sz="0" w:space="0" w:color="auto"/>
        <w:bottom w:val="none" w:sz="0" w:space="0" w:color="auto"/>
        <w:right w:val="none" w:sz="0" w:space="0" w:color="auto"/>
      </w:divBdr>
      <w:divsChild>
        <w:div w:id="2065904198">
          <w:marLeft w:val="0"/>
          <w:marRight w:val="0"/>
          <w:marTop w:val="0"/>
          <w:marBottom w:val="0"/>
          <w:divBdr>
            <w:top w:val="none" w:sz="0" w:space="0" w:color="auto"/>
            <w:left w:val="none" w:sz="0" w:space="0" w:color="auto"/>
            <w:bottom w:val="none" w:sz="0" w:space="0" w:color="auto"/>
            <w:right w:val="none" w:sz="0" w:space="0" w:color="auto"/>
          </w:divBdr>
          <w:divsChild>
            <w:div w:id="2029142264">
              <w:marLeft w:val="0"/>
              <w:marRight w:val="0"/>
              <w:marTop w:val="0"/>
              <w:marBottom w:val="0"/>
              <w:divBdr>
                <w:top w:val="none" w:sz="0" w:space="0" w:color="auto"/>
                <w:left w:val="none" w:sz="0" w:space="0" w:color="auto"/>
                <w:bottom w:val="none" w:sz="0" w:space="0" w:color="auto"/>
                <w:right w:val="none" w:sz="0" w:space="0" w:color="auto"/>
              </w:divBdr>
              <w:divsChild>
                <w:div w:id="74260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3572">
      <w:bodyDiv w:val="1"/>
      <w:marLeft w:val="0"/>
      <w:marRight w:val="0"/>
      <w:marTop w:val="0"/>
      <w:marBottom w:val="0"/>
      <w:divBdr>
        <w:top w:val="none" w:sz="0" w:space="0" w:color="auto"/>
        <w:left w:val="none" w:sz="0" w:space="0" w:color="auto"/>
        <w:bottom w:val="none" w:sz="0" w:space="0" w:color="auto"/>
        <w:right w:val="none" w:sz="0" w:space="0" w:color="auto"/>
      </w:divBdr>
    </w:div>
    <w:div w:id="1321470265">
      <w:bodyDiv w:val="1"/>
      <w:marLeft w:val="0"/>
      <w:marRight w:val="0"/>
      <w:marTop w:val="0"/>
      <w:marBottom w:val="0"/>
      <w:divBdr>
        <w:top w:val="none" w:sz="0" w:space="0" w:color="auto"/>
        <w:left w:val="none" w:sz="0" w:space="0" w:color="auto"/>
        <w:bottom w:val="none" w:sz="0" w:space="0" w:color="auto"/>
        <w:right w:val="none" w:sz="0" w:space="0" w:color="auto"/>
      </w:divBdr>
    </w:div>
    <w:div w:id="1330525404">
      <w:bodyDiv w:val="1"/>
      <w:marLeft w:val="0"/>
      <w:marRight w:val="0"/>
      <w:marTop w:val="0"/>
      <w:marBottom w:val="0"/>
      <w:divBdr>
        <w:top w:val="none" w:sz="0" w:space="0" w:color="auto"/>
        <w:left w:val="none" w:sz="0" w:space="0" w:color="auto"/>
        <w:bottom w:val="none" w:sz="0" w:space="0" w:color="auto"/>
        <w:right w:val="none" w:sz="0" w:space="0" w:color="auto"/>
      </w:divBdr>
    </w:div>
    <w:div w:id="1406150717">
      <w:bodyDiv w:val="1"/>
      <w:marLeft w:val="0"/>
      <w:marRight w:val="0"/>
      <w:marTop w:val="0"/>
      <w:marBottom w:val="0"/>
      <w:divBdr>
        <w:top w:val="none" w:sz="0" w:space="0" w:color="auto"/>
        <w:left w:val="none" w:sz="0" w:space="0" w:color="auto"/>
        <w:bottom w:val="none" w:sz="0" w:space="0" w:color="auto"/>
        <w:right w:val="none" w:sz="0" w:space="0" w:color="auto"/>
      </w:divBdr>
    </w:div>
    <w:div w:id="1410422618">
      <w:bodyDiv w:val="1"/>
      <w:marLeft w:val="0"/>
      <w:marRight w:val="0"/>
      <w:marTop w:val="0"/>
      <w:marBottom w:val="0"/>
      <w:divBdr>
        <w:top w:val="none" w:sz="0" w:space="0" w:color="auto"/>
        <w:left w:val="none" w:sz="0" w:space="0" w:color="auto"/>
        <w:bottom w:val="none" w:sz="0" w:space="0" w:color="auto"/>
        <w:right w:val="none" w:sz="0" w:space="0" w:color="auto"/>
      </w:divBdr>
      <w:divsChild>
        <w:div w:id="1339237654">
          <w:marLeft w:val="0"/>
          <w:marRight w:val="0"/>
          <w:marTop w:val="0"/>
          <w:marBottom w:val="0"/>
          <w:divBdr>
            <w:top w:val="none" w:sz="0" w:space="0" w:color="auto"/>
            <w:left w:val="none" w:sz="0" w:space="0" w:color="auto"/>
            <w:bottom w:val="none" w:sz="0" w:space="0" w:color="auto"/>
            <w:right w:val="none" w:sz="0" w:space="0" w:color="auto"/>
          </w:divBdr>
          <w:divsChild>
            <w:div w:id="574707230">
              <w:marLeft w:val="0"/>
              <w:marRight w:val="0"/>
              <w:marTop w:val="0"/>
              <w:marBottom w:val="0"/>
              <w:divBdr>
                <w:top w:val="none" w:sz="0" w:space="0" w:color="auto"/>
                <w:left w:val="none" w:sz="0" w:space="0" w:color="auto"/>
                <w:bottom w:val="none" w:sz="0" w:space="0" w:color="auto"/>
                <w:right w:val="none" w:sz="0" w:space="0" w:color="auto"/>
              </w:divBdr>
              <w:divsChild>
                <w:div w:id="115352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19776">
      <w:bodyDiv w:val="1"/>
      <w:marLeft w:val="0"/>
      <w:marRight w:val="0"/>
      <w:marTop w:val="0"/>
      <w:marBottom w:val="0"/>
      <w:divBdr>
        <w:top w:val="none" w:sz="0" w:space="0" w:color="auto"/>
        <w:left w:val="none" w:sz="0" w:space="0" w:color="auto"/>
        <w:bottom w:val="none" w:sz="0" w:space="0" w:color="auto"/>
        <w:right w:val="none" w:sz="0" w:space="0" w:color="auto"/>
      </w:divBdr>
      <w:divsChild>
        <w:div w:id="625739839">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sChild>
                <w:div w:id="200678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07582">
      <w:bodyDiv w:val="1"/>
      <w:marLeft w:val="0"/>
      <w:marRight w:val="0"/>
      <w:marTop w:val="0"/>
      <w:marBottom w:val="0"/>
      <w:divBdr>
        <w:top w:val="none" w:sz="0" w:space="0" w:color="auto"/>
        <w:left w:val="none" w:sz="0" w:space="0" w:color="auto"/>
        <w:bottom w:val="none" w:sz="0" w:space="0" w:color="auto"/>
        <w:right w:val="none" w:sz="0" w:space="0" w:color="auto"/>
      </w:divBdr>
      <w:divsChild>
        <w:div w:id="842430815">
          <w:marLeft w:val="0"/>
          <w:marRight w:val="0"/>
          <w:marTop w:val="0"/>
          <w:marBottom w:val="0"/>
          <w:divBdr>
            <w:top w:val="none" w:sz="0" w:space="0" w:color="auto"/>
            <w:left w:val="none" w:sz="0" w:space="0" w:color="auto"/>
            <w:bottom w:val="none" w:sz="0" w:space="0" w:color="auto"/>
            <w:right w:val="none" w:sz="0" w:space="0" w:color="auto"/>
          </w:divBdr>
          <w:divsChild>
            <w:div w:id="1537543287">
              <w:marLeft w:val="0"/>
              <w:marRight w:val="0"/>
              <w:marTop w:val="0"/>
              <w:marBottom w:val="0"/>
              <w:divBdr>
                <w:top w:val="none" w:sz="0" w:space="0" w:color="auto"/>
                <w:left w:val="none" w:sz="0" w:space="0" w:color="auto"/>
                <w:bottom w:val="none" w:sz="0" w:space="0" w:color="auto"/>
                <w:right w:val="none" w:sz="0" w:space="0" w:color="auto"/>
              </w:divBdr>
              <w:divsChild>
                <w:div w:id="6044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870435">
      <w:bodyDiv w:val="1"/>
      <w:marLeft w:val="0"/>
      <w:marRight w:val="0"/>
      <w:marTop w:val="0"/>
      <w:marBottom w:val="0"/>
      <w:divBdr>
        <w:top w:val="none" w:sz="0" w:space="0" w:color="auto"/>
        <w:left w:val="none" w:sz="0" w:space="0" w:color="auto"/>
        <w:bottom w:val="none" w:sz="0" w:space="0" w:color="auto"/>
        <w:right w:val="none" w:sz="0" w:space="0" w:color="auto"/>
      </w:divBdr>
    </w:div>
    <w:div w:id="1484002027">
      <w:bodyDiv w:val="1"/>
      <w:marLeft w:val="0"/>
      <w:marRight w:val="0"/>
      <w:marTop w:val="0"/>
      <w:marBottom w:val="0"/>
      <w:divBdr>
        <w:top w:val="none" w:sz="0" w:space="0" w:color="auto"/>
        <w:left w:val="none" w:sz="0" w:space="0" w:color="auto"/>
        <w:bottom w:val="none" w:sz="0" w:space="0" w:color="auto"/>
        <w:right w:val="none" w:sz="0" w:space="0" w:color="auto"/>
      </w:divBdr>
    </w:div>
    <w:div w:id="1514149141">
      <w:bodyDiv w:val="1"/>
      <w:marLeft w:val="0"/>
      <w:marRight w:val="0"/>
      <w:marTop w:val="0"/>
      <w:marBottom w:val="0"/>
      <w:divBdr>
        <w:top w:val="none" w:sz="0" w:space="0" w:color="auto"/>
        <w:left w:val="none" w:sz="0" w:space="0" w:color="auto"/>
        <w:bottom w:val="none" w:sz="0" w:space="0" w:color="auto"/>
        <w:right w:val="none" w:sz="0" w:space="0" w:color="auto"/>
      </w:divBdr>
      <w:divsChild>
        <w:div w:id="890002057">
          <w:marLeft w:val="0"/>
          <w:marRight w:val="0"/>
          <w:marTop w:val="0"/>
          <w:marBottom w:val="0"/>
          <w:divBdr>
            <w:top w:val="none" w:sz="0" w:space="0" w:color="auto"/>
            <w:left w:val="none" w:sz="0" w:space="0" w:color="auto"/>
            <w:bottom w:val="none" w:sz="0" w:space="0" w:color="auto"/>
            <w:right w:val="none" w:sz="0" w:space="0" w:color="auto"/>
          </w:divBdr>
          <w:divsChild>
            <w:div w:id="1299652498">
              <w:marLeft w:val="0"/>
              <w:marRight w:val="0"/>
              <w:marTop w:val="0"/>
              <w:marBottom w:val="0"/>
              <w:divBdr>
                <w:top w:val="none" w:sz="0" w:space="0" w:color="auto"/>
                <w:left w:val="none" w:sz="0" w:space="0" w:color="auto"/>
                <w:bottom w:val="none" w:sz="0" w:space="0" w:color="auto"/>
                <w:right w:val="none" w:sz="0" w:space="0" w:color="auto"/>
              </w:divBdr>
              <w:divsChild>
                <w:div w:id="198392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17885">
      <w:bodyDiv w:val="1"/>
      <w:marLeft w:val="0"/>
      <w:marRight w:val="0"/>
      <w:marTop w:val="0"/>
      <w:marBottom w:val="0"/>
      <w:divBdr>
        <w:top w:val="none" w:sz="0" w:space="0" w:color="auto"/>
        <w:left w:val="none" w:sz="0" w:space="0" w:color="auto"/>
        <w:bottom w:val="none" w:sz="0" w:space="0" w:color="auto"/>
        <w:right w:val="none" w:sz="0" w:space="0" w:color="auto"/>
      </w:divBdr>
    </w:div>
    <w:div w:id="1583685190">
      <w:bodyDiv w:val="1"/>
      <w:marLeft w:val="0"/>
      <w:marRight w:val="0"/>
      <w:marTop w:val="0"/>
      <w:marBottom w:val="0"/>
      <w:divBdr>
        <w:top w:val="none" w:sz="0" w:space="0" w:color="auto"/>
        <w:left w:val="none" w:sz="0" w:space="0" w:color="auto"/>
        <w:bottom w:val="none" w:sz="0" w:space="0" w:color="auto"/>
        <w:right w:val="none" w:sz="0" w:space="0" w:color="auto"/>
      </w:divBdr>
      <w:divsChild>
        <w:div w:id="397364532">
          <w:marLeft w:val="0"/>
          <w:marRight w:val="0"/>
          <w:marTop w:val="0"/>
          <w:marBottom w:val="0"/>
          <w:divBdr>
            <w:top w:val="none" w:sz="0" w:space="0" w:color="auto"/>
            <w:left w:val="none" w:sz="0" w:space="0" w:color="auto"/>
            <w:bottom w:val="none" w:sz="0" w:space="0" w:color="auto"/>
            <w:right w:val="none" w:sz="0" w:space="0" w:color="auto"/>
          </w:divBdr>
          <w:divsChild>
            <w:div w:id="210464347">
              <w:marLeft w:val="0"/>
              <w:marRight w:val="0"/>
              <w:marTop w:val="0"/>
              <w:marBottom w:val="0"/>
              <w:divBdr>
                <w:top w:val="none" w:sz="0" w:space="0" w:color="auto"/>
                <w:left w:val="none" w:sz="0" w:space="0" w:color="auto"/>
                <w:bottom w:val="none" w:sz="0" w:space="0" w:color="auto"/>
                <w:right w:val="none" w:sz="0" w:space="0" w:color="auto"/>
              </w:divBdr>
              <w:divsChild>
                <w:div w:id="1978099840">
                  <w:marLeft w:val="0"/>
                  <w:marRight w:val="0"/>
                  <w:marTop w:val="0"/>
                  <w:marBottom w:val="0"/>
                  <w:divBdr>
                    <w:top w:val="none" w:sz="0" w:space="0" w:color="auto"/>
                    <w:left w:val="none" w:sz="0" w:space="0" w:color="auto"/>
                    <w:bottom w:val="none" w:sz="0" w:space="0" w:color="auto"/>
                    <w:right w:val="none" w:sz="0" w:space="0" w:color="auto"/>
                  </w:divBdr>
                </w:div>
              </w:divsChild>
            </w:div>
            <w:div w:id="1897162646">
              <w:marLeft w:val="0"/>
              <w:marRight w:val="0"/>
              <w:marTop w:val="0"/>
              <w:marBottom w:val="0"/>
              <w:divBdr>
                <w:top w:val="none" w:sz="0" w:space="0" w:color="auto"/>
                <w:left w:val="none" w:sz="0" w:space="0" w:color="auto"/>
                <w:bottom w:val="none" w:sz="0" w:space="0" w:color="auto"/>
                <w:right w:val="none" w:sz="0" w:space="0" w:color="auto"/>
              </w:divBdr>
              <w:divsChild>
                <w:div w:id="137149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24507">
      <w:bodyDiv w:val="1"/>
      <w:marLeft w:val="0"/>
      <w:marRight w:val="0"/>
      <w:marTop w:val="0"/>
      <w:marBottom w:val="0"/>
      <w:divBdr>
        <w:top w:val="none" w:sz="0" w:space="0" w:color="auto"/>
        <w:left w:val="none" w:sz="0" w:space="0" w:color="auto"/>
        <w:bottom w:val="none" w:sz="0" w:space="0" w:color="auto"/>
        <w:right w:val="none" w:sz="0" w:space="0" w:color="auto"/>
      </w:divBdr>
      <w:divsChild>
        <w:div w:id="789058370">
          <w:marLeft w:val="0"/>
          <w:marRight w:val="0"/>
          <w:marTop w:val="0"/>
          <w:marBottom w:val="0"/>
          <w:divBdr>
            <w:top w:val="none" w:sz="0" w:space="0" w:color="auto"/>
            <w:left w:val="none" w:sz="0" w:space="0" w:color="auto"/>
            <w:bottom w:val="none" w:sz="0" w:space="0" w:color="auto"/>
            <w:right w:val="none" w:sz="0" w:space="0" w:color="auto"/>
          </w:divBdr>
        </w:div>
      </w:divsChild>
    </w:div>
    <w:div w:id="1617563547">
      <w:bodyDiv w:val="1"/>
      <w:marLeft w:val="0"/>
      <w:marRight w:val="0"/>
      <w:marTop w:val="0"/>
      <w:marBottom w:val="0"/>
      <w:divBdr>
        <w:top w:val="none" w:sz="0" w:space="0" w:color="auto"/>
        <w:left w:val="none" w:sz="0" w:space="0" w:color="auto"/>
        <w:bottom w:val="none" w:sz="0" w:space="0" w:color="auto"/>
        <w:right w:val="none" w:sz="0" w:space="0" w:color="auto"/>
      </w:divBdr>
      <w:divsChild>
        <w:div w:id="1979526433">
          <w:marLeft w:val="0"/>
          <w:marRight w:val="0"/>
          <w:marTop w:val="0"/>
          <w:marBottom w:val="0"/>
          <w:divBdr>
            <w:top w:val="none" w:sz="0" w:space="0" w:color="auto"/>
            <w:left w:val="none" w:sz="0" w:space="0" w:color="auto"/>
            <w:bottom w:val="none" w:sz="0" w:space="0" w:color="auto"/>
            <w:right w:val="none" w:sz="0" w:space="0" w:color="auto"/>
          </w:divBdr>
          <w:divsChild>
            <w:div w:id="304742446">
              <w:marLeft w:val="0"/>
              <w:marRight w:val="0"/>
              <w:marTop w:val="0"/>
              <w:marBottom w:val="0"/>
              <w:divBdr>
                <w:top w:val="none" w:sz="0" w:space="0" w:color="auto"/>
                <w:left w:val="none" w:sz="0" w:space="0" w:color="auto"/>
                <w:bottom w:val="none" w:sz="0" w:space="0" w:color="auto"/>
                <w:right w:val="none" w:sz="0" w:space="0" w:color="auto"/>
              </w:divBdr>
              <w:divsChild>
                <w:div w:id="2314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923222">
      <w:bodyDiv w:val="1"/>
      <w:marLeft w:val="0"/>
      <w:marRight w:val="0"/>
      <w:marTop w:val="0"/>
      <w:marBottom w:val="0"/>
      <w:divBdr>
        <w:top w:val="none" w:sz="0" w:space="0" w:color="auto"/>
        <w:left w:val="none" w:sz="0" w:space="0" w:color="auto"/>
        <w:bottom w:val="none" w:sz="0" w:space="0" w:color="auto"/>
        <w:right w:val="none" w:sz="0" w:space="0" w:color="auto"/>
      </w:divBdr>
      <w:divsChild>
        <w:div w:id="2125035437">
          <w:marLeft w:val="0"/>
          <w:marRight w:val="0"/>
          <w:marTop w:val="0"/>
          <w:marBottom w:val="0"/>
          <w:divBdr>
            <w:top w:val="none" w:sz="0" w:space="0" w:color="auto"/>
            <w:left w:val="none" w:sz="0" w:space="0" w:color="auto"/>
            <w:bottom w:val="none" w:sz="0" w:space="0" w:color="auto"/>
            <w:right w:val="none" w:sz="0" w:space="0" w:color="auto"/>
          </w:divBdr>
          <w:divsChild>
            <w:div w:id="419638328">
              <w:marLeft w:val="0"/>
              <w:marRight w:val="0"/>
              <w:marTop w:val="0"/>
              <w:marBottom w:val="0"/>
              <w:divBdr>
                <w:top w:val="none" w:sz="0" w:space="0" w:color="auto"/>
                <w:left w:val="none" w:sz="0" w:space="0" w:color="auto"/>
                <w:bottom w:val="none" w:sz="0" w:space="0" w:color="auto"/>
                <w:right w:val="none" w:sz="0" w:space="0" w:color="auto"/>
              </w:divBdr>
              <w:divsChild>
                <w:div w:id="151980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665845">
      <w:bodyDiv w:val="1"/>
      <w:marLeft w:val="0"/>
      <w:marRight w:val="0"/>
      <w:marTop w:val="0"/>
      <w:marBottom w:val="0"/>
      <w:divBdr>
        <w:top w:val="none" w:sz="0" w:space="0" w:color="auto"/>
        <w:left w:val="none" w:sz="0" w:space="0" w:color="auto"/>
        <w:bottom w:val="none" w:sz="0" w:space="0" w:color="auto"/>
        <w:right w:val="none" w:sz="0" w:space="0" w:color="auto"/>
      </w:divBdr>
    </w:div>
    <w:div w:id="1770276370">
      <w:bodyDiv w:val="1"/>
      <w:marLeft w:val="0"/>
      <w:marRight w:val="0"/>
      <w:marTop w:val="0"/>
      <w:marBottom w:val="0"/>
      <w:divBdr>
        <w:top w:val="none" w:sz="0" w:space="0" w:color="auto"/>
        <w:left w:val="none" w:sz="0" w:space="0" w:color="auto"/>
        <w:bottom w:val="none" w:sz="0" w:space="0" w:color="auto"/>
        <w:right w:val="none" w:sz="0" w:space="0" w:color="auto"/>
      </w:divBdr>
      <w:divsChild>
        <w:div w:id="1085766727">
          <w:marLeft w:val="0"/>
          <w:marRight w:val="0"/>
          <w:marTop w:val="0"/>
          <w:marBottom w:val="0"/>
          <w:divBdr>
            <w:top w:val="none" w:sz="0" w:space="0" w:color="auto"/>
            <w:left w:val="none" w:sz="0" w:space="0" w:color="auto"/>
            <w:bottom w:val="none" w:sz="0" w:space="0" w:color="auto"/>
            <w:right w:val="none" w:sz="0" w:space="0" w:color="auto"/>
          </w:divBdr>
          <w:divsChild>
            <w:div w:id="601189158">
              <w:marLeft w:val="0"/>
              <w:marRight w:val="0"/>
              <w:marTop w:val="0"/>
              <w:marBottom w:val="0"/>
              <w:divBdr>
                <w:top w:val="none" w:sz="0" w:space="0" w:color="auto"/>
                <w:left w:val="none" w:sz="0" w:space="0" w:color="auto"/>
                <w:bottom w:val="none" w:sz="0" w:space="0" w:color="auto"/>
                <w:right w:val="none" w:sz="0" w:space="0" w:color="auto"/>
              </w:divBdr>
              <w:divsChild>
                <w:div w:id="3504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113">
      <w:bodyDiv w:val="1"/>
      <w:marLeft w:val="0"/>
      <w:marRight w:val="0"/>
      <w:marTop w:val="0"/>
      <w:marBottom w:val="0"/>
      <w:divBdr>
        <w:top w:val="none" w:sz="0" w:space="0" w:color="auto"/>
        <w:left w:val="none" w:sz="0" w:space="0" w:color="auto"/>
        <w:bottom w:val="none" w:sz="0" w:space="0" w:color="auto"/>
        <w:right w:val="none" w:sz="0" w:space="0" w:color="auto"/>
      </w:divBdr>
    </w:div>
    <w:div w:id="1816557841">
      <w:bodyDiv w:val="1"/>
      <w:marLeft w:val="0"/>
      <w:marRight w:val="0"/>
      <w:marTop w:val="0"/>
      <w:marBottom w:val="0"/>
      <w:divBdr>
        <w:top w:val="none" w:sz="0" w:space="0" w:color="auto"/>
        <w:left w:val="none" w:sz="0" w:space="0" w:color="auto"/>
        <w:bottom w:val="none" w:sz="0" w:space="0" w:color="auto"/>
        <w:right w:val="none" w:sz="0" w:space="0" w:color="auto"/>
      </w:divBdr>
    </w:div>
    <w:div w:id="1840196841">
      <w:bodyDiv w:val="1"/>
      <w:marLeft w:val="0"/>
      <w:marRight w:val="0"/>
      <w:marTop w:val="0"/>
      <w:marBottom w:val="0"/>
      <w:divBdr>
        <w:top w:val="none" w:sz="0" w:space="0" w:color="auto"/>
        <w:left w:val="none" w:sz="0" w:space="0" w:color="auto"/>
        <w:bottom w:val="none" w:sz="0" w:space="0" w:color="auto"/>
        <w:right w:val="none" w:sz="0" w:space="0" w:color="auto"/>
      </w:divBdr>
    </w:div>
    <w:div w:id="1921213065">
      <w:bodyDiv w:val="1"/>
      <w:marLeft w:val="0"/>
      <w:marRight w:val="0"/>
      <w:marTop w:val="0"/>
      <w:marBottom w:val="0"/>
      <w:divBdr>
        <w:top w:val="none" w:sz="0" w:space="0" w:color="auto"/>
        <w:left w:val="none" w:sz="0" w:space="0" w:color="auto"/>
        <w:bottom w:val="none" w:sz="0" w:space="0" w:color="auto"/>
        <w:right w:val="none" w:sz="0" w:space="0" w:color="auto"/>
      </w:divBdr>
    </w:div>
    <w:div w:id="1948999507">
      <w:bodyDiv w:val="1"/>
      <w:marLeft w:val="0"/>
      <w:marRight w:val="0"/>
      <w:marTop w:val="0"/>
      <w:marBottom w:val="0"/>
      <w:divBdr>
        <w:top w:val="none" w:sz="0" w:space="0" w:color="auto"/>
        <w:left w:val="none" w:sz="0" w:space="0" w:color="auto"/>
        <w:bottom w:val="none" w:sz="0" w:space="0" w:color="auto"/>
        <w:right w:val="none" w:sz="0" w:space="0" w:color="auto"/>
      </w:divBdr>
      <w:divsChild>
        <w:div w:id="127478436">
          <w:marLeft w:val="0"/>
          <w:marRight w:val="0"/>
          <w:marTop w:val="0"/>
          <w:marBottom w:val="0"/>
          <w:divBdr>
            <w:top w:val="none" w:sz="0" w:space="0" w:color="auto"/>
            <w:left w:val="none" w:sz="0" w:space="0" w:color="auto"/>
            <w:bottom w:val="none" w:sz="0" w:space="0" w:color="auto"/>
            <w:right w:val="none" w:sz="0" w:space="0" w:color="auto"/>
          </w:divBdr>
          <w:divsChild>
            <w:div w:id="498934206">
              <w:marLeft w:val="0"/>
              <w:marRight w:val="0"/>
              <w:marTop w:val="0"/>
              <w:marBottom w:val="0"/>
              <w:divBdr>
                <w:top w:val="none" w:sz="0" w:space="0" w:color="auto"/>
                <w:left w:val="none" w:sz="0" w:space="0" w:color="auto"/>
                <w:bottom w:val="none" w:sz="0" w:space="0" w:color="auto"/>
                <w:right w:val="none" w:sz="0" w:space="0" w:color="auto"/>
              </w:divBdr>
              <w:divsChild>
                <w:div w:id="96778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196973">
      <w:bodyDiv w:val="1"/>
      <w:marLeft w:val="0"/>
      <w:marRight w:val="0"/>
      <w:marTop w:val="0"/>
      <w:marBottom w:val="0"/>
      <w:divBdr>
        <w:top w:val="none" w:sz="0" w:space="0" w:color="auto"/>
        <w:left w:val="none" w:sz="0" w:space="0" w:color="auto"/>
        <w:bottom w:val="none" w:sz="0" w:space="0" w:color="auto"/>
        <w:right w:val="none" w:sz="0" w:space="0" w:color="auto"/>
      </w:divBdr>
    </w:div>
    <w:div w:id="1977566497">
      <w:bodyDiv w:val="1"/>
      <w:marLeft w:val="0"/>
      <w:marRight w:val="0"/>
      <w:marTop w:val="0"/>
      <w:marBottom w:val="0"/>
      <w:divBdr>
        <w:top w:val="none" w:sz="0" w:space="0" w:color="auto"/>
        <w:left w:val="none" w:sz="0" w:space="0" w:color="auto"/>
        <w:bottom w:val="none" w:sz="0" w:space="0" w:color="auto"/>
        <w:right w:val="none" w:sz="0" w:space="0" w:color="auto"/>
      </w:divBdr>
      <w:divsChild>
        <w:div w:id="1565487502">
          <w:marLeft w:val="0"/>
          <w:marRight w:val="0"/>
          <w:marTop w:val="0"/>
          <w:marBottom w:val="0"/>
          <w:divBdr>
            <w:top w:val="none" w:sz="0" w:space="0" w:color="auto"/>
            <w:left w:val="none" w:sz="0" w:space="0" w:color="auto"/>
            <w:bottom w:val="none" w:sz="0" w:space="0" w:color="auto"/>
            <w:right w:val="none" w:sz="0" w:space="0" w:color="auto"/>
          </w:divBdr>
          <w:divsChild>
            <w:div w:id="1632596332">
              <w:marLeft w:val="0"/>
              <w:marRight w:val="0"/>
              <w:marTop w:val="0"/>
              <w:marBottom w:val="0"/>
              <w:divBdr>
                <w:top w:val="none" w:sz="0" w:space="0" w:color="auto"/>
                <w:left w:val="none" w:sz="0" w:space="0" w:color="auto"/>
                <w:bottom w:val="none" w:sz="0" w:space="0" w:color="auto"/>
                <w:right w:val="none" w:sz="0" w:space="0" w:color="auto"/>
              </w:divBdr>
              <w:divsChild>
                <w:div w:id="10979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730951">
      <w:bodyDiv w:val="1"/>
      <w:marLeft w:val="0"/>
      <w:marRight w:val="0"/>
      <w:marTop w:val="0"/>
      <w:marBottom w:val="0"/>
      <w:divBdr>
        <w:top w:val="none" w:sz="0" w:space="0" w:color="auto"/>
        <w:left w:val="none" w:sz="0" w:space="0" w:color="auto"/>
        <w:bottom w:val="none" w:sz="0" w:space="0" w:color="auto"/>
        <w:right w:val="none" w:sz="0" w:space="0" w:color="auto"/>
      </w:divBdr>
    </w:div>
    <w:div w:id="2009866940">
      <w:bodyDiv w:val="1"/>
      <w:marLeft w:val="0"/>
      <w:marRight w:val="0"/>
      <w:marTop w:val="0"/>
      <w:marBottom w:val="0"/>
      <w:divBdr>
        <w:top w:val="none" w:sz="0" w:space="0" w:color="auto"/>
        <w:left w:val="none" w:sz="0" w:space="0" w:color="auto"/>
        <w:bottom w:val="none" w:sz="0" w:space="0" w:color="auto"/>
        <w:right w:val="none" w:sz="0" w:space="0" w:color="auto"/>
      </w:divBdr>
      <w:divsChild>
        <w:div w:id="265230998">
          <w:marLeft w:val="0"/>
          <w:marRight w:val="0"/>
          <w:marTop w:val="0"/>
          <w:marBottom w:val="0"/>
          <w:divBdr>
            <w:top w:val="none" w:sz="0" w:space="0" w:color="auto"/>
            <w:left w:val="none" w:sz="0" w:space="0" w:color="auto"/>
            <w:bottom w:val="none" w:sz="0" w:space="0" w:color="auto"/>
            <w:right w:val="none" w:sz="0" w:space="0" w:color="auto"/>
          </w:divBdr>
        </w:div>
      </w:divsChild>
    </w:div>
    <w:div w:id="2022929243">
      <w:bodyDiv w:val="1"/>
      <w:marLeft w:val="0"/>
      <w:marRight w:val="0"/>
      <w:marTop w:val="0"/>
      <w:marBottom w:val="0"/>
      <w:divBdr>
        <w:top w:val="none" w:sz="0" w:space="0" w:color="auto"/>
        <w:left w:val="none" w:sz="0" w:space="0" w:color="auto"/>
        <w:bottom w:val="none" w:sz="0" w:space="0" w:color="auto"/>
        <w:right w:val="none" w:sz="0" w:space="0" w:color="auto"/>
      </w:divBdr>
    </w:div>
    <w:div w:id="2025472710">
      <w:bodyDiv w:val="1"/>
      <w:marLeft w:val="0"/>
      <w:marRight w:val="0"/>
      <w:marTop w:val="0"/>
      <w:marBottom w:val="0"/>
      <w:divBdr>
        <w:top w:val="none" w:sz="0" w:space="0" w:color="auto"/>
        <w:left w:val="none" w:sz="0" w:space="0" w:color="auto"/>
        <w:bottom w:val="none" w:sz="0" w:space="0" w:color="auto"/>
        <w:right w:val="none" w:sz="0" w:space="0" w:color="auto"/>
      </w:divBdr>
    </w:div>
    <w:div w:id="20259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8A7F2-2EC0-4642-B315-344E261CD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8002</Words>
  <Characters>44011</Characters>
  <Application>Microsoft Office Word</Application>
  <DocSecurity>0</DocSecurity>
  <Lines>366</Lines>
  <Paragraphs>103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cp:lastPrinted>2021-04-15T21:33:00Z</cp:lastPrinted>
  <dcterms:created xsi:type="dcterms:W3CDTF">2021-04-16T19:40:00Z</dcterms:created>
  <dcterms:modified xsi:type="dcterms:W3CDTF">2021-04-16T19:40:00Z</dcterms:modified>
</cp:coreProperties>
</file>