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B00D" w14:textId="17554CF1" w:rsidR="00290A20" w:rsidRPr="00F7096F" w:rsidRDefault="00290A20" w:rsidP="00F7096F">
      <w:pPr>
        <w:spacing w:before="120"/>
        <w:ind w:right="49"/>
        <w:jc w:val="center"/>
        <w:rPr>
          <w:rFonts w:cs="Verdana Bold"/>
          <w:b/>
          <w:bCs/>
          <w:caps/>
          <w:szCs w:val="20"/>
        </w:rPr>
      </w:pPr>
      <w:bookmarkStart w:id="0" w:name="_Hlk56083863"/>
      <w:bookmarkStart w:id="1" w:name="_Hlk50038511"/>
      <w:r w:rsidRPr="00F7096F">
        <w:rPr>
          <w:rFonts w:cs="Verdana Bold"/>
          <w:b/>
          <w:bCs/>
          <w:caps/>
          <w:szCs w:val="20"/>
        </w:rPr>
        <w:t>Resolución de lA</w:t>
      </w:r>
    </w:p>
    <w:p w14:paraId="726FA6FB" w14:textId="0305924C" w:rsidR="00290A20" w:rsidRPr="00F7096F" w:rsidRDefault="00290A20" w:rsidP="00F7096F">
      <w:pPr>
        <w:spacing w:before="120"/>
        <w:ind w:right="-316"/>
        <w:jc w:val="center"/>
        <w:rPr>
          <w:rFonts w:cs="Verdana Bold"/>
          <w:b/>
          <w:bCs/>
          <w:caps/>
          <w:szCs w:val="20"/>
        </w:rPr>
      </w:pPr>
      <w:r w:rsidRPr="00F7096F">
        <w:rPr>
          <w:rFonts w:cs="Verdana Bold"/>
          <w:b/>
          <w:bCs/>
          <w:caps/>
          <w:szCs w:val="20"/>
        </w:rPr>
        <w:t>Corte Interamericana de Derechos Humanos</w:t>
      </w:r>
      <w:r w:rsidR="008E2FAB">
        <w:rPr>
          <w:rStyle w:val="Refdenotaalpie"/>
          <w:rFonts w:cs="Verdana Bold"/>
          <w:b/>
          <w:bCs/>
          <w:caps/>
          <w:szCs w:val="20"/>
        </w:rPr>
        <w:footnoteReference w:id="2"/>
      </w:r>
    </w:p>
    <w:p w14:paraId="4065D73B" w14:textId="77777777" w:rsidR="00290A20" w:rsidRPr="00F7096F" w:rsidRDefault="00290A20" w:rsidP="00F7096F">
      <w:pPr>
        <w:spacing w:before="120"/>
        <w:ind w:right="-316"/>
        <w:rPr>
          <w:rFonts w:cs="Verdana Bold"/>
          <w:b/>
          <w:bCs/>
          <w:caps/>
          <w:szCs w:val="20"/>
        </w:rPr>
      </w:pPr>
    </w:p>
    <w:p w14:paraId="1DFEC994" w14:textId="121870D5" w:rsidR="00290A20" w:rsidRPr="00F7096F" w:rsidRDefault="00290A20" w:rsidP="00F7096F">
      <w:pPr>
        <w:spacing w:before="120"/>
        <w:ind w:right="49"/>
        <w:jc w:val="center"/>
        <w:rPr>
          <w:rFonts w:cs="Verdana Bold"/>
          <w:b/>
          <w:bCs/>
          <w:caps/>
          <w:szCs w:val="20"/>
        </w:rPr>
      </w:pPr>
      <w:r w:rsidRPr="00F7096F">
        <w:rPr>
          <w:rFonts w:cs="Verdana Bold"/>
          <w:b/>
          <w:bCs/>
          <w:caps/>
          <w:szCs w:val="20"/>
        </w:rPr>
        <w:t xml:space="preserve">dE </w:t>
      </w:r>
      <w:r w:rsidR="007C5E97">
        <w:rPr>
          <w:rFonts w:cs="Verdana Bold"/>
          <w:b/>
          <w:bCs/>
          <w:caps/>
          <w:szCs w:val="20"/>
        </w:rPr>
        <w:t>24</w:t>
      </w:r>
      <w:r w:rsidRPr="00F7096F">
        <w:rPr>
          <w:rFonts w:cs="Verdana Bold"/>
          <w:b/>
          <w:bCs/>
          <w:caps/>
          <w:szCs w:val="20"/>
        </w:rPr>
        <w:t xml:space="preserve"> DE </w:t>
      </w:r>
      <w:r w:rsidR="00AF57B0" w:rsidRPr="00F7096F">
        <w:rPr>
          <w:rFonts w:cs="Verdana Bold"/>
          <w:b/>
          <w:bCs/>
          <w:caps/>
          <w:szCs w:val="20"/>
        </w:rPr>
        <w:t>MARZO</w:t>
      </w:r>
      <w:r w:rsidRPr="00F7096F">
        <w:rPr>
          <w:rFonts w:cs="Verdana Bold"/>
          <w:b/>
          <w:bCs/>
          <w:caps/>
          <w:szCs w:val="20"/>
        </w:rPr>
        <w:t xml:space="preserve"> de </w:t>
      </w:r>
      <w:r w:rsidR="005A2461" w:rsidRPr="00F7096F">
        <w:rPr>
          <w:rFonts w:cs="Verdana Bold"/>
          <w:b/>
          <w:bCs/>
          <w:caps/>
          <w:szCs w:val="20"/>
        </w:rPr>
        <w:t>202</w:t>
      </w:r>
      <w:r w:rsidR="00AF57B0" w:rsidRPr="00F7096F">
        <w:rPr>
          <w:rFonts w:cs="Verdana Bold"/>
          <w:b/>
          <w:bCs/>
          <w:caps/>
          <w:szCs w:val="20"/>
        </w:rPr>
        <w:t>1</w:t>
      </w:r>
    </w:p>
    <w:p w14:paraId="5287EFC2" w14:textId="77777777" w:rsidR="00290A20" w:rsidRPr="00F7096F" w:rsidRDefault="00290A20" w:rsidP="00F7096F">
      <w:pPr>
        <w:spacing w:before="120"/>
        <w:ind w:right="-316"/>
        <w:rPr>
          <w:rFonts w:cs="Verdana Bold"/>
          <w:b/>
          <w:bCs/>
          <w:caps/>
          <w:szCs w:val="20"/>
        </w:rPr>
      </w:pPr>
    </w:p>
    <w:p w14:paraId="4405B9C5" w14:textId="550344C2" w:rsidR="00290A20" w:rsidRPr="00F7096F" w:rsidRDefault="00290A20" w:rsidP="00F7096F">
      <w:pPr>
        <w:spacing w:before="120"/>
        <w:ind w:right="49"/>
        <w:jc w:val="center"/>
        <w:rPr>
          <w:rFonts w:cs="Verdana Bold"/>
          <w:b/>
          <w:bCs/>
          <w:caps/>
          <w:szCs w:val="20"/>
        </w:rPr>
      </w:pPr>
      <w:r w:rsidRPr="00F7096F">
        <w:rPr>
          <w:rFonts w:cs="Verdana Bold"/>
          <w:b/>
          <w:bCs/>
          <w:caps/>
          <w:szCs w:val="20"/>
        </w:rPr>
        <w:t xml:space="preserve">CASO </w:t>
      </w:r>
      <w:r w:rsidR="00AF57B0" w:rsidRPr="00F7096F">
        <w:rPr>
          <w:rFonts w:cs="Verdana Bold"/>
          <w:b/>
          <w:bCs/>
          <w:caps/>
          <w:szCs w:val="20"/>
        </w:rPr>
        <w:t>bedoya lima y otra</w:t>
      </w:r>
      <w:r w:rsidRPr="00F7096F">
        <w:rPr>
          <w:rFonts w:cs="Verdana Bold"/>
          <w:b/>
          <w:bCs/>
          <w:caps/>
          <w:szCs w:val="20"/>
        </w:rPr>
        <w:t xml:space="preserve"> Vs. </w:t>
      </w:r>
      <w:r w:rsidR="00AF57B0" w:rsidRPr="00F7096F">
        <w:rPr>
          <w:rFonts w:cs="Verdana Bold"/>
          <w:b/>
          <w:bCs/>
          <w:caps/>
          <w:szCs w:val="20"/>
        </w:rPr>
        <w:t>colombia</w:t>
      </w:r>
      <w:r w:rsidR="00D75593">
        <w:rPr>
          <w:rStyle w:val="Refdenotaalpie"/>
          <w:rFonts w:cs="Verdana Bold"/>
          <w:b/>
          <w:bCs/>
          <w:caps/>
          <w:szCs w:val="20"/>
        </w:rPr>
        <w:footnoteReference w:customMarkFollows="1" w:id="3"/>
        <w:t>**</w:t>
      </w:r>
    </w:p>
    <w:p w14:paraId="2AB4A1AB" w14:textId="690E9B8C" w:rsidR="00290A20" w:rsidRPr="00F7096F" w:rsidRDefault="00A5647B" w:rsidP="00F7096F">
      <w:pPr>
        <w:spacing w:before="120"/>
        <w:ind w:right="49"/>
        <w:jc w:val="center"/>
        <w:rPr>
          <w:b/>
          <w:caps/>
          <w:szCs w:val="20"/>
        </w:rPr>
      </w:pPr>
      <w:r w:rsidRPr="00F7096F">
        <w:rPr>
          <w:b/>
          <w:caps/>
          <w:szCs w:val="20"/>
        </w:rPr>
        <w:t xml:space="preserve">ADOPCIÓN DE </w:t>
      </w:r>
      <w:r w:rsidR="0003477E" w:rsidRPr="00F7096F">
        <w:rPr>
          <w:b/>
          <w:caps/>
          <w:szCs w:val="20"/>
        </w:rPr>
        <w:t>medidas provisionales</w:t>
      </w:r>
    </w:p>
    <w:p w14:paraId="27DF17B4" w14:textId="63B2ADA3" w:rsidR="00F00EE7" w:rsidRPr="00F7096F" w:rsidRDefault="00F00EE7" w:rsidP="00F7096F">
      <w:pPr>
        <w:spacing w:before="120"/>
        <w:rPr>
          <w:szCs w:val="20"/>
        </w:rPr>
      </w:pPr>
    </w:p>
    <w:p w14:paraId="4B5EC4F7" w14:textId="77777777" w:rsidR="00D75593" w:rsidRDefault="00D75593" w:rsidP="00F7096F">
      <w:pPr>
        <w:autoSpaceDE w:val="0"/>
        <w:autoSpaceDN w:val="0"/>
        <w:adjustRightInd w:val="0"/>
        <w:spacing w:before="360" w:after="360"/>
        <w:jc w:val="left"/>
        <w:rPr>
          <w:rFonts w:eastAsia="Times New Roman" w:cs="Verdana"/>
          <w:b/>
          <w:bCs/>
          <w:szCs w:val="20"/>
          <w:lang w:eastAsia="en-US"/>
        </w:rPr>
        <w:sectPr w:rsidR="00D75593" w:rsidSect="004C3DB3">
          <w:footerReference w:type="default" r:id="rId8"/>
          <w:footnotePr>
            <w:numFmt w:val="chicago"/>
          </w:footnotePr>
          <w:pgSz w:w="12240" w:h="15840"/>
          <w:pgMar w:top="1440" w:right="1440" w:bottom="1440" w:left="1440" w:header="720" w:footer="720" w:gutter="0"/>
          <w:cols w:space="720"/>
          <w:titlePg/>
          <w:docGrid w:linePitch="360"/>
        </w:sectPr>
      </w:pPr>
    </w:p>
    <w:p w14:paraId="68413589" w14:textId="70C186D6" w:rsidR="005A2461" w:rsidRPr="00F7096F" w:rsidRDefault="005A2461" w:rsidP="00F7096F">
      <w:pPr>
        <w:autoSpaceDE w:val="0"/>
        <w:autoSpaceDN w:val="0"/>
        <w:adjustRightInd w:val="0"/>
        <w:spacing w:before="360" w:after="360"/>
        <w:jc w:val="left"/>
        <w:rPr>
          <w:rFonts w:cs="Verdana"/>
          <w:b/>
          <w:bCs/>
          <w:caps/>
          <w:szCs w:val="20"/>
        </w:rPr>
      </w:pPr>
      <w:r w:rsidRPr="00F7096F">
        <w:rPr>
          <w:rFonts w:eastAsia="Times New Roman" w:cs="Verdana"/>
          <w:b/>
          <w:bCs/>
          <w:szCs w:val="20"/>
          <w:lang w:eastAsia="en-US"/>
        </w:rPr>
        <w:t>VISTO</w:t>
      </w:r>
      <w:r w:rsidRPr="00F7096F">
        <w:rPr>
          <w:rFonts w:cs="Verdana"/>
          <w:b/>
          <w:bCs/>
          <w:caps/>
          <w:szCs w:val="20"/>
        </w:rPr>
        <w:t>:</w:t>
      </w:r>
    </w:p>
    <w:p w14:paraId="334F2E09" w14:textId="1234F2ED" w:rsidR="00C442D8" w:rsidRPr="007C5E97" w:rsidRDefault="005A2461" w:rsidP="00F7096F">
      <w:pPr>
        <w:pStyle w:val="Prrafodelista"/>
        <w:numPr>
          <w:ilvl w:val="0"/>
          <w:numId w:val="12"/>
        </w:numPr>
        <w:spacing w:before="120"/>
        <w:ind w:left="0" w:firstLine="0"/>
        <w:contextualSpacing w:val="0"/>
        <w:rPr>
          <w:szCs w:val="20"/>
        </w:rPr>
      </w:pPr>
      <w:bookmarkStart w:id="2" w:name="_Ref393297742"/>
      <w:bookmarkStart w:id="3" w:name="_Ref352676460"/>
      <w:r w:rsidRPr="007C5E97">
        <w:rPr>
          <w:szCs w:val="20"/>
        </w:rPr>
        <w:t>El escrito de sometimiento del caso y el Informe de Fondo de la Comisión Interamericana de Derechos Humanos (en adelante “la Comisión Interamericana” o “la Comisión”)</w:t>
      </w:r>
      <w:bookmarkEnd w:id="2"/>
      <w:r w:rsidRPr="007C5E97">
        <w:rPr>
          <w:szCs w:val="20"/>
        </w:rPr>
        <w:t xml:space="preserve">; </w:t>
      </w:r>
      <w:bookmarkStart w:id="4" w:name="_Ref393297751"/>
      <w:bookmarkStart w:id="5" w:name="_Ref351983508"/>
      <w:bookmarkEnd w:id="3"/>
      <w:r w:rsidRPr="007C5E97">
        <w:rPr>
          <w:szCs w:val="20"/>
        </w:rPr>
        <w:t xml:space="preserve">el escrito de solicitudes, argumentos y pruebas (en adelante el “escrito de solicitudes y argumentos”) </w:t>
      </w:r>
      <w:r w:rsidRPr="007C5E97">
        <w:rPr>
          <w:szCs w:val="20"/>
          <w:lang w:eastAsia="en-US"/>
        </w:rPr>
        <w:t>de l</w:t>
      </w:r>
      <w:r w:rsidR="00FC2FA3" w:rsidRPr="007C5E97">
        <w:rPr>
          <w:szCs w:val="20"/>
          <w:lang w:eastAsia="en-US"/>
        </w:rPr>
        <w:t>a</w:t>
      </w:r>
      <w:r w:rsidRPr="007C5E97">
        <w:rPr>
          <w:szCs w:val="20"/>
          <w:lang w:eastAsia="en-US"/>
        </w:rPr>
        <w:t>s representantes</w:t>
      </w:r>
      <w:r w:rsidRPr="007C5E97">
        <w:rPr>
          <w:rStyle w:val="Refdenotaalpie"/>
          <w:szCs w:val="20"/>
          <w:lang w:eastAsia="en-US"/>
        </w:rPr>
        <w:t xml:space="preserve"> </w:t>
      </w:r>
      <w:r w:rsidRPr="007C5E97">
        <w:rPr>
          <w:szCs w:val="20"/>
          <w:lang w:eastAsia="en-US"/>
        </w:rPr>
        <w:t>de las presuntas víctimas</w:t>
      </w:r>
      <w:r w:rsidRPr="007C5E97">
        <w:rPr>
          <w:szCs w:val="20"/>
        </w:rPr>
        <w:t xml:space="preserve"> (en adelante “l</w:t>
      </w:r>
      <w:r w:rsidR="00FC2FA3" w:rsidRPr="007C5E97">
        <w:rPr>
          <w:szCs w:val="20"/>
        </w:rPr>
        <w:t>a</w:t>
      </w:r>
      <w:r w:rsidRPr="007C5E97">
        <w:rPr>
          <w:szCs w:val="20"/>
        </w:rPr>
        <w:t xml:space="preserve">s representantes”), y </w:t>
      </w:r>
      <w:bookmarkEnd w:id="4"/>
      <w:bookmarkEnd w:id="5"/>
      <w:r w:rsidRPr="007C5E97">
        <w:rPr>
          <w:szCs w:val="20"/>
        </w:rPr>
        <w:t xml:space="preserve">el escrito de contestación al sometimiento del caso y al escrito de solicitudes y argumentos (en adelante “escrito de contestación”) del Estado </w:t>
      </w:r>
      <w:r w:rsidR="00EE42CC" w:rsidRPr="007C5E97">
        <w:rPr>
          <w:szCs w:val="20"/>
        </w:rPr>
        <w:t xml:space="preserve">de </w:t>
      </w:r>
      <w:r w:rsidR="00C61546" w:rsidRPr="007C5E97">
        <w:rPr>
          <w:szCs w:val="20"/>
        </w:rPr>
        <w:t>Colombia</w:t>
      </w:r>
      <w:r w:rsidR="00EE42CC" w:rsidRPr="007C5E97">
        <w:rPr>
          <w:szCs w:val="20"/>
        </w:rPr>
        <w:t xml:space="preserve"> (en adelante “</w:t>
      </w:r>
      <w:r w:rsidR="007C5E97" w:rsidRPr="007C5E97">
        <w:rPr>
          <w:szCs w:val="20"/>
        </w:rPr>
        <w:t>Colombia</w:t>
      </w:r>
      <w:r w:rsidR="00EE42CC" w:rsidRPr="007C5E97">
        <w:rPr>
          <w:szCs w:val="20"/>
        </w:rPr>
        <w:t>” o “el Estado”</w:t>
      </w:r>
      <w:r w:rsidR="00D70C65" w:rsidRPr="007C5E97">
        <w:rPr>
          <w:szCs w:val="20"/>
        </w:rPr>
        <w:t>)</w:t>
      </w:r>
      <w:r w:rsidR="00EE42CC" w:rsidRPr="007C5E97">
        <w:rPr>
          <w:szCs w:val="20"/>
        </w:rPr>
        <w:t>.</w:t>
      </w:r>
    </w:p>
    <w:p w14:paraId="22D7DE93" w14:textId="5688ABC5" w:rsidR="0003477E" w:rsidRPr="00F7096F" w:rsidRDefault="0003477E" w:rsidP="002F1732">
      <w:pPr>
        <w:pStyle w:val="Prrafodelista"/>
        <w:numPr>
          <w:ilvl w:val="0"/>
          <w:numId w:val="12"/>
        </w:numPr>
        <w:spacing w:before="120"/>
        <w:ind w:left="0" w:firstLine="0"/>
        <w:contextualSpacing w:val="0"/>
        <w:rPr>
          <w:szCs w:val="20"/>
        </w:rPr>
      </w:pPr>
      <w:r w:rsidRPr="00F7096F">
        <w:rPr>
          <w:szCs w:val="20"/>
        </w:rPr>
        <w:t xml:space="preserve">La Resolución de la Presidenta de la Corte Interamericana de Derechos Humanos </w:t>
      </w:r>
      <w:r w:rsidR="002F1732" w:rsidRPr="002F1732">
        <w:rPr>
          <w:szCs w:val="20"/>
        </w:rPr>
        <w:t>(en adelante, “Corte Interamericana”</w:t>
      </w:r>
      <w:r w:rsidR="002F1732">
        <w:rPr>
          <w:szCs w:val="20"/>
        </w:rPr>
        <w:t>, “Corte” o “Tribunal”</w:t>
      </w:r>
      <w:r w:rsidR="002F1732" w:rsidRPr="002F1732">
        <w:rPr>
          <w:szCs w:val="20"/>
        </w:rPr>
        <w:t xml:space="preserve">) </w:t>
      </w:r>
      <w:r w:rsidRPr="00F7096F">
        <w:rPr>
          <w:szCs w:val="20"/>
        </w:rPr>
        <w:t xml:space="preserve">de </w:t>
      </w:r>
      <w:r w:rsidR="00AD32A6" w:rsidRPr="00F7096F">
        <w:rPr>
          <w:szCs w:val="20"/>
        </w:rPr>
        <w:t>12</w:t>
      </w:r>
      <w:r w:rsidRPr="00F7096F">
        <w:rPr>
          <w:szCs w:val="20"/>
        </w:rPr>
        <w:t xml:space="preserve"> de</w:t>
      </w:r>
      <w:r w:rsidR="00AF57B0" w:rsidRPr="00F7096F">
        <w:rPr>
          <w:szCs w:val="20"/>
        </w:rPr>
        <w:t xml:space="preserve"> febrero</w:t>
      </w:r>
      <w:r w:rsidRPr="00F7096F">
        <w:rPr>
          <w:szCs w:val="20"/>
        </w:rPr>
        <w:t xml:space="preserve"> de 202</w:t>
      </w:r>
      <w:r w:rsidR="00AF57B0" w:rsidRPr="00F7096F">
        <w:rPr>
          <w:szCs w:val="20"/>
        </w:rPr>
        <w:t>1</w:t>
      </w:r>
      <w:r w:rsidR="00A5647B" w:rsidRPr="00F7096F">
        <w:rPr>
          <w:szCs w:val="20"/>
        </w:rPr>
        <w:t>,</w:t>
      </w:r>
      <w:r w:rsidRPr="00F7096F">
        <w:rPr>
          <w:szCs w:val="20"/>
        </w:rPr>
        <w:t xml:space="preserve"> mediante la cual convocó a las partes y a la Comisión a una audiencia pública sobre el fondo, y las eventuales reparaciones y costas en el presente caso</w:t>
      </w:r>
      <w:r w:rsidR="00E37F21" w:rsidRPr="00F7096F">
        <w:rPr>
          <w:szCs w:val="20"/>
        </w:rPr>
        <w:t>.</w:t>
      </w:r>
    </w:p>
    <w:p w14:paraId="12BA6B57" w14:textId="374DA465" w:rsidR="00AD32A6" w:rsidRPr="00F7096F" w:rsidRDefault="00AD32A6" w:rsidP="00F7096F">
      <w:pPr>
        <w:pStyle w:val="Prrafodelista"/>
        <w:numPr>
          <w:ilvl w:val="0"/>
          <w:numId w:val="12"/>
        </w:numPr>
        <w:spacing w:before="120"/>
        <w:ind w:left="0" w:firstLine="0"/>
        <w:contextualSpacing w:val="0"/>
        <w:rPr>
          <w:szCs w:val="20"/>
        </w:rPr>
      </w:pPr>
      <w:r w:rsidRPr="00F7096F">
        <w:rPr>
          <w:szCs w:val="20"/>
        </w:rPr>
        <w:t xml:space="preserve">La Resolución de la Presidenta de la Corte Interamericana de 18 de marzo de 2021, mediante la cual acordó reanudar la audiencia </w:t>
      </w:r>
      <w:r w:rsidR="00D15F33" w:rsidRPr="00F7096F">
        <w:rPr>
          <w:szCs w:val="20"/>
        </w:rPr>
        <w:t xml:space="preserve">pública </w:t>
      </w:r>
      <w:r w:rsidRPr="00F7096F">
        <w:rPr>
          <w:szCs w:val="20"/>
        </w:rPr>
        <w:t>sobre el fondo, y las eventuales reparaciones y costas en el presente caso.</w:t>
      </w:r>
    </w:p>
    <w:p w14:paraId="641E98CB" w14:textId="1FC35F9F" w:rsidR="00634275" w:rsidRPr="00F7096F" w:rsidRDefault="00634275" w:rsidP="00F7096F">
      <w:pPr>
        <w:pStyle w:val="Prrafodelista"/>
        <w:numPr>
          <w:ilvl w:val="0"/>
          <w:numId w:val="12"/>
        </w:numPr>
        <w:spacing w:before="120"/>
        <w:ind w:left="0" w:firstLine="0"/>
        <w:contextualSpacing w:val="0"/>
        <w:rPr>
          <w:szCs w:val="20"/>
        </w:rPr>
      </w:pPr>
      <w:r w:rsidRPr="00F7096F">
        <w:rPr>
          <w:szCs w:val="20"/>
        </w:rPr>
        <w:t xml:space="preserve">La audiencia pública sobre el fondo, y las eventuales reparaciones y costas que </w:t>
      </w:r>
      <w:r w:rsidR="00AD32A6" w:rsidRPr="00F7096F">
        <w:rPr>
          <w:szCs w:val="20"/>
        </w:rPr>
        <w:t>tuvo</w:t>
      </w:r>
      <w:r w:rsidR="00AF57B0" w:rsidRPr="00F7096F">
        <w:rPr>
          <w:szCs w:val="20"/>
        </w:rPr>
        <w:t xml:space="preserve"> </w:t>
      </w:r>
      <w:r w:rsidRPr="00F7096F">
        <w:rPr>
          <w:szCs w:val="20"/>
        </w:rPr>
        <w:t>lugar de forma virtual los días 1</w:t>
      </w:r>
      <w:r w:rsidR="00AF57B0" w:rsidRPr="00F7096F">
        <w:rPr>
          <w:szCs w:val="20"/>
        </w:rPr>
        <w:t xml:space="preserve">5, </w:t>
      </w:r>
      <w:r w:rsidR="00AD32A6" w:rsidRPr="00F7096F">
        <w:rPr>
          <w:szCs w:val="20"/>
        </w:rPr>
        <w:t>22</w:t>
      </w:r>
      <w:r w:rsidRPr="00F7096F">
        <w:rPr>
          <w:szCs w:val="20"/>
        </w:rPr>
        <w:t xml:space="preserve"> y </w:t>
      </w:r>
      <w:r w:rsidR="00AD32A6" w:rsidRPr="00F7096F">
        <w:rPr>
          <w:szCs w:val="20"/>
        </w:rPr>
        <w:t>23</w:t>
      </w:r>
      <w:r w:rsidRPr="00F7096F">
        <w:rPr>
          <w:szCs w:val="20"/>
        </w:rPr>
        <w:t xml:space="preserve"> de </w:t>
      </w:r>
      <w:r w:rsidR="00AF57B0" w:rsidRPr="00F7096F">
        <w:rPr>
          <w:szCs w:val="20"/>
        </w:rPr>
        <w:t>marzo</w:t>
      </w:r>
      <w:r w:rsidRPr="00F7096F">
        <w:rPr>
          <w:szCs w:val="20"/>
        </w:rPr>
        <w:t xml:space="preserve"> de 202</w:t>
      </w:r>
      <w:r w:rsidR="00AF57B0" w:rsidRPr="00F7096F">
        <w:rPr>
          <w:szCs w:val="20"/>
        </w:rPr>
        <w:t>1</w:t>
      </w:r>
      <w:r w:rsidRPr="00F7096F">
        <w:rPr>
          <w:szCs w:val="20"/>
        </w:rPr>
        <w:t xml:space="preserve"> durante el 1</w:t>
      </w:r>
      <w:r w:rsidR="00AF57B0" w:rsidRPr="00F7096F">
        <w:rPr>
          <w:szCs w:val="20"/>
        </w:rPr>
        <w:t>40</w:t>
      </w:r>
      <w:r w:rsidRPr="00F7096F">
        <w:rPr>
          <w:szCs w:val="20"/>
        </w:rPr>
        <w:t xml:space="preserve"> Período Ordinario de Sesiones de la Corte. </w:t>
      </w:r>
    </w:p>
    <w:p w14:paraId="62647A53" w14:textId="1C88A930" w:rsidR="0003477E" w:rsidRPr="00F7096F" w:rsidRDefault="00AF57B0" w:rsidP="00F7096F">
      <w:pPr>
        <w:pStyle w:val="Prrafodelista"/>
        <w:numPr>
          <w:ilvl w:val="0"/>
          <w:numId w:val="12"/>
        </w:numPr>
        <w:spacing w:before="120"/>
        <w:ind w:left="0" w:firstLine="0"/>
        <w:contextualSpacing w:val="0"/>
        <w:rPr>
          <w:szCs w:val="20"/>
        </w:rPr>
      </w:pPr>
      <w:r w:rsidRPr="00F7096F">
        <w:rPr>
          <w:szCs w:val="20"/>
        </w:rPr>
        <w:t xml:space="preserve">La declaración rendida por la presunta víctima Jineth Bedoya Lima </w:t>
      </w:r>
      <w:r w:rsidR="00AD32A6" w:rsidRPr="00F7096F">
        <w:rPr>
          <w:szCs w:val="20"/>
        </w:rPr>
        <w:t>el 15 de marzo de 2021, durante la primera jornada de</w:t>
      </w:r>
      <w:r w:rsidRPr="00F7096F">
        <w:rPr>
          <w:szCs w:val="20"/>
        </w:rPr>
        <w:t xml:space="preserve"> la audiencia pública, en donde </w:t>
      </w:r>
      <w:r w:rsidR="004E7F8F" w:rsidRPr="00F7096F">
        <w:rPr>
          <w:szCs w:val="20"/>
        </w:rPr>
        <w:t>solicitó</w:t>
      </w:r>
      <w:r w:rsidR="00AD32A6" w:rsidRPr="00F7096F">
        <w:rPr>
          <w:szCs w:val="20"/>
        </w:rPr>
        <w:t xml:space="preserve"> a la Corte que adoptara</w:t>
      </w:r>
      <w:r w:rsidR="002803A6" w:rsidRPr="00F7096F">
        <w:rPr>
          <w:szCs w:val="20"/>
        </w:rPr>
        <w:t xml:space="preserve"> medidas provisionales </w:t>
      </w:r>
      <w:r w:rsidR="00D15F33" w:rsidRPr="00F7096F">
        <w:rPr>
          <w:szCs w:val="20"/>
        </w:rPr>
        <w:t>a</w:t>
      </w:r>
      <w:r w:rsidR="002803A6" w:rsidRPr="00F7096F">
        <w:rPr>
          <w:szCs w:val="20"/>
        </w:rPr>
        <w:t xml:space="preserve"> favor de su madre Luz Nelly Lima</w:t>
      </w:r>
      <w:r w:rsidR="004E7F8F" w:rsidRPr="00F7096F">
        <w:rPr>
          <w:szCs w:val="20"/>
        </w:rPr>
        <w:t xml:space="preserve"> y su persona</w:t>
      </w:r>
      <w:r w:rsidR="00F45D0C" w:rsidRPr="00F7096F">
        <w:rPr>
          <w:szCs w:val="20"/>
        </w:rPr>
        <w:t>.</w:t>
      </w:r>
      <w:r w:rsidR="004E7F8F" w:rsidRPr="00F7096F">
        <w:rPr>
          <w:szCs w:val="20"/>
        </w:rPr>
        <w:t xml:space="preserve"> </w:t>
      </w:r>
    </w:p>
    <w:p w14:paraId="26C70BC1" w14:textId="67019DE6" w:rsidR="00AD32A6" w:rsidRPr="00F7096F" w:rsidRDefault="00AD32A6" w:rsidP="00F7096F">
      <w:pPr>
        <w:pStyle w:val="Prrafodelista"/>
        <w:numPr>
          <w:ilvl w:val="0"/>
          <w:numId w:val="12"/>
        </w:numPr>
        <w:spacing w:before="120"/>
        <w:ind w:left="0" w:firstLine="0"/>
        <w:contextualSpacing w:val="0"/>
        <w:rPr>
          <w:szCs w:val="20"/>
        </w:rPr>
      </w:pPr>
      <w:r w:rsidRPr="00F7096F">
        <w:rPr>
          <w:szCs w:val="20"/>
        </w:rPr>
        <w:t>La intervención de la presunta víctima Jineth Bedoya Lima el 23 de marzo de 2021 durante la tercera jornada de la audiencia pública</w:t>
      </w:r>
      <w:r w:rsidR="00D15F33" w:rsidRPr="00F7096F">
        <w:rPr>
          <w:szCs w:val="20"/>
        </w:rPr>
        <w:t xml:space="preserve">, </w:t>
      </w:r>
      <w:r w:rsidRPr="00F7096F">
        <w:rPr>
          <w:szCs w:val="20"/>
        </w:rPr>
        <w:t xml:space="preserve">en el marco de los alegatos finales orales de las representantes, </w:t>
      </w:r>
      <w:r w:rsidR="00D15F33" w:rsidRPr="00F7096F">
        <w:rPr>
          <w:szCs w:val="20"/>
        </w:rPr>
        <w:t xml:space="preserve">en donde </w:t>
      </w:r>
      <w:r w:rsidRPr="00F7096F">
        <w:rPr>
          <w:szCs w:val="20"/>
        </w:rPr>
        <w:t>re</w:t>
      </w:r>
      <w:r w:rsidR="00F45D0C" w:rsidRPr="00F7096F">
        <w:rPr>
          <w:szCs w:val="20"/>
        </w:rPr>
        <w:t>ite</w:t>
      </w:r>
      <w:r w:rsidRPr="00F7096F">
        <w:rPr>
          <w:szCs w:val="20"/>
        </w:rPr>
        <w:t xml:space="preserve">ró la solicitud de adopción de medidas provisionales </w:t>
      </w:r>
      <w:r w:rsidR="000811F5" w:rsidRPr="00F7096F">
        <w:rPr>
          <w:szCs w:val="20"/>
        </w:rPr>
        <w:t>a su favor y a favor de su madre</w:t>
      </w:r>
      <w:r w:rsidR="00D15F33" w:rsidRPr="00F7096F">
        <w:rPr>
          <w:szCs w:val="20"/>
        </w:rPr>
        <w:t xml:space="preserve"> Luz Nelly Lima</w:t>
      </w:r>
      <w:r w:rsidR="00F45D0C" w:rsidRPr="00F7096F">
        <w:rPr>
          <w:szCs w:val="20"/>
        </w:rPr>
        <w:t>.</w:t>
      </w:r>
    </w:p>
    <w:p w14:paraId="72538B1D" w14:textId="77777777" w:rsidR="00F071B2" w:rsidRPr="00F7096F" w:rsidRDefault="00F071B2" w:rsidP="00F7096F">
      <w:pPr>
        <w:autoSpaceDE w:val="0"/>
        <w:autoSpaceDN w:val="0"/>
        <w:adjustRightInd w:val="0"/>
        <w:spacing w:before="360" w:after="360"/>
        <w:jc w:val="left"/>
        <w:rPr>
          <w:rFonts w:eastAsia="Times New Roman" w:cs="Verdana"/>
          <w:b/>
          <w:bCs/>
          <w:szCs w:val="20"/>
          <w:lang w:eastAsia="en-US"/>
        </w:rPr>
      </w:pPr>
      <w:r w:rsidRPr="00F7096F">
        <w:rPr>
          <w:rFonts w:eastAsia="Times New Roman" w:cs="Verdana"/>
          <w:b/>
          <w:bCs/>
          <w:szCs w:val="20"/>
          <w:lang w:eastAsia="en-US"/>
        </w:rPr>
        <w:t>CONSIDERANDO QUE:</w:t>
      </w:r>
    </w:p>
    <w:p w14:paraId="5EBEA873" w14:textId="77777777" w:rsidR="00445277" w:rsidRPr="00F7096F" w:rsidRDefault="00D93C37" w:rsidP="00F7096F">
      <w:pPr>
        <w:pStyle w:val="Prrafodelista"/>
        <w:numPr>
          <w:ilvl w:val="0"/>
          <w:numId w:val="21"/>
        </w:numPr>
        <w:spacing w:before="120"/>
        <w:ind w:left="0" w:firstLine="0"/>
        <w:contextualSpacing w:val="0"/>
        <w:rPr>
          <w:szCs w:val="20"/>
        </w:rPr>
      </w:pPr>
      <w:r w:rsidRPr="00F7096F">
        <w:rPr>
          <w:szCs w:val="20"/>
        </w:rPr>
        <w:t xml:space="preserve">El artículo 63.2 de la Convención Americana sobre Derechos Humanos (en adelante “la Convención Americana” o “la Convención”) dispone, en lo relevante, que “[e]n casos de </w:t>
      </w:r>
      <w:bookmarkEnd w:id="0"/>
      <w:r w:rsidRPr="00F7096F">
        <w:rPr>
          <w:szCs w:val="20"/>
        </w:rPr>
        <w:lastRenderedPageBreak/>
        <w:t xml:space="preserve">extrema gravedad y urgencia, y cuando se haga necesario evitar daños irreparables a las personas, la Corte, en los asuntos que esté conociendo, podrá tomar las medidas provisionales que considere pertinentes”. </w:t>
      </w:r>
    </w:p>
    <w:p w14:paraId="0C5EC588" w14:textId="218928E7" w:rsidR="00F7096F" w:rsidRPr="00F7096F" w:rsidRDefault="00D93C37" w:rsidP="00F7096F">
      <w:pPr>
        <w:pStyle w:val="Prrafodelista"/>
        <w:numPr>
          <w:ilvl w:val="0"/>
          <w:numId w:val="21"/>
        </w:numPr>
        <w:spacing w:before="120"/>
        <w:ind w:left="0" w:firstLine="0"/>
        <w:contextualSpacing w:val="0"/>
        <w:rPr>
          <w:szCs w:val="20"/>
        </w:rPr>
      </w:pPr>
      <w:r w:rsidRPr="00F7096F">
        <w:rPr>
          <w:szCs w:val="20"/>
        </w:rPr>
        <w:t>Asimismo, el artículo 27.3 del Reglamento del Tribunal (en adelante “el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w:t>
      </w:r>
      <w:r w:rsidR="002707C6">
        <w:rPr>
          <w:szCs w:val="20"/>
        </w:rPr>
        <w:t xml:space="preserve"> </w:t>
      </w:r>
    </w:p>
    <w:p w14:paraId="3F632726" w14:textId="14CD2F0B" w:rsidR="00A353B7" w:rsidRPr="00F7096F" w:rsidRDefault="00445277" w:rsidP="00F7096F">
      <w:pPr>
        <w:pStyle w:val="Prrafodelista"/>
        <w:numPr>
          <w:ilvl w:val="0"/>
          <w:numId w:val="21"/>
        </w:numPr>
        <w:spacing w:before="120"/>
        <w:ind w:left="0" w:firstLine="0"/>
        <w:contextualSpacing w:val="0"/>
        <w:rPr>
          <w:szCs w:val="20"/>
        </w:rPr>
      </w:pPr>
      <w:r w:rsidRPr="00F7096F">
        <w:rPr>
          <w:szCs w:val="20"/>
        </w:rPr>
        <w:t>En lo que respecta a la legitimación para presentar la solicitud, la Corte observa que la</w:t>
      </w:r>
      <w:r w:rsidR="00A353B7" w:rsidRPr="00F7096F">
        <w:rPr>
          <w:szCs w:val="20"/>
        </w:rPr>
        <w:t xml:space="preserve"> solicitud de medidas provisionales fue presentada por </w:t>
      </w:r>
      <w:r w:rsidR="004E7F8F" w:rsidRPr="00F7096F">
        <w:rPr>
          <w:szCs w:val="20"/>
        </w:rPr>
        <w:t>la presunta víctima</w:t>
      </w:r>
      <w:r w:rsidR="002F1732">
        <w:rPr>
          <w:szCs w:val="20"/>
        </w:rPr>
        <w:t>,</w:t>
      </w:r>
      <w:r w:rsidR="004E7F8F" w:rsidRPr="00F7096F">
        <w:rPr>
          <w:szCs w:val="20"/>
        </w:rPr>
        <w:t xml:space="preserve"> Jineth Bedoya Lima</w:t>
      </w:r>
      <w:r w:rsidR="00A353B7" w:rsidRPr="00F7096F">
        <w:rPr>
          <w:szCs w:val="20"/>
        </w:rPr>
        <w:t xml:space="preserve">, </w:t>
      </w:r>
      <w:r w:rsidR="002F1732">
        <w:rPr>
          <w:szCs w:val="20"/>
        </w:rPr>
        <w:t>directamente ante el Tribunal</w:t>
      </w:r>
      <w:r w:rsidR="005D5E06" w:rsidRPr="00F7096F">
        <w:rPr>
          <w:szCs w:val="20"/>
        </w:rPr>
        <w:t xml:space="preserve"> durante el des</w:t>
      </w:r>
      <w:r w:rsidR="002F1732">
        <w:rPr>
          <w:szCs w:val="20"/>
        </w:rPr>
        <w:t>arrollo de la audiencia pública</w:t>
      </w:r>
      <w:r w:rsidR="005D5E06" w:rsidRPr="00F7096F">
        <w:rPr>
          <w:szCs w:val="20"/>
        </w:rPr>
        <w:t xml:space="preserve"> en un caso que se encuentra actualmente ante la Corte, con lo cual se cumple con lo requerido en el</w:t>
      </w:r>
      <w:r w:rsidRPr="00F7096F">
        <w:rPr>
          <w:szCs w:val="20"/>
        </w:rPr>
        <w:t xml:space="preserve"> referido</w:t>
      </w:r>
      <w:r w:rsidR="005D5E06" w:rsidRPr="00F7096F">
        <w:rPr>
          <w:szCs w:val="20"/>
        </w:rPr>
        <w:t xml:space="preserve"> artículo 27.3 </w:t>
      </w:r>
      <w:r w:rsidRPr="00F7096F">
        <w:rPr>
          <w:szCs w:val="20"/>
        </w:rPr>
        <w:t>del Reglamento</w:t>
      </w:r>
      <w:r w:rsidR="00F7096F" w:rsidRPr="00F7096F">
        <w:rPr>
          <w:szCs w:val="20"/>
        </w:rPr>
        <w:t xml:space="preserve"> de la Corte</w:t>
      </w:r>
      <w:r w:rsidRPr="00F7096F">
        <w:rPr>
          <w:szCs w:val="20"/>
        </w:rPr>
        <w:t>.</w:t>
      </w:r>
    </w:p>
    <w:p w14:paraId="1F4890D7" w14:textId="114CEF67" w:rsidR="00E020F6" w:rsidRPr="00F7096F" w:rsidRDefault="00F7096F" w:rsidP="00F7096F">
      <w:pPr>
        <w:pStyle w:val="Prrafodelista"/>
        <w:numPr>
          <w:ilvl w:val="0"/>
          <w:numId w:val="21"/>
        </w:numPr>
        <w:spacing w:before="120"/>
        <w:ind w:left="0" w:firstLine="0"/>
        <w:contextualSpacing w:val="0"/>
        <w:rPr>
          <w:szCs w:val="20"/>
        </w:rPr>
      </w:pPr>
      <w:r w:rsidRPr="00F7096F">
        <w:rPr>
          <w:szCs w:val="20"/>
        </w:rPr>
        <w:t>Dicho lo anterior, e</w:t>
      </w:r>
      <w:r w:rsidR="00E020F6" w:rsidRPr="00F7096F">
        <w:rPr>
          <w:szCs w:val="20"/>
        </w:rPr>
        <w:t xml:space="preserve">ste Tribunal estima pertinente reiterar que, para la disposición de medidas provisionales, el artículo 63.2 de la Convención Americana exige la concurrencia de tres condiciones: i) “extrema gravedad”; </w:t>
      </w:r>
      <w:proofErr w:type="spellStart"/>
      <w:r w:rsidR="00E020F6" w:rsidRPr="00F7096F">
        <w:rPr>
          <w:szCs w:val="20"/>
        </w:rPr>
        <w:t>ii</w:t>
      </w:r>
      <w:proofErr w:type="spellEnd"/>
      <w:r w:rsidR="00E020F6" w:rsidRPr="00F7096F">
        <w:rPr>
          <w:szCs w:val="20"/>
        </w:rPr>
        <w:t xml:space="preserve">) “urgencia”, y </w:t>
      </w:r>
      <w:proofErr w:type="spellStart"/>
      <w:r w:rsidR="00E020F6" w:rsidRPr="00F7096F">
        <w:rPr>
          <w:szCs w:val="20"/>
        </w:rPr>
        <w:t>iii</w:t>
      </w:r>
      <w:proofErr w:type="spellEnd"/>
      <w:r w:rsidR="00E020F6" w:rsidRPr="00F7096F">
        <w:rPr>
          <w:szCs w:val="20"/>
        </w:rPr>
        <w:t>) que se trate de “evitar daños irreparables” a las personas. Estas tres condiciones son coexistentes y deben estar presentes en toda situación en la que se solicite la intervención del Tribunal a través de una medida provisional</w:t>
      </w:r>
      <w:r w:rsidR="00E020F6" w:rsidRPr="00F7096F">
        <w:rPr>
          <w:rStyle w:val="Refdenotaalpie"/>
          <w:szCs w:val="20"/>
        </w:rPr>
        <w:footnoteReference w:id="4"/>
      </w:r>
      <w:r w:rsidR="00E020F6" w:rsidRPr="00F7096F">
        <w:rPr>
          <w:szCs w:val="20"/>
        </w:rPr>
        <w:t xml:space="preserve">. Conforme a la Convención y al Reglamento, la carga procesal de demostrar </w:t>
      </w:r>
      <w:r w:rsidR="00E020F6" w:rsidRPr="00F7096F">
        <w:rPr>
          <w:i/>
          <w:szCs w:val="20"/>
        </w:rPr>
        <w:t>prima facie</w:t>
      </w:r>
      <w:r w:rsidR="00E020F6" w:rsidRPr="00F7096F">
        <w:rPr>
          <w:szCs w:val="20"/>
        </w:rPr>
        <w:t xml:space="preserve"> dichos requisitos recae en el solicitante</w:t>
      </w:r>
      <w:r w:rsidR="00E020F6" w:rsidRPr="00F7096F">
        <w:rPr>
          <w:szCs w:val="20"/>
          <w:vertAlign w:val="superscript"/>
        </w:rPr>
        <w:footnoteReference w:id="5"/>
      </w:r>
      <w:r w:rsidR="00E020F6" w:rsidRPr="00F7096F">
        <w:rPr>
          <w:szCs w:val="20"/>
        </w:rPr>
        <w:t xml:space="preserve">. </w:t>
      </w:r>
      <w:r w:rsidRPr="00F7096F">
        <w:rPr>
          <w:szCs w:val="20"/>
        </w:rPr>
        <w:t xml:space="preserve">La Corte procederá a continuación a </w:t>
      </w:r>
      <w:r w:rsidR="00E020F6" w:rsidRPr="00F7096F">
        <w:rPr>
          <w:szCs w:val="20"/>
        </w:rPr>
        <w:t>examinar si se cumplen los requisitos para la adopción de medidas provisionales.</w:t>
      </w:r>
    </w:p>
    <w:p w14:paraId="262DFBE7" w14:textId="7505B5C2" w:rsidR="00F45D0C" w:rsidRPr="00F7096F" w:rsidRDefault="002F1732" w:rsidP="00F7096F">
      <w:pPr>
        <w:pStyle w:val="Prrafodelista"/>
        <w:numPr>
          <w:ilvl w:val="0"/>
          <w:numId w:val="21"/>
        </w:numPr>
        <w:spacing w:before="120"/>
        <w:ind w:left="0" w:firstLine="0"/>
        <w:contextualSpacing w:val="0"/>
        <w:rPr>
          <w:szCs w:val="20"/>
        </w:rPr>
      </w:pPr>
      <w:r>
        <w:rPr>
          <w:szCs w:val="20"/>
        </w:rPr>
        <w:t>L</w:t>
      </w:r>
      <w:r w:rsidR="00F7096F" w:rsidRPr="007C5E97">
        <w:rPr>
          <w:szCs w:val="20"/>
        </w:rPr>
        <w:t>a Corte advie</w:t>
      </w:r>
      <w:r w:rsidR="00F7096F" w:rsidRPr="00F7096F">
        <w:rPr>
          <w:szCs w:val="20"/>
        </w:rPr>
        <w:t>rte que, e</w:t>
      </w:r>
      <w:r w:rsidR="00445277" w:rsidRPr="00F7096F">
        <w:rPr>
          <w:szCs w:val="20"/>
        </w:rPr>
        <w:t>n el marco de su declaración realizada el pasado 15 de marzo de 2021, l</w:t>
      </w:r>
      <w:r w:rsidR="00A353B7" w:rsidRPr="00F7096F">
        <w:rPr>
          <w:szCs w:val="20"/>
        </w:rPr>
        <w:t xml:space="preserve">a </w:t>
      </w:r>
      <w:r w:rsidR="00AF57B0" w:rsidRPr="00F7096F">
        <w:rPr>
          <w:szCs w:val="20"/>
        </w:rPr>
        <w:t>presunta víctima Jineth Bedoya Lima</w:t>
      </w:r>
      <w:r w:rsidR="00A353B7" w:rsidRPr="00F7096F">
        <w:rPr>
          <w:szCs w:val="20"/>
        </w:rPr>
        <w:t xml:space="preserve"> </w:t>
      </w:r>
      <w:r w:rsidR="00445277" w:rsidRPr="00F7096F">
        <w:rPr>
          <w:szCs w:val="20"/>
        </w:rPr>
        <w:t>señaló ante esta Corte que, debido al testimonio que estaba exponiendo ante el Tribunal, “[su] vida sigue en riesgo” y “en peligro”, indicando asimismo que sentía “miedo” por su madre, “[p]</w:t>
      </w:r>
      <w:proofErr w:type="spellStart"/>
      <w:r w:rsidR="00445277" w:rsidRPr="00F7096F">
        <w:rPr>
          <w:szCs w:val="20"/>
        </w:rPr>
        <w:t>orque</w:t>
      </w:r>
      <w:proofErr w:type="spellEnd"/>
      <w:r w:rsidR="00445277" w:rsidRPr="00F7096F">
        <w:rPr>
          <w:szCs w:val="20"/>
        </w:rPr>
        <w:t xml:space="preserve"> ella ha tenido que llevar la peor carga de todo esto, y las amenazas creo que han sido un detonante para irnos destruyendo de a poquito”</w:t>
      </w:r>
      <w:r w:rsidR="00445277" w:rsidRPr="00F7096F">
        <w:rPr>
          <w:szCs w:val="20"/>
          <w:vertAlign w:val="superscript"/>
        </w:rPr>
        <w:footnoteReference w:id="6"/>
      </w:r>
      <w:r w:rsidR="00445277" w:rsidRPr="00F7096F">
        <w:rPr>
          <w:szCs w:val="20"/>
        </w:rPr>
        <w:t>.</w:t>
      </w:r>
      <w:r w:rsidR="002707C6">
        <w:rPr>
          <w:szCs w:val="20"/>
        </w:rPr>
        <w:t xml:space="preserve"> </w:t>
      </w:r>
      <w:r w:rsidR="00445277" w:rsidRPr="00F7096F">
        <w:rPr>
          <w:szCs w:val="20"/>
        </w:rPr>
        <w:t xml:space="preserve">Precisó que, al día siguiente de que el caso fuera sometido ante este Tribunal, recibió una llamada desde el extranjero donde “[le] recordaban que [l]e iban a volver a violar, y donde [l]e decían que si no era capaz de cerrar la boca que ya sabía que [l]e esperaba”. </w:t>
      </w:r>
      <w:r w:rsidR="00F7096F" w:rsidRPr="00F7096F">
        <w:rPr>
          <w:szCs w:val="20"/>
        </w:rPr>
        <w:t>Señaló</w:t>
      </w:r>
      <w:r w:rsidR="00445277" w:rsidRPr="00F7096F">
        <w:rPr>
          <w:szCs w:val="20"/>
        </w:rPr>
        <w:t xml:space="preserve"> además que habría recibido más amenazas hasta la fecha, siendo la última “de hace pocos meses”</w:t>
      </w:r>
      <w:r w:rsidR="00700FF0" w:rsidRPr="00F7096F">
        <w:rPr>
          <w:szCs w:val="20"/>
        </w:rPr>
        <w:t xml:space="preserve"> y que “el hablar hoy aquí en esta Corte obviamente va a acarrear más temas de seguridad y tal vez más amenazas y más intimidación”</w:t>
      </w:r>
      <w:r w:rsidR="00445277" w:rsidRPr="00F7096F">
        <w:rPr>
          <w:szCs w:val="20"/>
          <w:vertAlign w:val="superscript"/>
        </w:rPr>
        <w:footnoteReference w:id="7"/>
      </w:r>
      <w:r w:rsidR="00445277" w:rsidRPr="00F7096F">
        <w:rPr>
          <w:szCs w:val="20"/>
        </w:rPr>
        <w:t xml:space="preserve">. </w:t>
      </w:r>
    </w:p>
    <w:p w14:paraId="4454FEB5" w14:textId="199E2ECF" w:rsidR="00445277" w:rsidRPr="00F7096F" w:rsidRDefault="00445277" w:rsidP="00F7096F">
      <w:pPr>
        <w:pStyle w:val="Prrafodelista"/>
        <w:numPr>
          <w:ilvl w:val="0"/>
          <w:numId w:val="21"/>
        </w:numPr>
        <w:spacing w:before="120"/>
        <w:ind w:left="0" w:firstLine="0"/>
        <w:contextualSpacing w:val="0"/>
        <w:rPr>
          <w:szCs w:val="20"/>
        </w:rPr>
      </w:pPr>
      <w:r w:rsidRPr="00F7096F">
        <w:rPr>
          <w:szCs w:val="20"/>
        </w:rPr>
        <w:t>Posteriormente, en su intervención realizada el 23 de marzo de 2021 en el marco de los alegatos finales orales de las representantes, la señora Bedoya Lima solicitó</w:t>
      </w:r>
      <w:r w:rsidR="000811F5" w:rsidRPr="00F7096F">
        <w:rPr>
          <w:szCs w:val="20"/>
        </w:rPr>
        <w:t xml:space="preserve"> nuevamente la adopción de medidas de protección a su favor y a favor de su madre. Indicó</w:t>
      </w:r>
      <w:r w:rsidR="00F45D0C" w:rsidRPr="00F7096F">
        <w:rPr>
          <w:szCs w:val="20"/>
        </w:rPr>
        <w:t>,</w:t>
      </w:r>
      <w:r w:rsidR="000811F5" w:rsidRPr="00F7096F">
        <w:rPr>
          <w:szCs w:val="20"/>
        </w:rPr>
        <w:t xml:space="preserve"> además</w:t>
      </w:r>
      <w:r w:rsidR="00F45D0C" w:rsidRPr="00F7096F">
        <w:rPr>
          <w:szCs w:val="20"/>
        </w:rPr>
        <w:t>,</w:t>
      </w:r>
      <w:r w:rsidR="000811F5" w:rsidRPr="00F7096F">
        <w:rPr>
          <w:szCs w:val="20"/>
        </w:rPr>
        <w:t xml:space="preserve"> que </w:t>
      </w:r>
      <w:r w:rsidR="00F7096F" w:rsidRPr="00F7096F">
        <w:rPr>
          <w:szCs w:val="20"/>
        </w:rPr>
        <w:t>continúa recibiendo amenazas “</w:t>
      </w:r>
      <w:r w:rsidR="000811F5" w:rsidRPr="00F7096F">
        <w:rPr>
          <w:szCs w:val="20"/>
        </w:rPr>
        <w:t>a día de hoy</w:t>
      </w:r>
      <w:r w:rsidR="00F7096F" w:rsidRPr="00F7096F">
        <w:rPr>
          <w:szCs w:val="20"/>
        </w:rPr>
        <w:t>”</w:t>
      </w:r>
      <w:r w:rsidR="000811F5" w:rsidRPr="00F7096F">
        <w:rPr>
          <w:szCs w:val="20"/>
        </w:rPr>
        <w:t>.</w:t>
      </w:r>
      <w:r w:rsidR="00F45D0C" w:rsidRPr="00F7096F">
        <w:rPr>
          <w:szCs w:val="20"/>
        </w:rPr>
        <w:t xml:space="preserve"> Asimismo, precisó que, si bien </w:t>
      </w:r>
      <w:r w:rsidR="00F7096F" w:rsidRPr="00F7096F">
        <w:rPr>
          <w:szCs w:val="20"/>
        </w:rPr>
        <w:t>actualmente</w:t>
      </w:r>
      <w:r w:rsidR="00F45D0C" w:rsidRPr="00F7096F">
        <w:rPr>
          <w:szCs w:val="20"/>
        </w:rPr>
        <w:t xml:space="preserve"> ella sí cuenta con medidas de protección</w:t>
      </w:r>
      <w:r w:rsidR="00F7096F" w:rsidRPr="00F7096F">
        <w:rPr>
          <w:szCs w:val="20"/>
        </w:rPr>
        <w:t xml:space="preserve"> por parte del Estado</w:t>
      </w:r>
      <w:r w:rsidR="00F45D0C" w:rsidRPr="00F7096F">
        <w:rPr>
          <w:szCs w:val="20"/>
        </w:rPr>
        <w:t>, no así su madre, quien también estaría en riesgo. Solicitó que esta Corte adoptara medidas de protección a su favor y a favor de su madre, la señora Luz Nelly Lima</w:t>
      </w:r>
      <w:r w:rsidR="007C5E97">
        <w:rPr>
          <w:szCs w:val="20"/>
        </w:rPr>
        <w:t xml:space="preserve">, </w:t>
      </w:r>
      <w:r w:rsidR="007C5E97" w:rsidRPr="00F7096F">
        <w:rPr>
          <w:szCs w:val="20"/>
        </w:rPr>
        <w:t>”</w:t>
      </w:r>
      <w:r w:rsidR="007C5E97" w:rsidRPr="00F7096F">
        <w:rPr>
          <w:szCs w:val="20"/>
          <w:lang w:val="es-MX"/>
        </w:rPr>
        <w:t>hasta</w:t>
      </w:r>
      <w:r w:rsidR="00F45D0C" w:rsidRPr="00F7096F">
        <w:rPr>
          <w:szCs w:val="20"/>
          <w:lang w:val="es-MX"/>
        </w:rPr>
        <w:t xml:space="preserve"> en tanto no se compruebe la desac</w:t>
      </w:r>
      <w:r w:rsidR="00F7096F" w:rsidRPr="00F7096F">
        <w:rPr>
          <w:szCs w:val="20"/>
          <w:lang w:val="es-MX"/>
        </w:rPr>
        <w:t xml:space="preserve">tivación del </w:t>
      </w:r>
      <w:r w:rsidR="00F7096F" w:rsidRPr="00F7096F">
        <w:rPr>
          <w:szCs w:val="20"/>
          <w:lang w:val="es-MX"/>
        </w:rPr>
        <w:lastRenderedPageBreak/>
        <w:t xml:space="preserve">riesgo al que </w:t>
      </w:r>
      <w:proofErr w:type="spellStart"/>
      <w:r w:rsidR="00F7096F" w:rsidRPr="00F7096F">
        <w:rPr>
          <w:szCs w:val="20"/>
          <w:lang w:val="es-MX"/>
        </w:rPr>
        <w:t>est</w:t>
      </w:r>
      <w:proofErr w:type="spellEnd"/>
      <w:r w:rsidR="00F7096F" w:rsidRPr="00F7096F">
        <w:rPr>
          <w:szCs w:val="20"/>
          <w:lang w:val="es-MX"/>
        </w:rPr>
        <w:t>[á]</w:t>
      </w:r>
      <w:r w:rsidR="00F45D0C" w:rsidRPr="00F7096F">
        <w:rPr>
          <w:szCs w:val="20"/>
          <w:lang w:val="es-MX"/>
        </w:rPr>
        <w:t xml:space="preserve"> sometida, y los hostigamientos y todas las amenazas que sean debidamente investigadas y sancionadas”.</w:t>
      </w:r>
    </w:p>
    <w:p w14:paraId="74D1DC58" w14:textId="31D93909" w:rsidR="00AD32A6" w:rsidRPr="00F7096F" w:rsidRDefault="00BC446A" w:rsidP="00F7096F">
      <w:pPr>
        <w:pStyle w:val="Prrafodelista"/>
        <w:numPr>
          <w:ilvl w:val="0"/>
          <w:numId w:val="21"/>
        </w:numPr>
        <w:spacing w:before="120"/>
        <w:ind w:left="0" w:firstLine="0"/>
        <w:contextualSpacing w:val="0"/>
        <w:rPr>
          <w:szCs w:val="20"/>
        </w:rPr>
      </w:pPr>
      <w:r>
        <w:rPr>
          <w:szCs w:val="20"/>
        </w:rPr>
        <w:t>E</w:t>
      </w:r>
      <w:r w:rsidR="00AD32A6" w:rsidRPr="00F7096F">
        <w:rPr>
          <w:szCs w:val="20"/>
        </w:rPr>
        <w:t>n el marco de la tercera y última jornada de la audiencia pública</w:t>
      </w:r>
      <w:r w:rsidR="00F7096F" w:rsidRPr="00F7096F">
        <w:rPr>
          <w:szCs w:val="20"/>
        </w:rPr>
        <w:t xml:space="preserve"> </w:t>
      </w:r>
      <w:r w:rsidR="002F1732">
        <w:rPr>
          <w:szCs w:val="20"/>
        </w:rPr>
        <w:t>la Corte</w:t>
      </w:r>
      <w:r w:rsidR="0018511B">
        <w:rPr>
          <w:szCs w:val="20"/>
        </w:rPr>
        <w:t xml:space="preserve"> solicitó al Estado y a la Comisión que se pronunciaran </w:t>
      </w:r>
      <w:r w:rsidR="00F7096F" w:rsidRPr="00F7096F">
        <w:rPr>
          <w:szCs w:val="20"/>
        </w:rPr>
        <w:t>sobre la solicitud de medidas provisionales</w:t>
      </w:r>
      <w:r>
        <w:rPr>
          <w:szCs w:val="20"/>
        </w:rPr>
        <w:t xml:space="preserve"> interpuesta por la señora Bedoya Lima</w:t>
      </w:r>
      <w:r w:rsidR="0018511B">
        <w:rPr>
          <w:szCs w:val="20"/>
        </w:rPr>
        <w:t>. A raíz de lo anterior</w:t>
      </w:r>
      <w:r w:rsidR="00AD32A6" w:rsidRPr="00F7096F">
        <w:rPr>
          <w:szCs w:val="20"/>
        </w:rPr>
        <w:t xml:space="preserve"> </w:t>
      </w:r>
      <w:r w:rsidR="00F45D0C" w:rsidRPr="00F7096F">
        <w:rPr>
          <w:szCs w:val="20"/>
        </w:rPr>
        <w:t>el Estado indicó que tomaba “atenta nota” y que procedería “dentro de los can</w:t>
      </w:r>
      <w:r w:rsidR="00F7096F" w:rsidRPr="00F7096F">
        <w:rPr>
          <w:szCs w:val="20"/>
        </w:rPr>
        <w:t>a</w:t>
      </w:r>
      <w:r w:rsidR="00F45D0C" w:rsidRPr="00F7096F">
        <w:rPr>
          <w:szCs w:val="20"/>
        </w:rPr>
        <w:t xml:space="preserve">les correspondientes a analizar la solicitud de Jineth Bedoya”. </w:t>
      </w:r>
      <w:r w:rsidR="0018511B">
        <w:rPr>
          <w:szCs w:val="20"/>
        </w:rPr>
        <w:t>Por su parte,</w:t>
      </w:r>
      <w:r w:rsidR="00F45D0C" w:rsidRPr="00F7096F">
        <w:rPr>
          <w:szCs w:val="20"/>
        </w:rPr>
        <w:t xml:space="preserve"> </w:t>
      </w:r>
      <w:r w:rsidR="00AD32A6" w:rsidRPr="00F7096F">
        <w:rPr>
          <w:szCs w:val="20"/>
        </w:rPr>
        <w:t xml:space="preserve">la Comisión apoyó la </w:t>
      </w:r>
      <w:r>
        <w:rPr>
          <w:szCs w:val="20"/>
        </w:rPr>
        <w:t xml:space="preserve">referida </w:t>
      </w:r>
      <w:r w:rsidR="00AD32A6" w:rsidRPr="00F7096F">
        <w:rPr>
          <w:szCs w:val="20"/>
        </w:rPr>
        <w:t xml:space="preserve">solicitud </w:t>
      </w:r>
      <w:r>
        <w:rPr>
          <w:szCs w:val="20"/>
        </w:rPr>
        <w:t>de medidas provisionales</w:t>
      </w:r>
      <w:r w:rsidR="00923C03">
        <w:rPr>
          <w:szCs w:val="20"/>
        </w:rPr>
        <w:t xml:space="preserve"> e indicó </w:t>
      </w:r>
      <w:r w:rsidR="00936081">
        <w:rPr>
          <w:szCs w:val="20"/>
          <w:lang w:val="es-MX"/>
        </w:rPr>
        <w:t>que le parecía “</w:t>
      </w:r>
      <w:r w:rsidR="00923C03" w:rsidRPr="00800795">
        <w:rPr>
          <w:szCs w:val="20"/>
          <w:lang w:val="es-MX"/>
        </w:rPr>
        <w:t>fundamental</w:t>
      </w:r>
      <w:r w:rsidR="00936081">
        <w:rPr>
          <w:szCs w:val="20"/>
          <w:lang w:val="es-MX"/>
        </w:rPr>
        <w:t>”</w:t>
      </w:r>
      <w:r w:rsidR="00923C03" w:rsidRPr="00800795">
        <w:rPr>
          <w:szCs w:val="20"/>
          <w:lang w:val="es-MX"/>
        </w:rPr>
        <w:t xml:space="preserve"> atender la solicitud de la</w:t>
      </w:r>
      <w:r w:rsidR="00936081">
        <w:rPr>
          <w:szCs w:val="20"/>
          <w:lang w:val="es-MX"/>
        </w:rPr>
        <w:t xml:space="preserve"> presunta</w:t>
      </w:r>
      <w:r w:rsidR="00923C03" w:rsidRPr="00800795">
        <w:rPr>
          <w:szCs w:val="20"/>
          <w:lang w:val="es-MX"/>
        </w:rPr>
        <w:t xml:space="preserve"> víctima </w:t>
      </w:r>
      <w:r w:rsidR="00936081">
        <w:rPr>
          <w:szCs w:val="20"/>
          <w:lang w:val="es-MX"/>
        </w:rPr>
        <w:t>“</w:t>
      </w:r>
      <w:r w:rsidR="00923C03" w:rsidRPr="00800795">
        <w:rPr>
          <w:szCs w:val="20"/>
          <w:lang w:val="es-MX"/>
        </w:rPr>
        <w:t>de otorgar una protección efectiva e integral tanto a ella como a su madre</w:t>
      </w:r>
      <w:r w:rsidR="00936081">
        <w:rPr>
          <w:szCs w:val="20"/>
          <w:lang w:val="es-MX"/>
        </w:rPr>
        <w:t>”</w:t>
      </w:r>
      <w:r w:rsidR="00936081">
        <w:rPr>
          <w:rStyle w:val="Refdenotaalpie"/>
          <w:szCs w:val="20"/>
          <w:lang w:val="es-MX"/>
        </w:rPr>
        <w:footnoteReference w:id="8"/>
      </w:r>
      <w:r w:rsidR="00AD32A6" w:rsidRPr="00F7096F">
        <w:rPr>
          <w:szCs w:val="20"/>
        </w:rPr>
        <w:t xml:space="preserve">. </w:t>
      </w:r>
    </w:p>
    <w:p w14:paraId="73677E3C" w14:textId="74CCBB67" w:rsidR="005D5E06" w:rsidRPr="00F7096F" w:rsidRDefault="00700FF0" w:rsidP="00F7096F">
      <w:pPr>
        <w:pStyle w:val="Prrafodelista"/>
        <w:numPr>
          <w:ilvl w:val="0"/>
          <w:numId w:val="21"/>
        </w:numPr>
        <w:spacing w:before="120"/>
        <w:ind w:left="0" w:firstLine="0"/>
        <w:contextualSpacing w:val="0"/>
        <w:rPr>
          <w:szCs w:val="20"/>
        </w:rPr>
      </w:pPr>
      <w:r w:rsidRPr="00F7096F">
        <w:rPr>
          <w:szCs w:val="20"/>
        </w:rPr>
        <w:t xml:space="preserve">Antes de entrar al fondo de la solicitud </w:t>
      </w:r>
      <w:r w:rsidR="00BC446A">
        <w:rPr>
          <w:szCs w:val="20"/>
        </w:rPr>
        <w:t xml:space="preserve">de medidas provisionales, </w:t>
      </w:r>
      <w:r w:rsidRPr="00F7096F">
        <w:rPr>
          <w:szCs w:val="20"/>
        </w:rPr>
        <w:t>el Tribunal estima necesario recordar que l</w:t>
      </w:r>
      <w:r w:rsidR="00A8301D" w:rsidRPr="00F7096F">
        <w:rPr>
          <w:szCs w:val="20"/>
        </w:rPr>
        <w:t>a adopción de medidas provisionales no implica una decisión sobre el fondo de la controversia existente en el presente caso, ni prejuzga la responsabilidad estatal en los hechos denunciados</w:t>
      </w:r>
      <w:r w:rsidR="00345E08" w:rsidRPr="00F7096F">
        <w:rPr>
          <w:rStyle w:val="Refdenotaalpie"/>
          <w:szCs w:val="20"/>
        </w:rPr>
        <w:footnoteReference w:id="9"/>
      </w:r>
      <w:r w:rsidR="00A8301D" w:rsidRPr="00F7096F">
        <w:rPr>
          <w:szCs w:val="20"/>
        </w:rPr>
        <w:t>. Al adoptar medidas provisionales, el Tribunal está garantizando únicamente el poder ejercer fielmente su mandato conforme a la Convención en casos de extrema gravedad y urgencia que requieren medidas de protección para evitar daños irreparables a las personas</w:t>
      </w:r>
      <w:r w:rsidR="006D267B" w:rsidRPr="00F7096F">
        <w:rPr>
          <w:rStyle w:val="Refdenotaalpie"/>
          <w:szCs w:val="20"/>
        </w:rPr>
        <w:footnoteReference w:id="10"/>
      </w:r>
      <w:r w:rsidR="00A8301D" w:rsidRPr="00F7096F">
        <w:rPr>
          <w:szCs w:val="20"/>
        </w:rPr>
        <w:t xml:space="preserve">. </w:t>
      </w:r>
    </w:p>
    <w:p w14:paraId="2CA09C02" w14:textId="6C605542" w:rsidR="00FC2FA3" w:rsidRDefault="00700FF0" w:rsidP="00F7096F">
      <w:pPr>
        <w:pStyle w:val="Prrafodelista"/>
        <w:numPr>
          <w:ilvl w:val="0"/>
          <w:numId w:val="21"/>
        </w:numPr>
        <w:spacing w:before="120"/>
        <w:ind w:left="0" w:firstLine="0"/>
        <w:contextualSpacing w:val="0"/>
        <w:rPr>
          <w:szCs w:val="20"/>
        </w:rPr>
      </w:pPr>
      <w:r w:rsidRPr="00F7096F">
        <w:rPr>
          <w:szCs w:val="20"/>
        </w:rPr>
        <w:t xml:space="preserve">Sentado lo anterior, el Tribunal </w:t>
      </w:r>
      <w:r w:rsidR="006F073A">
        <w:rPr>
          <w:szCs w:val="20"/>
        </w:rPr>
        <w:t>advierte</w:t>
      </w:r>
      <w:r w:rsidR="002F1732">
        <w:rPr>
          <w:szCs w:val="20"/>
        </w:rPr>
        <w:t>, en primer lugar</w:t>
      </w:r>
      <w:r w:rsidRPr="00F7096F">
        <w:rPr>
          <w:szCs w:val="20"/>
        </w:rPr>
        <w:t xml:space="preserve"> </w:t>
      </w:r>
      <w:r w:rsidR="006F073A">
        <w:rPr>
          <w:szCs w:val="20"/>
        </w:rPr>
        <w:t>que</w:t>
      </w:r>
      <w:r w:rsidR="002F1732">
        <w:rPr>
          <w:szCs w:val="20"/>
        </w:rPr>
        <w:t>,</w:t>
      </w:r>
      <w:r w:rsidR="006F073A">
        <w:rPr>
          <w:szCs w:val="20"/>
        </w:rPr>
        <w:t xml:space="preserve"> </w:t>
      </w:r>
      <w:r w:rsidR="00BC446A">
        <w:rPr>
          <w:szCs w:val="20"/>
        </w:rPr>
        <w:t xml:space="preserve">tal y como así lo indicó en la audiencia pública, </w:t>
      </w:r>
      <w:r w:rsidR="00A039A0">
        <w:rPr>
          <w:szCs w:val="20"/>
        </w:rPr>
        <w:t xml:space="preserve">la señora Bedoya Lima ya </w:t>
      </w:r>
      <w:r w:rsidR="00BC446A">
        <w:rPr>
          <w:szCs w:val="20"/>
        </w:rPr>
        <w:t>dispondría de</w:t>
      </w:r>
      <w:r w:rsidR="006F073A">
        <w:rPr>
          <w:szCs w:val="20"/>
        </w:rPr>
        <w:t xml:space="preserve"> </w:t>
      </w:r>
      <w:r w:rsidR="00A039A0">
        <w:rPr>
          <w:szCs w:val="20"/>
        </w:rPr>
        <w:t>un esquema de protección</w:t>
      </w:r>
      <w:r w:rsidR="006F073A">
        <w:rPr>
          <w:szCs w:val="20"/>
        </w:rPr>
        <w:t xml:space="preserve"> </w:t>
      </w:r>
      <w:r w:rsidR="00BC446A">
        <w:rPr>
          <w:szCs w:val="20"/>
        </w:rPr>
        <w:t xml:space="preserve">otorgado por el Estado, lo que traduce la presente solicitud ante el Tribunal en un reforzamiento de dicho esquema, junto con la adopción de </w:t>
      </w:r>
      <w:r w:rsidR="00A039A0">
        <w:rPr>
          <w:szCs w:val="20"/>
        </w:rPr>
        <w:t>medidas concretas de protección respecto de su</w:t>
      </w:r>
      <w:r w:rsidR="006F073A">
        <w:rPr>
          <w:szCs w:val="20"/>
        </w:rPr>
        <w:t xml:space="preserve"> madre.</w:t>
      </w:r>
    </w:p>
    <w:p w14:paraId="4FC0673B" w14:textId="43EFCBD4" w:rsidR="006F073A" w:rsidRDefault="00FD102D" w:rsidP="006F073A">
      <w:pPr>
        <w:pStyle w:val="Prrafodelista"/>
        <w:numPr>
          <w:ilvl w:val="0"/>
          <w:numId w:val="21"/>
        </w:numPr>
        <w:spacing w:before="120"/>
        <w:ind w:left="0" w:firstLine="0"/>
        <w:contextualSpacing w:val="0"/>
        <w:rPr>
          <w:szCs w:val="20"/>
        </w:rPr>
      </w:pPr>
      <w:r>
        <w:rPr>
          <w:szCs w:val="20"/>
        </w:rPr>
        <w:t>E</w:t>
      </w:r>
      <w:r w:rsidR="006F073A" w:rsidRPr="00F7096F">
        <w:rPr>
          <w:szCs w:val="20"/>
        </w:rPr>
        <w:t>l Trib</w:t>
      </w:r>
      <w:r w:rsidR="006F073A">
        <w:rPr>
          <w:szCs w:val="20"/>
        </w:rPr>
        <w:t>unal observa que, según lo indicado por la señora Bedoya Lima, desde hace como mínimo dos décadas hasta la actualidad, ha</w:t>
      </w:r>
      <w:r w:rsidR="00BC446A">
        <w:rPr>
          <w:szCs w:val="20"/>
        </w:rPr>
        <w:t>bría</w:t>
      </w:r>
      <w:r w:rsidR="006F073A">
        <w:rPr>
          <w:szCs w:val="20"/>
        </w:rPr>
        <w:t xml:space="preserve"> </w:t>
      </w:r>
      <w:r w:rsidR="006F073A" w:rsidRPr="00F7096F">
        <w:rPr>
          <w:szCs w:val="20"/>
        </w:rPr>
        <w:t xml:space="preserve">recibido amenazas que </w:t>
      </w:r>
      <w:r w:rsidR="006F073A">
        <w:rPr>
          <w:szCs w:val="20"/>
        </w:rPr>
        <w:t>atentarían</w:t>
      </w:r>
      <w:r w:rsidR="006F073A" w:rsidRPr="00F7096F">
        <w:rPr>
          <w:szCs w:val="20"/>
        </w:rPr>
        <w:t xml:space="preserve"> contra su vida e integridad, </w:t>
      </w:r>
      <w:r w:rsidR="00BC446A">
        <w:rPr>
          <w:szCs w:val="20"/>
        </w:rPr>
        <w:t>e incluso algunas de</w:t>
      </w:r>
      <w:r w:rsidR="00A039A0">
        <w:rPr>
          <w:szCs w:val="20"/>
        </w:rPr>
        <w:t xml:space="preserve"> ella</w:t>
      </w:r>
      <w:r w:rsidR="006F073A">
        <w:rPr>
          <w:szCs w:val="20"/>
        </w:rPr>
        <w:t>s</w:t>
      </w:r>
      <w:r w:rsidR="00BC446A">
        <w:rPr>
          <w:szCs w:val="20"/>
        </w:rPr>
        <w:t>,</w:t>
      </w:r>
      <w:r w:rsidR="006F073A">
        <w:rPr>
          <w:szCs w:val="20"/>
        </w:rPr>
        <w:t xml:space="preserve"> en particular</w:t>
      </w:r>
      <w:r w:rsidR="00BC446A">
        <w:rPr>
          <w:szCs w:val="20"/>
        </w:rPr>
        <w:t>,</w:t>
      </w:r>
      <w:r w:rsidR="006F073A">
        <w:rPr>
          <w:szCs w:val="20"/>
        </w:rPr>
        <w:t xml:space="preserve"> </w:t>
      </w:r>
      <w:r w:rsidR="00BC446A">
        <w:rPr>
          <w:szCs w:val="20"/>
        </w:rPr>
        <w:t>conformarían</w:t>
      </w:r>
      <w:r w:rsidR="006F073A">
        <w:rPr>
          <w:szCs w:val="20"/>
        </w:rPr>
        <w:t xml:space="preserve"> </w:t>
      </w:r>
      <w:r w:rsidR="006F073A" w:rsidRPr="00F7096F">
        <w:rPr>
          <w:szCs w:val="20"/>
        </w:rPr>
        <w:t xml:space="preserve">actos de amedrentamiento </w:t>
      </w:r>
      <w:r w:rsidR="00A039A0">
        <w:rPr>
          <w:szCs w:val="20"/>
        </w:rPr>
        <w:t>con</w:t>
      </w:r>
      <w:r w:rsidR="006F073A">
        <w:rPr>
          <w:szCs w:val="20"/>
        </w:rPr>
        <w:t xml:space="preserve"> un alto grado de</w:t>
      </w:r>
      <w:r w:rsidR="006F073A" w:rsidRPr="00F7096F">
        <w:rPr>
          <w:szCs w:val="20"/>
        </w:rPr>
        <w:t xml:space="preserve"> violencia sexual. El Tribunal </w:t>
      </w:r>
      <w:r w:rsidR="00A039A0">
        <w:rPr>
          <w:szCs w:val="20"/>
        </w:rPr>
        <w:t>nota</w:t>
      </w:r>
      <w:r w:rsidR="006F073A" w:rsidRPr="00F7096F">
        <w:rPr>
          <w:szCs w:val="20"/>
        </w:rPr>
        <w:t xml:space="preserve"> que la entidad de las amenazas que, según la señora Bedoya Lima, sufren ella y su madre, alcanzan un grado de intimidación y </w:t>
      </w:r>
      <w:r w:rsidR="00A039A0">
        <w:rPr>
          <w:szCs w:val="20"/>
        </w:rPr>
        <w:t xml:space="preserve">generan tal nivel de </w:t>
      </w:r>
      <w:r w:rsidR="006F073A" w:rsidRPr="00F7096F">
        <w:rPr>
          <w:szCs w:val="20"/>
        </w:rPr>
        <w:t xml:space="preserve">angustia que puede ser calificado como de extrema gravedad. Lo anterior se enmarca en una línea del tiempo en la que, </w:t>
      </w:r>
      <w:r w:rsidR="00BC446A">
        <w:rPr>
          <w:szCs w:val="20"/>
        </w:rPr>
        <w:t>según</w:t>
      </w:r>
      <w:r w:rsidR="006F073A" w:rsidRPr="00F7096F">
        <w:rPr>
          <w:szCs w:val="20"/>
        </w:rPr>
        <w:t xml:space="preserve"> lo alegado </w:t>
      </w:r>
      <w:r w:rsidR="00BC446A">
        <w:rPr>
          <w:szCs w:val="20"/>
        </w:rPr>
        <w:t xml:space="preserve">por </w:t>
      </w:r>
      <w:r w:rsidR="006F073A" w:rsidRPr="00F7096F">
        <w:rPr>
          <w:szCs w:val="20"/>
        </w:rPr>
        <w:t xml:space="preserve">la Comisión y las representantes, tanto la señora Bedoya Lima como su madre </w:t>
      </w:r>
      <w:r w:rsidR="00A039A0">
        <w:rPr>
          <w:szCs w:val="20"/>
        </w:rPr>
        <w:t>habrían</w:t>
      </w:r>
      <w:r w:rsidR="006F073A" w:rsidRPr="00F7096F">
        <w:rPr>
          <w:szCs w:val="20"/>
        </w:rPr>
        <w:t xml:space="preserve"> sido víctimas de ataques</w:t>
      </w:r>
      <w:r w:rsidR="00BC446A">
        <w:rPr>
          <w:szCs w:val="20"/>
        </w:rPr>
        <w:t xml:space="preserve"> en el pasado</w:t>
      </w:r>
      <w:r w:rsidR="006F073A" w:rsidRPr="00F7096F">
        <w:rPr>
          <w:rStyle w:val="Refdenotaalpie"/>
          <w:szCs w:val="20"/>
        </w:rPr>
        <w:footnoteReference w:id="11"/>
      </w:r>
      <w:r w:rsidR="00BC446A">
        <w:rPr>
          <w:szCs w:val="20"/>
        </w:rPr>
        <w:t>,</w:t>
      </w:r>
      <w:r w:rsidR="006F073A" w:rsidRPr="00F7096F">
        <w:rPr>
          <w:szCs w:val="20"/>
        </w:rPr>
        <w:t xml:space="preserve"> </w:t>
      </w:r>
      <w:r w:rsidR="00A039A0">
        <w:rPr>
          <w:szCs w:val="20"/>
        </w:rPr>
        <w:t xml:space="preserve">los cuales continuarían </w:t>
      </w:r>
      <w:r w:rsidR="006F073A" w:rsidRPr="00F7096F">
        <w:rPr>
          <w:szCs w:val="20"/>
        </w:rPr>
        <w:t xml:space="preserve">hasta el día de </w:t>
      </w:r>
      <w:r w:rsidR="006F073A" w:rsidRPr="002F1732">
        <w:rPr>
          <w:szCs w:val="20"/>
        </w:rPr>
        <w:t>hoy</w:t>
      </w:r>
      <w:r w:rsidR="007C5E97" w:rsidRPr="002F1732">
        <w:rPr>
          <w:szCs w:val="20"/>
        </w:rPr>
        <w:t xml:space="preserve"> y se habrían incrementado c</w:t>
      </w:r>
      <w:r w:rsidR="00852240" w:rsidRPr="002F1732">
        <w:rPr>
          <w:szCs w:val="20"/>
        </w:rPr>
        <w:t>on la participación de esta ante esta Corte (</w:t>
      </w:r>
      <w:r w:rsidR="002F1732">
        <w:rPr>
          <w:szCs w:val="20"/>
        </w:rPr>
        <w:t xml:space="preserve">ver, en este sentido, lo dispuesto en el </w:t>
      </w:r>
      <w:r w:rsidR="00852240" w:rsidRPr="002F1732">
        <w:rPr>
          <w:szCs w:val="20"/>
        </w:rPr>
        <w:t xml:space="preserve">artículo 53 </w:t>
      </w:r>
      <w:r w:rsidR="002C49D4" w:rsidRPr="002F1732">
        <w:rPr>
          <w:szCs w:val="20"/>
        </w:rPr>
        <w:t xml:space="preserve">del </w:t>
      </w:r>
      <w:r w:rsidR="00852240" w:rsidRPr="002F1732">
        <w:rPr>
          <w:szCs w:val="20"/>
        </w:rPr>
        <w:t>Reglamento</w:t>
      </w:r>
      <w:r w:rsidR="002C49D4" w:rsidRPr="002F1732">
        <w:rPr>
          <w:szCs w:val="20"/>
        </w:rPr>
        <w:t xml:space="preserve"> de la Corte</w:t>
      </w:r>
      <w:r w:rsidR="002F1732">
        <w:rPr>
          <w:rStyle w:val="Refdenotaalpie"/>
          <w:szCs w:val="20"/>
        </w:rPr>
        <w:footnoteReference w:id="12"/>
      </w:r>
      <w:r w:rsidR="00852240" w:rsidRPr="002F1732">
        <w:rPr>
          <w:szCs w:val="20"/>
        </w:rPr>
        <w:t>)</w:t>
      </w:r>
      <w:r w:rsidR="007C5E97" w:rsidRPr="002F1732">
        <w:rPr>
          <w:rStyle w:val="Refdenotaalpie"/>
          <w:szCs w:val="20"/>
        </w:rPr>
        <w:footnoteReference w:id="13"/>
      </w:r>
      <w:r w:rsidR="002C49D4" w:rsidRPr="002F1732">
        <w:rPr>
          <w:szCs w:val="20"/>
        </w:rPr>
        <w:t>,</w:t>
      </w:r>
      <w:r w:rsidR="002C49D4">
        <w:rPr>
          <w:szCs w:val="20"/>
        </w:rPr>
        <w:t xml:space="preserve"> </w:t>
      </w:r>
      <w:r w:rsidR="00BC446A">
        <w:rPr>
          <w:szCs w:val="20"/>
        </w:rPr>
        <w:t xml:space="preserve">reflejando así el carácter urgente de lo </w:t>
      </w:r>
      <w:r w:rsidR="00BC446A">
        <w:rPr>
          <w:szCs w:val="20"/>
        </w:rPr>
        <w:lastRenderedPageBreak/>
        <w:t>alegado</w:t>
      </w:r>
      <w:r w:rsidR="006F073A" w:rsidRPr="00F7096F">
        <w:rPr>
          <w:szCs w:val="20"/>
        </w:rPr>
        <w:t>. Finalmente, debido a la</w:t>
      </w:r>
      <w:r w:rsidR="00BC446A">
        <w:rPr>
          <w:szCs w:val="20"/>
        </w:rPr>
        <w:t xml:space="preserve"> naturaleza y</w:t>
      </w:r>
      <w:r w:rsidR="006F073A" w:rsidRPr="00F7096F">
        <w:rPr>
          <w:szCs w:val="20"/>
        </w:rPr>
        <w:t xml:space="preserve"> entidad de los actos, es claro que estos </w:t>
      </w:r>
      <w:r w:rsidR="006F073A">
        <w:rPr>
          <w:szCs w:val="20"/>
        </w:rPr>
        <w:t>pueden causar daños irreparables, tanto a la señora Bedoya Lima como a su madre</w:t>
      </w:r>
      <w:r w:rsidR="006F073A" w:rsidRPr="00F7096F">
        <w:rPr>
          <w:szCs w:val="20"/>
        </w:rPr>
        <w:t>.</w:t>
      </w:r>
    </w:p>
    <w:p w14:paraId="6274D2D2" w14:textId="4F9ADE76" w:rsidR="006C46A7" w:rsidRPr="00F7096F" w:rsidRDefault="00700FF0" w:rsidP="00F7096F">
      <w:pPr>
        <w:pStyle w:val="Prrafodelista"/>
        <w:numPr>
          <w:ilvl w:val="0"/>
          <w:numId w:val="21"/>
        </w:numPr>
        <w:spacing w:before="120"/>
        <w:ind w:left="0" w:firstLine="0"/>
        <w:contextualSpacing w:val="0"/>
        <w:rPr>
          <w:szCs w:val="20"/>
        </w:rPr>
      </w:pPr>
      <w:r w:rsidRPr="00F7096F">
        <w:rPr>
          <w:szCs w:val="20"/>
        </w:rPr>
        <w:t xml:space="preserve">A lo anterior se suma el hecho que se alega en el presente caso, por parte de las representantes y de la Comisión, que </w:t>
      </w:r>
      <w:r w:rsidR="006F073A">
        <w:rPr>
          <w:szCs w:val="20"/>
        </w:rPr>
        <w:t>existiría</w:t>
      </w:r>
      <w:r w:rsidR="006F073A" w:rsidRPr="00F7096F">
        <w:rPr>
          <w:szCs w:val="20"/>
        </w:rPr>
        <w:t xml:space="preserve"> </w:t>
      </w:r>
      <w:r w:rsidRPr="00F7096F">
        <w:rPr>
          <w:szCs w:val="20"/>
        </w:rPr>
        <w:t xml:space="preserve">un contexto generalizado de riesgos especiales de violencia sexual y discriminación a los que </w:t>
      </w:r>
      <w:r w:rsidR="006F073A">
        <w:rPr>
          <w:szCs w:val="20"/>
        </w:rPr>
        <w:t>estarían</w:t>
      </w:r>
      <w:r w:rsidR="006F073A" w:rsidRPr="00F7096F">
        <w:rPr>
          <w:szCs w:val="20"/>
        </w:rPr>
        <w:t xml:space="preserve"> </w:t>
      </w:r>
      <w:r w:rsidRPr="00F7096F">
        <w:rPr>
          <w:szCs w:val="20"/>
        </w:rPr>
        <w:t>expuestas las mujeres periodistas en razón de su género por el ejercicio de la profesión</w:t>
      </w:r>
      <w:r w:rsidR="00BC446A">
        <w:rPr>
          <w:szCs w:val="20"/>
        </w:rPr>
        <w:t>.</w:t>
      </w:r>
      <w:r w:rsidR="006C46A7" w:rsidRPr="00F7096F">
        <w:rPr>
          <w:b/>
          <w:szCs w:val="20"/>
        </w:rPr>
        <w:t xml:space="preserve"> </w:t>
      </w:r>
      <w:r w:rsidR="006C46A7" w:rsidRPr="00F7096F">
        <w:rPr>
          <w:szCs w:val="20"/>
        </w:rPr>
        <w:t>A este respecto, e</w:t>
      </w:r>
      <w:r w:rsidR="006C46A7" w:rsidRPr="00F7096F">
        <w:rPr>
          <w:rFonts w:eastAsia="Verdana" w:cs="Verdana"/>
          <w:szCs w:val="20"/>
          <w:lang w:val="es-CR"/>
        </w:rPr>
        <w:t xml:space="preserve">l Tribunal recuerda que, para </w:t>
      </w:r>
      <w:r w:rsidR="006C46A7" w:rsidRPr="00F7096F">
        <w:rPr>
          <w:szCs w:val="20"/>
        </w:rPr>
        <w:t>determinar</w:t>
      </w:r>
      <w:r w:rsidR="006C46A7" w:rsidRPr="00F7096F">
        <w:rPr>
          <w:rFonts w:eastAsia="Verdana" w:cs="Verdana"/>
          <w:szCs w:val="20"/>
          <w:lang w:val="es-CR"/>
        </w:rPr>
        <w:t xml:space="preserve"> si la situación de extrema gravedad y urgencia para evitar daños irreparables existe, es posible valorar el conjunto de factores o circunstancias políticas, históricas, culturales o de cualquier otra índole que afectan al beneficiario o lo ubican en una situación de vulnerabilidad en un determinado momento y lo expone a recibir lesiones a sus derechos. Esta situación puede crecer o decrecer en el tiempo dependiendo de un sinnúmero de variables</w:t>
      </w:r>
      <w:r w:rsidR="006C46A7" w:rsidRPr="00F7096F">
        <w:rPr>
          <w:rStyle w:val="Refdenotaalpie"/>
          <w:rFonts w:eastAsia="Verdana" w:cs="Verdana"/>
          <w:szCs w:val="20"/>
          <w:lang w:val="es-CR"/>
        </w:rPr>
        <w:footnoteReference w:id="14"/>
      </w:r>
      <w:r w:rsidR="006C46A7" w:rsidRPr="00F7096F">
        <w:rPr>
          <w:rFonts w:eastAsia="Verdana" w:cs="Verdana"/>
          <w:szCs w:val="20"/>
          <w:lang w:val="es-CR"/>
        </w:rPr>
        <w:t>.</w:t>
      </w:r>
      <w:r w:rsidR="006C46A7" w:rsidRPr="00F7096F">
        <w:rPr>
          <w:szCs w:val="20"/>
        </w:rPr>
        <w:t xml:space="preserve"> </w:t>
      </w:r>
    </w:p>
    <w:p w14:paraId="26BD4513" w14:textId="7C566990" w:rsidR="00807987" w:rsidRPr="00F7096F" w:rsidRDefault="00807987" w:rsidP="00F7096F">
      <w:pPr>
        <w:pStyle w:val="Prrafodelista"/>
        <w:numPr>
          <w:ilvl w:val="0"/>
          <w:numId w:val="21"/>
        </w:numPr>
        <w:spacing w:before="120"/>
        <w:ind w:left="0" w:firstLine="0"/>
        <w:contextualSpacing w:val="0"/>
        <w:rPr>
          <w:szCs w:val="20"/>
        </w:rPr>
      </w:pPr>
      <w:r w:rsidRPr="00F7096F">
        <w:rPr>
          <w:rFonts w:eastAsia="MS Mincho"/>
          <w:szCs w:val="20"/>
        </w:rPr>
        <w:t xml:space="preserve">De acuerdo con lo </w:t>
      </w:r>
      <w:r w:rsidR="00F22633" w:rsidRPr="00F7096F">
        <w:rPr>
          <w:rFonts w:eastAsia="MS Mincho"/>
          <w:szCs w:val="20"/>
        </w:rPr>
        <w:t xml:space="preserve">todo lo </w:t>
      </w:r>
      <w:r w:rsidRPr="00F7096F">
        <w:rPr>
          <w:rFonts w:eastAsia="MS Mincho"/>
          <w:szCs w:val="20"/>
        </w:rPr>
        <w:t xml:space="preserve">anterior, </w:t>
      </w:r>
      <w:r w:rsidR="002C49D4" w:rsidRPr="00F7096F">
        <w:rPr>
          <w:rFonts w:eastAsia="MS Mincho"/>
          <w:szCs w:val="20"/>
        </w:rPr>
        <w:t>este Tribunal considera</w:t>
      </w:r>
      <w:r w:rsidR="002C49D4" w:rsidRPr="002C49D4">
        <w:rPr>
          <w:b/>
          <w:szCs w:val="20"/>
        </w:rPr>
        <w:t xml:space="preserve"> </w:t>
      </w:r>
      <w:r w:rsidR="0005396A" w:rsidRPr="00F7096F">
        <w:rPr>
          <w:szCs w:val="20"/>
        </w:rPr>
        <w:t xml:space="preserve">que existe </w:t>
      </w:r>
      <w:r w:rsidR="003D3CAA" w:rsidRPr="00F7096F">
        <w:rPr>
          <w:i/>
          <w:szCs w:val="20"/>
        </w:rPr>
        <w:t>prima facie</w:t>
      </w:r>
      <w:r w:rsidR="003D3CAA" w:rsidRPr="00F7096F">
        <w:rPr>
          <w:szCs w:val="20"/>
        </w:rPr>
        <w:t xml:space="preserve"> </w:t>
      </w:r>
      <w:r w:rsidR="0005396A" w:rsidRPr="00F7096F">
        <w:rPr>
          <w:szCs w:val="20"/>
        </w:rPr>
        <w:t xml:space="preserve">una </w:t>
      </w:r>
      <w:r w:rsidRPr="00F7096F">
        <w:rPr>
          <w:szCs w:val="20"/>
        </w:rPr>
        <w:t xml:space="preserve">situación de extrema gravedad y urgencia, con la perspectiva de sufrir un daño irreparable, </w:t>
      </w:r>
      <w:r w:rsidR="0005396A" w:rsidRPr="00F7096F">
        <w:rPr>
          <w:szCs w:val="20"/>
        </w:rPr>
        <w:t xml:space="preserve">en contra de </w:t>
      </w:r>
      <w:r w:rsidR="00C50D18" w:rsidRPr="00F7096F">
        <w:rPr>
          <w:szCs w:val="20"/>
        </w:rPr>
        <w:t>las presuntas víctimas Jineth Bedoya Lima y Luz Nelly Lima</w:t>
      </w:r>
      <w:r w:rsidR="00B3767A">
        <w:rPr>
          <w:szCs w:val="20"/>
        </w:rPr>
        <w:t>, lo cual amerita la adopción de medidas provisionales por parte del Tribunal</w:t>
      </w:r>
      <w:r w:rsidR="00C50D18" w:rsidRPr="00F7096F">
        <w:rPr>
          <w:szCs w:val="20"/>
        </w:rPr>
        <w:t xml:space="preserve">. </w:t>
      </w:r>
      <w:r w:rsidR="00A039A0" w:rsidRPr="00F7096F">
        <w:rPr>
          <w:szCs w:val="20"/>
        </w:rPr>
        <w:t xml:space="preserve">Sobre este último punto, cabe recordar que </w:t>
      </w:r>
      <w:r w:rsidR="00A039A0">
        <w:rPr>
          <w:szCs w:val="20"/>
        </w:rPr>
        <w:t>la</w:t>
      </w:r>
      <w:r w:rsidR="00A039A0" w:rsidRPr="00F7096F">
        <w:rPr>
          <w:szCs w:val="20"/>
        </w:rPr>
        <w:t xml:space="preserve"> Corte ha </w:t>
      </w:r>
      <w:r w:rsidR="00A039A0" w:rsidRPr="00F7096F">
        <w:rPr>
          <w:rFonts w:eastAsia="MS Mincho"/>
          <w:szCs w:val="20"/>
        </w:rPr>
        <w:t>señalado</w:t>
      </w:r>
      <w:r w:rsidR="00A039A0" w:rsidRPr="00F7096F">
        <w:rPr>
          <w:szCs w:val="20"/>
        </w:rPr>
        <w:t xml:space="preserve"> en varias oportunidades que “es responsabilidad del Estado adoptar medidas de seguridad para proteger a todas las personas que estén sujetas a su jurisdicción y este deber se torna aún más evidente en relación con quienes estén vinculados en procesos ante los órganos de supervisión de la Convención Americana”</w:t>
      </w:r>
      <w:r w:rsidR="00A039A0" w:rsidRPr="00F7096F">
        <w:rPr>
          <w:rStyle w:val="Refdenotaalpie"/>
          <w:szCs w:val="20"/>
        </w:rPr>
        <w:footnoteReference w:id="15"/>
      </w:r>
      <w:r w:rsidR="00A039A0" w:rsidRPr="00F7096F">
        <w:rPr>
          <w:szCs w:val="20"/>
        </w:rPr>
        <w:t xml:space="preserve">. </w:t>
      </w:r>
      <w:r w:rsidR="0005396A" w:rsidRPr="00F7096F">
        <w:rPr>
          <w:szCs w:val="20"/>
        </w:rPr>
        <w:t xml:space="preserve">En consecuencia, esta Corte estima pertinente </w:t>
      </w:r>
      <w:r w:rsidR="003F39E2" w:rsidRPr="00F7096F">
        <w:rPr>
          <w:szCs w:val="20"/>
        </w:rPr>
        <w:t xml:space="preserve">hacer </w:t>
      </w:r>
      <w:r w:rsidR="0005396A" w:rsidRPr="00F7096F">
        <w:rPr>
          <w:szCs w:val="20"/>
        </w:rPr>
        <w:t>lugar a la solicitud de medidas provisionales de</w:t>
      </w:r>
      <w:r w:rsidR="00C50D18" w:rsidRPr="00F7096F">
        <w:rPr>
          <w:szCs w:val="20"/>
        </w:rPr>
        <w:t xml:space="preserve"> la presunta víctima</w:t>
      </w:r>
      <w:r w:rsidR="0005396A" w:rsidRPr="00F7096F">
        <w:rPr>
          <w:szCs w:val="20"/>
        </w:rPr>
        <w:t xml:space="preserve">, y ordenar al Estado </w:t>
      </w:r>
      <w:r w:rsidR="003F39E2" w:rsidRPr="00F7096F">
        <w:rPr>
          <w:szCs w:val="20"/>
        </w:rPr>
        <w:t xml:space="preserve">la adopción, de forma inmediata, de </w:t>
      </w:r>
      <w:r w:rsidR="0005396A" w:rsidRPr="00F7096F">
        <w:rPr>
          <w:szCs w:val="20"/>
        </w:rPr>
        <w:t xml:space="preserve">todas las medidas necesarias para proteger la vida e integridad personal </w:t>
      </w:r>
      <w:r w:rsidR="00A96FE1" w:rsidRPr="00F7096F">
        <w:rPr>
          <w:szCs w:val="20"/>
        </w:rPr>
        <w:t>de las presuntas víctimas Jineth Bedoya Lima y Luz Nelly Lima</w:t>
      </w:r>
      <w:r w:rsidRPr="00F7096F">
        <w:rPr>
          <w:szCs w:val="20"/>
        </w:rPr>
        <w:t xml:space="preserve">. </w:t>
      </w:r>
    </w:p>
    <w:bookmarkEnd w:id="1"/>
    <w:p w14:paraId="3DA4893C" w14:textId="2E3565A4" w:rsidR="0005396A" w:rsidRPr="00F7096F" w:rsidRDefault="0005396A" w:rsidP="00F7096F">
      <w:pPr>
        <w:autoSpaceDE w:val="0"/>
        <w:autoSpaceDN w:val="0"/>
        <w:adjustRightInd w:val="0"/>
        <w:spacing w:before="360" w:after="360"/>
        <w:jc w:val="left"/>
        <w:rPr>
          <w:rFonts w:eastAsia="Verdana" w:cs="Verdana"/>
          <w:szCs w:val="20"/>
        </w:rPr>
      </w:pPr>
      <w:r w:rsidRPr="00F7096F">
        <w:rPr>
          <w:rFonts w:eastAsia="Verdana" w:cs="Verdana"/>
          <w:b/>
          <w:bCs/>
          <w:szCs w:val="20"/>
        </w:rPr>
        <w:t>POR TANTO:</w:t>
      </w:r>
      <w:r w:rsidR="002707C6">
        <w:rPr>
          <w:rFonts w:eastAsia="Verdana" w:cs="Verdana"/>
          <w:b/>
          <w:bCs/>
          <w:szCs w:val="20"/>
        </w:rPr>
        <w:t xml:space="preserve"> </w:t>
      </w:r>
    </w:p>
    <w:p w14:paraId="44C91C9B" w14:textId="77777777" w:rsidR="0005396A" w:rsidRPr="00F7096F" w:rsidRDefault="0005396A" w:rsidP="00F7096F">
      <w:pPr>
        <w:autoSpaceDE w:val="0"/>
        <w:autoSpaceDN w:val="0"/>
        <w:adjustRightInd w:val="0"/>
        <w:spacing w:before="360" w:after="360"/>
        <w:jc w:val="left"/>
        <w:rPr>
          <w:rFonts w:eastAsia="Verdana" w:cs="Verdana"/>
          <w:szCs w:val="20"/>
        </w:rPr>
      </w:pPr>
      <w:r w:rsidRPr="00F7096F">
        <w:rPr>
          <w:rFonts w:eastAsia="Verdana" w:cs="Verdana"/>
          <w:b/>
          <w:bCs/>
          <w:szCs w:val="20"/>
        </w:rPr>
        <w:t xml:space="preserve">LA CORTE </w:t>
      </w:r>
      <w:r w:rsidRPr="00F7096F">
        <w:rPr>
          <w:rFonts w:eastAsia="Times New Roman" w:cs="Verdana"/>
          <w:b/>
          <w:bCs/>
          <w:szCs w:val="20"/>
          <w:lang w:eastAsia="en-US"/>
        </w:rPr>
        <w:t>INTERAMERICANA</w:t>
      </w:r>
      <w:r w:rsidRPr="00F7096F">
        <w:rPr>
          <w:rFonts w:eastAsia="Verdana" w:cs="Verdana"/>
          <w:b/>
          <w:bCs/>
          <w:szCs w:val="20"/>
        </w:rPr>
        <w:t xml:space="preserve"> DE DERECHOS HUMANOS,</w:t>
      </w:r>
    </w:p>
    <w:p w14:paraId="300996E0" w14:textId="77777777" w:rsidR="0005396A" w:rsidRPr="00F7096F" w:rsidRDefault="0005396A" w:rsidP="00F7096F">
      <w:pPr>
        <w:suppressLineNumbers/>
        <w:spacing w:before="120"/>
        <w:rPr>
          <w:rFonts w:eastAsia="Verdana" w:cs="Verdana"/>
          <w:szCs w:val="20"/>
          <w:highlight w:val="yellow"/>
        </w:rPr>
      </w:pPr>
      <w:r w:rsidRPr="00F7096F">
        <w:rPr>
          <w:szCs w:val="20"/>
        </w:rPr>
        <w:t>en uso de las atribuciones que le confieren los artículos 63.2 de la Convención Americana, y los artículos 24.2 del Estatuto de la Corte, y 27 y 31 del Reglamento del Tribunal,</w:t>
      </w:r>
    </w:p>
    <w:p w14:paraId="0522E80D" w14:textId="77777777" w:rsidR="00B3767A" w:rsidRDefault="00B3767A">
      <w:pPr>
        <w:spacing w:after="160" w:line="259" w:lineRule="auto"/>
        <w:jc w:val="left"/>
        <w:rPr>
          <w:rFonts w:eastAsia="Times New Roman" w:cs="Verdana"/>
          <w:b/>
          <w:bCs/>
          <w:szCs w:val="20"/>
          <w:lang w:eastAsia="en-US"/>
        </w:rPr>
      </w:pPr>
      <w:r>
        <w:rPr>
          <w:rFonts w:eastAsia="Times New Roman" w:cs="Verdana"/>
          <w:b/>
          <w:bCs/>
          <w:szCs w:val="20"/>
          <w:lang w:eastAsia="en-US"/>
        </w:rPr>
        <w:br w:type="page"/>
      </w:r>
    </w:p>
    <w:p w14:paraId="14AE2DEE" w14:textId="47E3B1A5" w:rsidR="0005396A" w:rsidRPr="00F7096F" w:rsidRDefault="0005396A" w:rsidP="00F7096F">
      <w:pPr>
        <w:autoSpaceDE w:val="0"/>
        <w:autoSpaceDN w:val="0"/>
        <w:adjustRightInd w:val="0"/>
        <w:spacing w:before="360" w:after="360"/>
        <w:jc w:val="left"/>
        <w:rPr>
          <w:rFonts w:eastAsia="Verdana" w:cs="Verdana"/>
          <w:szCs w:val="20"/>
        </w:rPr>
      </w:pPr>
      <w:r w:rsidRPr="00F7096F">
        <w:rPr>
          <w:rFonts w:eastAsia="Times New Roman" w:cs="Verdana"/>
          <w:b/>
          <w:bCs/>
          <w:szCs w:val="20"/>
          <w:lang w:eastAsia="en-US"/>
        </w:rPr>
        <w:lastRenderedPageBreak/>
        <w:t>RESUELVE</w:t>
      </w:r>
      <w:r w:rsidRPr="00F7096F">
        <w:rPr>
          <w:rFonts w:eastAsia="Verdana" w:cs="Verdana"/>
          <w:b/>
          <w:bCs/>
          <w:szCs w:val="20"/>
        </w:rPr>
        <w:t>:</w:t>
      </w:r>
    </w:p>
    <w:p w14:paraId="54FD68B8" w14:textId="01408B2C" w:rsidR="0005396A" w:rsidRPr="00F7096F" w:rsidRDefault="0005396A" w:rsidP="000826C4">
      <w:pPr>
        <w:spacing w:before="120" w:after="240"/>
        <w:rPr>
          <w:rFonts w:eastAsia="Verdana" w:cs="Verdana"/>
          <w:szCs w:val="20"/>
          <w:lang w:val="es-CR"/>
        </w:rPr>
      </w:pPr>
      <w:r w:rsidRPr="00F7096F">
        <w:rPr>
          <w:rFonts w:eastAsia="Verdana" w:cs="Verdana"/>
          <w:bCs/>
          <w:szCs w:val="20"/>
          <w:lang w:val="es-CR"/>
        </w:rPr>
        <w:t xml:space="preserve">Por </w:t>
      </w:r>
      <w:r w:rsidR="00340862" w:rsidRPr="00F7096F">
        <w:rPr>
          <w:rFonts w:eastAsia="Verdana" w:cs="Verdana"/>
          <w:bCs/>
          <w:szCs w:val="20"/>
          <w:lang w:val="es-CR"/>
        </w:rPr>
        <w:t>unanimidad</w:t>
      </w:r>
      <w:r w:rsidR="00A96FE1">
        <w:rPr>
          <w:rFonts w:eastAsia="Verdana" w:cs="Verdana"/>
          <w:szCs w:val="20"/>
          <w:lang w:val="es-CR"/>
        </w:rPr>
        <w:t>,</w:t>
      </w:r>
    </w:p>
    <w:p w14:paraId="6224092A" w14:textId="392DD394" w:rsidR="0005396A" w:rsidRPr="00F7096F" w:rsidRDefault="0005396A" w:rsidP="000826C4">
      <w:pPr>
        <w:pStyle w:val="Prrafodelista"/>
        <w:numPr>
          <w:ilvl w:val="0"/>
          <w:numId w:val="19"/>
        </w:numPr>
        <w:suppressLineNumbers/>
        <w:spacing w:before="240" w:after="240"/>
        <w:ind w:left="0" w:firstLine="0"/>
        <w:contextualSpacing w:val="0"/>
        <w:rPr>
          <w:rFonts w:cs="Calibri"/>
          <w:color w:val="000000"/>
          <w:szCs w:val="20"/>
          <w:lang w:val="es-CR"/>
        </w:rPr>
      </w:pPr>
      <w:r w:rsidRPr="00F7096F">
        <w:rPr>
          <w:rFonts w:cs="Calibri"/>
          <w:color w:val="000000"/>
          <w:szCs w:val="20"/>
        </w:rPr>
        <w:t xml:space="preserve">Requerir al Estado de </w:t>
      </w:r>
      <w:r w:rsidR="00C50D18" w:rsidRPr="00F7096F">
        <w:rPr>
          <w:rFonts w:cs="Calibri"/>
          <w:color w:val="000000"/>
          <w:szCs w:val="20"/>
        </w:rPr>
        <w:t>Colombia</w:t>
      </w:r>
      <w:r w:rsidRPr="00F7096F">
        <w:rPr>
          <w:rFonts w:cs="Calibri"/>
          <w:color w:val="000000"/>
          <w:szCs w:val="20"/>
        </w:rPr>
        <w:t xml:space="preserve"> que adopte </w:t>
      </w:r>
      <w:r w:rsidR="00BF198D" w:rsidRPr="00F7096F">
        <w:rPr>
          <w:rFonts w:cs="Calibri"/>
          <w:color w:val="000000"/>
          <w:szCs w:val="20"/>
        </w:rPr>
        <w:t xml:space="preserve">inmediatamente </w:t>
      </w:r>
      <w:r w:rsidRPr="00F7096F">
        <w:rPr>
          <w:rFonts w:cs="Calibri"/>
          <w:color w:val="000000"/>
          <w:szCs w:val="20"/>
        </w:rPr>
        <w:t xml:space="preserve">todas las medidas adecuadas para proteger efectivamente los derechos a la vida e integridad personal de </w:t>
      </w:r>
      <w:r w:rsidR="00C50D18" w:rsidRPr="00F7096F">
        <w:rPr>
          <w:rFonts w:cs="Calibri"/>
          <w:color w:val="000000"/>
          <w:szCs w:val="20"/>
        </w:rPr>
        <w:t xml:space="preserve">Jineth Bedoya Lima y Luz Nelly Lima, presuntas víctimas dentro del </w:t>
      </w:r>
      <w:r w:rsidRPr="00F7096F">
        <w:rPr>
          <w:rFonts w:cs="Calibri"/>
          <w:color w:val="000000"/>
          <w:szCs w:val="20"/>
        </w:rPr>
        <w:t>presente caso ante la</w:t>
      </w:r>
      <w:r w:rsidR="000826C4">
        <w:rPr>
          <w:rFonts w:cs="Calibri"/>
          <w:color w:val="000000"/>
          <w:szCs w:val="20"/>
        </w:rPr>
        <w:t xml:space="preserve"> Corte, de conformidad con los Considerandos 3</w:t>
      </w:r>
      <w:r w:rsidRPr="00F7096F">
        <w:rPr>
          <w:rFonts w:cs="Calibri"/>
          <w:color w:val="000000"/>
          <w:szCs w:val="20"/>
        </w:rPr>
        <w:t xml:space="preserve"> a </w:t>
      </w:r>
      <w:r w:rsidR="002F0BA9">
        <w:rPr>
          <w:rFonts w:cs="Calibri"/>
          <w:color w:val="000000"/>
          <w:szCs w:val="20"/>
        </w:rPr>
        <w:t>12</w:t>
      </w:r>
      <w:r w:rsidRPr="00F7096F">
        <w:rPr>
          <w:rFonts w:cs="Calibri"/>
          <w:color w:val="000000"/>
          <w:szCs w:val="20"/>
        </w:rPr>
        <w:t xml:space="preserve"> de la presente resolución. </w:t>
      </w:r>
    </w:p>
    <w:p w14:paraId="62916C2D" w14:textId="5918CB24" w:rsidR="00BF198D" w:rsidRPr="00F7096F" w:rsidRDefault="00A8301D" w:rsidP="000826C4">
      <w:pPr>
        <w:pStyle w:val="Prrafodelista"/>
        <w:numPr>
          <w:ilvl w:val="0"/>
          <w:numId w:val="19"/>
        </w:numPr>
        <w:suppressLineNumbers/>
        <w:spacing w:before="240" w:after="240"/>
        <w:ind w:left="0" w:firstLine="0"/>
        <w:contextualSpacing w:val="0"/>
        <w:rPr>
          <w:szCs w:val="20"/>
        </w:rPr>
      </w:pPr>
      <w:r w:rsidRPr="00F7096F">
        <w:rPr>
          <w:szCs w:val="20"/>
        </w:rPr>
        <w:t>Requerir al Estado que</w:t>
      </w:r>
      <w:r w:rsidR="00A45F7F" w:rsidRPr="00F7096F">
        <w:rPr>
          <w:szCs w:val="20"/>
        </w:rPr>
        <w:t xml:space="preserve"> </w:t>
      </w:r>
      <w:r w:rsidRPr="00F7096F">
        <w:rPr>
          <w:szCs w:val="20"/>
        </w:rPr>
        <w:t xml:space="preserve">dé </w:t>
      </w:r>
      <w:r w:rsidRPr="00F7096F">
        <w:rPr>
          <w:rFonts w:cs="Calibri"/>
          <w:color w:val="000000"/>
          <w:szCs w:val="20"/>
        </w:rPr>
        <w:t>participación</w:t>
      </w:r>
      <w:r w:rsidRPr="00F7096F">
        <w:rPr>
          <w:szCs w:val="20"/>
        </w:rPr>
        <w:t xml:space="preserve"> a las beneficiarias </w:t>
      </w:r>
      <w:r w:rsidR="00A45F7F" w:rsidRPr="00F7096F">
        <w:rPr>
          <w:szCs w:val="20"/>
        </w:rPr>
        <w:t xml:space="preserve">en la planificación e implementación de estas medidas de protección </w:t>
      </w:r>
      <w:r w:rsidRPr="00F7096F">
        <w:rPr>
          <w:szCs w:val="20"/>
        </w:rPr>
        <w:t>y que, en general, l</w:t>
      </w:r>
      <w:r w:rsidR="00A45F7F" w:rsidRPr="00F7096F">
        <w:rPr>
          <w:szCs w:val="20"/>
        </w:rPr>
        <w:t>a</w:t>
      </w:r>
      <w:r w:rsidRPr="00F7096F">
        <w:rPr>
          <w:szCs w:val="20"/>
        </w:rPr>
        <w:t>s mantenga informadas sobre el avance de su ejecución</w:t>
      </w:r>
      <w:r w:rsidR="00BF198D" w:rsidRPr="00F7096F">
        <w:rPr>
          <w:szCs w:val="20"/>
        </w:rPr>
        <w:t>.</w:t>
      </w:r>
    </w:p>
    <w:p w14:paraId="1F4A4026" w14:textId="5A9ED3B4" w:rsidR="0005396A" w:rsidRPr="000826C4" w:rsidRDefault="0005396A" w:rsidP="000826C4">
      <w:pPr>
        <w:pStyle w:val="Prrafodelista"/>
        <w:numPr>
          <w:ilvl w:val="0"/>
          <w:numId w:val="19"/>
        </w:numPr>
        <w:suppressLineNumbers/>
        <w:spacing w:before="240" w:after="240"/>
        <w:ind w:left="0" w:firstLine="0"/>
        <w:contextualSpacing w:val="0"/>
        <w:rPr>
          <w:szCs w:val="20"/>
        </w:rPr>
      </w:pPr>
      <w:r w:rsidRPr="000826C4">
        <w:rPr>
          <w:rFonts w:eastAsia="Times" w:cs="Times New Roman"/>
          <w:szCs w:val="20"/>
        </w:rPr>
        <w:t>Requerir al Estado que presente información actualizada a la Corte sobre las medidas de protección que fueron adoptadas a favor de las personas mencionadas en el punto resolutivo 1</w:t>
      </w:r>
      <w:r w:rsidR="00270612" w:rsidRPr="000826C4">
        <w:rPr>
          <w:rFonts w:eastAsia="Times" w:cs="Times New Roman"/>
          <w:szCs w:val="20"/>
        </w:rPr>
        <w:t>,</w:t>
      </w:r>
      <w:r w:rsidRPr="000826C4">
        <w:rPr>
          <w:rFonts w:eastAsia="Times" w:cs="Times New Roman"/>
          <w:szCs w:val="20"/>
        </w:rPr>
        <w:t xml:space="preserve"> a más tardar el </w:t>
      </w:r>
      <w:r w:rsidR="000826C4">
        <w:rPr>
          <w:rFonts w:eastAsia="Times" w:cs="Times New Roman"/>
          <w:szCs w:val="20"/>
        </w:rPr>
        <w:t>9</w:t>
      </w:r>
      <w:r w:rsidRPr="000826C4">
        <w:rPr>
          <w:rFonts w:eastAsia="Times" w:cs="Times New Roman"/>
          <w:b/>
          <w:bCs/>
          <w:szCs w:val="20"/>
        </w:rPr>
        <w:t xml:space="preserve"> </w:t>
      </w:r>
      <w:r w:rsidRPr="000826C4">
        <w:rPr>
          <w:rFonts w:eastAsia="Times" w:cs="Times New Roman"/>
          <w:szCs w:val="20"/>
        </w:rPr>
        <w:t xml:space="preserve">de </w:t>
      </w:r>
      <w:r w:rsidR="000826C4" w:rsidRPr="000826C4">
        <w:rPr>
          <w:rFonts w:eastAsia="Times" w:cs="Times New Roman"/>
          <w:szCs w:val="20"/>
        </w:rPr>
        <w:t>abril</w:t>
      </w:r>
      <w:r w:rsidRPr="000826C4">
        <w:rPr>
          <w:rFonts w:eastAsia="Times" w:cs="Times New Roman"/>
          <w:szCs w:val="20"/>
        </w:rPr>
        <w:t xml:space="preserve"> de 202</w:t>
      </w:r>
      <w:r w:rsidR="00C50D18" w:rsidRPr="000826C4">
        <w:rPr>
          <w:rFonts w:eastAsia="Times" w:cs="Times New Roman"/>
          <w:szCs w:val="20"/>
        </w:rPr>
        <w:t>1</w:t>
      </w:r>
      <w:r w:rsidRPr="000826C4">
        <w:rPr>
          <w:rFonts w:eastAsia="Times" w:cs="Times New Roman"/>
          <w:szCs w:val="20"/>
        </w:rPr>
        <w:t>.</w:t>
      </w:r>
      <w:r w:rsidR="000826C4">
        <w:rPr>
          <w:rFonts w:eastAsia="Times" w:cs="Times New Roman"/>
          <w:szCs w:val="20"/>
        </w:rPr>
        <w:t xml:space="preserve"> </w:t>
      </w:r>
    </w:p>
    <w:p w14:paraId="522A8078" w14:textId="0B880EB0" w:rsidR="0005396A" w:rsidRPr="00F7096F" w:rsidRDefault="0005396A" w:rsidP="000826C4">
      <w:pPr>
        <w:pStyle w:val="Prrafodelista"/>
        <w:numPr>
          <w:ilvl w:val="0"/>
          <w:numId w:val="19"/>
        </w:numPr>
        <w:suppressLineNumbers/>
        <w:spacing w:before="240" w:after="240"/>
        <w:ind w:left="0" w:firstLine="0"/>
        <w:contextualSpacing w:val="0"/>
        <w:rPr>
          <w:szCs w:val="20"/>
        </w:rPr>
      </w:pPr>
      <w:r w:rsidRPr="00F7096F">
        <w:rPr>
          <w:szCs w:val="20"/>
        </w:rPr>
        <w:t>Requerir a l</w:t>
      </w:r>
      <w:r w:rsidR="00577D6D" w:rsidRPr="00F7096F">
        <w:rPr>
          <w:szCs w:val="20"/>
        </w:rPr>
        <w:t>a</w:t>
      </w:r>
      <w:r w:rsidRPr="00F7096F">
        <w:rPr>
          <w:szCs w:val="20"/>
        </w:rPr>
        <w:t xml:space="preserve">s representantes de las </w:t>
      </w:r>
      <w:r w:rsidR="00577D6D" w:rsidRPr="00F7096F">
        <w:rPr>
          <w:szCs w:val="20"/>
        </w:rPr>
        <w:t>presuntas víctimas</w:t>
      </w:r>
      <w:r w:rsidRPr="00F7096F">
        <w:rPr>
          <w:szCs w:val="20"/>
        </w:rPr>
        <w:t xml:space="preserve"> que presenten sus observaciones dentro de un plazo de diez días a partir de la notificación del referido informe del Estado solicitado en el punto resolutivo </w:t>
      </w:r>
      <w:r w:rsidR="000826C4">
        <w:rPr>
          <w:szCs w:val="20"/>
        </w:rPr>
        <w:t>3</w:t>
      </w:r>
      <w:r w:rsidRPr="00F7096F">
        <w:rPr>
          <w:szCs w:val="20"/>
        </w:rPr>
        <w:t>, así como a la Comisión Interamericana de Derechos Humanos que presente sus observaciones a dicho informe del Estado dentro de un plazo de diez días a partir de la rece</w:t>
      </w:r>
      <w:r w:rsidR="00577D6D" w:rsidRPr="00F7096F">
        <w:rPr>
          <w:szCs w:val="20"/>
        </w:rPr>
        <w:t>pción de las observaciones de la</w:t>
      </w:r>
      <w:r w:rsidRPr="00F7096F">
        <w:rPr>
          <w:szCs w:val="20"/>
        </w:rPr>
        <w:t>s representantes.</w:t>
      </w:r>
    </w:p>
    <w:p w14:paraId="6DA20B6C" w14:textId="77777777" w:rsidR="0005396A" w:rsidRPr="00F7096F" w:rsidRDefault="0005396A" w:rsidP="000826C4">
      <w:pPr>
        <w:pStyle w:val="Prrafodelista"/>
        <w:numPr>
          <w:ilvl w:val="0"/>
          <w:numId w:val="19"/>
        </w:numPr>
        <w:suppressLineNumbers/>
        <w:spacing w:before="240" w:after="240"/>
        <w:ind w:left="0" w:firstLine="0"/>
        <w:contextualSpacing w:val="0"/>
        <w:rPr>
          <w:szCs w:val="20"/>
        </w:rPr>
      </w:pPr>
      <w:r w:rsidRPr="00F7096F">
        <w:rPr>
          <w:szCs w:val="20"/>
        </w:rPr>
        <w:t>Requerir al Estado que continúe informando a la Corte cada dos meses, contados a partir de la remisión de su último informe, sobre las medidas provisionales adoptadas.</w:t>
      </w:r>
    </w:p>
    <w:p w14:paraId="3544CDD9" w14:textId="0AFED2A3" w:rsidR="0005396A" w:rsidRPr="00F7096F" w:rsidRDefault="0005396A" w:rsidP="000826C4">
      <w:pPr>
        <w:pStyle w:val="Prrafodelista"/>
        <w:numPr>
          <w:ilvl w:val="0"/>
          <w:numId w:val="19"/>
        </w:numPr>
        <w:suppressLineNumbers/>
        <w:spacing w:before="240" w:after="240"/>
        <w:ind w:left="0" w:firstLine="0"/>
        <w:contextualSpacing w:val="0"/>
        <w:rPr>
          <w:szCs w:val="20"/>
        </w:rPr>
      </w:pPr>
      <w:r w:rsidRPr="00F7096F">
        <w:rPr>
          <w:szCs w:val="20"/>
        </w:rPr>
        <w:t xml:space="preserve">Disponer que la Secretaría de la Corte notifique la presente Resolución al Estado de </w:t>
      </w:r>
      <w:r w:rsidR="00B3767A">
        <w:rPr>
          <w:szCs w:val="20"/>
        </w:rPr>
        <w:t>Colombia</w:t>
      </w:r>
      <w:r w:rsidRPr="00F7096F">
        <w:rPr>
          <w:szCs w:val="20"/>
        </w:rPr>
        <w:t>, a la Comisión Interamericana y a la representación de l</w:t>
      </w:r>
      <w:r w:rsidR="00577D6D" w:rsidRPr="00F7096F">
        <w:rPr>
          <w:szCs w:val="20"/>
        </w:rPr>
        <w:t>a</w:t>
      </w:r>
      <w:r w:rsidRPr="00F7096F">
        <w:rPr>
          <w:szCs w:val="20"/>
        </w:rPr>
        <w:t>s beneficiari</w:t>
      </w:r>
      <w:r w:rsidR="00577D6D" w:rsidRPr="00F7096F">
        <w:rPr>
          <w:szCs w:val="20"/>
        </w:rPr>
        <w:t>a</w:t>
      </w:r>
      <w:r w:rsidRPr="00F7096F">
        <w:rPr>
          <w:szCs w:val="20"/>
        </w:rPr>
        <w:t>s.</w:t>
      </w:r>
    </w:p>
    <w:p w14:paraId="4D45E804" w14:textId="6394E40B" w:rsidR="00E87F69" w:rsidRPr="00F7096F" w:rsidRDefault="00E87F69" w:rsidP="00F7096F">
      <w:pPr>
        <w:spacing w:before="120"/>
        <w:ind w:left="4253"/>
        <w:jc w:val="center"/>
        <w:rPr>
          <w:color w:val="000000"/>
          <w:spacing w:val="-2"/>
          <w:szCs w:val="20"/>
          <w:lang w:eastAsia="es-CR"/>
        </w:rPr>
      </w:pPr>
    </w:p>
    <w:p w14:paraId="0DE2D260" w14:textId="77777777" w:rsidR="00E87F69" w:rsidRPr="00F7096F" w:rsidRDefault="00E87F69" w:rsidP="00F7096F">
      <w:pPr>
        <w:spacing w:before="120"/>
        <w:ind w:left="4253"/>
        <w:jc w:val="center"/>
        <w:rPr>
          <w:color w:val="000000"/>
          <w:spacing w:val="-2"/>
          <w:szCs w:val="20"/>
          <w:lang w:eastAsia="es-CR"/>
        </w:rPr>
      </w:pPr>
    </w:p>
    <w:p w14:paraId="51AD5616" w14:textId="0A0E88BE" w:rsidR="00E87F69" w:rsidRPr="00F7096F" w:rsidRDefault="00E87F69" w:rsidP="00F7096F">
      <w:pPr>
        <w:spacing w:before="120"/>
        <w:ind w:left="4253"/>
        <w:jc w:val="center"/>
        <w:rPr>
          <w:color w:val="000000"/>
          <w:spacing w:val="-2"/>
          <w:szCs w:val="20"/>
          <w:lang w:eastAsia="es-CR"/>
        </w:rPr>
      </w:pPr>
    </w:p>
    <w:p w14:paraId="6AA0A3C8" w14:textId="65A40B76" w:rsidR="00C50D18" w:rsidRPr="00F7096F" w:rsidRDefault="00C50D18" w:rsidP="00F7096F">
      <w:pPr>
        <w:spacing w:before="120"/>
        <w:ind w:left="4253"/>
        <w:rPr>
          <w:color w:val="000000"/>
          <w:spacing w:val="-2"/>
          <w:szCs w:val="20"/>
          <w:lang w:eastAsia="es-CR"/>
        </w:rPr>
      </w:pPr>
    </w:p>
    <w:p w14:paraId="6158AA79" w14:textId="2190C06C" w:rsidR="00C50D18" w:rsidRPr="00F7096F" w:rsidRDefault="00C50D18" w:rsidP="00F7096F">
      <w:pPr>
        <w:spacing w:before="120"/>
        <w:ind w:left="4253"/>
        <w:rPr>
          <w:color w:val="000000"/>
          <w:spacing w:val="-2"/>
          <w:szCs w:val="20"/>
          <w:lang w:eastAsia="es-CR"/>
        </w:rPr>
      </w:pPr>
    </w:p>
    <w:p w14:paraId="4932A841" w14:textId="376DA838" w:rsidR="00C50D18" w:rsidRPr="00F7096F" w:rsidRDefault="00C50D18" w:rsidP="00F7096F">
      <w:pPr>
        <w:spacing w:before="120"/>
        <w:ind w:left="4253"/>
        <w:rPr>
          <w:color w:val="000000"/>
          <w:spacing w:val="-2"/>
          <w:szCs w:val="20"/>
          <w:lang w:eastAsia="es-CR"/>
        </w:rPr>
      </w:pPr>
    </w:p>
    <w:p w14:paraId="04DB47AF" w14:textId="6B59C828" w:rsidR="00C50D18" w:rsidRPr="00F7096F" w:rsidRDefault="00C50D18" w:rsidP="00F7096F">
      <w:pPr>
        <w:spacing w:before="120"/>
        <w:ind w:left="4253"/>
        <w:rPr>
          <w:color w:val="000000"/>
          <w:spacing w:val="-2"/>
          <w:szCs w:val="20"/>
          <w:lang w:eastAsia="es-CR"/>
        </w:rPr>
      </w:pPr>
    </w:p>
    <w:p w14:paraId="6E60A096" w14:textId="0BFD96A7" w:rsidR="00C50D18" w:rsidRPr="00F7096F" w:rsidRDefault="00C50D18" w:rsidP="00F7096F">
      <w:pPr>
        <w:spacing w:before="120"/>
        <w:ind w:left="4253"/>
        <w:rPr>
          <w:color w:val="000000"/>
          <w:spacing w:val="-2"/>
          <w:szCs w:val="20"/>
          <w:lang w:eastAsia="es-CR"/>
        </w:rPr>
      </w:pPr>
    </w:p>
    <w:p w14:paraId="745FE239" w14:textId="711BEFC6" w:rsidR="004C3DB3" w:rsidRPr="0034402B" w:rsidRDefault="007C5E97" w:rsidP="0034402B">
      <w:pPr>
        <w:spacing w:after="160" w:line="259" w:lineRule="auto"/>
        <w:jc w:val="left"/>
        <w:rPr>
          <w:color w:val="000000"/>
          <w:spacing w:val="-2"/>
          <w:szCs w:val="20"/>
          <w:lang w:eastAsia="es-CR"/>
        </w:rPr>
      </w:pPr>
      <w:r>
        <w:rPr>
          <w:color w:val="000000"/>
          <w:spacing w:val="-2"/>
          <w:szCs w:val="20"/>
          <w:lang w:eastAsia="es-CR"/>
        </w:rPr>
        <w:br w:type="page"/>
      </w:r>
      <w:r w:rsidR="004C3DB3" w:rsidRPr="00F7096F">
        <w:rPr>
          <w:rFonts w:eastAsia="Times" w:cs="Courier New"/>
          <w:noProof/>
          <w:szCs w:val="20"/>
          <w:lang w:val="es-AR"/>
        </w:rPr>
        <w:lastRenderedPageBreak/>
        <w:t xml:space="preserve">Corte IDH. </w:t>
      </w:r>
      <w:r w:rsidR="004C3DB3" w:rsidRPr="00F7096F">
        <w:rPr>
          <w:rFonts w:eastAsia="Times"/>
          <w:bCs/>
          <w:i/>
          <w:szCs w:val="20"/>
          <w:lang w:val="es-CR"/>
        </w:rPr>
        <w:t xml:space="preserve">Caso </w:t>
      </w:r>
      <w:r w:rsidR="00C50D18" w:rsidRPr="00F7096F">
        <w:rPr>
          <w:rFonts w:eastAsia="Times"/>
          <w:bCs/>
          <w:i/>
          <w:szCs w:val="20"/>
          <w:lang w:val="es-CR"/>
        </w:rPr>
        <w:t>Bedoya Lima y otra Vs. Colombia</w:t>
      </w:r>
      <w:r w:rsidR="004C3DB3" w:rsidRPr="00F7096F">
        <w:rPr>
          <w:rFonts w:eastAsia="Times"/>
          <w:bCs/>
          <w:i/>
          <w:szCs w:val="20"/>
          <w:lang w:val="es-CR"/>
        </w:rPr>
        <w:t xml:space="preserve">. </w:t>
      </w:r>
      <w:r w:rsidR="004C3DB3" w:rsidRPr="00F7096F">
        <w:rPr>
          <w:rFonts w:eastAsia="Times" w:cs="Courier New"/>
          <w:noProof/>
          <w:szCs w:val="20"/>
        </w:rPr>
        <w:t>Medidas Provisionales</w:t>
      </w:r>
      <w:r w:rsidR="004C3DB3" w:rsidRPr="00F7096F">
        <w:rPr>
          <w:rFonts w:cs="Arial"/>
          <w:szCs w:val="20"/>
        </w:rPr>
        <w:t xml:space="preserve">. </w:t>
      </w:r>
      <w:r w:rsidR="004C3DB3" w:rsidRPr="00F7096F">
        <w:rPr>
          <w:szCs w:val="20"/>
          <w:lang w:val="es-ES"/>
        </w:rPr>
        <w:t xml:space="preserve">Resolución de la Corte Interamericana de Derechos Humanos de </w:t>
      </w:r>
      <w:r>
        <w:rPr>
          <w:szCs w:val="20"/>
          <w:lang w:val="es-ES"/>
        </w:rPr>
        <w:t>24</w:t>
      </w:r>
      <w:r w:rsidR="004C3DB3" w:rsidRPr="00F7096F">
        <w:rPr>
          <w:szCs w:val="20"/>
          <w:lang w:val="es-ES"/>
        </w:rPr>
        <w:t xml:space="preserve"> de </w:t>
      </w:r>
      <w:r w:rsidR="00C50D18" w:rsidRPr="00F7096F">
        <w:rPr>
          <w:szCs w:val="20"/>
          <w:lang w:val="es-ES"/>
        </w:rPr>
        <w:t>marzo</w:t>
      </w:r>
      <w:r w:rsidR="004C3DB3" w:rsidRPr="00F7096F">
        <w:rPr>
          <w:szCs w:val="20"/>
        </w:rPr>
        <w:t xml:space="preserve"> de 202</w:t>
      </w:r>
      <w:r w:rsidR="00C50D18" w:rsidRPr="00F7096F">
        <w:rPr>
          <w:szCs w:val="20"/>
        </w:rPr>
        <w:t>1</w:t>
      </w:r>
      <w:r w:rsidR="004C3DB3" w:rsidRPr="00F7096F">
        <w:rPr>
          <w:szCs w:val="20"/>
          <w:lang w:val="es-ES"/>
        </w:rPr>
        <w:t xml:space="preserve">. </w:t>
      </w:r>
      <w:r w:rsidR="004C3DB3" w:rsidRPr="00F7096F">
        <w:rPr>
          <w:iCs/>
          <w:szCs w:val="20"/>
          <w:lang w:val="es-CR"/>
        </w:rPr>
        <w:t>Resolución adoptada en San José de Costa Rica por medio de sesión virtual.</w:t>
      </w:r>
    </w:p>
    <w:p w14:paraId="40C87938" w14:textId="65DF3CC6" w:rsidR="0034402B" w:rsidRDefault="0034402B" w:rsidP="008256B0">
      <w:pPr>
        <w:keepNext/>
        <w:spacing w:before="120"/>
        <w:outlineLvl w:val="0"/>
        <w:rPr>
          <w:iCs/>
          <w:szCs w:val="20"/>
          <w:lang w:val="es-CR"/>
        </w:rPr>
      </w:pPr>
    </w:p>
    <w:p w14:paraId="402B5331" w14:textId="77777777" w:rsidR="0034402B" w:rsidRDefault="0034402B" w:rsidP="008256B0">
      <w:pPr>
        <w:keepNext/>
        <w:spacing w:before="120"/>
        <w:outlineLvl w:val="0"/>
        <w:rPr>
          <w:szCs w:val="20"/>
          <w:lang w:val="es-ES"/>
        </w:rPr>
      </w:pPr>
    </w:p>
    <w:p w14:paraId="73BA1757" w14:textId="451E5B84" w:rsidR="008256B0" w:rsidRDefault="008256B0" w:rsidP="008256B0">
      <w:pPr>
        <w:keepNext/>
        <w:spacing w:before="120"/>
        <w:outlineLvl w:val="0"/>
        <w:rPr>
          <w:szCs w:val="20"/>
          <w:lang w:val="es-ES"/>
        </w:rPr>
      </w:pPr>
    </w:p>
    <w:p w14:paraId="57883467" w14:textId="49E438C2" w:rsidR="0034402B" w:rsidRDefault="008256B0" w:rsidP="0034402B">
      <w:pPr>
        <w:keepNext/>
        <w:spacing w:after="0"/>
        <w:jc w:val="center"/>
        <w:outlineLvl w:val="0"/>
      </w:pPr>
      <w:r>
        <w:t>Elizabeth Odio Benito</w:t>
      </w:r>
    </w:p>
    <w:p w14:paraId="3D8EA75F" w14:textId="53624AAF" w:rsidR="0034402B" w:rsidRDefault="008256B0" w:rsidP="0034402B">
      <w:pPr>
        <w:keepNext/>
        <w:spacing w:after="0"/>
        <w:jc w:val="center"/>
        <w:outlineLvl w:val="0"/>
      </w:pPr>
      <w:r>
        <w:t>Presidenta</w:t>
      </w:r>
    </w:p>
    <w:p w14:paraId="39813FDC" w14:textId="77777777" w:rsidR="0034402B" w:rsidRDefault="0034402B" w:rsidP="008256B0">
      <w:pPr>
        <w:keepNext/>
        <w:spacing w:before="120"/>
        <w:outlineLvl w:val="0"/>
      </w:pPr>
    </w:p>
    <w:p w14:paraId="1684B16F" w14:textId="59E1D121" w:rsidR="0034402B" w:rsidRDefault="008256B0" w:rsidP="008256B0">
      <w:pPr>
        <w:keepNext/>
        <w:spacing w:before="120"/>
        <w:outlineLvl w:val="0"/>
      </w:pPr>
      <w:r>
        <w:t xml:space="preserve">L. Patricio Pazmiño Freire </w:t>
      </w:r>
      <w:r w:rsidR="0034402B">
        <w:tab/>
      </w:r>
      <w:r w:rsidR="0034402B">
        <w:tab/>
      </w:r>
      <w:r w:rsidR="0034402B">
        <w:tab/>
      </w:r>
      <w:r w:rsidR="0034402B">
        <w:tab/>
      </w:r>
      <w:r w:rsidR="0034402B">
        <w:tab/>
      </w:r>
      <w:r w:rsidR="0034402B">
        <w:tab/>
      </w:r>
      <w:r>
        <w:t xml:space="preserve">Eduardo Vio Grossi </w:t>
      </w:r>
    </w:p>
    <w:p w14:paraId="4720C378" w14:textId="77777777" w:rsidR="0034402B" w:rsidRDefault="0034402B" w:rsidP="008256B0">
      <w:pPr>
        <w:keepNext/>
        <w:spacing w:before="120"/>
        <w:outlineLvl w:val="0"/>
      </w:pPr>
    </w:p>
    <w:p w14:paraId="1A188308" w14:textId="39679A3B" w:rsidR="0034402B" w:rsidRDefault="0034402B" w:rsidP="008256B0">
      <w:pPr>
        <w:keepNext/>
        <w:spacing w:before="120"/>
        <w:outlineLvl w:val="0"/>
      </w:pPr>
    </w:p>
    <w:p w14:paraId="7EA59FB5" w14:textId="77777777" w:rsidR="0034402B" w:rsidRDefault="0034402B" w:rsidP="008256B0">
      <w:pPr>
        <w:keepNext/>
        <w:spacing w:before="120"/>
        <w:outlineLvl w:val="0"/>
      </w:pPr>
    </w:p>
    <w:p w14:paraId="0EC867B1" w14:textId="4EF79C53" w:rsidR="0034402B" w:rsidRDefault="008256B0" w:rsidP="008256B0">
      <w:pPr>
        <w:keepNext/>
        <w:spacing w:before="120"/>
        <w:outlineLvl w:val="0"/>
      </w:pPr>
      <w:r>
        <w:t>Eduardo Ferrer Mac-</w:t>
      </w:r>
      <w:proofErr w:type="spellStart"/>
      <w:r>
        <w:t>Gregor</w:t>
      </w:r>
      <w:proofErr w:type="spellEnd"/>
      <w:r>
        <w:t xml:space="preserve"> </w:t>
      </w:r>
      <w:proofErr w:type="spellStart"/>
      <w:r>
        <w:t>Poisot</w:t>
      </w:r>
      <w:proofErr w:type="spellEnd"/>
      <w:r>
        <w:t xml:space="preserve"> </w:t>
      </w:r>
      <w:r w:rsidR="0034402B">
        <w:tab/>
      </w:r>
      <w:r w:rsidR="0034402B">
        <w:tab/>
      </w:r>
      <w:r w:rsidR="0034402B">
        <w:tab/>
      </w:r>
      <w:r w:rsidR="0034402B">
        <w:tab/>
      </w:r>
      <w:r w:rsidR="0034402B">
        <w:tab/>
      </w:r>
      <w:r>
        <w:t xml:space="preserve">Eugenio Raúl Zaffaroni </w:t>
      </w:r>
    </w:p>
    <w:p w14:paraId="0C34EBCE" w14:textId="77777777" w:rsidR="0034402B" w:rsidRDefault="0034402B" w:rsidP="008256B0">
      <w:pPr>
        <w:keepNext/>
        <w:spacing w:before="120"/>
        <w:outlineLvl w:val="0"/>
      </w:pPr>
    </w:p>
    <w:p w14:paraId="36635403" w14:textId="77777777" w:rsidR="0034402B" w:rsidRDefault="0034402B" w:rsidP="0034402B">
      <w:pPr>
        <w:keepNext/>
        <w:spacing w:before="120"/>
        <w:jc w:val="center"/>
        <w:outlineLvl w:val="0"/>
      </w:pPr>
    </w:p>
    <w:p w14:paraId="21E0F03D" w14:textId="77777777" w:rsidR="0034402B" w:rsidRDefault="0034402B" w:rsidP="0034402B">
      <w:pPr>
        <w:keepNext/>
        <w:spacing w:before="120"/>
        <w:jc w:val="center"/>
        <w:outlineLvl w:val="0"/>
      </w:pPr>
    </w:p>
    <w:p w14:paraId="6F821391" w14:textId="77777777" w:rsidR="0034402B" w:rsidRDefault="0034402B" w:rsidP="0034402B">
      <w:pPr>
        <w:keepNext/>
        <w:spacing w:before="120"/>
        <w:jc w:val="center"/>
        <w:outlineLvl w:val="0"/>
      </w:pPr>
    </w:p>
    <w:p w14:paraId="2088F05F" w14:textId="4D6D271B" w:rsidR="0034402B" w:rsidRDefault="008256B0" w:rsidP="0034402B">
      <w:pPr>
        <w:keepNext/>
        <w:spacing w:before="120"/>
        <w:jc w:val="center"/>
        <w:outlineLvl w:val="0"/>
      </w:pPr>
      <w:r>
        <w:t>Ricardo C. Pérez Manrique</w:t>
      </w:r>
    </w:p>
    <w:p w14:paraId="2C7B3CDC" w14:textId="77777777" w:rsidR="0034402B" w:rsidRDefault="0034402B" w:rsidP="008256B0">
      <w:pPr>
        <w:keepNext/>
        <w:spacing w:before="120"/>
        <w:outlineLvl w:val="0"/>
      </w:pPr>
    </w:p>
    <w:p w14:paraId="222E56B3" w14:textId="77777777" w:rsidR="0034402B" w:rsidRDefault="0034402B" w:rsidP="0034402B">
      <w:pPr>
        <w:keepNext/>
        <w:spacing w:after="0"/>
        <w:outlineLvl w:val="0"/>
      </w:pPr>
    </w:p>
    <w:p w14:paraId="0CFA3222" w14:textId="77777777" w:rsidR="0034402B" w:rsidRDefault="0034402B" w:rsidP="0034402B">
      <w:pPr>
        <w:keepNext/>
        <w:spacing w:after="0"/>
        <w:outlineLvl w:val="0"/>
      </w:pPr>
    </w:p>
    <w:p w14:paraId="48BDE593" w14:textId="454B7EFE" w:rsidR="0034402B" w:rsidRDefault="006B64F6" w:rsidP="006B64F6">
      <w:pPr>
        <w:keepNext/>
        <w:spacing w:after="0"/>
        <w:jc w:val="center"/>
        <w:outlineLvl w:val="0"/>
      </w:pPr>
      <w:r>
        <w:t xml:space="preserve">Pablo </w:t>
      </w:r>
      <w:r w:rsidR="008256B0">
        <w:t>Saavedra Alessandri</w:t>
      </w:r>
    </w:p>
    <w:p w14:paraId="4C29BF07" w14:textId="22D457D6" w:rsidR="0034402B" w:rsidRDefault="008256B0" w:rsidP="006B64F6">
      <w:pPr>
        <w:keepNext/>
        <w:spacing w:after="0"/>
        <w:jc w:val="center"/>
        <w:outlineLvl w:val="0"/>
      </w:pPr>
      <w:r>
        <w:t>Secretario</w:t>
      </w:r>
    </w:p>
    <w:p w14:paraId="3E86D176" w14:textId="77777777" w:rsidR="0034402B" w:rsidRDefault="0034402B" w:rsidP="008256B0">
      <w:pPr>
        <w:keepNext/>
        <w:spacing w:before="120"/>
        <w:outlineLvl w:val="0"/>
      </w:pPr>
    </w:p>
    <w:p w14:paraId="09D3523E" w14:textId="77777777" w:rsidR="0034402B" w:rsidRDefault="0034402B" w:rsidP="008256B0">
      <w:pPr>
        <w:keepNext/>
        <w:spacing w:before="120"/>
        <w:outlineLvl w:val="0"/>
      </w:pPr>
    </w:p>
    <w:p w14:paraId="011D325F" w14:textId="551E6346" w:rsidR="0034402B" w:rsidRDefault="008256B0" w:rsidP="008256B0">
      <w:pPr>
        <w:keepNext/>
        <w:spacing w:before="120"/>
        <w:outlineLvl w:val="0"/>
      </w:pPr>
      <w:r>
        <w:t xml:space="preserve">Comuníquese y ejecútese, </w:t>
      </w:r>
    </w:p>
    <w:p w14:paraId="2E321D42" w14:textId="0EF0924A" w:rsidR="0034402B" w:rsidRDefault="0034402B" w:rsidP="0034402B">
      <w:pPr>
        <w:keepNext/>
        <w:spacing w:after="0"/>
        <w:jc w:val="center"/>
        <w:outlineLvl w:val="0"/>
      </w:pPr>
    </w:p>
    <w:p w14:paraId="3E28DA34" w14:textId="77777777" w:rsidR="006B64F6" w:rsidRDefault="006B64F6" w:rsidP="0034402B">
      <w:pPr>
        <w:keepNext/>
        <w:spacing w:after="0"/>
        <w:jc w:val="center"/>
        <w:outlineLvl w:val="0"/>
      </w:pPr>
    </w:p>
    <w:p w14:paraId="392D7DE2" w14:textId="5F844EA3" w:rsidR="0034402B" w:rsidRDefault="008256B0" w:rsidP="006B64F6">
      <w:pPr>
        <w:keepNext/>
        <w:spacing w:after="0"/>
        <w:ind w:left="4320" w:firstLine="720"/>
        <w:jc w:val="center"/>
        <w:outlineLvl w:val="0"/>
      </w:pPr>
      <w:r>
        <w:t>Elizabeth Odio Benito</w:t>
      </w:r>
    </w:p>
    <w:p w14:paraId="2870226C" w14:textId="40FEEDAB" w:rsidR="0034402B" w:rsidRDefault="0034402B" w:rsidP="0034402B">
      <w:pPr>
        <w:keepNext/>
        <w:spacing w:after="0"/>
        <w:ind w:left="2160" w:firstLine="720"/>
        <w:jc w:val="center"/>
        <w:outlineLvl w:val="0"/>
      </w:pPr>
      <w:r>
        <w:t xml:space="preserve">          </w:t>
      </w:r>
      <w:r w:rsidR="006B64F6">
        <w:tab/>
      </w:r>
      <w:r w:rsidR="006B64F6">
        <w:tab/>
      </w:r>
      <w:r w:rsidR="006B64F6">
        <w:tab/>
      </w:r>
      <w:r w:rsidR="008256B0">
        <w:t>Presidenta</w:t>
      </w:r>
    </w:p>
    <w:p w14:paraId="275F2C62" w14:textId="77777777" w:rsidR="0034402B" w:rsidRDefault="0034402B" w:rsidP="0034402B">
      <w:pPr>
        <w:keepNext/>
        <w:spacing w:after="0"/>
        <w:jc w:val="center"/>
        <w:outlineLvl w:val="0"/>
      </w:pPr>
    </w:p>
    <w:p w14:paraId="35EB9C07" w14:textId="77777777" w:rsidR="0034402B" w:rsidRDefault="0034402B" w:rsidP="0034402B">
      <w:pPr>
        <w:keepNext/>
        <w:spacing w:after="0"/>
        <w:outlineLvl w:val="0"/>
      </w:pPr>
    </w:p>
    <w:p w14:paraId="29592397" w14:textId="77777777" w:rsidR="0034402B" w:rsidRDefault="0034402B" w:rsidP="0034402B">
      <w:pPr>
        <w:keepNext/>
        <w:spacing w:after="0"/>
        <w:outlineLvl w:val="0"/>
      </w:pPr>
    </w:p>
    <w:p w14:paraId="2AAF4F52" w14:textId="4A29374D" w:rsidR="0034402B" w:rsidRDefault="0034402B" w:rsidP="0034402B">
      <w:pPr>
        <w:keepNext/>
        <w:tabs>
          <w:tab w:val="left" w:pos="2760"/>
        </w:tabs>
        <w:spacing w:after="0"/>
        <w:outlineLvl w:val="0"/>
      </w:pPr>
      <w:r>
        <w:tab/>
      </w:r>
    </w:p>
    <w:p w14:paraId="090F2FBB" w14:textId="17301556" w:rsidR="0034402B" w:rsidRDefault="008256B0" w:rsidP="0034402B">
      <w:pPr>
        <w:keepNext/>
        <w:spacing w:after="0"/>
        <w:outlineLvl w:val="0"/>
      </w:pPr>
      <w:r>
        <w:t>Pablo Saavedra Alessandri</w:t>
      </w:r>
    </w:p>
    <w:p w14:paraId="1D76AD27" w14:textId="4BF5B136" w:rsidR="004C3DB3" w:rsidRPr="00F7096F" w:rsidRDefault="0034402B" w:rsidP="006B64F6">
      <w:pPr>
        <w:keepNext/>
        <w:spacing w:after="0"/>
        <w:outlineLvl w:val="0"/>
        <w:rPr>
          <w:rFonts w:eastAsia="Times"/>
          <w:szCs w:val="20"/>
          <w:lang w:val="es-ES"/>
        </w:rPr>
      </w:pPr>
      <w:r>
        <w:t xml:space="preserve">             </w:t>
      </w:r>
      <w:r w:rsidR="008256B0">
        <w:t>Secretario</w:t>
      </w:r>
    </w:p>
    <w:p w14:paraId="6CDD822A" w14:textId="77777777" w:rsidR="004C3DB3" w:rsidRPr="00F7096F" w:rsidRDefault="004C3DB3" w:rsidP="00F7096F">
      <w:pPr>
        <w:spacing w:before="120"/>
        <w:jc w:val="center"/>
        <w:rPr>
          <w:rFonts w:eastAsia="Times"/>
          <w:szCs w:val="20"/>
          <w:lang w:val="es-ES"/>
        </w:rPr>
      </w:pPr>
    </w:p>
    <w:p w14:paraId="42F0624C" w14:textId="77777777" w:rsidR="00D75593" w:rsidRDefault="00D75593" w:rsidP="00F7096F">
      <w:pPr>
        <w:spacing w:before="120"/>
        <w:jc w:val="center"/>
        <w:rPr>
          <w:rFonts w:eastAsia="Times"/>
          <w:szCs w:val="20"/>
          <w:lang w:val="es-ES"/>
        </w:rPr>
        <w:sectPr w:rsidR="00D75593" w:rsidSect="00D75593">
          <w:footnotePr>
            <w:numRestart w:val="eachSect"/>
          </w:footnotePr>
          <w:type w:val="continuous"/>
          <w:pgSz w:w="12240" w:h="15840"/>
          <w:pgMar w:top="1440" w:right="1440" w:bottom="1440" w:left="1440" w:header="720" w:footer="720" w:gutter="0"/>
          <w:cols w:space="720"/>
          <w:titlePg/>
          <w:docGrid w:linePitch="360"/>
        </w:sectPr>
      </w:pPr>
    </w:p>
    <w:p w14:paraId="08D76CAA" w14:textId="0DB71013" w:rsidR="004C3DB3" w:rsidRPr="00F7096F" w:rsidRDefault="004C3DB3" w:rsidP="00F7096F">
      <w:pPr>
        <w:spacing w:before="120"/>
        <w:jc w:val="center"/>
        <w:rPr>
          <w:rFonts w:eastAsia="Times"/>
          <w:szCs w:val="20"/>
          <w:lang w:val="es-ES"/>
        </w:rPr>
      </w:pPr>
    </w:p>
    <w:p w14:paraId="3D11FC0E" w14:textId="7906844D" w:rsidR="004C3DB3" w:rsidRPr="00F7096F" w:rsidRDefault="004C3DB3" w:rsidP="00F7096F">
      <w:pPr>
        <w:spacing w:before="120"/>
        <w:rPr>
          <w:szCs w:val="20"/>
        </w:rPr>
      </w:pPr>
    </w:p>
    <w:sectPr w:rsidR="004C3DB3" w:rsidRPr="00F7096F" w:rsidSect="00D75593">
      <w:footnotePr>
        <w:numFmt w:val="chicago"/>
        <w:numRestart w:val="eachSect"/>
      </w:foot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3885" w14:textId="77777777" w:rsidR="00CD6BE2" w:rsidRDefault="00CD6BE2" w:rsidP="00534E68">
      <w:pPr>
        <w:spacing w:after="0"/>
      </w:pPr>
      <w:r>
        <w:separator/>
      </w:r>
    </w:p>
  </w:endnote>
  <w:endnote w:type="continuationSeparator" w:id="0">
    <w:p w14:paraId="0E3A1417" w14:textId="77777777" w:rsidR="00CD6BE2" w:rsidRDefault="00CD6BE2" w:rsidP="00534E68">
      <w:pPr>
        <w:spacing w:after="0"/>
      </w:pPr>
      <w:r>
        <w:continuationSeparator/>
      </w:r>
    </w:p>
  </w:endnote>
  <w:endnote w:type="continuationNotice" w:id="1">
    <w:p w14:paraId="4C7BB258" w14:textId="77777777" w:rsidR="00CD6BE2" w:rsidRDefault="00CD6BE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Verdana"/>
    <w:panose1 w:val="020B08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670126"/>
      <w:docPartObj>
        <w:docPartGallery w:val="Page Numbers (Bottom of Page)"/>
        <w:docPartUnique/>
      </w:docPartObj>
    </w:sdtPr>
    <w:sdtEndPr/>
    <w:sdtContent>
      <w:p w14:paraId="4675BEFB" w14:textId="1EB3A288" w:rsidR="004C3DB3" w:rsidRDefault="004C3DB3">
        <w:pPr>
          <w:pStyle w:val="Piedepgina"/>
          <w:jc w:val="center"/>
        </w:pPr>
        <w:r>
          <w:fldChar w:fldCharType="begin"/>
        </w:r>
        <w:r>
          <w:instrText>PAGE   \* MERGEFORMAT</w:instrText>
        </w:r>
        <w:r>
          <w:fldChar w:fldCharType="separate"/>
        </w:r>
        <w:r w:rsidR="001B1BF1" w:rsidRPr="001B1BF1">
          <w:rPr>
            <w:noProof/>
            <w:lang w:val="es-ES"/>
          </w:rPr>
          <w:t>4</w:t>
        </w:r>
        <w:r>
          <w:fldChar w:fldCharType="end"/>
        </w:r>
      </w:p>
    </w:sdtContent>
  </w:sdt>
  <w:p w14:paraId="3B20605E" w14:textId="77777777" w:rsidR="007E1982" w:rsidRDefault="007E19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0D1BA" w14:textId="77777777" w:rsidR="00CD6BE2" w:rsidRDefault="00CD6BE2" w:rsidP="00534E68">
      <w:pPr>
        <w:spacing w:after="0"/>
      </w:pPr>
      <w:r>
        <w:separator/>
      </w:r>
    </w:p>
  </w:footnote>
  <w:footnote w:type="continuationSeparator" w:id="0">
    <w:p w14:paraId="6899C223" w14:textId="77777777" w:rsidR="00CD6BE2" w:rsidRDefault="00CD6BE2" w:rsidP="00534E68">
      <w:pPr>
        <w:spacing w:after="0"/>
      </w:pPr>
      <w:r>
        <w:continuationSeparator/>
      </w:r>
    </w:p>
  </w:footnote>
  <w:footnote w:type="continuationNotice" w:id="1">
    <w:p w14:paraId="06C75A44" w14:textId="77777777" w:rsidR="00CD6BE2" w:rsidRDefault="00CD6BE2">
      <w:pPr>
        <w:spacing w:after="0"/>
      </w:pPr>
    </w:p>
  </w:footnote>
  <w:footnote w:id="2">
    <w:p w14:paraId="07CA2882" w14:textId="4B76ED6C" w:rsidR="008E2FAB" w:rsidRPr="00D75593" w:rsidRDefault="008E2FAB"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t xml:space="preserve">Debido a las circunstancias excepcionales ocasionadas por la pandemia COVID-19, esta Resolución fue deliberada y aprobada durante el 140 Período Ordinario de Sesiones, el cual se llevó a cabo de forma no presencial utilizando medios tecnológicos de conformidad con lo establecido en el Reglamento de la Corte. </w:t>
      </w:r>
    </w:p>
  </w:footnote>
  <w:footnote w:id="3">
    <w:p w14:paraId="7971A3D6" w14:textId="2AACC91D" w:rsidR="00D75593" w:rsidRPr="00D75593" w:rsidRDefault="00D75593" w:rsidP="00D75593">
      <w:pPr>
        <w:pStyle w:val="Textonotapie"/>
        <w:spacing w:before="60" w:after="60"/>
        <w:rPr>
          <w:sz w:val="16"/>
          <w:szCs w:val="16"/>
        </w:rPr>
      </w:pPr>
      <w:r w:rsidRPr="00D75593">
        <w:rPr>
          <w:rStyle w:val="Refdenotaalpie"/>
          <w:sz w:val="16"/>
          <w:szCs w:val="16"/>
        </w:rPr>
        <w:t>**</w:t>
      </w:r>
      <w:r w:rsidRPr="00D75593">
        <w:rPr>
          <w:sz w:val="16"/>
          <w:szCs w:val="16"/>
        </w:rPr>
        <w:t xml:space="preserve"> </w:t>
      </w:r>
      <w:r w:rsidRPr="00D75593">
        <w:rPr>
          <w:sz w:val="16"/>
          <w:szCs w:val="16"/>
        </w:rPr>
        <w:tab/>
        <w:t>El Juez Humberto Sierra Porto, de nacionalidad colombiana, no participó en la discusión de la presente Resolución, de conformidad con los artículos 19.2 del Estatuto y 19 del Reglamento de la Corte.</w:t>
      </w:r>
    </w:p>
  </w:footnote>
  <w:footnote w:id="4">
    <w:p w14:paraId="376057A6" w14:textId="011C0B4B" w:rsidR="00E020F6" w:rsidRPr="00D75593" w:rsidRDefault="00E020F6" w:rsidP="00D75593">
      <w:pPr>
        <w:spacing w:before="60" w:after="60"/>
        <w:rPr>
          <w:rFonts w:ascii="Times New Roman" w:eastAsia="Times New Roman" w:hAnsi="Times New Roman" w:cs="Times New Roman"/>
          <w:sz w:val="16"/>
          <w:szCs w:val="16"/>
          <w:lang w:val="es-ES" w:eastAsia="en-US"/>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 Asunto Diecisiete Personas Privadas de Libertad respecto de Nicaragua. Solicitud de ampliación de medidas provisionales. Resolución de la Corte Interamericana de Derechos Humanos de 14 de octubre de 2019</w:t>
      </w:r>
      <w:r w:rsidRPr="00D75593">
        <w:rPr>
          <w:sz w:val="16"/>
          <w:szCs w:val="16"/>
        </w:rPr>
        <w:t xml:space="preserve">, Considerando 9, y </w:t>
      </w:r>
      <w:r w:rsidR="00E438E1" w:rsidRPr="00D75593">
        <w:rPr>
          <w:rFonts w:eastAsia="Times New Roman" w:cs="Arial"/>
          <w:i/>
          <w:sz w:val="16"/>
          <w:szCs w:val="16"/>
          <w:shd w:val="clear" w:color="auto" w:fill="FFFFFF"/>
          <w:lang w:val="es-ES" w:eastAsia="en-US"/>
        </w:rPr>
        <w:t>Caso Vicky Hernández y otros Vs. Honduras. Medidas Provisionales</w:t>
      </w:r>
      <w:r w:rsidR="00E438E1" w:rsidRPr="00D75593">
        <w:rPr>
          <w:rFonts w:eastAsia="Times New Roman" w:cs="Arial"/>
          <w:sz w:val="16"/>
          <w:szCs w:val="16"/>
          <w:shd w:val="clear" w:color="auto" w:fill="FFFFFF"/>
          <w:lang w:val="es-ES" w:eastAsia="en-US"/>
        </w:rPr>
        <w:t xml:space="preserve">. Resolución de la Corte Interamericana de Derechos Humanos de 12 de noviembre de 2020, </w:t>
      </w:r>
      <w:r w:rsidRPr="00D75593">
        <w:rPr>
          <w:sz w:val="16"/>
          <w:szCs w:val="16"/>
        </w:rPr>
        <w:t xml:space="preserve">Considerando </w:t>
      </w:r>
      <w:r w:rsidR="00E438E1" w:rsidRPr="00D75593">
        <w:rPr>
          <w:sz w:val="16"/>
          <w:szCs w:val="16"/>
        </w:rPr>
        <w:t>10</w:t>
      </w:r>
      <w:r w:rsidRPr="00D75593">
        <w:rPr>
          <w:sz w:val="16"/>
          <w:szCs w:val="16"/>
        </w:rPr>
        <w:t>.</w:t>
      </w:r>
    </w:p>
  </w:footnote>
  <w:footnote w:id="5">
    <w:p w14:paraId="060F3C45" w14:textId="7A06B9CA" w:rsidR="00E020F6" w:rsidRPr="00D75593" w:rsidRDefault="00E020F6" w:rsidP="00D75593">
      <w:pPr>
        <w:spacing w:before="60" w:after="60"/>
        <w:rPr>
          <w:rFonts w:ascii="Times New Roman" w:eastAsia="Times New Roman" w:hAnsi="Times New Roman" w:cs="Times New Roman"/>
          <w:sz w:val="16"/>
          <w:szCs w:val="16"/>
          <w:lang w:val="es-ES" w:eastAsia="en-US"/>
        </w:rPr>
      </w:pPr>
      <w:r w:rsidRPr="00D75593">
        <w:rPr>
          <w:rStyle w:val="Refdenotaalpie"/>
          <w:sz w:val="16"/>
          <w:szCs w:val="16"/>
        </w:rPr>
        <w:footnoteRef/>
      </w:r>
      <w:r w:rsidRPr="00D75593">
        <w:rPr>
          <w:sz w:val="16"/>
          <w:szCs w:val="16"/>
        </w:rPr>
        <w:tab/>
      </w:r>
      <w:r w:rsidRPr="00D75593">
        <w:rPr>
          <w:i/>
          <w:iCs/>
          <w:sz w:val="16"/>
          <w:szCs w:val="16"/>
          <w:lang w:val="es-ES"/>
        </w:rPr>
        <w:t xml:space="preserve">Cfr. Asunto Belfort Istúriz y otros respecto de Venezuela. Medidas Provisionales. </w:t>
      </w:r>
      <w:r w:rsidRPr="00D75593">
        <w:rPr>
          <w:iCs/>
          <w:sz w:val="16"/>
          <w:szCs w:val="16"/>
          <w:lang w:val="es-ES"/>
        </w:rPr>
        <w:t xml:space="preserve">Resolución de la Corte </w:t>
      </w:r>
      <w:r w:rsidRPr="00D75593">
        <w:rPr>
          <w:sz w:val="16"/>
          <w:szCs w:val="16"/>
          <w:lang w:val="es-CR"/>
        </w:rPr>
        <w:t xml:space="preserve">Interamericana de Derechos Humanos </w:t>
      </w:r>
      <w:r w:rsidRPr="00D75593">
        <w:rPr>
          <w:iCs/>
          <w:sz w:val="16"/>
          <w:szCs w:val="16"/>
          <w:lang w:val="es-ES"/>
        </w:rPr>
        <w:t>de 15 de abril de 2010, Considerando 5,</w:t>
      </w:r>
      <w:r w:rsidRPr="00D75593">
        <w:rPr>
          <w:sz w:val="16"/>
          <w:szCs w:val="16"/>
        </w:rPr>
        <w:t xml:space="preserve"> y </w:t>
      </w:r>
      <w:r w:rsidR="00E438E1" w:rsidRPr="00D75593">
        <w:rPr>
          <w:rFonts w:eastAsia="Times New Roman" w:cs="Arial"/>
          <w:i/>
          <w:sz w:val="16"/>
          <w:szCs w:val="16"/>
          <w:shd w:val="clear" w:color="auto" w:fill="FFFFFF"/>
          <w:lang w:val="es-ES" w:eastAsia="en-US"/>
        </w:rPr>
        <w:t>Caso Vicky Hernández y otros Vs. Honduras. Medidas Provisionales</w:t>
      </w:r>
      <w:r w:rsidR="00E438E1" w:rsidRPr="00D75593">
        <w:rPr>
          <w:rFonts w:eastAsia="Times New Roman" w:cs="Arial"/>
          <w:sz w:val="16"/>
          <w:szCs w:val="16"/>
          <w:shd w:val="clear" w:color="auto" w:fill="FFFFFF"/>
          <w:lang w:val="es-ES" w:eastAsia="en-US"/>
        </w:rPr>
        <w:t xml:space="preserve">. Resolución de la Corte Interamericana de Derechos Humanos de 12 de noviembre de 2020, </w:t>
      </w:r>
      <w:r w:rsidR="00E438E1" w:rsidRPr="00D75593">
        <w:rPr>
          <w:sz w:val="16"/>
          <w:szCs w:val="16"/>
        </w:rPr>
        <w:t>Considerando 10.</w:t>
      </w:r>
    </w:p>
  </w:footnote>
  <w:footnote w:id="6">
    <w:p w14:paraId="7E26126F" w14:textId="383FD141" w:rsidR="00445277" w:rsidRPr="00D75593" w:rsidRDefault="00445277"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w:t>
      </w:r>
      <w:r w:rsidRPr="00D75593">
        <w:rPr>
          <w:sz w:val="16"/>
          <w:szCs w:val="16"/>
        </w:rPr>
        <w:t>. Dec</w:t>
      </w:r>
      <w:r w:rsidR="007C5E97" w:rsidRPr="00D75593">
        <w:rPr>
          <w:sz w:val="16"/>
          <w:szCs w:val="16"/>
        </w:rPr>
        <w:t>laración de la presunta víctima</w:t>
      </w:r>
      <w:r w:rsidRPr="00D75593">
        <w:rPr>
          <w:sz w:val="16"/>
          <w:szCs w:val="16"/>
        </w:rPr>
        <w:t xml:space="preserve"> Jineth Bedoya Lima</w:t>
      </w:r>
      <w:r w:rsidR="007C5E97" w:rsidRPr="00D75593">
        <w:rPr>
          <w:sz w:val="16"/>
          <w:szCs w:val="16"/>
        </w:rPr>
        <w:t xml:space="preserve"> el 15 de marzo de 2021</w:t>
      </w:r>
      <w:r w:rsidRPr="00D75593">
        <w:rPr>
          <w:sz w:val="16"/>
          <w:szCs w:val="16"/>
        </w:rPr>
        <w:t xml:space="preserve"> en el marco de la audiencia pública celebrada en el presente caso.</w:t>
      </w:r>
    </w:p>
  </w:footnote>
  <w:footnote w:id="7">
    <w:p w14:paraId="0C47C49A" w14:textId="2227F69B" w:rsidR="00445277" w:rsidRPr="00D75593" w:rsidRDefault="00445277"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r>
      <w:proofErr w:type="spellStart"/>
      <w:r w:rsidR="0018511B" w:rsidRPr="00D75593">
        <w:rPr>
          <w:i/>
          <w:sz w:val="16"/>
          <w:szCs w:val="16"/>
        </w:rPr>
        <w:t>Idem</w:t>
      </w:r>
      <w:proofErr w:type="spellEnd"/>
      <w:r w:rsidRPr="00D75593">
        <w:rPr>
          <w:sz w:val="16"/>
          <w:szCs w:val="16"/>
        </w:rPr>
        <w:t xml:space="preserve">. </w:t>
      </w:r>
    </w:p>
  </w:footnote>
  <w:footnote w:id="8">
    <w:p w14:paraId="62A5A2FD" w14:textId="79F7500C" w:rsidR="00936081" w:rsidRPr="00D75593" w:rsidRDefault="00936081"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w:t>
      </w:r>
      <w:r w:rsidRPr="00D75593">
        <w:rPr>
          <w:sz w:val="16"/>
          <w:szCs w:val="16"/>
        </w:rPr>
        <w:t>. Intervención de la Comisión el 23 de marzo de 2021, en el marco de la audiencia pública relativa al presente caso.</w:t>
      </w:r>
    </w:p>
  </w:footnote>
  <w:footnote w:id="9">
    <w:p w14:paraId="66ECC395" w14:textId="182A5AE3" w:rsidR="00345E08" w:rsidRPr="00D75593" w:rsidRDefault="00345E08" w:rsidP="00D75593">
      <w:pPr>
        <w:spacing w:before="60" w:after="60"/>
        <w:rPr>
          <w:rFonts w:ascii="Times New Roman" w:eastAsia="Times New Roman" w:hAnsi="Times New Roman" w:cs="Times New Roman"/>
          <w:sz w:val="16"/>
          <w:szCs w:val="16"/>
          <w:lang w:val="es-ES" w:eastAsia="en-US"/>
        </w:rPr>
      </w:pPr>
      <w:r w:rsidRPr="00D75593">
        <w:rPr>
          <w:rStyle w:val="Refdenotaalpie"/>
          <w:sz w:val="16"/>
          <w:szCs w:val="16"/>
        </w:rPr>
        <w:footnoteRef/>
      </w:r>
      <w:r w:rsidRPr="00D75593">
        <w:rPr>
          <w:sz w:val="16"/>
          <w:szCs w:val="16"/>
        </w:rPr>
        <w:t xml:space="preserve"> </w:t>
      </w:r>
      <w:r w:rsidRPr="00D75593">
        <w:rPr>
          <w:sz w:val="16"/>
          <w:szCs w:val="16"/>
          <w:lang w:val="es-ES"/>
        </w:rPr>
        <w:tab/>
      </w:r>
      <w:r w:rsidRPr="00D75593">
        <w:rPr>
          <w:i/>
          <w:sz w:val="16"/>
          <w:szCs w:val="16"/>
          <w:lang w:val="es-ES"/>
        </w:rPr>
        <w:t xml:space="preserve">Cfr. </w:t>
      </w:r>
      <w:r w:rsidRPr="00D75593">
        <w:rPr>
          <w:i/>
          <w:iCs/>
          <w:sz w:val="16"/>
          <w:szCs w:val="16"/>
          <w:lang w:val="es-ES"/>
        </w:rPr>
        <w:t xml:space="preserve">Asunto Pueblo Indígena </w:t>
      </w:r>
      <w:proofErr w:type="spellStart"/>
      <w:r w:rsidRPr="00D75593">
        <w:rPr>
          <w:i/>
          <w:iCs/>
          <w:sz w:val="16"/>
          <w:szCs w:val="16"/>
          <w:lang w:val="es-ES"/>
        </w:rPr>
        <w:t>Sarayaku</w:t>
      </w:r>
      <w:proofErr w:type="spellEnd"/>
      <w:r w:rsidRPr="00D75593">
        <w:rPr>
          <w:i/>
          <w:iCs/>
          <w:sz w:val="16"/>
          <w:szCs w:val="16"/>
          <w:lang w:val="es-ES"/>
        </w:rPr>
        <w:t xml:space="preserve"> respecto Ecuador. Medidas Provisionales</w:t>
      </w:r>
      <w:r w:rsidRPr="00D75593">
        <w:rPr>
          <w:sz w:val="16"/>
          <w:szCs w:val="16"/>
          <w:lang w:val="es-ES"/>
        </w:rPr>
        <w:t xml:space="preserve">. Resolución de la Corte Interamericana de Derechos Humanos de 6 de julio de 2004, Considerando 12, y </w:t>
      </w:r>
      <w:r w:rsidR="00E438E1" w:rsidRPr="00D75593">
        <w:rPr>
          <w:rFonts w:eastAsia="Times New Roman" w:cs="Arial"/>
          <w:i/>
          <w:sz w:val="16"/>
          <w:szCs w:val="16"/>
          <w:shd w:val="clear" w:color="auto" w:fill="FFFFFF"/>
          <w:lang w:val="es-ES" w:eastAsia="en-US"/>
        </w:rPr>
        <w:t>Caso Vicky Hernández y otros Vs. Honduras. Medidas Provisionales</w:t>
      </w:r>
      <w:r w:rsidR="00E438E1" w:rsidRPr="00D75593">
        <w:rPr>
          <w:rFonts w:eastAsia="Times New Roman" w:cs="Arial"/>
          <w:sz w:val="16"/>
          <w:szCs w:val="16"/>
          <w:shd w:val="clear" w:color="auto" w:fill="FFFFFF"/>
          <w:lang w:val="es-ES" w:eastAsia="en-US"/>
        </w:rPr>
        <w:t xml:space="preserve">. Resolución de la Corte Interamericana de Derechos Humanos de 12 de noviembre de 2020, </w:t>
      </w:r>
      <w:r w:rsidR="00E438E1" w:rsidRPr="00D75593">
        <w:rPr>
          <w:sz w:val="16"/>
          <w:szCs w:val="16"/>
        </w:rPr>
        <w:t>Considerando 14.</w:t>
      </w:r>
    </w:p>
  </w:footnote>
  <w:footnote w:id="10">
    <w:p w14:paraId="02877D08" w14:textId="45C8DB46" w:rsidR="006D267B" w:rsidRPr="00D75593" w:rsidRDefault="006D267B" w:rsidP="00D75593">
      <w:pPr>
        <w:spacing w:before="60" w:after="60"/>
        <w:rPr>
          <w:rFonts w:ascii="Times New Roman" w:eastAsia="Times New Roman" w:hAnsi="Times New Roman" w:cs="Times New Roman"/>
          <w:sz w:val="16"/>
          <w:szCs w:val="16"/>
          <w:lang w:val="es-ES" w:eastAsia="en-US"/>
        </w:rPr>
      </w:pPr>
      <w:r w:rsidRPr="00D75593">
        <w:rPr>
          <w:rStyle w:val="Refdenotaalpie"/>
          <w:sz w:val="16"/>
          <w:szCs w:val="16"/>
        </w:rPr>
        <w:footnoteRef/>
      </w:r>
      <w:r w:rsidRPr="00D75593">
        <w:rPr>
          <w:sz w:val="16"/>
          <w:szCs w:val="16"/>
        </w:rPr>
        <w:t xml:space="preserve"> </w:t>
      </w:r>
      <w:r w:rsidRPr="00D75593">
        <w:rPr>
          <w:sz w:val="16"/>
          <w:szCs w:val="16"/>
          <w:lang w:val="es-ES"/>
        </w:rPr>
        <w:tab/>
      </w:r>
      <w:r w:rsidR="007E1982" w:rsidRPr="00D75593">
        <w:rPr>
          <w:i/>
          <w:sz w:val="16"/>
          <w:szCs w:val="16"/>
          <w:lang w:val="es-ES"/>
        </w:rPr>
        <w:t>Cfr.</w:t>
      </w:r>
      <w:r w:rsidR="007E1982" w:rsidRPr="00D75593">
        <w:rPr>
          <w:sz w:val="16"/>
          <w:szCs w:val="16"/>
          <w:lang w:val="es-ES"/>
        </w:rPr>
        <w:t xml:space="preserve"> </w:t>
      </w:r>
      <w:r w:rsidR="007E1982" w:rsidRPr="00D75593">
        <w:rPr>
          <w:i/>
          <w:iCs/>
          <w:sz w:val="16"/>
          <w:szCs w:val="16"/>
        </w:rPr>
        <w:t xml:space="preserve">Caso de los Hermanos Gómez </w:t>
      </w:r>
      <w:proofErr w:type="spellStart"/>
      <w:r w:rsidR="007E1982" w:rsidRPr="00D75593">
        <w:rPr>
          <w:i/>
          <w:iCs/>
          <w:sz w:val="16"/>
          <w:szCs w:val="16"/>
        </w:rPr>
        <w:t>Paquiyauri</w:t>
      </w:r>
      <w:proofErr w:type="spellEnd"/>
      <w:r w:rsidR="007E1982" w:rsidRPr="00D75593">
        <w:rPr>
          <w:i/>
          <w:iCs/>
          <w:sz w:val="16"/>
          <w:szCs w:val="16"/>
        </w:rPr>
        <w:t xml:space="preserve"> respecto Perú. Medidas Provisionales. </w:t>
      </w:r>
      <w:r w:rsidR="007E1982" w:rsidRPr="00D75593">
        <w:rPr>
          <w:iCs/>
          <w:sz w:val="16"/>
          <w:szCs w:val="16"/>
        </w:rPr>
        <w:t>Resolución de la Corte Interamericana de Derechos Humanos de 7 de mayo de 2004</w:t>
      </w:r>
      <w:r w:rsidR="007E1982" w:rsidRPr="00D75593">
        <w:rPr>
          <w:sz w:val="16"/>
          <w:szCs w:val="16"/>
        </w:rPr>
        <w:t xml:space="preserve">, Considerando. 9, y </w:t>
      </w:r>
      <w:r w:rsidR="00E438E1" w:rsidRPr="00D75593">
        <w:rPr>
          <w:rFonts w:eastAsia="Times New Roman" w:cs="Arial"/>
          <w:i/>
          <w:sz w:val="16"/>
          <w:szCs w:val="16"/>
          <w:shd w:val="clear" w:color="auto" w:fill="FFFFFF"/>
          <w:lang w:val="es-ES" w:eastAsia="en-US"/>
        </w:rPr>
        <w:t>Caso Vicky Hernández y otros Vs. Honduras. Medidas Provisionales</w:t>
      </w:r>
      <w:r w:rsidR="00E438E1" w:rsidRPr="00D75593">
        <w:rPr>
          <w:rFonts w:eastAsia="Times New Roman" w:cs="Arial"/>
          <w:sz w:val="16"/>
          <w:szCs w:val="16"/>
          <w:shd w:val="clear" w:color="auto" w:fill="FFFFFF"/>
          <w:lang w:val="es-ES" w:eastAsia="en-US"/>
        </w:rPr>
        <w:t xml:space="preserve">. Resolución de la Corte Interamericana de Derechos Humanos de 12 de noviembre de 2020, </w:t>
      </w:r>
      <w:r w:rsidR="00E438E1" w:rsidRPr="00D75593">
        <w:rPr>
          <w:sz w:val="16"/>
          <w:szCs w:val="16"/>
        </w:rPr>
        <w:t xml:space="preserve">Considerando 14. </w:t>
      </w:r>
    </w:p>
  </w:footnote>
  <w:footnote w:id="11">
    <w:p w14:paraId="23451262" w14:textId="473F66FE" w:rsidR="006F073A" w:rsidRPr="00D75593" w:rsidRDefault="006F073A"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t xml:space="preserve">Tanto la Comisión como las representantes indicaron varios hechos de amedrentamiento, como lo sucedido el 25 de mayo de 2000 cuando la señora Bedoya Lima fue secuestrada, y sufrió múltiples agresiones, incluidas algunas de alto grado de violencia sexual; lo sucedido el 27 de mayo de 1999, cuando la señora Luz Nelly Lima sufrió un ataque por parte de dos hombres en una moto, quienes la agarraron y arrastraron a lo largo de una cuadra; o lo sucedido en el año 2011 cuando la puerta de la casa que ambas presuntas víctimas habitaban habría sido forzada. </w:t>
      </w:r>
    </w:p>
  </w:footnote>
  <w:footnote w:id="12">
    <w:p w14:paraId="597E21E4" w14:textId="33CB97C7" w:rsidR="002F1732" w:rsidRPr="00D75593" w:rsidRDefault="002F1732"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t>El referido artículo dispone que “[l]os Estados no podrán enjuiciar a las presuntas víctimas, a los testigos y a los peritos, a sus representantes o asesores legales ni ejercer represalias contra ellos o sus familiares, a causa de sus declaraciones, dictámenes rendidos o su defensa legal ante la Corte”.</w:t>
      </w:r>
    </w:p>
  </w:footnote>
  <w:footnote w:id="13">
    <w:p w14:paraId="57E3DBF9" w14:textId="7A2BFCD0" w:rsidR="007C5E97" w:rsidRPr="00D75593" w:rsidRDefault="007C5E97"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w:t>
      </w:r>
      <w:r w:rsidRPr="00D75593">
        <w:rPr>
          <w:sz w:val="16"/>
          <w:szCs w:val="16"/>
        </w:rPr>
        <w:t>.</w:t>
      </w:r>
      <w:r w:rsidR="002F1732" w:rsidRPr="00D75593">
        <w:rPr>
          <w:sz w:val="16"/>
          <w:szCs w:val="16"/>
        </w:rPr>
        <w:t xml:space="preserve"> Declaración de la presunta víctima Jineth Bedoya Lima el 15 de marzo de 2021 en el marco de la audiencia pública celebrada en el presente caso, e i</w:t>
      </w:r>
      <w:r w:rsidRPr="00D75593">
        <w:rPr>
          <w:sz w:val="16"/>
          <w:szCs w:val="16"/>
        </w:rPr>
        <w:t>ntervención de la presunta víctima Jineth Bedoya Lima el 23 de marzo de 2021 en el marco de los alegatos finales orales de las representantes durante audiencia pública celebrada en el presente caso.</w:t>
      </w:r>
    </w:p>
  </w:footnote>
  <w:footnote w:id="14">
    <w:p w14:paraId="36C89B61" w14:textId="1FEE6C7D" w:rsidR="006C46A7" w:rsidRPr="00D75593" w:rsidRDefault="006C46A7" w:rsidP="00D75593">
      <w:pPr>
        <w:pStyle w:val="Textonotapie"/>
        <w:spacing w:before="60" w:after="60"/>
        <w:rPr>
          <w:sz w:val="16"/>
          <w:szCs w:val="16"/>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w:t>
      </w:r>
      <w:r w:rsidRPr="00D75593">
        <w:rPr>
          <w:i/>
          <w:sz w:val="16"/>
          <w:szCs w:val="16"/>
          <w:lang w:val="es-CR" w:bidi="en-US"/>
        </w:rPr>
        <w:t xml:space="preserve"> Caso Carpio </w:t>
      </w:r>
      <w:proofErr w:type="spellStart"/>
      <w:r w:rsidRPr="00D75593">
        <w:rPr>
          <w:i/>
          <w:sz w:val="16"/>
          <w:szCs w:val="16"/>
          <w:lang w:val="es-CR" w:bidi="en-US"/>
        </w:rPr>
        <w:t>Nicolle</w:t>
      </w:r>
      <w:proofErr w:type="spellEnd"/>
      <w:r w:rsidRPr="00D75593">
        <w:rPr>
          <w:i/>
          <w:sz w:val="16"/>
          <w:szCs w:val="16"/>
          <w:lang w:val="es-CR" w:bidi="en-US"/>
        </w:rPr>
        <w:t xml:space="preserve">. </w:t>
      </w:r>
      <w:r w:rsidRPr="00D75593">
        <w:rPr>
          <w:sz w:val="16"/>
          <w:szCs w:val="16"/>
          <w:lang w:val="es-CR" w:bidi="en-US"/>
        </w:rPr>
        <w:t>Medidas Provisionales respecto de Guatemala. Resolución de la Corte de 6 de julio de 2009</w:t>
      </w:r>
      <w:r w:rsidRPr="00D75593">
        <w:rPr>
          <w:i/>
          <w:sz w:val="16"/>
          <w:szCs w:val="16"/>
          <w:lang w:val="es-GT"/>
        </w:rPr>
        <w:t xml:space="preserve">, </w:t>
      </w:r>
      <w:r w:rsidRPr="00D75593">
        <w:rPr>
          <w:sz w:val="16"/>
          <w:szCs w:val="16"/>
          <w:lang w:val="es-GT"/>
        </w:rPr>
        <w:t>Considerando 26,</w:t>
      </w:r>
      <w:r w:rsidRPr="00D75593">
        <w:rPr>
          <w:sz w:val="16"/>
          <w:szCs w:val="16"/>
          <w:lang w:val="es-ES"/>
        </w:rPr>
        <w:t xml:space="preserve"> y </w:t>
      </w:r>
      <w:r w:rsidRPr="00D75593">
        <w:rPr>
          <w:i/>
          <w:sz w:val="16"/>
          <w:szCs w:val="16"/>
        </w:rPr>
        <w:t xml:space="preserve">Asunto Integrantes del Centro Nicaragüense de Derechos Humanos y de la Comisión Permanente de Derechos Humanos (CENIDH-CPDH) respecto de Nicaragua. </w:t>
      </w:r>
      <w:r w:rsidRPr="00D75593">
        <w:rPr>
          <w:sz w:val="16"/>
          <w:szCs w:val="16"/>
        </w:rPr>
        <w:t>Adopción de Medidas Provisionales Urgentes. Resolución del Presidente de la Corte Interamericana de Derechos Humanos de 12 de julio de 2019, Considerando 42.</w:t>
      </w:r>
    </w:p>
  </w:footnote>
  <w:footnote w:id="15">
    <w:p w14:paraId="0D5BE382" w14:textId="14824552" w:rsidR="00A039A0" w:rsidRPr="00D75593" w:rsidRDefault="00A039A0" w:rsidP="00D75593">
      <w:pPr>
        <w:spacing w:before="60" w:after="60"/>
        <w:rPr>
          <w:rFonts w:ascii="Times New Roman" w:eastAsia="Times New Roman" w:hAnsi="Times New Roman" w:cs="Times New Roman"/>
          <w:sz w:val="16"/>
          <w:szCs w:val="16"/>
          <w:lang w:val="es-ES" w:eastAsia="en-US"/>
        </w:rPr>
      </w:pPr>
      <w:r w:rsidRPr="00D75593">
        <w:rPr>
          <w:rStyle w:val="Refdenotaalpie"/>
          <w:sz w:val="16"/>
          <w:szCs w:val="16"/>
        </w:rPr>
        <w:footnoteRef/>
      </w:r>
      <w:r w:rsidRPr="00D75593">
        <w:rPr>
          <w:sz w:val="16"/>
          <w:szCs w:val="16"/>
        </w:rPr>
        <w:t xml:space="preserve"> </w:t>
      </w:r>
      <w:r w:rsidRPr="00D75593">
        <w:rPr>
          <w:sz w:val="16"/>
          <w:szCs w:val="16"/>
        </w:rPr>
        <w:tab/>
      </w:r>
      <w:r w:rsidRPr="00D75593">
        <w:rPr>
          <w:i/>
          <w:sz w:val="16"/>
          <w:szCs w:val="16"/>
        </w:rPr>
        <w:t>Cfr.</w:t>
      </w:r>
      <w:r w:rsidR="002F0BA9" w:rsidRPr="00D75593">
        <w:rPr>
          <w:i/>
          <w:sz w:val="16"/>
          <w:szCs w:val="16"/>
        </w:rPr>
        <w:t xml:space="preserve"> </w:t>
      </w:r>
      <w:r w:rsidRPr="00D75593">
        <w:rPr>
          <w:i/>
          <w:iCs/>
          <w:sz w:val="16"/>
          <w:szCs w:val="16"/>
        </w:rPr>
        <w:t xml:space="preserve">Caso de los Hermanos Gómez </w:t>
      </w:r>
      <w:proofErr w:type="spellStart"/>
      <w:r w:rsidRPr="00D75593">
        <w:rPr>
          <w:i/>
          <w:iCs/>
          <w:sz w:val="16"/>
          <w:szCs w:val="16"/>
        </w:rPr>
        <w:t>Paquiyauri</w:t>
      </w:r>
      <w:proofErr w:type="spellEnd"/>
      <w:r w:rsidRPr="00D75593">
        <w:rPr>
          <w:i/>
          <w:iCs/>
          <w:sz w:val="16"/>
          <w:szCs w:val="16"/>
        </w:rPr>
        <w:t xml:space="preserve"> respecto Perú. Medidas Provisionales. </w:t>
      </w:r>
      <w:r w:rsidRPr="00D75593">
        <w:rPr>
          <w:iCs/>
          <w:sz w:val="16"/>
          <w:szCs w:val="16"/>
        </w:rPr>
        <w:t>Resolución de la Corte Interamericana de Derechos Humanos de 7 de mayo de 2004</w:t>
      </w:r>
      <w:r w:rsidRPr="00D75593">
        <w:rPr>
          <w:sz w:val="16"/>
          <w:szCs w:val="16"/>
        </w:rPr>
        <w:t xml:space="preserve">, Considerando. 6, y </w:t>
      </w:r>
      <w:r w:rsidRPr="00D75593">
        <w:rPr>
          <w:rFonts w:eastAsia="Times New Roman" w:cs="Arial"/>
          <w:i/>
          <w:sz w:val="16"/>
          <w:szCs w:val="16"/>
          <w:shd w:val="clear" w:color="auto" w:fill="FFFFFF"/>
          <w:lang w:val="es-ES" w:eastAsia="en-US"/>
        </w:rPr>
        <w:t>Caso Vicky Hernández y otros Vs. Honduras. Medidas Provisionales</w:t>
      </w:r>
      <w:r w:rsidRPr="00D75593">
        <w:rPr>
          <w:rFonts w:eastAsia="Times New Roman" w:cs="Arial"/>
          <w:sz w:val="16"/>
          <w:szCs w:val="16"/>
          <w:shd w:val="clear" w:color="auto" w:fill="FFFFFF"/>
          <w:lang w:val="es-ES" w:eastAsia="en-US"/>
        </w:rPr>
        <w:t xml:space="preserve">. Resolución de la Corte Interamericana de Derechos Humanos de 12 de noviembre de 2020, </w:t>
      </w:r>
      <w:r w:rsidRPr="00D75593">
        <w:rPr>
          <w:sz w:val="16"/>
          <w:szCs w:val="16"/>
        </w:rPr>
        <w:t>Considerando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BFF"/>
    <w:multiLevelType w:val="hybridMultilevel"/>
    <w:tmpl w:val="B67EA59E"/>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994672"/>
    <w:multiLevelType w:val="hybridMultilevel"/>
    <w:tmpl w:val="9AAE9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35A5A"/>
    <w:multiLevelType w:val="hybridMultilevel"/>
    <w:tmpl w:val="70BA0408"/>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86912"/>
    <w:multiLevelType w:val="hybridMultilevel"/>
    <w:tmpl w:val="776000CE"/>
    <w:lvl w:ilvl="0" w:tplc="234EB2CC">
      <w:start w:val="1"/>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C7079C9"/>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C255AF"/>
    <w:multiLevelType w:val="hybridMultilevel"/>
    <w:tmpl w:val="EB3E47F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A826F0"/>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B6EA0"/>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E317C"/>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0600B2"/>
    <w:multiLevelType w:val="hybridMultilevel"/>
    <w:tmpl w:val="94BECD7E"/>
    <w:lvl w:ilvl="0" w:tplc="FD72A19E">
      <w:start w:val="1"/>
      <w:numFmt w:val="decimal"/>
      <w:lvlText w:val="%1)"/>
      <w:lvlJc w:val="left"/>
      <w:pPr>
        <w:ind w:left="1419" w:hanging="360"/>
      </w:pPr>
      <w:rPr>
        <w:b w:val="0"/>
        <w:bCs/>
        <w:i w:val="0"/>
        <w:iCs w:val="0"/>
      </w:r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14" w15:restartNumberingAfterBreak="0">
    <w:nsid w:val="504C2D60"/>
    <w:multiLevelType w:val="hybridMultilevel"/>
    <w:tmpl w:val="EC121E62"/>
    <w:lvl w:ilvl="0" w:tplc="1160E910">
      <w:start w:val="1"/>
      <w:numFmt w:val="decimal"/>
      <w:lvlText w:val="%1)"/>
      <w:lvlJc w:val="left"/>
      <w:pPr>
        <w:ind w:left="1440" w:hanging="360"/>
      </w:pPr>
      <w:rPr>
        <w:rFonts w:ascii="Verdana" w:eastAsia="Batang" w:hAnsi="Verdana" w:cs="Calibri"/>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EC5649"/>
    <w:multiLevelType w:val="hybridMultilevel"/>
    <w:tmpl w:val="E4CAAA4A"/>
    <w:lvl w:ilvl="0" w:tplc="42E26D32">
      <w:start w:val="1"/>
      <w:numFmt w:val="upperLetter"/>
      <w:lvlText w:val="%1."/>
      <w:lvlJc w:val="left"/>
      <w:pPr>
        <w:ind w:left="720" w:hanging="360"/>
      </w:pPr>
      <w:rPr>
        <w:b w:val="0"/>
      </w:rPr>
    </w:lvl>
    <w:lvl w:ilvl="1" w:tplc="D85A9EA4">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63648A2"/>
    <w:multiLevelType w:val="hybridMultilevel"/>
    <w:tmpl w:val="5B9AB246"/>
    <w:lvl w:ilvl="0" w:tplc="877E7EB8">
      <w:start w:val="2"/>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BE97B02"/>
    <w:multiLevelType w:val="hybridMultilevel"/>
    <w:tmpl w:val="BCB63CD4"/>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15"/>
  </w:num>
  <w:num w:numId="10">
    <w:abstractNumId w:val="16"/>
  </w:num>
  <w:num w:numId="11">
    <w:abstractNumId w:val="7"/>
  </w:num>
  <w:num w:numId="12">
    <w:abstractNumId w:val="11"/>
  </w:num>
  <w:num w:numId="13">
    <w:abstractNumId w:val="4"/>
  </w:num>
  <w:num w:numId="14">
    <w:abstractNumId w:val="8"/>
  </w:num>
  <w:num w:numId="15">
    <w:abstractNumId w:val="9"/>
  </w:num>
  <w:num w:numId="16">
    <w:abstractNumId w:val="14"/>
  </w:num>
  <w:num w:numId="17">
    <w:abstractNumId w:val="6"/>
  </w:num>
  <w:num w:numId="18">
    <w:abstractNumId w:val="17"/>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AR"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4096" w:nlCheck="1" w:checkStyle="0"/>
  <w:activeWritingStyle w:appName="MSWord" w:lang="es-CR"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es-ES_tradnl" w:vendorID="64" w:dllVersion="0" w:nlCheck="1" w:checkStyle="0"/>
  <w:proofState w:spelling="clean"/>
  <w:defaultTabStop w:val="720"/>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20"/>
    <w:rsid w:val="0000094B"/>
    <w:rsid w:val="00005FA6"/>
    <w:rsid w:val="000321E6"/>
    <w:rsid w:val="0003477E"/>
    <w:rsid w:val="0005396A"/>
    <w:rsid w:val="00055D56"/>
    <w:rsid w:val="00057782"/>
    <w:rsid w:val="00064623"/>
    <w:rsid w:val="00074EC7"/>
    <w:rsid w:val="000811F5"/>
    <w:rsid w:val="00081DC3"/>
    <w:rsid w:val="000826C4"/>
    <w:rsid w:val="0008568F"/>
    <w:rsid w:val="000B1F00"/>
    <w:rsid w:val="000B3342"/>
    <w:rsid w:val="000D4E09"/>
    <w:rsid w:val="000E59A0"/>
    <w:rsid w:val="00132391"/>
    <w:rsid w:val="00151D39"/>
    <w:rsid w:val="00152375"/>
    <w:rsid w:val="00154F9D"/>
    <w:rsid w:val="0017325C"/>
    <w:rsid w:val="0017553D"/>
    <w:rsid w:val="0018511B"/>
    <w:rsid w:val="001B1BF1"/>
    <w:rsid w:val="001B34AB"/>
    <w:rsid w:val="001C35F8"/>
    <w:rsid w:val="001E1F40"/>
    <w:rsid w:val="001E2402"/>
    <w:rsid w:val="001E7CA8"/>
    <w:rsid w:val="002013D4"/>
    <w:rsid w:val="00206BEB"/>
    <w:rsid w:val="00211A5B"/>
    <w:rsid w:val="00221B30"/>
    <w:rsid w:val="00242E4D"/>
    <w:rsid w:val="00255DE8"/>
    <w:rsid w:val="00257F55"/>
    <w:rsid w:val="0026030E"/>
    <w:rsid w:val="00265A0A"/>
    <w:rsid w:val="00270612"/>
    <w:rsid w:val="002707C6"/>
    <w:rsid w:val="002803A6"/>
    <w:rsid w:val="0028042B"/>
    <w:rsid w:val="002843C6"/>
    <w:rsid w:val="00290A20"/>
    <w:rsid w:val="002A46C1"/>
    <w:rsid w:val="002B27AF"/>
    <w:rsid w:val="002B338F"/>
    <w:rsid w:val="002C3EF5"/>
    <w:rsid w:val="002C49D4"/>
    <w:rsid w:val="002F0BA9"/>
    <w:rsid w:val="002F1732"/>
    <w:rsid w:val="00315670"/>
    <w:rsid w:val="00332A2B"/>
    <w:rsid w:val="00335A92"/>
    <w:rsid w:val="0034085D"/>
    <w:rsid w:val="00340862"/>
    <w:rsid w:val="0034402B"/>
    <w:rsid w:val="00345E08"/>
    <w:rsid w:val="00364868"/>
    <w:rsid w:val="00371461"/>
    <w:rsid w:val="0038340E"/>
    <w:rsid w:val="003874CB"/>
    <w:rsid w:val="003B0026"/>
    <w:rsid w:val="003B4E8C"/>
    <w:rsid w:val="003D3CAA"/>
    <w:rsid w:val="003E5616"/>
    <w:rsid w:val="003F39E2"/>
    <w:rsid w:val="003F6458"/>
    <w:rsid w:val="00441519"/>
    <w:rsid w:val="00441EA6"/>
    <w:rsid w:val="00442818"/>
    <w:rsid w:val="00445277"/>
    <w:rsid w:val="004455DA"/>
    <w:rsid w:val="00445BBA"/>
    <w:rsid w:val="00453B2B"/>
    <w:rsid w:val="00457588"/>
    <w:rsid w:val="004A0553"/>
    <w:rsid w:val="004B1D47"/>
    <w:rsid w:val="004C3DB3"/>
    <w:rsid w:val="004E06AA"/>
    <w:rsid w:val="004E12FB"/>
    <w:rsid w:val="004E284C"/>
    <w:rsid w:val="004E7F8F"/>
    <w:rsid w:val="00517382"/>
    <w:rsid w:val="00532438"/>
    <w:rsid w:val="00534E68"/>
    <w:rsid w:val="00557E01"/>
    <w:rsid w:val="00560097"/>
    <w:rsid w:val="005611DD"/>
    <w:rsid w:val="005709DE"/>
    <w:rsid w:val="00573975"/>
    <w:rsid w:val="00577D6D"/>
    <w:rsid w:val="0059118A"/>
    <w:rsid w:val="00593A2F"/>
    <w:rsid w:val="005A0BE7"/>
    <w:rsid w:val="005A2461"/>
    <w:rsid w:val="005B32AE"/>
    <w:rsid w:val="005D5E06"/>
    <w:rsid w:val="005F6498"/>
    <w:rsid w:val="00634275"/>
    <w:rsid w:val="00662698"/>
    <w:rsid w:val="00666A7D"/>
    <w:rsid w:val="006A626D"/>
    <w:rsid w:val="006B64F6"/>
    <w:rsid w:val="006C46A7"/>
    <w:rsid w:val="006D267B"/>
    <w:rsid w:val="006F073A"/>
    <w:rsid w:val="006F5063"/>
    <w:rsid w:val="00700FF0"/>
    <w:rsid w:val="00701066"/>
    <w:rsid w:val="0072353F"/>
    <w:rsid w:val="00737104"/>
    <w:rsid w:val="007550C6"/>
    <w:rsid w:val="00763873"/>
    <w:rsid w:val="007C0587"/>
    <w:rsid w:val="007C0EF1"/>
    <w:rsid w:val="007C5E97"/>
    <w:rsid w:val="007C69B9"/>
    <w:rsid w:val="007C7361"/>
    <w:rsid w:val="007E1982"/>
    <w:rsid w:val="007F4AC8"/>
    <w:rsid w:val="00807987"/>
    <w:rsid w:val="008256B0"/>
    <w:rsid w:val="00852240"/>
    <w:rsid w:val="00870EE2"/>
    <w:rsid w:val="008C3983"/>
    <w:rsid w:val="008E2FAB"/>
    <w:rsid w:val="008F1D20"/>
    <w:rsid w:val="00923C03"/>
    <w:rsid w:val="009318A0"/>
    <w:rsid w:val="009332D9"/>
    <w:rsid w:val="00936081"/>
    <w:rsid w:val="00952E2D"/>
    <w:rsid w:val="00957B97"/>
    <w:rsid w:val="009821F7"/>
    <w:rsid w:val="00993188"/>
    <w:rsid w:val="009C67CF"/>
    <w:rsid w:val="00A039A0"/>
    <w:rsid w:val="00A07E59"/>
    <w:rsid w:val="00A10AB8"/>
    <w:rsid w:val="00A253D8"/>
    <w:rsid w:val="00A323A9"/>
    <w:rsid w:val="00A353B7"/>
    <w:rsid w:val="00A45F7F"/>
    <w:rsid w:val="00A45FEB"/>
    <w:rsid w:val="00A5647B"/>
    <w:rsid w:val="00A70389"/>
    <w:rsid w:val="00A7729B"/>
    <w:rsid w:val="00A8301D"/>
    <w:rsid w:val="00A96FE1"/>
    <w:rsid w:val="00AC7A9A"/>
    <w:rsid w:val="00AD32A6"/>
    <w:rsid w:val="00AF57B0"/>
    <w:rsid w:val="00B3767A"/>
    <w:rsid w:val="00B44870"/>
    <w:rsid w:val="00B56103"/>
    <w:rsid w:val="00B61DBA"/>
    <w:rsid w:val="00B75A2A"/>
    <w:rsid w:val="00B97D29"/>
    <w:rsid w:val="00BA218B"/>
    <w:rsid w:val="00BA43DC"/>
    <w:rsid w:val="00BA5074"/>
    <w:rsid w:val="00BB5CC9"/>
    <w:rsid w:val="00BC446A"/>
    <w:rsid w:val="00BF03F3"/>
    <w:rsid w:val="00BF198D"/>
    <w:rsid w:val="00BF2E04"/>
    <w:rsid w:val="00BF63B8"/>
    <w:rsid w:val="00BF6F1F"/>
    <w:rsid w:val="00BF72D6"/>
    <w:rsid w:val="00C442D8"/>
    <w:rsid w:val="00C4550A"/>
    <w:rsid w:val="00C50D18"/>
    <w:rsid w:val="00C61546"/>
    <w:rsid w:val="00C626F8"/>
    <w:rsid w:val="00C773BA"/>
    <w:rsid w:val="00C817D7"/>
    <w:rsid w:val="00C8212B"/>
    <w:rsid w:val="00C852D1"/>
    <w:rsid w:val="00CA7DB5"/>
    <w:rsid w:val="00CB0A8E"/>
    <w:rsid w:val="00CB6D66"/>
    <w:rsid w:val="00CC7612"/>
    <w:rsid w:val="00CD3564"/>
    <w:rsid w:val="00CD6BE2"/>
    <w:rsid w:val="00CE1C21"/>
    <w:rsid w:val="00D07BE7"/>
    <w:rsid w:val="00D15F33"/>
    <w:rsid w:val="00D46384"/>
    <w:rsid w:val="00D70C65"/>
    <w:rsid w:val="00D75593"/>
    <w:rsid w:val="00D92E07"/>
    <w:rsid w:val="00D93C37"/>
    <w:rsid w:val="00D95EC6"/>
    <w:rsid w:val="00DA19C2"/>
    <w:rsid w:val="00E020F6"/>
    <w:rsid w:val="00E201E3"/>
    <w:rsid w:val="00E37F21"/>
    <w:rsid w:val="00E438E1"/>
    <w:rsid w:val="00E4781E"/>
    <w:rsid w:val="00E87F69"/>
    <w:rsid w:val="00EA6EF5"/>
    <w:rsid w:val="00EB5DB0"/>
    <w:rsid w:val="00ED50DF"/>
    <w:rsid w:val="00EE42CC"/>
    <w:rsid w:val="00F00EE7"/>
    <w:rsid w:val="00F071B2"/>
    <w:rsid w:val="00F22633"/>
    <w:rsid w:val="00F25B5B"/>
    <w:rsid w:val="00F34EFF"/>
    <w:rsid w:val="00F438FB"/>
    <w:rsid w:val="00F45D0C"/>
    <w:rsid w:val="00F52876"/>
    <w:rsid w:val="00F550A4"/>
    <w:rsid w:val="00F62579"/>
    <w:rsid w:val="00F7096F"/>
    <w:rsid w:val="00F75ADE"/>
    <w:rsid w:val="00F76CE1"/>
    <w:rsid w:val="00FB0EA9"/>
    <w:rsid w:val="00FC2FA3"/>
    <w:rsid w:val="00FD102D"/>
    <w:rsid w:val="00FD1EDA"/>
    <w:rsid w:val="00FE12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038A9E"/>
  <w15:docId w15:val="{69B1D997-24C9-41DC-B94B-9AF5C552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20"/>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a vistosa - Énfasis 11,List Paragraph1,Colorful List - Accent 11,Párrafo de lista1"/>
    <w:basedOn w:val="Normal"/>
    <w:link w:val="PrrafodelistaCar"/>
    <w:uiPriority w:val="34"/>
    <w:qFormat/>
    <w:rsid w:val="005A2461"/>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5A2461"/>
    <w:rPr>
      <w:vertAlign w:val="superscript"/>
    </w:rPr>
  </w:style>
  <w:style w:type="character" w:styleId="Refdecomentario">
    <w:name w:val="annotation reference"/>
    <w:basedOn w:val="Fuentedeprrafopredeter"/>
    <w:uiPriority w:val="99"/>
    <w:semiHidden/>
    <w:unhideWhenUsed/>
    <w:rsid w:val="00265A0A"/>
    <w:rPr>
      <w:sz w:val="16"/>
      <w:szCs w:val="16"/>
    </w:rPr>
  </w:style>
  <w:style w:type="paragraph" w:styleId="Textocomentario">
    <w:name w:val="annotation text"/>
    <w:basedOn w:val="Normal"/>
    <w:link w:val="TextocomentarioCar"/>
    <w:uiPriority w:val="99"/>
    <w:semiHidden/>
    <w:unhideWhenUsed/>
    <w:rsid w:val="00265A0A"/>
    <w:rPr>
      <w:szCs w:val="20"/>
    </w:rPr>
  </w:style>
  <w:style w:type="character" w:customStyle="1" w:styleId="TextocomentarioCar">
    <w:name w:val="Texto comentario Car"/>
    <w:basedOn w:val="Fuentedeprrafopredeter"/>
    <w:link w:val="Textocomentario"/>
    <w:uiPriority w:val="99"/>
    <w:semiHidden/>
    <w:rsid w:val="00265A0A"/>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A0A"/>
    <w:rPr>
      <w:b/>
      <w:bCs/>
    </w:rPr>
  </w:style>
  <w:style w:type="character" w:customStyle="1" w:styleId="AsuntodelcomentarioCar">
    <w:name w:val="Asunto del comentario Car"/>
    <w:basedOn w:val="TextocomentarioCar"/>
    <w:link w:val="Asuntodelcomentario"/>
    <w:uiPriority w:val="99"/>
    <w:semiHidden/>
    <w:rsid w:val="00265A0A"/>
    <w:rPr>
      <w:rFonts w:ascii="Verdana" w:eastAsia="Calibri" w:hAnsi="Verdana" w:cs="Times"/>
      <w:b/>
      <w:bCs/>
      <w:sz w:val="20"/>
      <w:szCs w:val="20"/>
      <w:lang w:val="es-ES_tradnl" w:eastAsia="es-ES"/>
    </w:rPr>
  </w:style>
  <w:style w:type="paragraph" w:styleId="Textodeglobo">
    <w:name w:val="Balloon Text"/>
    <w:basedOn w:val="Normal"/>
    <w:link w:val="TextodegloboCar"/>
    <w:uiPriority w:val="99"/>
    <w:semiHidden/>
    <w:unhideWhenUsed/>
    <w:rsid w:val="00265A0A"/>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5A0A"/>
    <w:rPr>
      <w:rFonts w:ascii="Segoe UI" w:eastAsia="Calibri" w:hAnsi="Segoe UI" w:cs="Segoe UI"/>
      <w:sz w:val="18"/>
      <w:szCs w:val="18"/>
      <w:lang w:val="es-ES_tradnl" w:eastAsia="es-ES"/>
    </w:rPr>
  </w:style>
  <w:style w:type="character" w:customStyle="1" w:styleId="PrrafodelistaCar">
    <w:name w:val="Párrafo de lista Car"/>
    <w:aliases w:val="Footnote Car,List Paragraph2 Car,Lista vistosa - Énfasis 11 Car,List Paragraph1 Car,Colorful List - Accent 11 Car,Párrafo de lista1 Car"/>
    <w:link w:val="Prrafodelista"/>
    <w:uiPriority w:val="34"/>
    <w:locked/>
    <w:rsid w:val="00E87F69"/>
    <w:rPr>
      <w:rFonts w:ascii="Verdana" w:eastAsia="Calibri" w:hAnsi="Verdana" w:cs="Times"/>
      <w:sz w:val="20"/>
      <w:szCs w:val="24"/>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C,ft"/>
    <w:basedOn w:val="Normal"/>
    <w:link w:val="TextonotapieCar"/>
    <w:uiPriority w:val="99"/>
    <w:unhideWhenUsed/>
    <w:qFormat/>
    <w:rsid w:val="00A323A9"/>
    <w:pPr>
      <w:spacing w:after="0"/>
    </w:pPr>
    <w:rPr>
      <w:szCs w:val="20"/>
    </w:rPr>
  </w:style>
  <w:style w:type="character" w:customStyle="1" w:styleId="TextonotapieCar">
    <w:name w:val="Texto nota pie Car"/>
    <w:aliases w:val="FA Fu Car2,Footnote Text Char Char Char Char Char Car1,Footnote Text Char Char Char Char Car1,Footnote reference Car1,Footnote Text Char Char Char Car1,FA Fu Car Car2,FA Fu Car Car Car1,Footnote Text Cha Car1,FA Fußnotentext Car1"/>
    <w:basedOn w:val="Fuentedeprrafopredeter"/>
    <w:link w:val="Textonotapie"/>
    <w:qFormat/>
    <w:rsid w:val="00A323A9"/>
    <w:rPr>
      <w:rFonts w:ascii="Verdana" w:eastAsia="Calibri" w:hAnsi="Verdana" w:cs="Times"/>
      <w:sz w:val="20"/>
      <w:szCs w:val="20"/>
      <w:lang w:val="es-ES_tradnl" w:eastAsia="es-ES"/>
    </w:rPr>
  </w:style>
  <w:style w:type="paragraph" w:styleId="Textoindependiente">
    <w:name w:val="Body Text"/>
    <w:basedOn w:val="Normal"/>
    <w:link w:val="TextoindependienteCar"/>
    <w:rsid w:val="0038340E"/>
    <w:pPr>
      <w:jc w:val="left"/>
    </w:pPr>
    <w:rPr>
      <w:rFonts w:eastAsia="Times New Roman" w:cs="Times New Roman"/>
      <w:szCs w:val="20"/>
      <w:lang w:eastAsia="en-US"/>
    </w:rPr>
  </w:style>
  <w:style w:type="character" w:customStyle="1" w:styleId="TextoindependienteCar">
    <w:name w:val="Texto independiente Car"/>
    <w:basedOn w:val="Fuentedeprrafopredeter"/>
    <w:link w:val="Textoindependiente"/>
    <w:rsid w:val="0038340E"/>
    <w:rPr>
      <w:rFonts w:ascii="Verdana" w:eastAsia="Times New Roman" w:hAnsi="Verdana" w:cs="Times New Roman"/>
      <w:sz w:val="20"/>
      <w:szCs w:val="20"/>
      <w:lang w:val="es-ES_tradnl"/>
    </w:rPr>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uiPriority w:val="99"/>
    <w:locked/>
    <w:rsid w:val="004A0553"/>
    <w:rPr>
      <w:rFonts w:ascii="Verdana" w:hAnsi="Verdana"/>
      <w:sz w:val="16"/>
      <w:szCs w:val="16"/>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A0553"/>
    <w:pPr>
      <w:spacing w:after="0"/>
    </w:pPr>
    <w:rPr>
      <w:rFonts w:asciiTheme="minorHAnsi" w:eastAsiaTheme="minorHAnsi" w:hAnsiTheme="minorHAnsi" w:cstheme="minorBidi"/>
      <w:sz w:val="22"/>
      <w:szCs w:val="22"/>
      <w:vertAlign w:val="superscript"/>
      <w:lang w:val="en-US" w:eastAsia="en-US"/>
    </w:rPr>
  </w:style>
  <w:style w:type="character" w:styleId="Textoennegrita">
    <w:name w:val="Strong"/>
    <w:basedOn w:val="Fuentedeprrafopredeter"/>
    <w:uiPriority w:val="22"/>
    <w:qFormat/>
    <w:rsid w:val="004A0553"/>
    <w:rPr>
      <w:b/>
      <w:bCs/>
    </w:rPr>
  </w:style>
  <w:style w:type="paragraph" w:styleId="Revisin">
    <w:name w:val="Revision"/>
    <w:hidden/>
    <w:uiPriority w:val="99"/>
    <w:semiHidden/>
    <w:rsid w:val="00BA218B"/>
    <w:pPr>
      <w:spacing w:after="0" w:line="240" w:lineRule="auto"/>
    </w:pPr>
    <w:rPr>
      <w:rFonts w:ascii="Verdana" w:eastAsia="Calibri" w:hAnsi="Verdana" w:cs="Times"/>
      <w:sz w:val="20"/>
      <w:szCs w:val="24"/>
      <w:lang w:val="es-ES_tradnl" w:eastAsia="es-ES"/>
    </w:rPr>
  </w:style>
  <w:style w:type="paragraph" w:styleId="Encabezado">
    <w:name w:val="header"/>
    <w:basedOn w:val="Normal"/>
    <w:link w:val="EncabezadoCar"/>
    <w:uiPriority w:val="99"/>
    <w:unhideWhenUsed/>
    <w:rsid w:val="007E1982"/>
    <w:pPr>
      <w:tabs>
        <w:tab w:val="center" w:pos="4252"/>
        <w:tab w:val="right" w:pos="8504"/>
      </w:tabs>
      <w:spacing w:after="0"/>
    </w:pPr>
  </w:style>
  <w:style w:type="character" w:customStyle="1" w:styleId="EncabezadoCar">
    <w:name w:val="Encabezado Car"/>
    <w:basedOn w:val="Fuentedeprrafopredeter"/>
    <w:link w:val="Encabezado"/>
    <w:uiPriority w:val="99"/>
    <w:rsid w:val="007E1982"/>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7E1982"/>
    <w:pPr>
      <w:tabs>
        <w:tab w:val="center" w:pos="4252"/>
        <w:tab w:val="right" w:pos="8504"/>
      </w:tabs>
      <w:spacing w:after="0"/>
    </w:pPr>
  </w:style>
  <w:style w:type="character" w:customStyle="1" w:styleId="PiedepginaCar">
    <w:name w:val="Pie de página Car"/>
    <w:basedOn w:val="Fuentedeprrafopredeter"/>
    <w:link w:val="Piedepgina"/>
    <w:uiPriority w:val="99"/>
    <w:rsid w:val="007E1982"/>
    <w:rPr>
      <w:rFonts w:ascii="Verdana" w:eastAsia="Calibri" w:hAnsi="Verdana" w:cs="Times"/>
      <w:sz w:val="20"/>
      <w:szCs w:val="24"/>
      <w:lang w:val="es-ES_tradnl" w:eastAsia="es-ES"/>
    </w:rPr>
  </w:style>
  <w:style w:type="character" w:customStyle="1" w:styleId="apple-converted-space">
    <w:name w:val="apple-converted-space"/>
    <w:basedOn w:val="Fuentedeprrafopredeter"/>
    <w:rsid w:val="00E43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949314">
      <w:bodyDiv w:val="1"/>
      <w:marLeft w:val="0"/>
      <w:marRight w:val="0"/>
      <w:marTop w:val="0"/>
      <w:marBottom w:val="0"/>
      <w:divBdr>
        <w:top w:val="none" w:sz="0" w:space="0" w:color="auto"/>
        <w:left w:val="none" w:sz="0" w:space="0" w:color="auto"/>
        <w:bottom w:val="none" w:sz="0" w:space="0" w:color="auto"/>
        <w:right w:val="none" w:sz="0" w:space="0" w:color="auto"/>
      </w:divBdr>
    </w:div>
    <w:div w:id="195351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5F44-3043-41A4-9841-01946889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1938</Words>
  <Characters>10659</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2020-11-12T20:32:00Z</cp:lastPrinted>
  <dcterms:created xsi:type="dcterms:W3CDTF">2021-04-16T20:14:00Z</dcterms:created>
  <dcterms:modified xsi:type="dcterms:W3CDTF">2021-04-16T20:14:00Z</dcterms:modified>
</cp:coreProperties>
</file>