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23A46" w14:textId="77777777" w:rsidR="00B06F3F" w:rsidRPr="00040E55" w:rsidRDefault="00B06F3F" w:rsidP="00040E55">
      <w:pPr>
        <w:spacing w:after="0" w:line="240" w:lineRule="auto"/>
        <w:ind w:left="5760" w:firstLine="720"/>
        <w:rPr>
          <w:rFonts w:ascii="Cambria" w:hAnsi="Cambria" w:cs="Calibri"/>
          <w:sz w:val="20"/>
          <w:szCs w:val="20"/>
          <w:lang w:val="pt-BR"/>
        </w:rPr>
      </w:pPr>
    </w:p>
    <w:p w14:paraId="6A426BAA" w14:textId="77777777" w:rsidR="000007A2" w:rsidRPr="002832EC" w:rsidRDefault="00B06F3F" w:rsidP="00040E55">
      <w:pPr>
        <w:spacing w:after="0" w:line="240" w:lineRule="auto"/>
        <w:ind w:left="5760" w:firstLine="720"/>
        <w:rPr>
          <w:rFonts w:ascii="Cambria" w:hAnsi="Cambria" w:cs="Calibri"/>
          <w:sz w:val="20"/>
          <w:szCs w:val="20"/>
          <w:lang w:val="pt-BR"/>
        </w:rPr>
      </w:pPr>
      <w:r w:rsidRPr="00040E55">
        <w:rPr>
          <w:rFonts w:ascii="Cambria" w:hAnsi="Cambria" w:cs="Calibri"/>
          <w:sz w:val="20"/>
          <w:szCs w:val="20"/>
          <w:lang w:val="pt-BR"/>
        </w:rPr>
        <w:t xml:space="preserve">               </w:t>
      </w:r>
      <w:r w:rsidR="00333497" w:rsidRPr="002832EC">
        <w:rPr>
          <w:rFonts w:ascii="Cambria" w:hAnsi="Cambria" w:cs="Calibri"/>
          <w:sz w:val="20"/>
          <w:szCs w:val="20"/>
          <w:lang w:val="pt-BR"/>
        </w:rPr>
        <w:t>1</w:t>
      </w:r>
      <w:r w:rsidRPr="002832EC">
        <w:rPr>
          <w:rFonts w:ascii="Cambria" w:hAnsi="Cambria" w:cs="Calibri"/>
          <w:sz w:val="20"/>
          <w:szCs w:val="20"/>
          <w:lang w:val="pt-BR"/>
        </w:rPr>
        <w:t>6 de noviembre</w:t>
      </w:r>
      <w:r w:rsidR="00DE2CA0" w:rsidRPr="002832EC">
        <w:rPr>
          <w:rFonts w:ascii="Cambria" w:hAnsi="Cambria" w:cs="Calibri"/>
          <w:sz w:val="20"/>
          <w:szCs w:val="20"/>
          <w:lang w:val="pt-BR"/>
        </w:rPr>
        <w:t xml:space="preserve"> de 2020</w:t>
      </w:r>
    </w:p>
    <w:p w14:paraId="1129499A" w14:textId="77777777" w:rsidR="00B06F3F" w:rsidRPr="002832EC" w:rsidRDefault="00B06F3F" w:rsidP="00040E55">
      <w:pPr>
        <w:spacing w:after="0" w:line="240" w:lineRule="auto"/>
        <w:ind w:left="5760" w:firstLine="720"/>
        <w:rPr>
          <w:rFonts w:ascii="Cambria" w:hAnsi="Cambria" w:cs="Calibri"/>
          <w:sz w:val="20"/>
          <w:szCs w:val="20"/>
          <w:lang w:val="pt-BR"/>
        </w:rPr>
      </w:pPr>
    </w:p>
    <w:p w14:paraId="77F9618C" w14:textId="77777777" w:rsidR="00B06F3F" w:rsidRPr="002832EC" w:rsidRDefault="00B06F3F" w:rsidP="00040E55">
      <w:pPr>
        <w:spacing w:after="0" w:line="240" w:lineRule="auto"/>
        <w:ind w:left="5760" w:firstLine="720"/>
        <w:rPr>
          <w:rFonts w:ascii="Cambria" w:hAnsi="Cambria" w:cs="Calibri"/>
          <w:sz w:val="20"/>
          <w:szCs w:val="20"/>
          <w:lang w:val="pt-BR"/>
        </w:rPr>
      </w:pPr>
    </w:p>
    <w:p w14:paraId="35203870" w14:textId="77777777" w:rsidR="00162CE1" w:rsidRPr="002832EC" w:rsidRDefault="0042403B" w:rsidP="00040E55">
      <w:pPr>
        <w:spacing w:after="0" w:line="240" w:lineRule="auto"/>
        <w:jc w:val="both"/>
        <w:rPr>
          <w:rFonts w:ascii="Cambria" w:hAnsi="Cambria" w:cs="Calibri"/>
          <w:b/>
          <w:sz w:val="20"/>
          <w:szCs w:val="20"/>
          <w:lang w:val="pt-BR"/>
        </w:rPr>
      </w:pPr>
      <w:r w:rsidRPr="002832EC">
        <w:rPr>
          <w:rFonts w:ascii="Cambria" w:hAnsi="Cambria" w:cs="Calibri"/>
          <w:b/>
          <w:sz w:val="20"/>
          <w:szCs w:val="20"/>
          <w:lang w:val="pt-BR"/>
        </w:rPr>
        <w:t>REF</w:t>
      </w:r>
      <w:r w:rsidR="00162CE1" w:rsidRPr="002832EC">
        <w:rPr>
          <w:rFonts w:ascii="Cambria" w:hAnsi="Cambria" w:cs="Calibri"/>
          <w:b/>
          <w:sz w:val="20"/>
          <w:szCs w:val="20"/>
          <w:lang w:val="pt-BR"/>
        </w:rPr>
        <w:t>.:</w:t>
      </w:r>
      <w:bookmarkStart w:id="0" w:name="Peticion_n"/>
      <w:bookmarkEnd w:id="0"/>
      <w:r w:rsidR="00A2631B" w:rsidRPr="002832EC">
        <w:rPr>
          <w:rFonts w:ascii="Cambria" w:hAnsi="Cambria" w:cs="Calibri"/>
          <w:b/>
          <w:sz w:val="20"/>
          <w:szCs w:val="20"/>
          <w:lang w:val="pt-BR"/>
        </w:rPr>
        <w:tab/>
        <w:t>Caso Nº</w:t>
      </w:r>
      <w:r w:rsidR="00162CE1" w:rsidRPr="002832EC">
        <w:rPr>
          <w:rFonts w:ascii="Cambria" w:hAnsi="Cambria" w:cs="Calibri"/>
          <w:b/>
          <w:sz w:val="20"/>
          <w:szCs w:val="20"/>
          <w:lang w:val="pt-BR"/>
        </w:rPr>
        <w:t xml:space="preserve"> </w:t>
      </w:r>
      <w:r w:rsidR="00040E55" w:rsidRPr="002832EC">
        <w:rPr>
          <w:rFonts w:ascii="Cambria" w:hAnsi="Cambria" w:cs="Calibri"/>
          <w:b/>
          <w:sz w:val="20"/>
          <w:szCs w:val="20"/>
          <w:lang w:val="pt-BR"/>
        </w:rPr>
        <w:t>12.691</w:t>
      </w:r>
    </w:p>
    <w:p w14:paraId="3021EED7" w14:textId="77777777" w:rsidR="00040E55" w:rsidRPr="002832EC" w:rsidRDefault="00040E55" w:rsidP="00040E55">
      <w:pPr>
        <w:spacing w:after="0" w:line="240" w:lineRule="auto"/>
        <w:ind w:firstLine="720"/>
        <w:jc w:val="both"/>
        <w:rPr>
          <w:rFonts w:ascii="Cambria" w:hAnsi="Cambria"/>
          <w:sz w:val="20"/>
          <w:szCs w:val="20"/>
          <w:lang w:val="es-ES"/>
        </w:rPr>
      </w:pPr>
      <w:r w:rsidRPr="002832EC">
        <w:rPr>
          <w:rFonts w:ascii="Cambria" w:hAnsi="Cambria" w:cs="Calibri"/>
          <w:b/>
          <w:sz w:val="20"/>
          <w:szCs w:val="20"/>
          <w:lang w:val="pt-BR"/>
        </w:rPr>
        <w:t>Miembros del Sindicato Único de Trabajadores de Ecasa (SUTECASA)</w:t>
      </w:r>
    </w:p>
    <w:p w14:paraId="20D472E4" w14:textId="77777777" w:rsidR="00DE2CA0" w:rsidRPr="002832EC" w:rsidRDefault="006022CC" w:rsidP="00040E55">
      <w:pPr>
        <w:spacing w:after="0" w:line="240" w:lineRule="auto"/>
        <w:ind w:firstLine="720"/>
        <w:jc w:val="both"/>
        <w:rPr>
          <w:rFonts w:ascii="Cambria" w:hAnsi="Cambria"/>
          <w:b/>
          <w:sz w:val="20"/>
          <w:szCs w:val="20"/>
          <w:lang w:val="es-CO"/>
        </w:rPr>
      </w:pPr>
      <w:r w:rsidRPr="002832EC">
        <w:rPr>
          <w:rFonts w:ascii="Cambria" w:hAnsi="Cambria"/>
          <w:b/>
          <w:sz w:val="20"/>
          <w:szCs w:val="20"/>
          <w:lang w:val="es-CO"/>
        </w:rPr>
        <w:t>Perú</w:t>
      </w:r>
    </w:p>
    <w:p w14:paraId="114864EE" w14:textId="77777777" w:rsidR="0042403B" w:rsidRPr="002832EC" w:rsidRDefault="004A2758" w:rsidP="00040E55">
      <w:pPr>
        <w:spacing w:after="0" w:line="240" w:lineRule="auto"/>
        <w:ind w:firstLine="720"/>
        <w:jc w:val="both"/>
        <w:rPr>
          <w:rFonts w:ascii="Cambria" w:hAnsi="Cambria" w:cs="Calibri"/>
          <w:b/>
          <w:sz w:val="20"/>
          <w:szCs w:val="20"/>
          <w:lang w:val="es-ES"/>
        </w:rPr>
      </w:pPr>
      <w:r w:rsidRPr="002832EC">
        <w:rPr>
          <w:rFonts w:ascii="Cambria" w:hAnsi="Cambria" w:cs="Calibri"/>
          <w:b/>
          <w:sz w:val="20"/>
          <w:szCs w:val="20"/>
          <w:lang w:val="es-ES"/>
        </w:rPr>
        <w:tab/>
      </w:r>
    </w:p>
    <w:p w14:paraId="2154B89C" w14:textId="77777777" w:rsidR="000007A2" w:rsidRPr="002832EC" w:rsidRDefault="000007A2" w:rsidP="00040E55">
      <w:pPr>
        <w:spacing w:after="0" w:line="240" w:lineRule="auto"/>
        <w:jc w:val="both"/>
        <w:rPr>
          <w:rFonts w:ascii="Cambria" w:hAnsi="Cambria" w:cs="Calibri"/>
          <w:b/>
          <w:sz w:val="20"/>
          <w:szCs w:val="20"/>
          <w:lang w:val="es-ES"/>
        </w:rPr>
      </w:pPr>
    </w:p>
    <w:p w14:paraId="4A3AEA59" w14:textId="77777777" w:rsidR="00162CE1" w:rsidRPr="002832EC" w:rsidRDefault="00162CE1" w:rsidP="00040E55">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Señor Secretario:</w:t>
      </w:r>
    </w:p>
    <w:p w14:paraId="513D4294" w14:textId="77777777" w:rsidR="00162CE1" w:rsidRPr="002832EC" w:rsidRDefault="00162CE1" w:rsidP="00040E55">
      <w:pPr>
        <w:spacing w:after="0" w:line="240" w:lineRule="auto"/>
        <w:jc w:val="both"/>
        <w:rPr>
          <w:rFonts w:ascii="Cambria" w:hAnsi="Cambria" w:cs="Calibri"/>
          <w:sz w:val="20"/>
          <w:szCs w:val="20"/>
          <w:lang w:val="es-ES"/>
        </w:rPr>
      </w:pPr>
    </w:p>
    <w:p w14:paraId="36301756" w14:textId="77777777" w:rsidR="00040E55" w:rsidRPr="002832EC" w:rsidRDefault="00040E55" w:rsidP="00040E55">
      <w:pPr>
        <w:tabs>
          <w:tab w:val="left" w:pos="720"/>
          <w:tab w:val="left" w:pos="1440"/>
        </w:tabs>
        <w:spacing w:after="0" w:line="240" w:lineRule="auto"/>
        <w:jc w:val="both"/>
        <w:rPr>
          <w:rFonts w:ascii="Cambria" w:hAnsi="Cambria"/>
          <w:sz w:val="20"/>
          <w:szCs w:val="20"/>
          <w:lang w:val="es-VE"/>
        </w:rPr>
      </w:pPr>
      <w:r w:rsidRPr="002832EC">
        <w:rPr>
          <w:rFonts w:ascii="Cambria" w:hAnsi="Cambria" w:cs="Calibri"/>
          <w:sz w:val="20"/>
          <w:szCs w:val="20"/>
          <w:lang w:val="es-ES"/>
        </w:rPr>
        <w:tab/>
      </w:r>
      <w:r w:rsidR="00162CE1" w:rsidRPr="002832EC">
        <w:rPr>
          <w:rFonts w:ascii="Cambria" w:hAnsi="Cambria" w:cs="Calibri"/>
          <w:sz w:val="20"/>
          <w:szCs w:val="20"/>
          <w:lang w:val="es-ES"/>
        </w:rPr>
        <w:t>Tengo el agrado de dirigirme a usted</w:t>
      </w:r>
      <w:r w:rsidR="0042403B" w:rsidRPr="002832EC">
        <w:rPr>
          <w:rFonts w:ascii="Cambria" w:hAnsi="Cambria" w:cs="Calibri"/>
          <w:sz w:val="20"/>
          <w:szCs w:val="20"/>
          <w:lang w:val="es-ES"/>
        </w:rPr>
        <w:t>,</w:t>
      </w:r>
      <w:r w:rsidR="00162CE1" w:rsidRPr="002832EC">
        <w:rPr>
          <w:rFonts w:ascii="Cambria" w:hAnsi="Cambria" w:cs="Calibri"/>
          <w:sz w:val="20"/>
          <w:szCs w:val="20"/>
          <w:lang w:val="es-ES"/>
        </w:rPr>
        <w:t xml:space="preserve"> en nombre de la Comisión Interamericana de Derechos Humanos</w:t>
      </w:r>
      <w:r w:rsidR="0042403B" w:rsidRPr="002832EC">
        <w:rPr>
          <w:rFonts w:ascii="Cambria" w:hAnsi="Cambria" w:cs="Calibri"/>
          <w:sz w:val="20"/>
          <w:szCs w:val="20"/>
          <w:lang w:val="es-ES"/>
        </w:rPr>
        <w:t>,</w:t>
      </w:r>
      <w:r w:rsidR="00162CE1" w:rsidRPr="002832EC">
        <w:rPr>
          <w:rFonts w:ascii="Cambria" w:hAnsi="Cambria" w:cs="Calibri"/>
          <w:sz w:val="20"/>
          <w:szCs w:val="20"/>
          <w:lang w:val="es-ES"/>
        </w:rPr>
        <w:t xml:space="preserve"> con el objeto de someter a la jurisdicción de la Honorable Corte Interame</w:t>
      </w:r>
      <w:r w:rsidR="00026ADD" w:rsidRPr="002832EC">
        <w:rPr>
          <w:rFonts w:ascii="Cambria" w:hAnsi="Cambria" w:cs="Calibri"/>
          <w:sz w:val="20"/>
          <w:szCs w:val="20"/>
          <w:lang w:val="es-ES"/>
        </w:rPr>
        <w:t>ricana de Derechos Humanos, el C</w:t>
      </w:r>
      <w:r w:rsidR="00162CE1" w:rsidRPr="002832EC">
        <w:rPr>
          <w:rFonts w:ascii="Cambria" w:hAnsi="Cambria" w:cs="Calibri"/>
          <w:sz w:val="20"/>
          <w:szCs w:val="20"/>
          <w:lang w:val="es-ES"/>
        </w:rPr>
        <w:t xml:space="preserve">aso No. </w:t>
      </w:r>
      <w:bookmarkStart w:id="1" w:name="Peticion_n1"/>
      <w:bookmarkEnd w:id="1"/>
      <w:r w:rsidRPr="002832EC">
        <w:rPr>
          <w:rFonts w:ascii="Cambria" w:hAnsi="Cambria" w:cs="Calibri"/>
          <w:sz w:val="20"/>
          <w:szCs w:val="20"/>
          <w:lang w:val="es-ES"/>
        </w:rPr>
        <w:t>12.691</w:t>
      </w:r>
      <w:r w:rsidR="009E433A" w:rsidRPr="002832EC">
        <w:rPr>
          <w:rFonts w:ascii="Cambria" w:hAnsi="Cambria" w:cs="Calibri"/>
          <w:sz w:val="20"/>
          <w:szCs w:val="20"/>
          <w:lang w:val="es-ES"/>
        </w:rPr>
        <w:t xml:space="preserve"> </w:t>
      </w:r>
      <w:r w:rsidR="00E31CFC" w:rsidRPr="002832EC">
        <w:rPr>
          <w:rFonts w:ascii="Cambria" w:hAnsi="Cambria" w:cs="Calibri"/>
          <w:sz w:val="20"/>
          <w:szCs w:val="20"/>
          <w:lang w:val="es-ES"/>
        </w:rPr>
        <w:t>–</w:t>
      </w:r>
      <w:r w:rsidR="00162CE1" w:rsidRPr="002832EC">
        <w:rPr>
          <w:rFonts w:ascii="Cambria" w:hAnsi="Cambria" w:cs="Calibri"/>
          <w:sz w:val="20"/>
          <w:szCs w:val="20"/>
          <w:lang w:val="es-ES"/>
        </w:rPr>
        <w:t xml:space="preserve"> </w:t>
      </w:r>
      <w:r w:rsidRPr="002832EC">
        <w:rPr>
          <w:rFonts w:ascii="Cambria" w:hAnsi="Cambria" w:cs="Calibri"/>
          <w:sz w:val="20"/>
          <w:szCs w:val="20"/>
          <w:lang w:val="es-ES"/>
        </w:rPr>
        <w:t>Miembros del Sindicato Único de Trabajadores de Ecasa (SUTECASA)</w:t>
      </w:r>
      <w:r w:rsidR="006634BE" w:rsidRPr="002832EC">
        <w:rPr>
          <w:rFonts w:ascii="Cambria" w:hAnsi="Cambria" w:cs="Calibri"/>
          <w:sz w:val="20"/>
          <w:szCs w:val="20"/>
          <w:lang w:val="es-ES"/>
        </w:rPr>
        <w:t>,</w:t>
      </w:r>
      <w:r w:rsidR="009E433A" w:rsidRPr="002832EC">
        <w:rPr>
          <w:rFonts w:ascii="Cambria" w:hAnsi="Cambria" w:cs="Calibri"/>
          <w:sz w:val="20"/>
          <w:szCs w:val="20"/>
          <w:lang w:val="es-ES"/>
        </w:rPr>
        <w:t xml:space="preserve"> </w:t>
      </w:r>
      <w:r w:rsidR="006022CC" w:rsidRPr="002832EC">
        <w:rPr>
          <w:rFonts w:ascii="Cambria" w:hAnsi="Cambria" w:cs="Calibri"/>
          <w:sz w:val="20"/>
          <w:szCs w:val="20"/>
          <w:lang w:val="es-ES"/>
        </w:rPr>
        <w:t xml:space="preserve">respecto de la República de Perú (en adelante “el Estado”, “el Estado peruano” o “Perú”), </w:t>
      </w:r>
      <w:r w:rsidR="00162CE1" w:rsidRPr="002832EC">
        <w:rPr>
          <w:rFonts w:ascii="Cambria" w:hAnsi="Cambria" w:cs="Calibri"/>
          <w:sz w:val="20"/>
          <w:szCs w:val="20"/>
          <w:lang w:val="es-ES"/>
        </w:rPr>
        <w:t>relacionado</w:t>
      </w:r>
      <w:r w:rsidRPr="002832EC">
        <w:rPr>
          <w:rFonts w:ascii="Cambria" w:hAnsi="Cambria" w:cs="Calibri"/>
          <w:sz w:val="20"/>
          <w:szCs w:val="20"/>
          <w:lang w:val="es-ES"/>
        </w:rPr>
        <w:t xml:space="preserve"> con el</w:t>
      </w:r>
      <w:r w:rsidR="00162CE1" w:rsidRPr="002832EC">
        <w:rPr>
          <w:rFonts w:ascii="Cambria" w:hAnsi="Cambria" w:cs="Calibri"/>
          <w:sz w:val="20"/>
          <w:szCs w:val="20"/>
          <w:lang w:val="es-ES"/>
        </w:rPr>
        <w:t xml:space="preserve"> </w:t>
      </w:r>
      <w:r w:rsidRPr="002832EC">
        <w:rPr>
          <w:rFonts w:ascii="Cambria" w:hAnsi="Cambria" w:cs="Calibri"/>
          <w:sz w:val="20"/>
          <w:szCs w:val="20"/>
          <w:lang w:val="es-ES"/>
        </w:rPr>
        <w:t>incumplimiento de fallos judiciales emitidos a favor de los miembros de SUTECASA.</w:t>
      </w:r>
      <w:r w:rsidRPr="002832EC">
        <w:rPr>
          <w:rFonts w:ascii="Cambria" w:hAnsi="Cambria"/>
          <w:color w:val="000000"/>
          <w:sz w:val="20"/>
          <w:szCs w:val="20"/>
          <w:lang w:val="es-AR"/>
        </w:rPr>
        <w:t xml:space="preserve"> </w:t>
      </w:r>
    </w:p>
    <w:p w14:paraId="6DFC0379" w14:textId="77777777" w:rsidR="00206412" w:rsidRPr="002832EC" w:rsidRDefault="00206412" w:rsidP="00040E55">
      <w:pPr>
        <w:tabs>
          <w:tab w:val="num" w:pos="2040"/>
        </w:tabs>
        <w:spacing w:after="0" w:line="240" w:lineRule="auto"/>
        <w:jc w:val="both"/>
        <w:rPr>
          <w:rFonts w:ascii="Cambria" w:hAnsi="Cambria"/>
          <w:sz w:val="20"/>
          <w:szCs w:val="20"/>
          <w:lang w:val="es-ES_tradnl"/>
        </w:rPr>
      </w:pPr>
    </w:p>
    <w:p w14:paraId="781E32DD" w14:textId="77777777" w:rsidR="00464696" w:rsidRPr="002832EC" w:rsidRDefault="00040E55" w:rsidP="00464696">
      <w:pPr>
        <w:tabs>
          <w:tab w:val="left" w:pos="360"/>
          <w:tab w:val="left" w:pos="720"/>
        </w:tabs>
        <w:spacing w:after="0" w:line="240" w:lineRule="auto"/>
        <w:jc w:val="both"/>
        <w:rPr>
          <w:rFonts w:ascii="Cambria" w:hAnsi="Cambria"/>
          <w:sz w:val="20"/>
          <w:szCs w:val="20"/>
          <w:lang w:val="es-CO"/>
        </w:rPr>
      </w:pPr>
      <w:r w:rsidRPr="002832EC">
        <w:rPr>
          <w:rFonts w:ascii="Cambria" w:hAnsi="Cambria"/>
          <w:sz w:val="20"/>
          <w:szCs w:val="20"/>
          <w:lang w:val="es-CO"/>
        </w:rPr>
        <w:tab/>
      </w:r>
      <w:r w:rsidRPr="002832EC">
        <w:rPr>
          <w:rFonts w:ascii="Cambria" w:hAnsi="Cambria"/>
          <w:sz w:val="20"/>
          <w:szCs w:val="20"/>
          <w:lang w:val="es-CO"/>
        </w:rPr>
        <w:tab/>
      </w:r>
      <w:r w:rsidR="00464696" w:rsidRPr="002832EC">
        <w:rPr>
          <w:rFonts w:ascii="Cambria" w:hAnsi="Cambria"/>
          <w:sz w:val="20"/>
          <w:szCs w:val="20"/>
          <w:lang w:val="es-CO"/>
        </w:rPr>
        <w:t>E</w:t>
      </w:r>
      <w:r w:rsidRPr="002832EC">
        <w:rPr>
          <w:rFonts w:ascii="Cambria" w:hAnsi="Cambria"/>
          <w:sz w:val="20"/>
          <w:szCs w:val="20"/>
          <w:lang w:val="es-CO"/>
        </w:rPr>
        <w:t xml:space="preserve">n el marco del proceso de privatización de empresas estatales en 1991, el gobierno </w:t>
      </w:r>
      <w:r w:rsidR="00464696" w:rsidRPr="002832EC">
        <w:rPr>
          <w:rFonts w:ascii="Cambria" w:hAnsi="Cambria"/>
          <w:sz w:val="20"/>
          <w:szCs w:val="20"/>
          <w:lang w:val="es-CO"/>
        </w:rPr>
        <w:t xml:space="preserve">peruano </w:t>
      </w:r>
      <w:r w:rsidRPr="002832EC">
        <w:rPr>
          <w:rFonts w:ascii="Cambria" w:hAnsi="Cambria"/>
          <w:sz w:val="20"/>
          <w:szCs w:val="20"/>
          <w:lang w:val="es-CO"/>
        </w:rPr>
        <w:t xml:space="preserve">liquidó la Empresa Comercializadora de Alimentos S.A. (ECASA), lo que generó el despido de más de tres mil trabajadores. Mediante Decretos Supremos No. 057-90-TR y 107-90-PCM se dispuso suspender los incrementos salariales fijados por Convenios Colectivos. Frente </w:t>
      </w:r>
      <w:r w:rsidRPr="002832EC">
        <w:rPr>
          <w:rFonts w:ascii="Cambria" w:hAnsi="Cambria"/>
          <w:sz w:val="20"/>
          <w:szCs w:val="20"/>
          <w:lang w:val="es-ES"/>
        </w:rPr>
        <w:t xml:space="preserve">a esta situación, los miembros de SUTECASA presentaron una acción de amparo. Tras varias instancias, el proceso de amparo culminó el </w:t>
      </w:r>
      <w:r w:rsidRPr="002832EC">
        <w:rPr>
          <w:rFonts w:ascii="Cambria" w:hAnsi="Cambria"/>
          <w:sz w:val="20"/>
          <w:szCs w:val="20"/>
          <w:lang w:val="es-CO"/>
        </w:rPr>
        <w:t>16 de febrero de 1993</w:t>
      </w:r>
      <w:r w:rsidRPr="002832EC">
        <w:rPr>
          <w:rFonts w:ascii="Cambria" w:hAnsi="Cambria"/>
          <w:sz w:val="20"/>
          <w:szCs w:val="20"/>
          <w:lang w:val="es-ES"/>
        </w:rPr>
        <w:t xml:space="preserve"> con sentencia de la Corte Suprema de Justicia resolviendo que </w:t>
      </w:r>
      <w:r w:rsidRPr="002832EC">
        <w:rPr>
          <w:rFonts w:ascii="Cambria" w:hAnsi="Cambria"/>
          <w:sz w:val="20"/>
          <w:szCs w:val="20"/>
          <w:lang w:val="es-CO"/>
        </w:rPr>
        <w:t>eran inaplicables los Decretos Supremos número 57-90-TR y 107-90-PCM</w:t>
      </w:r>
      <w:r w:rsidRPr="002832EC">
        <w:rPr>
          <w:rFonts w:ascii="Cambria" w:hAnsi="Cambria"/>
          <w:sz w:val="20"/>
          <w:szCs w:val="20"/>
          <w:lang w:val="es-ES"/>
        </w:rPr>
        <w:t>. Asimismo, el Tribunal Constitucional ordenó la ejecución de dicha empresa. A partir de ese momento se inició un proceso de cumplimiento de sentencia que, transcurridos más de 26 años, permanece abierto</w:t>
      </w:r>
      <w:r w:rsidR="001A1F7B" w:rsidRPr="002832EC">
        <w:rPr>
          <w:rFonts w:ascii="Cambria" w:hAnsi="Cambria"/>
          <w:sz w:val="20"/>
          <w:szCs w:val="20"/>
          <w:lang w:val="es-ES"/>
        </w:rPr>
        <w:t>, no obstante las diversas vías que fueron utilizadas.</w:t>
      </w:r>
    </w:p>
    <w:p w14:paraId="39923681" w14:textId="77777777" w:rsidR="00464696" w:rsidRPr="002832EC" w:rsidRDefault="00464696" w:rsidP="00464696">
      <w:pPr>
        <w:tabs>
          <w:tab w:val="left" w:pos="360"/>
          <w:tab w:val="left" w:pos="720"/>
        </w:tabs>
        <w:spacing w:after="0" w:line="240" w:lineRule="auto"/>
        <w:jc w:val="both"/>
        <w:rPr>
          <w:rFonts w:ascii="Cambria" w:hAnsi="Cambria"/>
          <w:sz w:val="20"/>
          <w:szCs w:val="20"/>
          <w:lang w:val="es-CO"/>
        </w:rPr>
      </w:pPr>
    </w:p>
    <w:p w14:paraId="3941D432" w14:textId="77777777" w:rsidR="00464696" w:rsidRPr="002832EC" w:rsidRDefault="00464696" w:rsidP="00464696">
      <w:pPr>
        <w:tabs>
          <w:tab w:val="left" w:pos="360"/>
          <w:tab w:val="left" w:pos="720"/>
        </w:tabs>
        <w:spacing w:after="0" w:line="240" w:lineRule="auto"/>
        <w:jc w:val="both"/>
        <w:rPr>
          <w:rFonts w:ascii="Cambria" w:hAnsi="Cambria"/>
          <w:sz w:val="20"/>
          <w:szCs w:val="20"/>
          <w:lang w:val="es-CO"/>
        </w:rPr>
      </w:pPr>
      <w:r w:rsidRPr="002832EC">
        <w:rPr>
          <w:rFonts w:ascii="Cambria" w:hAnsi="Cambria"/>
          <w:sz w:val="20"/>
          <w:szCs w:val="20"/>
          <w:lang w:val="es-CO"/>
        </w:rPr>
        <w:tab/>
      </w:r>
      <w:r w:rsidRPr="002832EC">
        <w:rPr>
          <w:rFonts w:ascii="Cambria" w:hAnsi="Cambria"/>
          <w:sz w:val="20"/>
          <w:szCs w:val="20"/>
          <w:lang w:val="es-CO"/>
        </w:rPr>
        <w:tab/>
        <w:t>En su Informe de Fondo l</w:t>
      </w:r>
      <w:r w:rsidR="00040E55" w:rsidRPr="002832EC">
        <w:rPr>
          <w:rFonts w:ascii="Cambria" w:hAnsi="Cambria"/>
          <w:sz w:val="20"/>
          <w:szCs w:val="20"/>
          <w:lang w:val="es-CO"/>
        </w:rPr>
        <w:t>a Comisión consideró que, a lo largo de 26 años, las autoridades judiciales peruanas han permitido que se sustancie un proceso de ejecución de sentencia sin lograr resolver de manera definitiva los debates principales, resultando incompatible con el derecho a que las sentencias judiciales en firme sean debidamente ejecutadas, mediante mecanismos efectivos y oportunos. La Comisión concluyó q</w:t>
      </w:r>
      <w:r w:rsidRPr="002832EC">
        <w:rPr>
          <w:rFonts w:ascii="Cambria" w:hAnsi="Cambria"/>
          <w:sz w:val="20"/>
          <w:szCs w:val="20"/>
          <w:lang w:val="es-CO"/>
        </w:rPr>
        <w:t xml:space="preserve">ue </w:t>
      </w:r>
      <w:r w:rsidR="00040E55" w:rsidRPr="002832EC">
        <w:rPr>
          <w:rFonts w:ascii="Cambria" w:hAnsi="Cambria"/>
          <w:sz w:val="20"/>
          <w:szCs w:val="20"/>
          <w:lang w:val="es-CO"/>
        </w:rPr>
        <w:t xml:space="preserve">los procesos internos han demostrado su total inefectividad para brindar una respuesta definitiva a las víctimas sobre el alcance de sus derechos y los efectos patrimoniales o laborales de la decisión de amparo a su favor, con miras a su debida ejecución. </w:t>
      </w:r>
      <w:r w:rsidR="00040E55" w:rsidRPr="002832EC">
        <w:rPr>
          <w:rFonts w:ascii="Cambria" w:hAnsi="Cambria"/>
          <w:sz w:val="20"/>
          <w:szCs w:val="20"/>
          <w:lang w:val="es-AR"/>
        </w:rPr>
        <w:t xml:space="preserve">En virtud de ello, la Comisión concluyó que el Estado peruano es responsable por la violación del derecho a protección judicial, específicamente en lo relativo a la ejecución de decisiones judiciales en firme, en los términos del artículo 25.2 c) de la Convención Americana. </w:t>
      </w:r>
    </w:p>
    <w:p w14:paraId="2D765A22" w14:textId="77777777" w:rsidR="00464696" w:rsidRPr="002832EC" w:rsidRDefault="00464696" w:rsidP="00464696">
      <w:pPr>
        <w:tabs>
          <w:tab w:val="left" w:pos="360"/>
          <w:tab w:val="left" w:pos="720"/>
        </w:tabs>
        <w:spacing w:after="0" w:line="240" w:lineRule="auto"/>
        <w:jc w:val="both"/>
        <w:rPr>
          <w:rFonts w:ascii="Cambria" w:hAnsi="Cambria"/>
          <w:sz w:val="20"/>
          <w:szCs w:val="20"/>
          <w:lang w:val="es-CO"/>
        </w:rPr>
      </w:pPr>
    </w:p>
    <w:p w14:paraId="306C8745" w14:textId="77777777" w:rsidR="00040E55" w:rsidRPr="002832EC" w:rsidRDefault="00464696" w:rsidP="00464696">
      <w:pPr>
        <w:tabs>
          <w:tab w:val="left" w:pos="360"/>
          <w:tab w:val="left" w:pos="720"/>
        </w:tabs>
        <w:spacing w:after="0" w:line="240" w:lineRule="auto"/>
        <w:jc w:val="both"/>
        <w:rPr>
          <w:rFonts w:ascii="Cambria" w:hAnsi="Cambria"/>
          <w:sz w:val="20"/>
          <w:szCs w:val="20"/>
          <w:lang w:val="es-ES"/>
        </w:rPr>
      </w:pPr>
      <w:r w:rsidRPr="002832EC">
        <w:rPr>
          <w:rFonts w:ascii="Cambria" w:hAnsi="Cambria"/>
          <w:sz w:val="20"/>
          <w:szCs w:val="20"/>
          <w:lang w:val="es-CO"/>
        </w:rPr>
        <w:tab/>
      </w:r>
      <w:r w:rsidRPr="002832EC">
        <w:rPr>
          <w:rFonts w:ascii="Cambria" w:hAnsi="Cambria"/>
          <w:sz w:val="20"/>
          <w:szCs w:val="20"/>
          <w:lang w:val="es-CO"/>
        </w:rPr>
        <w:tab/>
        <w:t xml:space="preserve">La Comisión </w:t>
      </w:r>
      <w:r w:rsidR="007C4501" w:rsidRPr="002832EC">
        <w:rPr>
          <w:rFonts w:ascii="Cambria" w:hAnsi="Cambria"/>
          <w:sz w:val="20"/>
          <w:szCs w:val="20"/>
          <w:lang w:val="es-CO"/>
        </w:rPr>
        <w:t>estableció que e</w:t>
      </w:r>
      <w:r w:rsidR="00040E55" w:rsidRPr="002832EC">
        <w:rPr>
          <w:rFonts w:ascii="Cambria" w:hAnsi="Cambria"/>
          <w:sz w:val="20"/>
          <w:szCs w:val="20"/>
          <w:lang w:val="es-ES"/>
        </w:rPr>
        <w:t xml:space="preserve">l incumplimiento de las sentencias por parte del Estado peruano en contra de entidades estatales desde la década de 1990, trasciende a la situación individual de las presuntas víctimas del presente caso y hace parte de un contexto más general, respecto del cual tanto la Comisión como la Corte se han pronunciado. La Comisión destacó que, a pesar de estar en conocimiento de esta problemática, el Estado no ha adoptado las medidas generales necesarias para remediarla y evitar su repetición. En consecuencia, la Comisión consideró que el Estado también es responsable por la violación del artículo 2 de la Convención Americana. </w:t>
      </w:r>
    </w:p>
    <w:p w14:paraId="4E8E2F64" w14:textId="77777777" w:rsidR="007C4501" w:rsidRPr="002832EC" w:rsidRDefault="007C4501" w:rsidP="00464696">
      <w:pPr>
        <w:tabs>
          <w:tab w:val="left" w:pos="360"/>
          <w:tab w:val="left" w:pos="720"/>
        </w:tabs>
        <w:spacing w:after="0" w:line="240" w:lineRule="auto"/>
        <w:jc w:val="both"/>
        <w:rPr>
          <w:rFonts w:ascii="Cambria" w:hAnsi="Cambria"/>
          <w:sz w:val="20"/>
          <w:szCs w:val="20"/>
          <w:lang w:val="es-ES"/>
        </w:rPr>
      </w:pPr>
    </w:p>
    <w:p w14:paraId="3FBCFA8D" w14:textId="77777777" w:rsidR="007C4501" w:rsidRPr="002832EC" w:rsidRDefault="007C4501" w:rsidP="00464696">
      <w:pPr>
        <w:tabs>
          <w:tab w:val="left" w:pos="360"/>
          <w:tab w:val="left" w:pos="720"/>
        </w:tabs>
        <w:spacing w:after="0" w:line="240" w:lineRule="auto"/>
        <w:jc w:val="both"/>
        <w:rPr>
          <w:rFonts w:ascii="Cambria" w:hAnsi="Cambria"/>
          <w:sz w:val="20"/>
          <w:szCs w:val="20"/>
          <w:lang w:val="es-ES"/>
        </w:rPr>
      </w:pPr>
    </w:p>
    <w:p w14:paraId="4FE4CA4A" w14:textId="77777777" w:rsidR="007C4501" w:rsidRPr="002832EC" w:rsidRDefault="007C4501" w:rsidP="00464696">
      <w:pPr>
        <w:tabs>
          <w:tab w:val="left" w:pos="360"/>
          <w:tab w:val="left" w:pos="720"/>
        </w:tabs>
        <w:spacing w:after="0" w:line="240" w:lineRule="auto"/>
        <w:jc w:val="both"/>
        <w:rPr>
          <w:rFonts w:ascii="Cambria" w:hAnsi="Cambria"/>
          <w:sz w:val="20"/>
          <w:szCs w:val="20"/>
          <w:lang w:val="es-ES"/>
        </w:rPr>
      </w:pPr>
    </w:p>
    <w:p w14:paraId="17315546" w14:textId="77777777" w:rsidR="007C4501" w:rsidRPr="002832EC" w:rsidRDefault="007C4501" w:rsidP="007C4501">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Señor</w:t>
      </w:r>
    </w:p>
    <w:p w14:paraId="5AA1107B" w14:textId="77777777" w:rsidR="007C4501" w:rsidRPr="002832EC" w:rsidRDefault="007C4501" w:rsidP="007C4501">
      <w:pPr>
        <w:spacing w:after="0" w:line="240" w:lineRule="auto"/>
        <w:jc w:val="both"/>
        <w:rPr>
          <w:rFonts w:ascii="Cambria" w:hAnsi="Cambria" w:cs="Calibri"/>
          <w:sz w:val="20"/>
          <w:szCs w:val="20"/>
          <w:lang w:val="es-ES"/>
        </w:rPr>
      </w:pPr>
      <w:r w:rsidRPr="002832EC">
        <w:rPr>
          <w:rFonts w:ascii="Cambria" w:hAnsi="Cambria" w:cs="Calibri"/>
          <w:sz w:val="20"/>
          <w:szCs w:val="20"/>
          <w:lang w:val="es-ES"/>
        </w:rPr>
        <w:t>Pablo Saavedra Alessandri</w:t>
      </w:r>
    </w:p>
    <w:p w14:paraId="70022568" w14:textId="77777777" w:rsidR="007C4501" w:rsidRPr="002832EC" w:rsidRDefault="007C4501" w:rsidP="007C4501">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Secretario</w:t>
      </w:r>
    </w:p>
    <w:p w14:paraId="1D62081C" w14:textId="77777777" w:rsidR="007C4501" w:rsidRPr="002832EC" w:rsidRDefault="007C4501" w:rsidP="007C4501">
      <w:pPr>
        <w:spacing w:after="0" w:line="240" w:lineRule="auto"/>
        <w:jc w:val="both"/>
        <w:rPr>
          <w:rFonts w:ascii="Cambria" w:hAnsi="Cambria" w:cs="Calibri"/>
          <w:sz w:val="20"/>
          <w:szCs w:val="20"/>
          <w:lang w:val="es-ES"/>
        </w:rPr>
      </w:pPr>
      <w:r w:rsidRPr="002832EC">
        <w:rPr>
          <w:rFonts w:ascii="Cambria" w:hAnsi="Cambria" w:cs="Calibri"/>
          <w:sz w:val="20"/>
          <w:szCs w:val="20"/>
          <w:lang w:val="es-ES"/>
        </w:rPr>
        <w:t>Corte Interamericana de Derechos Humanos</w:t>
      </w:r>
    </w:p>
    <w:p w14:paraId="54DDE16E" w14:textId="77777777" w:rsidR="007C4501" w:rsidRPr="002832EC" w:rsidRDefault="007C4501" w:rsidP="007C4501">
      <w:pPr>
        <w:spacing w:after="0" w:line="240" w:lineRule="auto"/>
        <w:jc w:val="both"/>
        <w:rPr>
          <w:rFonts w:ascii="Cambria" w:hAnsi="Cambria" w:cs="Calibri"/>
          <w:sz w:val="20"/>
          <w:szCs w:val="20"/>
          <w:lang w:val="es-ES"/>
        </w:rPr>
      </w:pPr>
      <w:r w:rsidRPr="002832EC">
        <w:rPr>
          <w:rFonts w:ascii="Cambria" w:hAnsi="Cambria" w:cs="Calibri"/>
          <w:sz w:val="20"/>
          <w:szCs w:val="20"/>
          <w:lang w:val="es-ES"/>
        </w:rPr>
        <w:t>San José, Costa Rica</w:t>
      </w:r>
    </w:p>
    <w:p w14:paraId="5F1E08D5" w14:textId="77777777" w:rsidR="001A1F7B" w:rsidRPr="002832EC" w:rsidRDefault="00040E55" w:rsidP="007C4501">
      <w:pPr>
        <w:spacing w:after="0" w:line="240" w:lineRule="auto"/>
        <w:ind w:firstLine="720"/>
        <w:jc w:val="both"/>
        <w:rPr>
          <w:rFonts w:ascii="Cambria" w:hAnsi="Cambria"/>
          <w:sz w:val="20"/>
          <w:szCs w:val="20"/>
          <w:lang w:val="es-CO"/>
        </w:rPr>
      </w:pPr>
      <w:r w:rsidRPr="002832EC">
        <w:rPr>
          <w:rFonts w:ascii="Cambria" w:hAnsi="Cambria"/>
          <w:sz w:val="20"/>
          <w:szCs w:val="20"/>
          <w:lang w:val="es-CO"/>
        </w:rPr>
        <w:lastRenderedPageBreak/>
        <w:t xml:space="preserve">Asimismo, la Comisión concluyó que el lapso de 26 años sin que se ejecute la sentencia de la Corte Suprema de febrero de 1993 sobrepasa un plazo que pueda considerarse razonable, por lo que el Estado peruano también es responsable por la violación del artículo 8.1 de la Convención Americana. </w:t>
      </w:r>
    </w:p>
    <w:p w14:paraId="1E45C559" w14:textId="77777777" w:rsidR="001A1F7B" w:rsidRPr="002832EC" w:rsidRDefault="001A1F7B" w:rsidP="007C4501">
      <w:pPr>
        <w:spacing w:after="0" w:line="240" w:lineRule="auto"/>
        <w:ind w:firstLine="720"/>
        <w:jc w:val="both"/>
        <w:rPr>
          <w:rFonts w:ascii="Cambria" w:hAnsi="Cambria"/>
          <w:sz w:val="20"/>
          <w:szCs w:val="20"/>
          <w:lang w:val="es-CO"/>
        </w:rPr>
      </w:pPr>
    </w:p>
    <w:p w14:paraId="75B0A55F" w14:textId="77777777" w:rsidR="00A928C7" w:rsidRPr="002832EC" w:rsidRDefault="001A1F7B" w:rsidP="00A928C7">
      <w:pPr>
        <w:spacing w:after="0" w:line="240" w:lineRule="auto"/>
        <w:ind w:firstLine="720"/>
        <w:jc w:val="both"/>
        <w:rPr>
          <w:rFonts w:ascii="Cambria" w:hAnsi="Cambria"/>
          <w:sz w:val="20"/>
          <w:szCs w:val="20"/>
          <w:lang w:val="es-CO"/>
        </w:rPr>
      </w:pPr>
      <w:r w:rsidRPr="002832EC">
        <w:rPr>
          <w:rFonts w:ascii="Cambria" w:hAnsi="Cambria"/>
          <w:sz w:val="20"/>
          <w:szCs w:val="20"/>
          <w:lang w:val="es-CO"/>
        </w:rPr>
        <w:t>L</w:t>
      </w:r>
      <w:r w:rsidR="00040E55" w:rsidRPr="002832EC">
        <w:rPr>
          <w:rFonts w:ascii="Cambria" w:hAnsi="Cambria"/>
          <w:sz w:val="20"/>
          <w:szCs w:val="20"/>
          <w:lang w:val="es-CO"/>
        </w:rPr>
        <w:t xml:space="preserve">a Comisión determinó que el Estado es responsable por la violación del derecho a la negociación colectiva </w:t>
      </w:r>
      <w:r w:rsidRPr="002832EC">
        <w:rPr>
          <w:rFonts w:ascii="Cambria" w:hAnsi="Cambria"/>
          <w:sz w:val="20"/>
          <w:szCs w:val="20"/>
          <w:lang w:val="es-CO"/>
        </w:rPr>
        <w:t xml:space="preserve">establecido en el artículo 26 de la Convención Americana teniendo en cuenta </w:t>
      </w:r>
      <w:r w:rsidR="00A928C7" w:rsidRPr="002832EC">
        <w:rPr>
          <w:rFonts w:ascii="Cambria" w:hAnsi="Cambria"/>
          <w:sz w:val="20"/>
          <w:szCs w:val="20"/>
          <w:lang w:val="es-CO"/>
        </w:rPr>
        <w:t xml:space="preserve">que </w:t>
      </w:r>
      <w:r w:rsidRPr="002832EC">
        <w:rPr>
          <w:rFonts w:ascii="Cambria" w:hAnsi="Cambria"/>
          <w:sz w:val="20"/>
          <w:szCs w:val="20"/>
          <w:lang w:val="es-CO"/>
        </w:rPr>
        <w:t>la incertidumbre judicial y falta de ejecución de las decisiones a nivel interno relacionados con este derecho por más de 26 años</w:t>
      </w:r>
      <w:r w:rsidR="00A928C7" w:rsidRPr="002832EC">
        <w:rPr>
          <w:rFonts w:ascii="Cambria" w:hAnsi="Cambria"/>
          <w:sz w:val="20"/>
          <w:szCs w:val="20"/>
          <w:lang w:val="es-CO"/>
        </w:rPr>
        <w:t xml:space="preserve">, </w:t>
      </w:r>
      <w:r w:rsidRPr="002832EC">
        <w:rPr>
          <w:rFonts w:ascii="Cambria" w:hAnsi="Cambria"/>
          <w:sz w:val="20"/>
          <w:szCs w:val="20"/>
          <w:lang w:val="es-CO"/>
        </w:rPr>
        <w:t>generó que el mismo no se haya hecho efectivo en la práctica</w:t>
      </w:r>
      <w:r w:rsidR="00A928C7" w:rsidRPr="002832EC">
        <w:rPr>
          <w:rFonts w:ascii="Cambria" w:hAnsi="Cambria"/>
          <w:sz w:val="20"/>
          <w:szCs w:val="20"/>
          <w:lang w:val="es-CO"/>
        </w:rPr>
        <w:t>.</w:t>
      </w:r>
      <w:r w:rsidRPr="002832EC">
        <w:rPr>
          <w:rFonts w:ascii="Cambria" w:hAnsi="Cambria"/>
          <w:sz w:val="20"/>
          <w:szCs w:val="20"/>
          <w:lang w:val="es-CO"/>
        </w:rPr>
        <w:t xml:space="preserve"> Por último, la Comisión consideró violado el </w:t>
      </w:r>
      <w:r w:rsidR="00040E55" w:rsidRPr="002832EC">
        <w:rPr>
          <w:rFonts w:ascii="Cambria" w:hAnsi="Cambria"/>
          <w:sz w:val="20"/>
          <w:szCs w:val="20"/>
          <w:lang w:val="es-CO"/>
        </w:rPr>
        <w:t>derecho a l</w:t>
      </w:r>
      <w:r w:rsidRPr="002832EC">
        <w:rPr>
          <w:rFonts w:ascii="Cambria" w:hAnsi="Cambria"/>
          <w:sz w:val="20"/>
          <w:szCs w:val="20"/>
          <w:lang w:val="es-CO"/>
        </w:rPr>
        <w:t>a propiedad privada establecido en el artículo</w:t>
      </w:r>
      <w:r w:rsidR="00040E55" w:rsidRPr="002832EC">
        <w:rPr>
          <w:rFonts w:ascii="Cambria" w:hAnsi="Cambria"/>
          <w:sz w:val="20"/>
          <w:szCs w:val="20"/>
          <w:lang w:val="es-CO"/>
        </w:rPr>
        <w:t xml:space="preserve"> 21 de la Convención Americana, </w:t>
      </w:r>
      <w:r w:rsidR="00A928C7" w:rsidRPr="002832EC">
        <w:rPr>
          <w:rFonts w:ascii="Cambria" w:hAnsi="Cambria"/>
          <w:sz w:val="20"/>
          <w:szCs w:val="20"/>
          <w:lang w:val="es-CO"/>
        </w:rPr>
        <w:t xml:space="preserve">en vista de que las víctimas contaron con sentencia judicial en firme favorable a su pretensión y, por lo tanto, los eventuales montos que habrían dejado de percibir ingresaron al patrimonio de las víctimas, sin que a la fecha se hubiera logrado brindar certeza alguna sobre los efectos patrimoniales concretos del fallo a su favor. </w:t>
      </w:r>
    </w:p>
    <w:p w14:paraId="14C516A4" w14:textId="77777777" w:rsidR="00EC01C4" w:rsidRPr="002832EC" w:rsidRDefault="00EC01C4" w:rsidP="00A928C7">
      <w:pPr>
        <w:pStyle w:val="Sangradetextonormal"/>
        <w:spacing w:after="0" w:line="240" w:lineRule="auto"/>
        <w:ind w:left="0"/>
        <w:jc w:val="both"/>
        <w:rPr>
          <w:rFonts w:ascii="Cambria" w:hAnsi="Cambria"/>
          <w:sz w:val="20"/>
          <w:szCs w:val="20"/>
          <w:lang w:val="es-CO"/>
        </w:rPr>
      </w:pPr>
    </w:p>
    <w:p w14:paraId="68023F0F" w14:textId="77777777" w:rsidR="004C11AF" w:rsidRPr="002832EC" w:rsidRDefault="00E26CD9" w:rsidP="00040E55">
      <w:pPr>
        <w:pBdr>
          <w:top w:val="nil"/>
          <w:left w:val="nil"/>
          <w:bottom w:val="nil"/>
          <w:right w:val="nil"/>
          <w:between w:val="nil"/>
          <w:bar w:val="nil"/>
        </w:pBdr>
        <w:tabs>
          <w:tab w:val="left" w:pos="567"/>
        </w:tabs>
        <w:spacing w:after="0" w:line="240" w:lineRule="auto"/>
        <w:jc w:val="both"/>
        <w:rPr>
          <w:rFonts w:ascii="Cambria" w:hAnsi="Cambria"/>
          <w:sz w:val="20"/>
          <w:szCs w:val="20"/>
          <w:lang w:val="es-PE"/>
        </w:rPr>
      </w:pPr>
      <w:r w:rsidRPr="002832EC">
        <w:rPr>
          <w:rFonts w:ascii="Cambria" w:eastAsia="Times New Roman" w:hAnsi="Cambria"/>
          <w:sz w:val="20"/>
          <w:szCs w:val="20"/>
          <w:lang w:val="es-VE" w:eastAsia="es-ES"/>
        </w:rPr>
        <w:tab/>
      </w:r>
      <w:r w:rsidRPr="002832EC">
        <w:rPr>
          <w:rFonts w:ascii="Cambria" w:eastAsia="Times New Roman" w:hAnsi="Cambria"/>
          <w:sz w:val="20"/>
          <w:szCs w:val="20"/>
          <w:lang w:val="es-VE" w:eastAsia="es-ES"/>
        </w:rPr>
        <w:tab/>
      </w:r>
      <w:r w:rsidR="008A143D" w:rsidRPr="002832EC">
        <w:rPr>
          <w:rFonts w:ascii="Cambria" w:hAnsi="Cambria" w:cs="Arial"/>
          <w:sz w:val="20"/>
          <w:szCs w:val="20"/>
          <w:lang w:val="es-ES"/>
        </w:rPr>
        <w:t xml:space="preserve">El Estado de </w:t>
      </w:r>
      <w:r w:rsidR="00516A3B" w:rsidRPr="002832EC">
        <w:rPr>
          <w:rFonts w:ascii="Cambria" w:hAnsi="Cambria" w:cs="Arial"/>
          <w:sz w:val="20"/>
          <w:szCs w:val="20"/>
          <w:lang w:val="es-ES"/>
        </w:rPr>
        <w:t>Perú</w:t>
      </w:r>
      <w:r w:rsidR="008A143D" w:rsidRPr="002832EC">
        <w:rPr>
          <w:rFonts w:ascii="Cambria" w:hAnsi="Cambria" w:cs="Arial"/>
          <w:sz w:val="20"/>
          <w:szCs w:val="20"/>
          <w:lang w:val="es-ES"/>
        </w:rPr>
        <w:t xml:space="preserve"> ratificó la Convención Americana sobre Derechos Humanos el </w:t>
      </w:r>
      <w:r w:rsidR="00516A3B" w:rsidRPr="002832EC">
        <w:rPr>
          <w:rFonts w:ascii="Cambria" w:hAnsi="Cambria" w:cs="Arial"/>
          <w:sz w:val="20"/>
          <w:szCs w:val="20"/>
          <w:lang w:val="es-ES"/>
        </w:rPr>
        <w:t>12 de julio de 1978</w:t>
      </w:r>
      <w:r w:rsidR="008A143D" w:rsidRPr="002832EC">
        <w:rPr>
          <w:rFonts w:ascii="Cambria" w:hAnsi="Cambria" w:cs="Arial"/>
          <w:sz w:val="20"/>
          <w:szCs w:val="20"/>
          <w:lang w:val="es-ES"/>
        </w:rPr>
        <w:t xml:space="preserve"> y aceptó la competencia contenciosa de la Corte el </w:t>
      </w:r>
      <w:r w:rsidR="00516A3B" w:rsidRPr="002832EC">
        <w:rPr>
          <w:rFonts w:ascii="Cambria" w:hAnsi="Cambria" w:cs="Arial"/>
          <w:sz w:val="20"/>
          <w:szCs w:val="20"/>
          <w:lang w:val="es-ES"/>
        </w:rPr>
        <w:t>21 de enero de 1981</w:t>
      </w:r>
      <w:r w:rsidR="008A143D" w:rsidRPr="002832EC">
        <w:rPr>
          <w:rFonts w:ascii="Cambria" w:hAnsi="Cambria" w:cs="Arial"/>
          <w:sz w:val="20"/>
          <w:szCs w:val="20"/>
          <w:lang w:val="es-ES"/>
        </w:rPr>
        <w:t>.</w:t>
      </w:r>
    </w:p>
    <w:p w14:paraId="393A061B" w14:textId="77777777" w:rsidR="00387D83" w:rsidRPr="002832EC" w:rsidRDefault="00387D83" w:rsidP="00040E55">
      <w:pPr>
        <w:tabs>
          <w:tab w:val="left" w:pos="720"/>
          <w:tab w:val="left" w:pos="1440"/>
        </w:tabs>
        <w:spacing w:after="0" w:line="240" w:lineRule="auto"/>
        <w:jc w:val="both"/>
        <w:rPr>
          <w:rFonts w:ascii="Cambria" w:hAnsi="Cambria" w:cs="Calibri"/>
          <w:sz w:val="20"/>
          <w:szCs w:val="20"/>
          <w:lang w:val="es-PE"/>
        </w:rPr>
      </w:pPr>
    </w:p>
    <w:p w14:paraId="0209039E" w14:textId="77777777" w:rsidR="00560F49" w:rsidRPr="002832EC" w:rsidRDefault="00560F49"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La Comisión ha designado </w:t>
      </w:r>
      <w:r w:rsidR="00170E12" w:rsidRPr="002832EC">
        <w:rPr>
          <w:rFonts w:ascii="Cambria" w:hAnsi="Cambria" w:cs="Calibri"/>
          <w:sz w:val="20"/>
          <w:szCs w:val="20"/>
          <w:lang w:val="es-ES"/>
        </w:rPr>
        <w:t>a</w:t>
      </w:r>
      <w:r w:rsidR="00E7198B" w:rsidRPr="002832EC">
        <w:rPr>
          <w:rFonts w:ascii="Cambria" w:hAnsi="Cambria" w:cs="Calibri"/>
          <w:sz w:val="20"/>
          <w:szCs w:val="20"/>
          <w:lang w:val="es-ES"/>
        </w:rPr>
        <w:t>l</w:t>
      </w:r>
      <w:r w:rsidR="00A77918" w:rsidRPr="002832EC">
        <w:rPr>
          <w:rFonts w:ascii="Cambria" w:hAnsi="Cambria" w:cs="Calibri"/>
          <w:sz w:val="20"/>
          <w:szCs w:val="20"/>
          <w:lang w:val="es-ES"/>
        </w:rPr>
        <w:t xml:space="preserve"> Comisionad</w:t>
      </w:r>
      <w:r w:rsidR="00CD1091" w:rsidRPr="002832EC">
        <w:rPr>
          <w:rFonts w:ascii="Cambria" w:hAnsi="Cambria" w:cs="Calibri"/>
          <w:sz w:val="20"/>
          <w:szCs w:val="20"/>
          <w:lang w:val="es-ES"/>
        </w:rPr>
        <w:t>o</w:t>
      </w:r>
      <w:r w:rsidR="007940B2" w:rsidRPr="002832EC">
        <w:rPr>
          <w:rFonts w:ascii="Cambria" w:hAnsi="Cambria" w:cs="Calibri"/>
          <w:sz w:val="20"/>
          <w:szCs w:val="20"/>
          <w:lang w:val="es-ES"/>
        </w:rPr>
        <w:t xml:space="preserve"> </w:t>
      </w:r>
      <w:r w:rsidR="00CD1091" w:rsidRPr="002832EC">
        <w:rPr>
          <w:rFonts w:ascii="Cambria" w:hAnsi="Cambria" w:cs="Calibri"/>
          <w:sz w:val="20"/>
          <w:szCs w:val="20"/>
          <w:lang w:val="es-ES"/>
        </w:rPr>
        <w:t xml:space="preserve">Edgar Stuardo Ralón Orellana </w:t>
      </w:r>
      <w:r w:rsidRPr="002832EC">
        <w:rPr>
          <w:rFonts w:ascii="Cambria" w:hAnsi="Cambria" w:cs="Arial"/>
          <w:sz w:val="20"/>
          <w:szCs w:val="20"/>
          <w:lang w:val="es-ES"/>
        </w:rPr>
        <w:t xml:space="preserve">como su delegado. Asimismo, </w:t>
      </w:r>
      <w:r w:rsidR="000D4AE6" w:rsidRPr="002832EC">
        <w:rPr>
          <w:rFonts w:ascii="Cambria" w:hAnsi="Cambria" w:cs="Arial"/>
          <w:sz w:val="20"/>
          <w:szCs w:val="20"/>
          <w:lang w:val="es-ES"/>
        </w:rPr>
        <w:t>Marisol Blanchard</w:t>
      </w:r>
      <w:r w:rsidR="00AB1A5D" w:rsidRPr="002832EC">
        <w:rPr>
          <w:rFonts w:ascii="Cambria" w:hAnsi="Cambria" w:cs="Arial"/>
          <w:sz w:val="20"/>
          <w:szCs w:val="20"/>
          <w:lang w:val="es-ES"/>
        </w:rPr>
        <w:t xml:space="preserve"> Vera</w:t>
      </w:r>
      <w:r w:rsidR="000D4AE6" w:rsidRPr="002832EC">
        <w:rPr>
          <w:rFonts w:ascii="Cambria" w:hAnsi="Cambria" w:cs="Arial"/>
          <w:sz w:val="20"/>
          <w:szCs w:val="20"/>
          <w:lang w:val="es-ES"/>
        </w:rPr>
        <w:t xml:space="preserve">, </w:t>
      </w:r>
      <w:r w:rsidR="008F7250" w:rsidRPr="002832EC">
        <w:rPr>
          <w:rFonts w:ascii="Cambria" w:hAnsi="Cambria" w:cs="Arial"/>
          <w:sz w:val="20"/>
          <w:szCs w:val="20"/>
          <w:lang w:val="es-ES"/>
        </w:rPr>
        <w:t>Secretaria Ejecutiva</w:t>
      </w:r>
      <w:r w:rsidR="008F7250" w:rsidRPr="002832EC">
        <w:rPr>
          <w:rFonts w:ascii="Cambria" w:hAnsi="Cambria" w:cs="Calibri"/>
          <w:sz w:val="20"/>
          <w:szCs w:val="20"/>
          <w:lang w:val="es-ES"/>
        </w:rPr>
        <w:t xml:space="preserve"> Adjunta, </w:t>
      </w:r>
      <w:r w:rsidR="00A52483" w:rsidRPr="002832EC">
        <w:rPr>
          <w:rFonts w:ascii="Cambria" w:hAnsi="Cambria" w:cs="Calibri"/>
          <w:sz w:val="20"/>
          <w:szCs w:val="20"/>
          <w:lang w:val="es-ES"/>
        </w:rPr>
        <w:t xml:space="preserve">y </w:t>
      </w:r>
      <w:r w:rsidR="00362BCC" w:rsidRPr="002832EC">
        <w:rPr>
          <w:rFonts w:ascii="Cambria" w:hAnsi="Cambria" w:cs="Calibri"/>
          <w:sz w:val="20"/>
          <w:szCs w:val="20"/>
          <w:lang w:val="es-ES"/>
        </w:rPr>
        <w:t xml:space="preserve">Jorge Humberto Meza Flores, especialista </w:t>
      </w:r>
      <w:r w:rsidRPr="002832EC">
        <w:rPr>
          <w:rFonts w:ascii="Cambria" w:hAnsi="Cambria" w:cs="Calibri"/>
          <w:sz w:val="20"/>
          <w:szCs w:val="20"/>
          <w:lang w:val="es-ES"/>
        </w:rPr>
        <w:t>de la Secretaría Ejecutiva de la CIDH, actuará</w:t>
      </w:r>
      <w:r w:rsidR="00170E12" w:rsidRPr="002832EC">
        <w:rPr>
          <w:rFonts w:ascii="Cambria" w:hAnsi="Cambria" w:cs="Calibri"/>
          <w:sz w:val="20"/>
          <w:szCs w:val="20"/>
          <w:lang w:val="es-ES"/>
        </w:rPr>
        <w:t xml:space="preserve">n </w:t>
      </w:r>
      <w:r w:rsidR="00A77918" w:rsidRPr="002832EC">
        <w:rPr>
          <w:rFonts w:ascii="Cambria" w:hAnsi="Cambria" w:cs="Calibri"/>
          <w:sz w:val="20"/>
          <w:szCs w:val="20"/>
          <w:lang w:val="es-ES"/>
        </w:rPr>
        <w:t>como asesora</w:t>
      </w:r>
      <w:r w:rsidR="00036FC7" w:rsidRPr="002832EC">
        <w:rPr>
          <w:rFonts w:ascii="Cambria" w:hAnsi="Cambria" w:cs="Calibri"/>
          <w:sz w:val="20"/>
          <w:szCs w:val="20"/>
          <w:lang w:val="es-ES"/>
        </w:rPr>
        <w:t xml:space="preserve"> </w:t>
      </w:r>
      <w:r w:rsidR="00362BCC" w:rsidRPr="002832EC">
        <w:rPr>
          <w:rFonts w:ascii="Cambria" w:hAnsi="Cambria" w:cs="Calibri"/>
          <w:sz w:val="20"/>
          <w:szCs w:val="20"/>
          <w:lang w:val="es-ES"/>
        </w:rPr>
        <w:t xml:space="preserve">y asesor </w:t>
      </w:r>
      <w:r w:rsidRPr="002832EC">
        <w:rPr>
          <w:rFonts w:ascii="Cambria" w:hAnsi="Cambria" w:cs="Calibri"/>
          <w:sz w:val="20"/>
          <w:szCs w:val="20"/>
          <w:lang w:val="es-ES"/>
        </w:rPr>
        <w:t>legal</w:t>
      </w:r>
      <w:r w:rsidR="00170E12" w:rsidRPr="002832EC">
        <w:rPr>
          <w:rFonts w:ascii="Cambria" w:hAnsi="Cambria" w:cs="Calibri"/>
          <w:sz w:val="20"/>
          <w:szCs w:val="20"/>
          <w:lang w:val="es-ES"/>
        </w:rPr>
        <w:t>es</w:t>
      </w:r>
      <w:r w:rsidRPr="002832EC">
        <w:rPr>
          <w:rFonts w:ascii="Cambria" w:hAnsi="Cambria" w:cs="Calibri"/>
          <w:sz w:val="20"/>
          <w:szCs w:val="20"/>
          <w:lang w:val="es-ES"/>
        </w:rPr>
        <w:t>.</w:t>
      </w:r>
      <w:r w:rsidR="00C872C8" w:rsidRPr="002832EC">
        <w:rPr>
          <w:rFonts w:ascii="Cambria" w:hAnsi="Cambria" w:cs="Calibri"/>
          <w:sz w:val="20"/>
          <w:szCs w:val="20"/>
          <w:lang w:val="es-ES"/>
        </w:rPr>
        <w:t xml:space="preserve"> </w:t>
      </w:r>
    </w:p>
    <w:p w14:paraId="2EDC74A7" w14:textId="77777777" w:rsidR="00DF3621" w:rsidRPr="002832EC" w:rsidRDefault="00DF3621" w:rsidP="00040E55">
      <w:pPr>
        <w:spacing w:after="0" w:line="240" w:lineRule="auto"/>
        <w:jc w:val="both"/>
        <w:rPr>
          <w:rFonts w:ascii="Cambria" w:hAnsi="Cambria" w:cs="Calibri"/>
          <w:sz w:val="20"/>
          <w:szCs w:val="20"/>
          <w:lang w:val="es-ES"/>
        </w:rPr>
      </w:pPr>
    </w:p>
    <w:p w14:paraId="5A74039C" w14:textId="77777777" w:rsidR="008666F3" w:rsidRPr="002832EC" w:rsidRDefault="008666F3"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De conformidad con el artículo 35 del Reglamento de la Corte Interamericana, la Comisión adjunta copia del Informe de Fondo No. </w:t>
      </w:r>
      <w:r w:rsidR="00780FAD" w:rsidRPr="002832EC">
        <w:rPr>
          <w:rFonts w:ascii="Cambria" w:hAnsi="Cambria" w:cs="Calibri"/>
          <w:sz w:val="20"/>
          <w:szCs w:val="20"/>
          <w:lang w:val="es-ES"/>
        </w:rPr>
        <w:t>125</w:t>
      </w:r>
      <w:r w:rsidRPr="002832EC">
        <w:rPr>
          <w:rFonts w:ascii="Cambria" w:hAnsi="Cambria" w:cs="Calibri"/>
          <w:sz w:val="20"/>
          <w:szCs w:val="20"/>
          <w:lang w:val="es-ES"/>
        </w:rPr>
        <w:t xml:space="preserve">/19 elaborado en observancia del artículo 50 de la Convención, así como copia de la totalidad del expediente ante la Comisión Interamericana (Apéndice I) y los anexos utilizados en la elaboración del informe </w:t>
      </w:r>
      <w:r w:rsidR="00780FAD" w:rsidRPr="002832EC">
        <w:rPr>
          <w:rFonts w:ascii="Cambria" w:hAnsi="Cambria" w:cs="Calibri"/>
          <w:sz w:val="20"/>
          <w:szCs w:val="20"/>
          <w:lang w:val="es-ES"/>
        </w:rPr>
        <w:t>125</w:t>
      </w:r>
      <w:r w:rsidRPr="002832EC">
        <w:rPr>
          <w:rFonts w:ascii="Cambria" w:hAnsi="Cambria" w:cs="Calibri"/>
          <w:sz w:val="20"/>
          <w:szCs w:val="20"/>
          <w:lang w:val="es-ES"/>
        </w:rPr>
        <w:t xml:space="preserve">/19 (Anexos). </w:t>
      </w:r>
    </w:p>
    <w:p w14:paraId="2FBB5974" w14:textId="77777777" w:rsidR="008666F3" w:rsidRPr="002832EC" w:rsidRDefault="008666F3" w:rsidP="00040E55">
      <w:pPr>
        <w:tabs>
          <w:tab w:val="left" w:pos="810"/>
        </w:tabs>
        <w:spacing w:after="0" w:line="240" w:lineRule="auto"/>
        <w:ind w:firstLine="720"/>
        <w:jc w:val="both"/>
        <w:rPr>
          <w:rFonts w:ascii="Cambria" w:hAnsi="Cambria" w:cs="Calibri"/>
          <w:sz w:val="20"/>
          <w:szCs w:val="20"/>
          <w:lang w:val="es-ES"/>
        </w:rPr>
      </w:pPr>
    </w:p>
    <w:p w14:paraId="4163928E" w14:textId="77777777" w:rsidR="00FC32E3" w:rsidRPr="002832EC" w:rsidRDefault="00F353B3" w:rsidP="00040E55">
      <w:pPr>
        <w:tabs>
          <w:tab w:val="left" w:pos="810"/>
        </w:tabs>
        <w:spacing w:after="0" w:line="240" w:lineRule="auto"/>
        <w:ind w:firstLine="720"/>
        <w:jc w:val="both"/>
        <w:rPr>
          <w:rFonts w:ascii="Cambria" w:hAnsi="Cambria"/>
          <w:sz w:val="20"/>
          <w:szCs w:val="20"/>
          <w:lang w:val="es-AR"/>
        </w:rPr>
      </w:pPr>
      <w:r w:rsidRPr="002832EC">
        <w:rPr>
          <w:rFonts w:ascii="Cambria" w:hAnsi="Cambria" w:cs="Calibri"/>
          <w:sz w:val="20"/>
          <w:szCs w:val="20"/>
          <w:lang w:val="es-ES"/>
        </w:rPr>
        <w:t>Dicho Informe de F</w:t>
      </w:r>
      <w:r w:rsidR="0042403B" w:rsidRPr="002832EC">
        <w:rPr>
          <w:rFonts w:ascii="Cambria" w:hAnsi="Cambria" w:cs="Calibri"/>
          <w:sz w:val="20"/>
          <w:szCs w:val="20"/>
          <w:lang w:val="es-ES"/>
        </w:rPr>
        <w:t xml:space="preserve">ondo fue notificado al Estado </w:t>
      </w:r>
      <w:r w:rsidR="00DF3621" w:rsidRPr="002832EC">
        <w:rPr>
          <w:rFonts w:ascii="Cambria" w:hAnsi="Cambria" w:cs="Calibri"/>
          <w:sz w:val="20"/>
          <w:szCs w:val="20"/>
          <w:lang w:val="es-ES"/>
        </w:rPr>
        <w:t>el</w:t>
      </w:r>
      <w:r w:rsidR="00036FC7" w:rsidRPr="002832EC">
        <w:rPr>
          <w:rFonts w:ascii="Cambria" w:hAnsi="Cambria" w:cs="Calibri"/>
          <w:sz w:val="20"/>
          <w:szCs w:val="20"/>
          <w:lang w:val="es-ES"/>
        </w:rPr>
        <w:t xml:space="preserve"> </w:t>
      </w:r>
      <w:r w:rsidR="00780FAD" w:rsidRPr="002832EC">
        <w:rPr>
          <w:rFonts w:ascii="Cambria" w:hAnsi="Cambria" w:cs="Calibri"/>
          <w:sz w:val="20"/>
          <w:szCs w:val="20"/>
          <w:lang w:val="es-ES"/>
        </w:rPr>
        <w:t>16 de octubre</w:t>
      </w:r>
      <w:r w:rsidR="008A143D" w:rsidRPr="002832EC">
        <w:rPr>
          <w:rFonts w:ascii="Cambria" w:hAnsi="Cambria" w:cs="Calibri"/>
          <w:sz w:val="20"/>
          <w:szCs w:val="20"/>
          <w:lang w:val="es-ES"/>
        </w:rPr>
        <w:t xml:space="preserve"> de 2019</w:t>
      </w:r>
      <w:r w:rsidR="0042403B" w:rsidRPr="002832EC">
        <w:rPr>
          <w:rFonts w:ascii="Cambria" w:hAnsi="Cambria" w:cs="Calibri"/>
          <w:sz w:val="20"/>
          <w:szCs w:val="20"/>
          <w:lang w:val="es-ES"/>
        </w:rPr>
        <w:t xml:space="preserve">, otorgándole un plazo de dos meses para informar sobre el cumplimiento de las recomendaciones. </w:t>
      </w:r>
      <w:r w:rsidR="00E21E08" w:rsidRPr="002832EC">
        <w:rPr>
          <w:rFonts w:ascii="Cambria" w:hAnsi="Cambria"/>
          <w:sz w:val="20"/>
          <w:szCs w:val="20"/>
          <w:lang w:val="es-AR"/>
        </w:rPr>
        <w:t xml:space="preserve">Tras el otorgamiento por parte de la CIDH de </w:t>
      </w:r>
      <w:r w:rsidR="00780FAD" w:rsidRPr="002832EC">
        <w:rPr>
          <w:rFonts w:ascii="Cambria" w:hAnsi="Cambria"/>
          <w:sz w:val="20"/>
          <w:szCs w:val="20"/>
          <w:lang w:val="es-AR"/>
        </w:rPr>
        <w:t>cuatro</w:t>
      </w:r>
      <w:r w:rsidR="00E21E08" w:rsidRPr="002832EC">
        <w:rPr>
          <w:rFonts w:ascii="Cambria" w:hAnsi="Cambria"/>
          <w:sz w:val="20"/>
          <w:szCs w:val="20"/>
          <w:lang w:val="es-AR"/>
        </w:rPr>
        <w:t xml:space="preserve"> prórrogas, el </w:t>
      </w:r>
      <w:r w:rsidR="00780FAD" w:rsidRPr="002832EC">
        <w:rPr>
          <w:rFonts w:ascii="Cambria" w:hAnsi="Cambria"/>
          <w:sz w:val="20"/>
          <w:szCs w:val="20"/>
          <w:lang w:val="es-AR"/>
        </w:rPr>
        <w:t>30 de octubre</w:t>
      </w:r>
      <w:r w:rsidR="00A500E8" w:rsidRPr="002832EC">
        <w:rPr>
          <w:rFonts w:ascii="Cambria" w:hAnsi="Cambria"/>
          <w:sz w:val="20"/>
          <w:szCs w:val="20"/>
          <w:lang w:val="es-AR"/>
        </w:rPr>
        <w:t xml:space="preserve"> de 2020</w:t>
      </w:r>
      <w:r w:rsidR="00E21E08" w:rsidRPr="002832EC">
        <w:rPr>
          <w:rFonts w:ascii="Cambria" w:hAnsi="Cambria"/>
          <w:sz w:val="20"/>
          <w:szCs w:val="20"/>
          <w:lang w:val="es-AR"/>
        </w:rPr>
        <w:t xml:space="preserve"> el Estado solicitó una </w:t>
      </w:r>
      <w:r w:rsidR="00780FAD" w:rsidRPr="002832EC">
        <w:rPr>
          <w:rFonts w:ascii="Cambria" w:hAnsi="Cambria"/>
          <w:sz w:val="20"/>
          <w:szCs w:val="20"/>
          <w:lang w:val="es-AR"/>
        </w:rPr>
        <w:t>quinta</w:t>
      </w:r>
      <w:r w:rsidR="00E21E08" w:rsidRPr="002832EC">
        <w:rPr>
          <w:rFonts w:ascii="Cambria" w:hAnsi="Cambria"/>
          <w:sz w:val="20"/>
          <w:szCs w:val="20"/>
          <w:lang w:val="es-AR"/>
        </w:rPr>
        <w:t xml:space="preserve"> prórroga.</w:t>
      </w:r>
      <w:r w:rsidR="00312151" w:rsidRPr="002832EC">
        <w:rPr>
          <w:rFonts w:ascii="Cambria" w:hAnsi="Cambria"/>
          <w:sz w:val="20"/>
          <w:szCs w:val="20"/>
          <w:lang w:val="es-AR"/>
        </w:rPr>
        <w:t xml:space="preserve"> Al evaluar dicha solicitud, la Comisión tuvo en cuenta que, a un año de notificado el Informe de Fondo, </w:t>
      </w:r>
      <w:r w:rsidR="00780FAD" w:rsidRPr="002832EC">
        <w:rPr>
          <w:rFonts w:ascii="Cambria" w:hAnsi="Cambria"/>
          <w:sz w:val="20"/>
          <w:szCs w:val="20"/>
          <w:lang w:val="es-AR"/>
        </w:rPr>
        <w:t>no ha habido</w:t>
      </w:r>
      <w:r w:rsidR="003667FF" w:rsidRPr="002832EC">
        <w:rPr>
          <w:rFonts w:ascii="Cambria" w:hAnsi="Cambria"/>
          <w:sz w:val="20"/>
          <w:szCs w:val="20"/>
          <w:lang w:val="es-AR"/>
        </w:rPr>
        <w:t xml:space="preserve"> avance</w:t>
      </w:r>
      <w:r w:rsidR="00780FAD" w:rsidRPr="002832EC">
        <w:rPr>
          <w:rFonts w:ascii="Cambria" w:hAnsi="Cambria"/>
          <w:sz w:val="20"/>
          <w:szCs w:val="20"/>
          <w:lang w:val="es-AR"/>
        </w:rPr>
        <w:t>s</w:t>
      </w:r>
      <w:r w:rsidR="003667FF" w:rsidRPr="002832EC">
        <w:rPr>
          <w:rFonts w:ascii="Cambria" w:hAnsi="Cambria"/>
          <w:sz w:val="20"/>
          <w:szCs w:val="20"/>
          <w:lang w:val="es-AR"/>
        </w:rPr>
        <w:t xml:space="preserve"> sustantivo</w:t>
      </w:r>
      <w:r w:rsidR="00780FAD" w:rsidRPr="002832EC">
        <w:rPr>
          <w:rFonts w:ascii="Cambria" w:hAnsi="Cambria"/>
          <w:sz w:val="20"/>
          <w:szCs w:val="20"/>
          <w:lang w:val="es-AR"/>
        </w:rPr>
        <w:t>s en el cumplimiento con las recomendaciones</w:t>
      </w:r>
      <w:r w:rsidR="003667FF" w:rsidRPr="002832EC">
        <w:rPr>
          <w:rFonts w:ascii="Cambria" w:hAnsi="Cambria"/>
          <w:sz w:val="20"/>
          <w:szCs w:val="20"/>
          <w:lang w:val="es-AR"/>
        </w:rPr>
        <w:t>.</w:t>
      </w:r>
      <w:r w:rsidR="00312151" w:rsidRPr="002832EC">
        <w:rPr>
          <w:rFonts w:ascii="Cambria" w:hAnsi="Cambria"/>
          <w:sz w:val="20"/>
          <w:szCs w:val="20"/>
          <w:lang w:val="es-AR"/>
        </w:rPr>
        <w:t xml:space="preserve"> </w:t>
      </w:r>
      <w:r w:rsidR="00A77918" w:rsidRPr="002832EC">
        <w:rPr>
          <w:rFonts w:ascii="Cambria" w:hAnsi="Cambria" w:cs="Arial"/>
          <w:sz w:val="20"/>
          <w:szCs w:val="20"/>
          <w:lang w:val="es-ES"/>
        </w:rPr>
        <w:t>E</w:t>
      </w:r>
      <w:r w:rsidR="00312151" w:rsidRPr="002832EC">
        <w:rPr>
          <w:rFonts w:ascii="Cambria" w:hAnsi="Cambria" w:cs="Arial"/>
          <w:sz w:val="20"/>
          <w:szCs w:val="20"/>
          <w:lang w:val="es-ES"/>
        </w:rPr>
        <w:t>n virtud de dichas consideraciones,</w:t>
      </w:r>
      <w:r w:rsidR="00FC32E3" w:rsidRPr="002832EC">
        <w:rPr>
          <w:rFonts w:ascii="Cambria" w:hAnsi="Cambria" w:cs="Arial"/>
          <w:sz w:val="20"/>
          <w:szCs w:val="20"/>
          <w:lang w:val="es-ES"/>
        </w:rPr>
        <w:t xml:space="preserve"> y </w:t>
      </w:r>
      <w:r w:rsidR="00FC32E3" w:rsidRPr="002832EC">
        <w:rPr>
          <w:rFonts w:ascii="Cambria" w:hAnsi="Cambria"/>
          <w:sz w:val="20"/>
          <w:szCs w:val="20"/>
          <w:lang w:val="es-CO"/>
        </w:rPr>
        <w:t>ante la necesidad de obtenció</w:t>
      </w:r>
      <w:r w:rsidR="00A77918" w:rsidRPr="002832EC">
        <w:rPr>
          <w:rFonts w:ascii="Cambria" w:hAnsi="Cambria"/>
          <w:sz w:val="20"/>
          <w:szCs w:val="20"/>
          <w:lang w:val="es-CO"/>
        </w:rPr>
        <w:t>n de justicia para la</w:t>
      </w:r>
      <w:r w:rsidR="003667FF" w:rsidRPr="002832EC">
        <w:rPr>
          <w:rFonts w:ascii="Cambria" w:hAnsi="Cambria"/>
          <w:sz w:val="20"/>
          <w:szCs w:val="20"/>
          <w:lang w:val="es-CO"/>
        </w:rPr>
        <w:t>s</w:t>
      </w:r>
      <w:r w:rsidR="00A77918" w:rsidRPr="002832EC">
        <w:rPr>
          <w:rFonts w:ascii="Cambria" w:hAnsi="Cambria"/>
          <w:sz w:val="20"/>
          <w:szCs w:val="20"/>
          <w:lang w:val="es-CO"/>
        </w:rPr>
        <w:t xml:space="preserve"> víctima</w:t>
      </w:r>
      <w:r w:rsidR="003667FF" w:rsidRPr="002832EC">
        <w:rPr>
          <w:rFonts w:ascii="Cambria" w:hAnsi="Cambria"/>
          <w:sz w:val="20"/>
          <w:szCs w:val="20"/>
          <w:lang w:val="es-CO"/>
        </w:rPr>
        <w:t>s</w:t>
      </w:r>
      <w:r w:rsidR="00FC32E3" w:rsidRPr="002832EC">
        <w:rPr>
          <w:rFonts w:ascii="Cambria" w:hAnsi="Cambria"/>
          <w:sz w:val="20"/>
          <w:szCs w:val="20"/>
          <w:lang w:val="es-CO"/>
        </w:rPr>
        <w:t xml:space="preserve">, </w:t>
      </w:r>
      <w:r w:rsidR="002C5B1D" w:rsidRPr="002832EC">
        <w:rPr>
          <w:rFonts w:ascii="Cambria" w:hAnsi="Cambria"/>
          <w:sz w:val="20"/>
          <w:szCs w:val="20"/>
          <w:lang w:val="es-CO"/>
        </w:rPr>
        <w:t xml:space="preserve">las cuales son personas de edad avanzada, </w:t>
      </w:r>
      <w:r w:rsidR="00FC32E3" w:rsidRPr="002832EC">
        <w:rPr>
          <w:rFonts w:ascii="Cambria" w:hAnsi="Cambria"/>
          <w:sz w:val="20"/>
          <w:szCs w:val="20"/>
          <w:lang w:val="es-CO"/>
        </w:rPr>
        <w:t xml:space="preserve">la Comisión decidió someter el caso a la jurisdicción de la Corte Interamericana. </w:t>
      </w:r>
    </w:p>
    <w:p w14:paraId="23FA1C24" w14:textId="77777777" w:rsidR="00FC32E3" w:rsidRPr="002832EC" w:rsidRDefault="00FC32E3" w:rsidP="00040E55">
      <w:pPr>
        <w:autoSpaceDE w:val="0"/>
        <w:autoSpaceDN w:val="0"/>
        <w:adjustRightInd w:val="0"/>
        <w:spacing w:after="0" w:line="240" w:lineRule="auto"/>
        <w:ind w:firstLine="720"/>
        <w:jc w:val="both"/>
        <w:rPr>
          <w:rFonts w:ascii="Cambria" w:hAnsi="Cambria" w:cs="Arial"/>
          <w:sz w:val="20"/>
          <w:szCs w:val="20"/>
          <w:lang w:val="es-ES"/>
        </w:rPr>
      </w:pPr>
    </w:p>
    <w:p w14:paraId="4D1660A7" w14:textId="77777777" w:rsidR="00780FAD" w:rsidRPr="002832EC" w:rsidRDefault="00143EB4" w:rsidP="00A928C7">
      <w:pPr>
        <w:pStyle w:val="Prrafodelista"/>
        <w:ind w:left="0" w:firstLine="720"/>
        <w:jc w:val="both"/>
        <w:rPr>
          <w:sz w:val="20"/>
          <w:szCs w:val="20"/>
          <w:lang w:val="es-ES"/>
        </w:rPr>
      </w:pPr>
      <w:r w:rsidRPr="002832EC">
        <w:rPr>
          <w:sz w:val="20"/>
          <w:szCs w:val="20"/>
          <w:lang w:val="es-CO"/>
        </w:rPr>
        <w:t xml:space="preserve">En ese sentido, la Comisión solicita a la </w:t>
      </w:r>
      <w:r w:rsidR="00707281" w:rsidRPr="002832EC">
        <w:rPr>
          <w:sz w:val="20"/>
          <w:szCs w:val="20"/>
          <w:lang w:val="es-CO"/>
        </w:rPr>
        <w:t xml:space="preserve">Honorable </w:t>
      </w:r>
      <w:r w:rsidRPr="002832EC">
        <w:rPr>
          <w:sz w:val="20"/>
          <w:szCs w:val="20"/>
          <w:lang w:val="es-CO"/>
        </w:rPr>
        <w:t xml:space="preserve">Corte que concluya y declare que el Estado de </w:t>
      </w:r>
      <w:r w:rsidR="003667FF" w:rsidRPr="002832EC">
        <w:rPr>
          <w:sz w:val="20"/>
          <w:szCs w:val="20"/>
          <w:lang w:val="es-CO"/>
        </w:rPr>
        <w:t>Perú</w:t>
      </w:r>
      <w:r w:rsidRPr="002832EC">
        <w:rPr>
          <w:sz w:val="20"/>
          <w:szCs w:val="20"/>
          <w:lang w:val="es-CO"/>
        </w:rPr>
        <w:t xml:space="preserve"> </w:t>
      </w:r>
      <w:r w:rsidR="00D902D7" w:rsidRPr="002832EC">
        <w:rPr>
          <w:sz w:val="20"/>
          <w:szCs w:val="20"/>
          <w:lang w:val="es-CO"/>
        </w:rPr>
        <w:t xml:space="preserve">es responsable por la </w:t>
      </w:r>
      <w:r w:rsidR="00780FAD" w:rsidRPr="002832EC">
        <w:rPr>
          <w:sz w:val="20"/>
          <w:szCs w:val="20"/>
          <w:lang w:val="es-ES"/>
        </w:rPr>
        <w:t>violación de los derechos a las garantías judiciales, propiedad privada y protección judicial, establecido en los artículos 8.1, 21, 25.1, 25.2.c) y 26 de la Convención Americana, en relación con las obligaciones establecidas en el artículo 1.1 del mismo instrumento, en perjuicio d</w:t>
      </w:r>
      <w:r w:rsidR="00BD3AB3" w:rsidRPr="002832EC">
        <w:rPr>
          <w:sz w:val="20"/>
          <w:szCs w:val="20"/>
          <w:lang w:val="es-ES"/>
        </w:rPr>
        <w:t xml:space="preserve">e las </w:t>
      </w:r>
      <w:r w:rsidR="00A928C7" w:rsidRPr="002832EC">
        <w:rPr>
          <w:color w:val="auto"/>
          <w:sz w:val="20"/>
          <w:szCs w:val="20"/>
          <w:lang w:val="es-AR"/>
        </w:rPr>
        <w:t xml:space="preserve">víctimas del presente caso, </w:t>
      </w:r>
      <w:r w:rsidR="00A928C7" w:rsidRPr="00D9548A">
        <w:rPr>
          <w:color w:val="auto"/>
          <w:sz w:val="20"/>
          <w:szCs w:val="20"/>
          <w:lang w:val="es-AR"/>
        </w:rPr>
        <w:t>beneficiarias de la decisión de 16 de febrero de 1993, de las cuales la Comisión ha podido individualizar</w:t>
      </w:r>
      <w:r w:rsidR="009359C9" w:rsidRPr="00D9548A">
        <w:rPr>
          <w:color w:val="auto"/>
          <w:sz w:val="20"/>
          <w:szCs w:val="20"/>
          <w:lang w:val="es-AR"/>
        </w:rPr>
        <w:t xml:space="preserve">  algunas </w:t>
      </w:r>
      <w:r w:rsidR="00A928C7" w:rsidRPr="00D9548A">
        <w:rPr>
          <w:color w:val="auto"/>
          <w:sz w:val="20"/>
          <w:szCs w:val="20"/>
          <w:lang w:val="es-AR"/>
        </w:rPr>
        <w:t>que se encuentran en el Anexo Único de víctimas del presente informe de fondo</w:t>
      </w:r>
      <w:r w:rsidR="009359C9" w:rsidRPr="00D9548A">
        <w:rPr>
          <w:color w:val="auto"/>
          <w:sz w:val="20"/>
          <w:szCs w:val="20"/>
          <w:lang w:val="es-AR"/>
        </w:rPr>
        <w:t xml:space="preserve"> de manera no exhaustiva</w:t>
      </w:r>
      <w:r w:rsidR="00A928C7" w:rsidRPr="00D9548A">
        <w:rPr>
          <w:color w:val="auto"/>
          <w:sz w:val="20"/>
          <w:szCs w:val="20"/>
          <w:lang w:val="es-AR"/>
        </w:rPr>
        <w:t>.</w:t>
      </w:r>
      <w:r w:rsidR="00A928C7" w:rsidRPr="00D9548A">
        <w:rPr>
          <w:sz w:val="20"/>
          <w:szCs w:val="20"/>
          <w:lang w:val="es-ES"/>
        </w:rPr>
        <w:t xml:space="preserve"> </w:t>
      </w:r>
      <w:r w:rsidR="00780FAD" w:rsidRPr="00D9548A">
        <w:rPr>
          <w:sz w:val="20"/>
          <w:szCs w:val="20"/>
          <w:lang w:val="es-ES"/>
        </w:rPr>
        <w:t>Asimismo, la Comisión concluye que el Estado incumplió las obligaciones establecidas en el artículo 2 del mismo instrumento.</w:t>
      </w:r>
    </w:p>
    <w:p w14:paraId="6E86BCC2" w14:textId="77777777" w:rsidR="00BD3AB3" w:rsidRPr="002832EC" w:rsidRDefault="00BD3AB3" w:rsidP="00780FAD">
      <w:pPr>
        <w:pStyle w:val="Prrafodelista"/>
        <w:ind w:left="0" w:firstLine="720"/>
        <w:jc w:val="both"/>
        <w:rPr>
          <w:sz w:val="20"/>
          <w:szCs w:val="20"/>
          <w:lang w:val="es-ES"/>
        </w:rPr>
      </w:pPr>
    </w:p>
    <w:p w14:paraId="4204535D" w14:textId="77777777" w:rsidR="00BD3AB3" w:rsidRPr="002832EC" w:rsidRDefault="00BD3AB3" w:rsidP="00780FAD">
      <w:pPr>
        <w:pStyle w:val="Prrafodelista"/>
        <w:ind w:left="0" w:firstLine="720"/>
        <w:jc w:val="both"/>
        <w:rPr>
          <w:rFonts w:eastAsia="Times New Roman"/>
          <w:sz w:val="20"/>
          <w:szCs w:val="20"/>
          <w:lang w:val="es-ES"/>
        </w:rPr>
      </w:pPr>
      <w:r w:rsidRPr="002832EC">
        <w:rPr>
          <w:sz w:val="20"/>
          <w:szCs w:val="20"/>
          <w:lang w:val="es-ES"/>
        </w:rPr>
        <w:t xml:space="preserve">Respecto a las víctimas del presente caso, al tratarse de un caso colectivo, la Comisión señaló expresamente que el anexo único </w:t>
      </w:r>
      <w:r w:rsidR="0086367F" w:rsidRPr="002832EC">
        <w:rPr>
          <w:sz w:val="20"/>
          <w:szCs w:val="20"/>
          <w:lang w:val="es-ES"/>
        </w:rPr>
        <w:t xml:space="preserve">del Informe de Fondo </w:t>
      </w:r>
      <w:r w:rsidRPr="002832EC">
        <w:rPr>
          <w:sz w:val="20"/>
          <w:szCs w:val="20"/>
          <w:lang w:val="es-ES"/>
        </w:rPr>
        <w:t xml:space="preserve">es un listado no exhaustivo. </w:t>
      </w:r>
      <w:r w:rsidR="00A928C7" w:rsidRPr="002832EC">
        <w:rPr>
          <w:sz w:val="20"/>
          <w:szCs w:val="20"/>
          <w:lang w:val="es-ES"/>
        </w:rPr>
        <w:t>La Comisión resalta que, si bien las víctimas son integrantes de SUTECASA y beneficiarias de la de</w:t>
      </w:r>
      <w:r w:rsidR="009359C9">
        <w:rPr>
          <w:sz w:val="20"/>
          <w:szCs w:val="20"/>
          <w:lang w:val="es-ES"/>
        </w:rPr>
        <w:t>cisión de 16 de febrero de 1993</w:t>
      </w:r>
      <w:r w:rsidR="00A928C7" w:rsidRPr="002832EC">
        <w:rPr>
          <w:sz w:val="20"/>
          <w:szCs w:val="20"/>
          <w:lang w:val="es-ES"/>
        </w:rPr>
        <w:t xml:space="preserve"> y, por lo tanto</w:t>
      </w:r>
      <w:r w:rsidR="009359C9">
        <w:rPr>
          <w:sz w:val="20"/>
          <w:szCs w:val="20"/>
          <w:lang w:val="es-ES"/>
        </w:rPr>
        <w:t>,</w:t>
      </w:r>
      <w:r w:rsidR="00A928C7" w:rsidRPr="002832EC">
        <w:rPr>
          <w:sz w:val="20"/>
          <w:szCs w:val="20"/>
          <w:lang w:val="es-ES"/>
        </w:rPr>
        <w:t xml:space="preserve"> tendrían un carácter determinable</w:t>
      </w:r>
      <w:r w:rsidR="009359C9">
        <w:rPr>
          <w:sz w:val="20"/>
          <w:szCs w:val="20"/>
          <w:lang w:val="es-ES"/>
        </w:rPr>
        <w:t>,</w:t>
      </w:r>
      <w:r w:rsidR="00A928C7" w:rsidRPr="002832EC">
        <w:rPr>
          <w:sz w:val="20"/>
          <w:szCs w:val="20"/>
          <w:lang w:val="es-ES"/>
        </w:rPr>
        <w:t xml:space="preserve"> tanto durante el trámite ante la Comisión, como en la etapa posterior a la emisión del informe de fondo, se han presentado </w:t>
      </w:r>
      <w:r w:rsidR="009359C9">
        <w:rPr>
          <w:sz w:val="20"/>
          <w:szCs w:val="20"/>
          <w:lang w:val="es-ES"/>
        </w:rPr>
        <w:t xml:space="preserve">dificultades y divergencias en relación con la individualización de </w:t>
      </w:r>
      <w:r w:rsidR="00A928C7" w:rsidRPr="002832EC">
        <w:rPr>
          <w:sz w:val="20"/>
          <w:szCs w:val="20"/>
          <w:lang w:val="es-ES"/>
        </w:rPr>
        <w:t xml:space="preserve">las </w:t>
      </w:r>
      <w:r w:rsidR="00D9548A" w:rsidRPr="002832EC">
        <w:rPr>
          <w:sz w:val="20"/>
          <w:szCs w:val="20"/>
          <w:lang w:val="es-ES"/>
        </w:rPr>
        <w:t>personas</w:t>
      </w:r>
      <w:r w:rsidR="00D9548A">
        <w:rPr>
          <w:sz w:val="20"/>
          <w:szCs w:val="20"/>
          <w:lang w:val="es-ES"/>
        </w:rPr>
        <w:t xml:space="preserve"> que</w:t>
      </w:r>
      <w:r w:rsidR="009359C9">
        <w:rPr>
          <w:sz w:val="20"/>
          <w:szCs w:val="20"/>
          <w:lang w:val="es-ES"/>
        </w:rPr>
        <w:t xml:space="preserve"> serían víctimas. En este sentido, la CIDH ha recibido distintos listados que no son consistentes </w:t>
      </w:r>
      <w:r w:rsidR="00477AB9">
        <w:rPr>
          <w:sz w:val="20"/>
          <w:szCs w:val="20"/>
          <w:lang w:val="es-ES"/>
        </w:rPr>
        <w:t>entre si y</w:t>
      </w:r>
      <w:r w:rsidR="00D9548A">
        <w:rPr>
          <w:sz w:val="20"/>
          <w:szCs w:val="20"/>
          <w:lang w:val="es-ES"/>
        </w:rPr>
        <w:t>,</w:t>
      </w:r>
      <w:r w:rsidR="00477AB9">
        <w:rPr>
          <w:sz w:val="20"/>
          <w:szCs w:val="20"/>
          <w:lang w:val="es-ES"/>
        </w:rPr>
        <w:t xml:space="preserve"> por tanto, ha elaborado un listado no exhaustivo como indicación del carácter masivo </w:t>
      </w:r>
      <w:r w:rsidR="00D9548A">
        <w:rPr>
          <w:sz w:val="20"/>
          <w:szCs w:val="20"/>
          <w:lang w:val="es-ES"/>
        </w:rPr>
        <w:t xml:space="preserve">o colectivo </w:t>
      </w:r>
      <w:r w:rsidR="00477AB9">
        <w:rPr>
          <w:sz w:val="20"/>
          <w:szCs w:val="20"/>
          <w:lang w:val="es-ES"/>
        </w:rPr>
        <w:t>del caso,</w:t>
      </w:r>
      <w:r w:rsidR="00D9548A">
        <w:rPr>
          <w:sz w:val="20"/>
          <w:szCs w:val="20"/>
          <w:lang w:val="es-ES"/>
        </w:rPr>
        <w:t xml:space="preserve"> que puede </w:t>
      </w:r>
      <w:r w:rsidR="00477AB9">
        <w:rPr>
          <w:sz w:val="20"/>
          <w:szCs w:val="20"/>
          <w:lang w:val="es-ES"/>
        </w:rPr>
        <w:t xml:space="preserve">aportar elementos que permitan una determinación ante este Tribunal. </w:t>
      </w:r>
      <w:r w:rsidR="00541254" w:rsidRPr="002832EC">
        <w:rPr>
          <w:sz w:val="20"/>
          <w:szCs w:val="20"/>
          <w:lang w:val="es-ES"/>
        </w:rPr>
        <w:t xml:space="preserve">Por lo tanto, con base en lo dispuesto en el artículo 35.2 del Reglamento de la Honorable Corte, la Comisión </w:t>
      </w:r>
      <w:r w:rsidR="00477AB9">
        <w:rPr>
          <w:sz w:val="20"/>
          <w:szCs w:val="20"/>
          <w:lang w:val="es-ES"/>
        </w:rPr>
        <w:t>solicita a la Honorable Corte que, dadas</w:t>
      </w:r>
      <w:r w:rsidR="00D9548A">
        <w:rPr>
          <w:sz w:val="20"/>
          <w:szCs w:val="20"/>
          <w:lang w:val="es-ES"/>
        </w:rPr>
        <w:t xml:space="preserve"> </w:t>
      </w:r>
      <w:r w:rsidR="00477AB9">
        <w:rPr>
          <w:sz w:val="20"/>
          <w:szCs w:val="20"/>
          <w:lang w:val="es-ES"/>
        </w:rPr>
        <w:t>las dificultades mencionadas,</w:t>
      </w:r>
      <w:r w:rsidR="00D9548A">
        <w:rPr>
          <w:sz w:val="20"/>
          <w:szCs w:val="20"/>
          <w:lang w:val="es-ES"/>
        </w:rPr>
        <w:t xml:space="preserve"> determine </w:t>
      </w:r>
      <w:r w:rsidR="00501558">
        <w:rPr>
          <w:sz w:val="20"/>
          <w:szCs w:val="20"/>
          <w:lang w:val="es-ES"/>
        </w:rPr>
        <w:t xml:space="preserve">las </w:t>
      </w:r>
      <w:r w:rsidR="00477AB9">
        <w:rPr>
          <w:sz w:val="20"/>
          <w:szCs w:val="20"/>
          <w:lang w:val="es-ES"/>
        </w:rPr>
        <w:t xml:space="preserve">victimas del presente caso. </w:t>
      </w:r>
    </w:p>
    <w:p w14:paraId="3AFEFE69" w14:textId="77777777" w:rsidR="003667FF" w:rsidRPr="002832EC" w:rsidRDefault="003667FF" w:rsidP="00040E55">
      <w:pPr>
        <w:pStyle w:val="Sangradetextonormal"/>
        <w:spacing w:after="0" w:line="240" w:lineRule="auto"/>
        <w:ind w:left="0" w:firstLine="720"/>
        <w:jc w:val="both"/>
        <w:rPr>
          <w:rFonts w:ascii="Cambria" w:hAnsi="Cambria"/>
          <w:sz w:val="20"/>
          <w:szCs w:val="20"/>
          <w:lang w:val="es-ES"/>
        </w:rPr>
      </w:pPr>
    </w:p>
    <w:p w14:paraId="6372E400" w14:textId="77777777" w:rsidR="00670828" w:rsidRPr="002832EC" w:rsidRDefault="00162CE1" w:rsidP="00B73900">
      <w:pPr>
        <w:tabs>
          <w:tab w:val="left" w:pos="810"/>
          <w:tab w:val="left" w:pos="1080"/>
        </w:tabs>
        <w:autoSpaceDE w:val="0"/>
        <w:autoSpaceDN w:val="0"/>
        <w:adjustRightInd w:val="0"/>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lastRenderedPageBreak/>
        <w:t xml:space="preserve">En consecuencia, la Comisión solicita a la Corte Interamericana que </w:t>
      </w:r>
      <w:r w:rsidR="00670828" w:rsidRPr="002832EC">
        <w:rPr>
          <w:rFonts w:ascii="Cambria" w:hAnsi="Cambria"/>
          <w:sz w:val="20"/>
          <w:szCs w:val="20"/>
          <w:lang w:val="es-CO"/>
        </w:rPr>
        <w:t>establezca la</w:t>
      </w:r>
      <w:r w:rsidR="00541254" w:rsidRPr="002832EC">
        <w:rPr>
          <w:rFonts w:ascii="Cambria" w:hAnsi="Cambria"/>
          <w:sz w:val="20"/>
          <w:szCs w:val="20"/>
          <w:lang w:val="es-CO"/>
        </w:rPr>
        <w:t>s</w:t>
      </w:r>
      <w:r w:rsidR="00670828" w:rsidRPr="002832EC">
        <w:rPr>
          <w:rFonts w:ascii="Cambria" w:hAnsi="Cambria"/>
          <w:sz w:val="20"/>
          <w:szCs w:val="20"/>
          <w:lang w:val="es-CO"/>
        </w:rPr>
        <w:t xml:space="preserve"> siguiente</w:t>
      </w:r>
      <w:r w:rsidR="00541254" w:rsidRPr="002832EC">
        <w:rPr>
          <w:rFonts w:ascii="Cambria" w:hAnsi="Cambria"/>
          <w:sz w:val="20"/>
          <w:szCs w:val="20"/>
          <w:lang w:val="es-CO"/>
        </w:rPr>
        <w:t>s</w:t>
      </w:r>
      <w:r w:rsidR="00670828" w:rsidRPr="002832EC">
        <w:rPr>
          <w:rFonts w:ascii="Cambria" w:hAnsi="Cambria"/>
          <w:sz w:val="20"/>
          <w:szCs w:val="20"/>
          <w:lang w:val="es-CO"/>
        </w:rPr>
        <w:t xml:space="preserve"> medida</w:t>
      </w:r>
      <w:r w:rsidR="00541254" w:rsidRPr="002832EC">
        <w:rPr>
          <w:rFonts w:ascii="Cambria" w:hAnsi="Cambria"/>
          <w:sz w:val="20"/>
          <w:szCs w:val="20"/>
          <w:lang w:val="es-CO"/>
        </w:rPr>
        <w:t>s</w:t>
      </w:r>
      <w:r w:rsidR="00670828" w:rsidRPr="002832EC">
        <w:rPr>
          <w:rFonts w:ascii="Cambria" w:hAnsi="Cambria"/>
          <w:sz w:val="20"/>
          <w:szCs w:val="20"/>
          <w:lang w:val="es-CO"/>
        </w:rPr>
        <w:t xml:space="preserve"> de reparación:</w:t>
      </w:r>
    </w:p>
    <w:p w14:paraId="49A1B661" w14:textId="77777777" w:rsidR="00162CE1" w:rsidRPr="002832EC" w:rsidRDefault="00162CE1" w:rsidP="00541254">
      <w:pPr>
        <w:tabs>
          <w:tab w:val="left" w:pos="1080"/>
        </w:tabs>
        <w:spacing w:after="0" w:line="240" w:lineRule="auto"/>
        <w:ind w:left="720" w:right="720"/>
        <w:jc w:val="both"/>
        <w:rPr>
          <w:rFonts w:ascii="Cambria" w:hAnsi="Cambria" w:cs="Calibri"/>
          <w:sz w:val="20"/>
          <w:szCs w:val="20"/>
          <w:lang w:val="es-ES"/>
        </w:rPr>
      </w:pPr>
    </w:p>
    <w:p w14:paraId="5BDE9408" w14:textId="77777777" w:rsidR="00541254" w:rsidRPr="002832EC" w:rsidRDefault="00541254" w:rsidP="00541254">
      <w:pPr>
        <w:numPr>
          <w:ilvl w:val="0"/>
          <w:numId w:val="10"/>
        </w:numPr>
        <w:tabs>
          <w:tab w:val="left" w:pos="1080"/>
        </w:tabs>
        <w:spacing w:after="0" w:line="240" w:lineRule="auto"/>
        <w:ind w:left="720" w:right="720" w:firstLine="0"/>
        <w:jc w:val="both"/>
        <w:rPr>
          <w:rFonts w:ascii="Cambria" w:hAnsi="Cambria" w:cs="Calibri"/>
          <w:sz w:val="20"/>
          <w:szCs w:val="20"/>
          <w:lang w:val="es-ES"/>
        </w:rPr>
      </w:pPr>
      <w:r w:rsidRPr="002832EC">
        <w:rPr>
          <w:rFonts w:ascii="Cambria" w:hAnsi="Cambria" w:cs="Calibri"/>
          <w:sz w:val="20"/>
          <w:szCs w:val="20"/>
          <w:lang w:val="es-ES"/>
        </w:rPr>
        <w:t xml:space="preserve">Dar cumplimiento a la mayor brevedad posible a la sentencia de la Corte Suprema de Justicia de 16 de febrero de 1993. Lo anterior incluye la adopción de todas las medidas necesarias para definir de la manera más expedita posible los montos que se habrían dejado de percibir como consecuencia de la aplicación de los decretos declarados inaplicables en el referido fallo judicial. Tomando en cuenta la inefectividad del proceso judicial de ejecución de sentencia por 26 años y la urgencia del cumplimiento del fallo dada la avanzada edad de las víctimas, la Comisión insta al Estado a implementar inmediatamente un mecanismo expedito para que en el tiempo más breve posible se establezcan los efectos patrimoniales del fallo y se disponga su pago efectivo sin mayores dilaciones y obstáculos. </w:t>
      </w:r>
    </w:p>
    <w:p w14:paraId="04E1ED39" w14:textId="77777777" w:rsidR="00541254" w:rsidRPr="002832EC" w:rsidRDefault="00541254" w:rsidP="00541254">
      <w:pPr>
        <w:tabs>
          <w:tab w:val="left" w:pos="1080"/>
        </w:tabs>
        <w:ind w:left="720" w:right="720"/>
        <w:jc w:val="both"/>
        <w:rPr>
          <w:rFonts w:ascii="Cambria" w:hAnsi="Cambria" w:cs="Calibri"/>
          <w:sz w:val="20"/>
          <w:szCs w:val="20"/>
          <w:lang w:val="es-ES"/>
        </w:rPr>
      </w:pPr>
    </w:p>
    <w:p w14:paraId="6A564FEA" w14:textId="77777777" w:rsidR="00541254" w:rsidRPr="002832EC" w:rsidRDefault="00541254" w:rsidP="00541254">
      <w:pPr>
        <w:numPr>
          <w:ilvl w:val="0"/>
          <w:numId w:val="10"/>
        </w:numPr>
        <w:tabs>
          <w:tab w:val="left" w:pos="1080"/>
        </w:tabs>
        <w:spacing w:after="0" w:line="240" w:lineRule="auto"/>
        <w:ind w:left="720" w:right="720" w:firstLine="0"/>
        <w:jc w:val="both"/>
        <w:rPr>
          <w:rFonts w:ascii="Cambria" w:hAnsi="Cambria" w:cs="Calibri"/>
          <w:sz w:val="20"/>
          <w:szCs w:val="20"/>
          <w:lang w:val="es-ES"/>
        </w:rPr>
      </w:pPr>
      <w:r w:rsidRPr="002832EC">
        <w:rPr>
          <w:rFonts w:ascii="Cambria" w:hAnsi="Cambria" w:cs="Calibri"/>
          <w:sz w:val="20"/>
          <w:szCs w:val="20"/>
          <w:lang w:val="es-ES"/>
        </w:rPr>
        <w:t xml:space="preserve">Reparar integralmente las violaciones declaradas en el presente informe, incluyendo una debida compensación que incluya el daño material e inmaterial causado. Esta reparación debe ser implementada no sólo respecto de los miembros de SUTECASA que continúan con vida, sino también respecto de aquellos que fallecieron a la esperar del cumplimiento del fallo a su favor. En el caso de estas personas, el Estado deberá hacer efectiva la reparación respecto de sus familiares.    </w:t>
      </w:r>
    </w:p>
    <w:p w14:paraId="0C44A44B" w14:textId="77777777" w:rsidR="00541254" w:rsidRPr="002832EC" w:rsidRDefault="00541254" w:rsidP="00541254">
      <w:pPr>
        <w:pStyle w:val="Prrafodelista"/>
        <w:rPr>
          <w:rFonts w:cs="Calibri"/>
          <w:sz w:val="20"/>
          <w:szCs w:val="20"/>
          <w:lang w:val="es-ES"/>
        </w:rPr>
      </w:pPr>
    </w:p>
    <w:p w14:paraId="405F9462" w14:textId="77777777" w:rsidR="00541254" w:rsidRPr="002832EC" w:rsidRDefault="00541254" w:rsidP="00541254">
      <w:pPr>
        <w:numPr>
          <w:ilvl w:val="0"/>
          <w:numId w:val="10"/>
        </w:numPr>
        <w:tabs>
          <w:tab w:val="left" w:pos="1080"/>
        </w:tabs>
        <w:spacing w:after="0" w:line="240" w:lineRule="auto"/>
        <w:ind w:left="720" w:right="720" w:firstLine="0"/>
        <w:jc w:val="both"/>
        <w:rPr>
          <w:rFonts w:ascii="Cambria" w:hAnsi="Cambria" w:cs="Calibri"/>
          <w:sz w:val="20"/>
          <w:szCs w:val="20"/>
          <w:lang w:val="es-ES"/>
        </w:rPr>
      </w:pPr>
      <w:r w:rsidRPr="002832EC">
        <w:rPr>
          <w:rFonts w:ascii="Cambria" w:hAnsi="Cambria" w:cs="Calibri"/>
          <w:sz w:val="20"/>
          <w:szCs w:val="20"/>
          <w:lang w:val="es-ES"/>
        </w:rPr>
        <w:t xml:space="preserve">Adoptar las medidas legislativas, administrativas o de otra índole necesarias para evitar la repetición de las violaciones declaradas en el informe de fondo. Al respecto, el Estado deberá disponer las medidas necesarias para: i) Asegurar que los procesos de ejecución de sentencia cumplan con el estándar convencional de sencillez y rapidez; y ii) Asegurar que las autoridades judiciales que conocen tales procesos se encuentren facultados legalmente y apliquen en la práctica los mecanismos coercitivos necesarios para garantizar el cumplimiento de los fallos judiciales. </w:t>
      </w:r>
    </w:p>
    <w:p w14:paraId="2DCC43DA" w14:textId="77777777" w:rsidR="00541254" w:rsidRPr="002832EC" w:rsidRDefault="00541254" w:rsidP="00541254">
      <w:pPr>
        <w:tabs>
          <w:tab w:val="left" w:pos="1080"/>
        </w:tabs>
        <w:spacing w:after="0" w:line="240" w:lineRule="auto"/>
        <w:ind w:left="720" w:right="720"/>
        <w:jc w:val="both"/>
        <w:rPr>
          <w:rFonts w:ascii="Cambria" w:hAnsi="Cambria" w:cs="Calibri"/>
          <w:sz w:val="20"/>
          <w:szCs w:val="20"/>
          <w:lang w:val="es-ES"/>
        </w:rPr>
      </w:pPr>
    </w:p>
    <w:p w14:paraId="1053CA48" w14:textId="77777777" w:rsidR="00471FAD" w:rsidRPr="002832EC" w:rsidRDefault="00E16ED1" w:rsidP="00040E55">
      <w:pPr>
        <w:tabs>
          <w:tab w:val="left" w:pos="360"/>
          <w:tab w:val="left" w:pos="720"/>
        </w:tabs>
        <w:spacing w:after="0" w:line="240" w:lineRule="auto"/>
        <w:jc w:val="both"/>
        <w:rPr>
          <w:rFonts w:ascii="Cambria" w:hAnsi="Cambria" w:cs="Calibri"/>
          <w:sz w:val="20"/>
          <w:szCs w:val="20"/>
          <w:lang w:val="es-ES"/>
        </w:rPr>
      </w:pPr>
      <w:r w:rsidRPr="002832EC">
        <w:rPr>
          <w:rFonts w:ascii="Cambria" w:hAnsi="Cambria" w:cs="Calibri"/>
          <w:sz w:val="20"/>
          <w:szCs w:val="20"/>
          <w:lang w:val="es-ES"/>
        </w:rPr>
        <w:tab/>
      </w:r>
      <w:r w:rsidRPr="002832EC">
        <w:rPr>
          <w:rFonts w:ascii="Cambria" w:hAnsi="Cambria" w:cs="Calibri"/>
          <w:sz w:val="20"/>
          <w:szCs w:val="20"/>
          <w:lang w:val="es-ES"/>
        </w:rPr>
        <w:tab/>
      </w:r>
      <w:r w:rsidR="00162CE1" w:rsidRPr="002832EC">
        <w:rPr>
          <w:rFonts w:ascii="Cambria" w:hAnsi="Cambria" w:cs="Calibri"/>
          <w:sz w:val="20"/>
          <w:szCs w:val="20"/>
          <w:lang w:val="es-ES"/>
        </w:rPr>
        <w:t>Además de la necesidad de obtención de justicia</w:t>
      </w:r>
      <w:r w:rsidR="00377262" w:rsidRPr="002832EC">
        <w:rPr>
          <w:rFonts w:ascii="Cambria" w:hAnsi="Cambria" w:cs="Calibri"/>
          <w:sz w:val="20"/>
          <w:szCs w:val="20"/>
          <w:lang w:val="es-ES"/>
        </w:rPr>
        <w:t xml:space="preserve"> y reparación</w:t>
      </w:r>
      <w:r w:rsidR="00162CE1" w:rsidRPr="002832EC">
        <w:rPr>
          <w:rFonts w:ascii="Cambria" w:hAnsi="Cambria" w:cs="Calibri"/>
          <w:sz w:val="20"/>
          <w:szCs w:val="20"/>
          <w:lang w:val="es-ES"/>
        </w:rPr>
        <w:t xml:space="preserve"> por la falta de cumplimie</w:t>
      </w:r>
      <w:r w:rsidR="009A0E8E" w:rsidRPr="002832EC">
        <w:rPr>
          <w:rFonts w:ascii="Cambria" w:hAnsi="Cambria" w:cs="Calibri"/>
          <w:sz w:val="20"/>
          <w:szCs w:val="20"/>
          <w:lang w:val="es-ES"/>
        </w:rPr>
        <w:t>nto de la</w:t>
      </w:r>
      <w:r w:rsidR="003667FF" w:rsidRPr="002832EC">
        <w:rPr>
          <w:rFonts w:ascii="Cambria" w:hAnsi="Cambria" w:cs="Calibri"/>
          <w:sz w:val="20"/>
          <w:szCs w:val="20"/>
          <w:lang w:val="es-ES"/>
        </w:rPr>
        <w:t xml:space="preserve"> recomendación</w:t>
      </w:r>
      <w:r w:rsidR="009A0E8E" w:rsidRPr="002832EC">
        <w:rPr>
          <w:rFonts w:ascii="Cambria" w:hAnsi="Cambria" w:cs="Calibri"/>
          <w:sz w:val="20"/>
          <w:szCs w:val="20"/>
          <w:lang w:val="es-ES"/>
        </w:rPr>
        <w:t xml:space="preserve"> del Informe de F</w:t>
      </w:r>
      <w:r w:rsidR="00162CE1" w:rsidRPr="002832EC">
        <w:rPr>
          <w:rFonts w:ascii="Cambria" w:hAnsi="Cambria" w:cs="Calibri"/>
          <w:sz w:val="20"/>
          <w:szCs w:val="20"/>
          <w:lang w:val="es-ES"/>
        </w:rPr>
        <w:t>ondo, la Comisión considera que el caso presenta cuestiones de orden público interamericano.</w:t>
      </w:r>
      <w:r w:rsidR="00245F50" w:rsidRPr="002832EC">
        <w:rPr>
          <w:rFonts w:ascii="Cambria" w:hAnsi="Cambria" w:cs="Calibri"/>
          <w:sz w:val="20"/>
          <w:szCs w:val="20"/>
          <w:lang w:val="es-ES"/>
        </w:rPr>
        <w:t xml:space="preserve"> </w:t>
      </w:r>
      <w:r w:rsidR="00B037A3" w:rsidRPr="002832EC">
        <w:rPr>
          <w:rFonts w:ascii="Cambria" w:hAnsi="Cambria" w:cs="Calibri"/>
          <w:sz w:val="20"/>
          <w:szCs w:val="20"/>
          <w:lang w:val="es-ES"/>
        </w:rPr>
        <w:t>E</w:t>
      </w:r>
      <w:r w:rsidR="00D04EF2" w:rsidRPr="002832EC">
        <w:rPr>
          <w:rFonts w:ascii="Cambria" w:hAnsi="Cambria" w:cs="Calibri"/>
          <w:sz w:val="20"/>
          <w:szCs w:val="20"/>
          <w:lang w:val="es-ES"/>
        </w:rPr>
        <w:t xml:space="preserve">n efecto, el presente caso </w:t>
      </w:r>
      <w:r w:rsidR="00B037A3" w:rsidRPr="002832EC">
        <w:rPr>
          <w:rFonts w:ascii="Cambria" w:eastAsia="Times New Roman" w:hAnsi="Cambria" w:cs="Cambria"/>
          <w:sz w:val="20"/>
          <w:szCs w:val="20"/>
          <w:lang w:val="es-CO"/>
        </w:rPr>
        <w:t>permitirá a la Honorable Corte</w:t>
      </w:r>
      <w:r w:rsidR="00D04EF2" w:rsidRPr="002832EC">
        <w:rPr>
          <w:rFonts w:ascii="Cambria" w:eastAsia="Times New Roman" w:hAnsi="Cambria" w:cs="Cambria"/>
          <w:sz w:val="20"/>
          <w:szCs w:val="20"/>
          <w:lang w:val="es-CO"/>
        </w:rPr>
        <w:t xml:space="preserve"> continuar profundizando en su jurisprudencia</w:t>
      </w:r>
      <w:r w:rsidR="00B037A3" w:rsidRPr="002832EC">
        <w:rPr>
          <w:rFonts w:ascii="Cambria" w:eastAsia="Times New Roman" w:hAnsi="Cambria" w:cs="Cambria"/>
          <w:sz w:val="20"/>
          <w:szCs w:val="20"/>
          <w:lang w:val="es-CO"/>
        </w:rPr>
        <w:t xml:space="preserve"> </w:t>
      </w:r>
      <w:r w:rsidR="00D04EF2" w:rsidRPr="002832EC">
        <w:rPr>
          <w:rFonts w:ascii="Cambria" w:hAnsi="Cambria" w:cs="Calibri"/>
          <w:sz w:val="20"/>
          <w:szCs w:val="20"/>
          <w:lang w:val="es-ES"/>
        </w:rPr>
        <w:t xml:space="preserve">respecto </w:t>
      </w:r>
      <w:r w:rsidR="00471FAD" w:rsidRPr="002832EC">
        <w:rPr>
          <w:rFonts w:ascii="Cambria" w:hAnsi="Cambria" w:cs="Calibri"/>
          <w:sz w:val="20"/>
          <w:szCs w:val="20"/>
          <w:lang w:val="es-ES"/>
        </w:rPr>
        <w:t xml:space="preserve">del contenido del derecho de protección judicial y, particularmente, el derecho a contar con los medios para ejecutar las sentencias emitidas por autoridades, tratándose de decisiones que declaran la inconstitucionalidad de determinadas normas que inciden o tienen efectos patrimoniales en los derechos de las personas, incluyendo personas integrantes de sindicatos. Asimismo, la Corte podrá profundizar sobre el contenido del derecho a la negociación colectiva y, en su caso, las obligaciones correlativas que tendría el Estado para lograr el cumplimiento </w:t>
      </w:r>
      <w:r w:rsidR="00DC1B25" w:rsidRPr="002832EC">
        <w:rPr>
          <w:rFonts w:ascii="Cambria" w:hAnsi="Cambria" w:cs="Calibri"/>
          <w:sz w:val="20"/>
          <w:szCs w:val="20"/>
          <w:lang w:val="es-ES"/>
        </w:rPr>
        <w:t xml:space="preserve">efectivo </w:t>
      </w:r>
      <w:r w:rsidR="00471FAD" w:rsidRPr="002832EC">
        <w:rPr>
          <w:rFonts w:ascii="Cambria" w:hAnsi="Cambria" w:cs="Calibri"/>
          <w:sz w:val="20"/>
          <w:szCs w:val="20"/>
          <w:lang w:val="es-ES"/>
        </w:rPr>
        <w:t xml:space="preserve">de los acuerdos adoptados en los contratos colectivos de trabajo. </w:t>
      </w:r>
    </w:p>
    <w:p w14:paraId="7983D597" w14:textId="77777777" w:rsidR="00AB1AF1" w:rsidRPr="002832EC" w:rsidRDefault="00AB1AF1" w:rsidP="00040E55">
      <w:pPr>
        <w:pStyle w:val="Encabezado"/>
        <w:tabs>
          <w:tab w:val="left" w:pos="720"/>
        </w:tabs>
        <w:jc w:val="both"/>
        <w:rPr>
          <w:rFonts w:ascii="Cambria" w:eastAsia="Times New Roman" w:hAnsi="Cambria" w:cs="Cambria"/>
          <w:sz w:val="20"/>
          <w:szCs w:val="20"/>
          <w:lang w:val="es-CO"/>
        </w:rPr>
      </w:pPr>
    </w:p>
    <w:p w14:paraId="51A5ECDA" w14:textId="77777777" w:rsidR="00471FAD" w:rsidRPr="002832EC" w:rsidRDefault="00162CE1" w:rsidP="00471FAD">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En virtud de que estas cuestiones afectan de manera relevante el orden público interamericano, de conformidad con el artículo 35.1 f) del Reglamento de la Corte Interamericana, </w:t>
      </w:r>
      <w:r w:rsidR="00471FAD" w:rsidRPr="002832EC">
        <w:rPr>
          <w:rFonts w:ascii="Cambria" w:hAnsi="Cambria" w:cs="Calibri"/>
          <w:sz w:val="20"/>
          <w:szCs w:val="20"/>
          <w:lang w:val="es-ES"/>
        </w:rPr>
        <w:t xml:space="preserve">la Comisión se permite ofrecer una declaración pericial: </w:t>
      </w:r>
    </w:p>
    <w:p w14:paraId="657C4FB8" w14:textId="77777777" w:rsidR="00DC1B25" w:rsidRPr="002832EC" w:rsidRDefault="00DC1B25" w:rsidP="00DC1B25">
      <w:pPr>
        <w:pStyle w:val="Encabezado"/>
        <w:tabs>
          <w:tab w:val="left" w:pos="720"/>
        </w:tabs>
        <w:jc w:val="both"/>
        <w:rPr>
          <w:rFonts w:ascii="Cambria" w:eastAsia="Times New Roman" w:hAnsi="Cambria" w:cs="Cambria"/>
          <w:sz w:val="20"/>
          <w:szCs w:val="20"/>
          <w:lang w:val="es-CO"/>
        </w:rPr>
      </w:pPr>
    </w:p>
    <w:p w14:paraId="6D0B2E97" w14:textId="77777777" w:rsidR="00D9548A" w:rsidRPr="00D9548A" w:rsidRDefault="00DC1B25" w:rsidP="00DC1B25">
      <w:pPr>
        <w:pStyle w:val="Encabezado"/>
        <w:tabs>
          <w:tab w:val="left" w:pos="720"/>
        </w:tabs>
        <w:jc w:val="both"/>
        <w:rPr>
          <w:rFonts w:ascii="Cambria" w:hAnsi="Cambria" w:cs="Calibri"/>
          <w:sz w:val="20"/>
          <w:szCs w:val="20"/>
          <w:lang w:val="es-ES"/>
        </w:rPr>
      </w:pPr>
      <w:r w:rsidRPr="002832EC">
        <w:rPr>
          <w:rFonts w:ascii="Cambria" w:eastAsia="Times New Roman" w:hAnsi="Cambria" w:cs="Cambria"/>
          <w:sz w:val="20"/>
          <w:szCs w:val="20"/>
          <w:lang w:val="es-CO"/>
        </w:rPr>
        <w:tab/>
        <w:t>Perito/a cuyo nombre será informado a la bre</w:t>
      </w:r>
      <w:r w:rsidR="00D9548A">
        <w:rPr>
          <w:rFonts w:ascii="Cambria" w:eastAsia="Times New Roman" w:hAnsi="Cambria" w:cs="Cambria"/>
          <w:sz w:val="20"/>
          <w:szCs w:val="20"/>
          <w:lang w:val="es-CO"/>
        </w:rPr>
        <w:t xml:space="preserve">vedad, quien declarará sobre </w:t>
      </w:r>
      <w:r w:rsidRPr="002832EC">
        <w:rPr>
          <w:rFonts w:ascii="Cambria" w:hAnsi="Cambria" w:cs="Calibri"/>
          <w:sz w:val="20"/>
          <w:szCs w:val="20"/>
          <w:lang w:val="es-ES"/>
        </w:rPr>
        <w:t>del derech</w:t>
      </w:r>
      <w:r w:rsidR="00D9548A">
        <w:rPr>
          <w:rFonts w:ascii="Cambria" w:hAnsi="Cambria" w:cs="Calibri"/>
          <w:sz w:val="20"/>
          <w:szCs w:val="20"/>
          <w:lang w:val="es-ES"/>
        </w:rPr>
        <w:t xml:space="preserve">o a la negociación colectiva, </w:t>
      </w:r>
      <w:r w:rsidRPr="002832EC">
        <w:rPr>
          <w:rFonts w:ascii="Cambria" w:hAnsi="Cambria" w:cs="Calibri"/>
          <w:sz w:val="20"/>
          <w:szCs w:val="20"/>
          <w:lang w:val="es-ES"/>
        </w:rPr>
        <w:t xml:space="preserve">las obligaciones correlativas que tendría el Estado para lograr el cumplimiento efectivo de los acuerdos adoptados en los contratos colectivos de trabajo. </w:t>
      </w:r>
      <w:r w:rsidR="00D9548A">
        <w:rPr>
          <w:rFonts w:ascii="Cambria" w:hAnsi="Cambria" w:cs="Calibri"/>
          <w:sz w:val="20"/>
          <w:szCs w:val="20"/>
          <w:lang w:val="es-ES"/>
        </w:rPr>
        <w:t xml:space="preserve"> El/la perito/a, asimismo, se referirá al</w:t>
      </w:r>
      <w:r w:rsidR="00D9548A" w:rsidRPr="002832EC">
        <w:rPr>
          <w:rFonts w:ascii="Cambria" w:hAnsi="Cambria" w:cs="Calibri"/>
          <w:sz w:val="20"/>
          <w:szCs w:val="20"/>
          <w:lang w:val="es-ES"/>
        </w:rPr>
        <w:t xml:space="preserve"> derecho de protección judicial</w:t>
      </w:r>
      <w:r w:rsidR="00D9548A">
        <w:rPr>
          <w:rFonts w:ascii="Cambria" w:hAnsi="Cambria" w:cs="Calibri"/>
          <w:sz w:val="20"/>
          <w:szCs w:val="20"/>
          <w:lang w:val="es-ES"/>
        </w:rPr>
        <w:t>, su relación con el derecho a la negociación colectiva</w:t>
      </w:r>
      <w:r w:rsidR="00D9548A" w:rsidRPr="002832EC">
        <w:rPr>
          <w:rFonts w:ascii="Cambria" w:hAnsi="Cambria" w:cs="Calibri"/>
          <w:sz w:val="20"/>
          <w:szCs w:val="20"/>
          <w:lang w:val="es-ES"/>
        </w:rPr>
        <w:t xml:space="preserve"> y, particularmente, el derecho a contar con los medios para ejecutar las sentencias emitidas por autoridades, tratándose de decisiones que inciden o tienen efectos patrimoniales en los derechos de las personas</w:t>
      </w:r>
      <w:r w:rsidR="007942A1">
        <w:rPr>
          <w:rFonts w:ascii="Cambria" w:hAnsi="Cambria" w:cs="Calibri"/>
          <w:sz w:val="20"/>
          <w:szCs w:val="20"/>
          <w:lang w:val="es-ES"/>
        </w:rPr>
        <w:t xml:space="preserve"> que integran</w:t>
      </w:r>
      <w:r w:rsidR="00D9548A">
        <w:rPr>
          <w:rFonts w:ascii="Cambria" w:hAnsi="Cambria" w:cs="Calibri"/>
          <w:sz w:val="20"/>
          <w:szCs w:val="20"/>
          <w:lang w:val="es-ES"/>
        </w:rPr>
        <w:t xml:space="preserve"> sindicatos y de acuerdo con los contratos o convenios colectivos de trabajo. Para realizar su pericia, el/la perito/a podrá ejemplificar con el presente caso en la medida de lo pertinente.</w:t>
      </w:r>
    </w:p>
    <w:p w14:paraId="61075482" w14:textId="77777777" w:rsidR="0032794B" w:rsidRPr="00E41D66" w:rsidRDefault="0032794B" w:rsidP="0032794B">
      <w:pPr>
        <w:spacing w:after="0" w:line="240" w:lineRule="auto"/>
        <w:ind w:firstLine="720"/>
        <w:jc w:val="both"/>
        <w:rPr>
          <w:rFonts w:ascii="Cambria" w:hAnsi="Cambria" w:cs="Calibri"/>
          <w:color w:val="000000"/>
          <w:sz w:val="20"/>
          <w:szCs w:val="20"/>
          <w:lang w:val="es-ES"/>
        </w:rPr>
      </w:pPr>
    </w:p>
    <w:p w14:paraId="7141F097" w14:textId="77777777" w:rsidR="0032794B" w:rsidRPr="00E41D66" w:rsidRDefault="0032794B" w:rsidP="0032794B">
      <w:pPr>
        <w:spacing w:after="0" w:line="240" w:lineRule="auto"/>
        <w:jc w:val="both"/>
        <w:rPr>
          <w:rFonts w:ascii="Cambria" w:hAnsi="Cambria" w:cs="Calibri"/>
          <w:color w:val="000000"/>
          <w:sz w:val="20"/>
          <w:szCs w:val="20"/>
          <w:lang w:val="es-ES"/>
        </w:rPr>
      </w:pPr>
      <w:r w:rsidRPr="00E41D66">
        <w:rPr>
          <w:rFonts w:ascii="Cambria" w:hAnsi="Cambria" w:cs="Calibri"/>
          <w:color w:val="000000"/>
          <w:sz w:val="20"/>
          <w:szCs w:val="20"/>
          <w:lang w:val="es-ES"/>
        </w:rPr>
        <w:tab/>
        <w:t xml:space="preserve">El CV del/a perito/a propuesto/a será incluido en los anexos al Informe de Fondo No. </w:t>
      </w:r>
      <w:r>
        <w:rPr>
          <w:rFonts w:ascii="Cambria" w:hAnsi="Cambria" w:cs="Calibri"/>
          <w:color w:val="000000"/>
          <w:sz w:val="20"/>
          <w:szCs w:val="20"/>
          <w:lang w:val="es-ES"/>
        </w:rPr>
        <w:t>125</w:t>
      </w:r>
      <w:r w:rsidRPr="00E41D66">
        <w:rPr>
          <w:rFonts w:ascii="Cambria" w:hAnsi="Cambria" w:cs="Calibri"/>
          <w:color w:val="000000"/>
          <w:sz w:val="20"/>
          <w:szCs w:val="20"/>
          <w:lang w:val="es-ES"/>
        </w:rPr>
        <w:t xml:space="preserve">/19. </w:t>
      </w:r>
    </w:p>
    <w:p w14:paraId="09B7CA3E" w14:textId="77777777" w:rsidR="0032794B" w:rsidRPr="00E41D66" w:rsidRDefault="0032794B" w:rsidP="0032794B">
      <w:pPr>
        <w:spacing w:after="0" w:line="240" w:lineRule="auto"/>
        <w:jc w:val="both"/>
        <w:rPr>
          <w:rFonts w:ascii="Cambria" w:hAnsi="Cambria" w:cs="Calibri"/>
          <w:color w:val="000000"/>
          <w:sz w:val="20"/>
          <w:szCs w:val="20"/>
          <w:lang w:val="es-ES"/>
        </w:rPr>
      </w:pPr>
    </w:p>
    <w:p w14:paraId="6AD669E3" w14:textId="77777777" w:rsidR="0032794B" w:rsidRPr="002832EC" w:rsidRDefault="0032794B" w:rsidP="00DC1B25">
      <w:pPr>
        <w:pStyle w:val="Encabezado"/>
        <w:tabs>
          <w:tab w:val="left" w:pos="720"/>
        </w:tabs>
        <w:jc w:val="both"/>
        <w:rPr>
          <w:rFonts w:ascii="Cambria" w:eastAsia="Times New Roman" w:hAnsi="Cambria" w:cs="Cambria"/>
          <w:sz w:val="20"/>
          <w:szCs w:val="20"/>
          <w:lang w:val="es-ES"/>
        </w:rPr>
      </w:pPr>
    </w:p>
    <w:p w14:paraId="3EA9209A" w14:textId="77777777" w:rsidR="00162CE1" w:rsidRPr="002832EC" w:rsidRDefault="00162CE1" w:rsidP="007942A1">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La Comisión pone en conocimiento de la Honorable Corte la siguiente información de quien </w:t>
      </w:r>
      <w:r w:rsidR="009A0971" w:rsidRPr="002832EC">
        <w:rPr>
          <w:rFonts w:ascii="Cambria" w:hAnsi="Cambria" w:cs="Calibri"/>
          <w:sz w:val="20"/>
          <w:szCs w:val="20"/>
          <w:lang w:val="es-ES"/>
        </w:rPr>
        <w:t>actúa como parte peticionaria en el trámite ante la CIDH conforme a la información más reciente</w:t>
      </w:r>
      <w:r w:rsidR="00AB70F2" w:rsidRPr="002832EC">
        <w:rPr>
          <w:rFonts w:ascii="Cambria" w:hAnsi="Cambria" w:cs="Calibri"/>
          <w:sz w:val="20"/>
          <w:szCs w:val="20"/>
          <w:lang w:val="es-ES"/>
        </w:rPr>
        <w:t>:</w:t>
      </w:r>
    </w:p>
    <w:p w14:paraId="79548697" w14:textId="77777777" w:rsidR="00005ED3" w:rsidRPr="002832EC" w:rsidRDefault="00005ED3" w:rsidP="00040E55">
      <w:pPr>
        <w:spacing w:after="0" w:line="240" w:lineRule="auto"/>
        <w:jc w:val="both"/>
        <w:rPr>
          <w:rFonts w:ascii="Cambria" w:hAnsi="Cambria" w:cs="Calibri"/>
          <w:sz w:val="20"/>
          <w:szCs w:val="20"/>
          <w:lang w:val="es-ES"/>
        </w:rPr>
      </w:pPr>
    </w:p>
    <w:p w14:paraId="3ABC361B" w14:textId="77777777" w:rsidR="0032794B" w:rsidRPr="00E6255F" w:rsidRDefault="0032794B" w:rsidP="0032794B">
      <w:pPr>
        <w:spacing w:after="0" w:line="240" w:lineRule="auto"/>
        <w:jc w:val="center"/>
        <w:rPr>
          <w:bCs/>
          <w:iCs/>
          <w:sz w:val="21"/>
          <w:szCs w:val="21"/>
          <w:lang w:val="es-ES"/>
        </w:rPr>
      </w:pPr>
      <w:r w:rsidRPr="00E6255F">
        <w:rPr>
          <w:bCs/>
          <w:iCs/>
          <w:sz w:val="21"/>
          <w:szCs w:val="21"/>
          <w:lang w:val="es-ES"/>
        </w:rPr>
        <w:t>José Guillermo Chulles Espinoza</w:t>
      </w:r>
    </w:p>
    <w:p w14:paraId="61748F56" w14:textId="77777777" w:rsidR="00005ED3" w:rsidRPr="00A70E15" w:rsidRDefault="00A70E15" w:rsidP="0032794B">
      <w:pPr>
        <w:tabs>
          <w:tab w:val="left" w:pos="1455"/>
        </w:tabs>
        <w:spacing w:after="0" w:line="240" w:lineRule="auto"/>
        <w:jc w:val="center"/>
        <w:rPr>
          <w:rFonts w:ascii="Cambria" w:hAnsi="Cambria"/>
          <w:color w:val="000000"/>
          <w:sz w:val="20"/>
          <w:szCs w:val="20"/>
          <w:highlight w:val="black"/>
          <w:lang w:val="es-ES"/>
        </w:rPr>
      </w:pPr>
      <w:r w:rsidRPr="00A70E15">
        <w:rPr>
          <w:rFonts w:ascii="Cambria" w:hAnsi="Cambria"/>
          <w:color w:val="000000"/>
          <w:sz w:val="20"/>
          <w:szCs w:val="20"/>
          <w:highlight w:val="black"/>
          <w:lang w:val="es-ES"/>
        </w:rPr>
        <w:t>XXXXXXXXXXXXXXXXXXXX</w:t>
      </w:r>
    </w:p>
    <w:p w14:paraId="4FABB4CD" w14:textId="77777777" w:rsidR="0032794B" w:rsidRPr="00E6255F" w:rsidRDefault="0032794B" w:rsidP="0032794B">
      <w:pPr>
        <w:spacing w:after="0" w:line="240" w:lineRule="auto"/>
        <w:jc w:val="center"/>
        <w:rPr>
          <w:bCs/>
          <w:iCs/>
          <w:sz w:val="21"/>
          <w:szCs w:val="21"/>
          <w:lang w:val="es-ES"/>
        </w:rPr>
      </w:pPr>
      <w:r w:rsidRPr="00E6255F">
        <w:rPr>
          <w:bCs/>
          <w:iCs/>
          <w:sz w:val="21"/>
          <w:szCs w:val="21"/>
          <w:lang w:val="es-ES"/>
        </w:rPr>
        <w:t>Raúl Gonzáles Rodríguez</w:t>
      </w:r>
    </w:p>
    <w:p w14:paraId="0943FF28" w14:textId="77777777" w:rsidR="0032794B" w:rsidRPr="00A70E15" w:rsidRDefault="00A70E15" w:rsidP="0032794B">
      <w:pPr>
        <w:tabs>
          <w:tab w:val="left" w:pos="1455"/>
        </w:tabs>
        <w:spacing w:after="0" w:line="240" w:lineRule="auto"/>
        <w:jc w:val="center"/>
        <w:rPr>
          <w:rFonts w:ascii="Cambria" w:hAnsi="Cambria" w:cs="Calibri"/>
          <w:sz w:val="20"/>
          <w:szCs w:val="20"/>
          <w:highlight w:val="black"/>
          <w:lang w:val="es-ES"/>
        </w:rPr>
      </w:pPr>
      <w:r w:rsidRPr="00A70E15">
        <w:rPr>
          <w:rFonts w:ascii="Cambria" w:hAnsi="Cambria" w:cs="Calibri"/>
          <w:sz w:val="20"/>
          <w:szCs w:val="20"/>
          <w:highlight w:val="black"/>
          <w:lang w:val="es-ES"/>
        </w:rPr>
        <w:t>XXXXXXXXXXXXXXXXXXXXXXXXX</w:t>
      </w:r>
    </w:p>
    <w:p w14:paraId="10A05D7A" w14:textId="77777777" w:rsidR="0032794B" w:rsidRPr="002832EC" w:rsidRDefault="0032794B" w:rsidP="00040E55">
      <w:pPr>
        <w:tabs>
          <w:tab w:val="left" w:pos="1455"/>
        </w:tabs>
        <w:spacing w:after="0" w:line="240" w:lineRule="auto"/>
        <w:jc w:val="center"/>
        <w:rPr>
          <w:rFonts w:ascii="Cambria" w:hAnsi="Cambria" w:cs="Calibri"/>
          <w:sz w:val="20"/>
          <w:szCs w:val="20"/>
          <w:lang w:val="es-ES"/>
        </w:rPr>
      </w:pPr>
    </w:p>
    <w:p w14:paraId="732ED0C8" w14:textId="77777777" w:rsidR="00C82F29" w:rsidRPr="002832EC" w:rsidRDefault="00C82F29"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Aprovecho la oportunidad para saludar a usted muy atentamente,</w:t>
      </w:r>
    </w:p>
    <w:p w14:paraId="660C8316" w14:textId="77777777" w:rsidR="00C82F29" w:rsidRPr="002832EC" w:rsidRDefault="00C82F29" w:rsidP="0032794B">
      <w:pPr>
        <w:spacing w:after="0" w:line="240" w:lineRule="auto"/>
        <w:jc w:val="center"/>
        <w:rPr>
          <w:rFonts w:ascii="Cambria" w:hAnsi="Cambria" w:cs="Calibri"/>
          <w:sz w:val="20"/>
          <w:szCs w:val="20"/>
          <w:lang w:val="es-ES"/>
        </w:rPr>
      </w:pPr>
    </w:p>
    <w:p w14:paraId="090DDBB5" w14:textId="77777777" w:rsidR="00C82F29" w:rsidRPr="002832EC" w:rsidRDefault="00795EEE" w:rsidP="00040E55">
      <w:pPr>
        <w:tabs>
          <w:tab w:val="left" w:pos="4500"/>
        </w:tabs>
        <w:spacing w:after="0" w:line="240" w:lineRule="auto"/>
        <w:jc w:val="center"/>
        <w:rPr>
          <w:rFonts w:ascii="Cambria" w:hAnsi="Cambria" w:cs="Calibri"/>
          <w:sz w:val="20"/>
          <w:szCs w:val="20"/>
          <w:lang w:val="pt-BR"/>
        </w:rPr>
      </w:pPr>
      <w:r w:rsidRPr="002832EC">
        <w:rPr>
          <w:rFonts w:ascii="Cambria" w:hAnsi="Cambria" w:cs="Calibri"/>
          <w:sz w:val="20"/>
          <w:szCs w:val="20"/>
          <w:lang w:val="pt-BR"/>
        </w:rPr>
        <w:t>Marisol Blanchard Vera</w:t>
      </w:r>
    </w:p>
    <w:p w14:paraId="73B253C4" w14:textId="77777777" w:rsidR="00C82F29" w:rsidRPr="002832EC" w:rsidRDefault="00795EEE" w:rsidP="00040E55">
      <w:pPr>
        <w:tabs>
          <w:tab w:val="left" w:pos="4500"/>
        </w:tabs>
        <w:spacing w:after="0" w:line="240" w:lineRule="auto"/>
        <w:jc w:val="center"/>
        <w:rPr>
          <w:rFonts w:ascii="Cambria" w:hAnsi="Cambria" w:cs="Calibri"/>
          <w:sz w:val="20"/>
          <w:szCs w:val="20"/>
          <w:lang w:val="pt-BR"/>
        </w:rPr>
      </w:pPr>
      <w:r w:rsidRPr="002832EC">
        <w:rPr>
          <w:rFonts w:ascii="Cambria" w:hAnsi="Cambria" w:cs="Calibri"/>
          <w:sz w:val="20"/>
          <w:szCs w:val="20"/>
          <w:lang w:val="pt-BR"/>
        </w:rPr>
        <w:t>Secretaria Ejecutiva Adjunta</w:t>
      </w:r>
    </w:p>
    <w:p w14:paraId="1B447C11" w14:textId="77777777" w:rsidR="00005ED3" w:rsidRPr="002832EC" w:rsidRDefault="00005ED3" w:rsidP="00040E55">
      <w:pPr>
        <w:spacing w:after="0" w:line="240" w:lineRule="auto"/>
        <w:jc w:val="both"/>
        <w:rPr>
          <w:rFonts w:ascii="Cambria" w:hAnsi="Cambria" w:cs="Calibri"/>
          <w:sz w:val="20"/>
          <w:szCs w:val="20"/>
          <w:lang w:val="pt-BR"/>
        </w:rPr>
      </w:pPr>
    </w:p>
    <w:p w14:paraId="2D586760" w14:textId="77777777" w:rsidR="00005ED3" w:rsidRPr="002832EC" w:rsidRDefault="00005ED3" w:rsidP="00040E55">
      <w:pPr>
        <w:spacing w:after="0" w:line="240" w:lineRule="auto"/>
        <w:jc w:val="both"/>
        <w:rPr>
          <w:rFonts w:ascii="Cambria" w:hAnsi="Cambria" w:cs="Calibri"/>
          <w:sz w:val="20"/>
          <w:szCs w:val="20"/>
          <w:lang w:val="pt-BR"/>
        </w:rPr>
      </w:pPr>
    </w:p>
    <w:p w14:paraId="3382A77E" w14:textId="77777777" w:rsidR="00237ECE" w:rsidRPr="00040E55" w:rsidRDefault="00C82F29" w:rsidP="00040E55">
      <w:pPr>
        <w:spacing w:after="0" w:line="240" w:lineRule="auto"/>
        <w:jc w:val="both"/>
        <w:rPr>
          <w:rFonts w:ascii="Cambria" w:hAnsi="Cambria" w:cs="Calibri"/>
          <w:sz w:val="20"/>
          <w:szCs w:val="20"/>
          <w:lang w:val="pt-BR"/>
        </w:rPr>
      </w:pPr>
      <w:r w:rsidRPr="002832EC">
        <w:rPr>
          <w:rFonts w:ascii="Cambria" w:hAnsi="Cambria" w:cs="Calibri"/>
          <w:sz w:val="20"/>
          <w:szCs w:val="20"/>
          <w:lang w:val="pt-BR"/>
        </w:rPr>
        <w:t>Anexo</w:t>
      </w:r>
    </w:p>
    <w:sectPr w:rsidR="00237ECE" w:rsidRPr="00040E55"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09DED" w14:textId="77777777" w:rsidR="00FB6CAF" w:rsidRDefault="00FB6CAF">
      <w:pPr>
        <w:spacing w:after="0" w:line="240" w:lineRule="auto"/>
      </w:pPr>
      <w:r>
        <w:separator/>
      </w:r>
    </w:p>
  </w:endnote>
  <w:endnote w:type="continuationSeparator" w:id="0">
    <w:p w14:paraId="4419E44F" w14:textId="77777777" w:rsidR="00FB6CAF" w:rsidRDefault="00FB6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4005"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32794B">
      <w:rPr>
        <w:noProof/>
        <w:sz w:val="18"/>
        <w:szCs w:val="18"/>
      </w:rPr>
      <w:t>4</w:t>
    </w:r>
    <w:r w:rsidRPr="0060615D">
      <w:rPr>
        <w:noProof/>
        <w:sz w:val="18"/>
        <w:szCs w:val="18"/>
      </w:rPr>
      <w:fldChar w:fldCharType="end"/>
    </w:r>
  </w:p>
  <w:p w14:paraId="5F5FBFA7" w14:textId="77777777" w:rsidR="00162CE1" w:rsidRDefault="00162C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7F477" w14:textId="77777777" w:rsidR="00162CE1" w:rsidRDefault="00162CE1" w:rsidP="00162CE1">
    <w:pPr>
      <w:pStyle w:val="Piedepgina"/>
      <w:spacing w:line="360" w:lineRule="auto"/>
    </w:pPr>
    <w:r>
      <w:pict w14:anchorId="31BFE756">
        <v:rect id="_x0000_i1026" style="width:0;height:1.5pt" o:hralign="center" o:hrstd="t" o:hr="t" fillcolor="#a0a0a0" stroked="f"/>
      </w:pict>
    </w:r>
  </w:p>
  <w:p w14:paraId="4BFA2A9C" w14:textId="469ECA2C" w:rsidR="00162CE1" w:rsidRDefault="00402006" w:rsidP="00162CE1">
    <w:pPr>
      <w:pStyle w:val="Piedepgina"/>
      <w:jc w:val="center"/>
    </w:pPr>
    <w:r w:rsidRPr="008A5CB5">
      <w:rPr>
        <w:noProof/>
      </w:rPr>
      <w:drawing>
        <wp:inline distT="0" distB="0" distL="0" distR="0" wp14:anchorId="2A1AA323" wp14:editId="2F721510">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8A72" w14:textId="77777777" w:rsidR="00FB6CAF" w:rsidRDefault="00FB6CAF">
      <w:pPr>
        <w:spacing w:after="0" w:line="240" w:lineRule="auto"/>
      </w:pPr>
      <w:r>
        <w:separator/>
      </w:r>
    </w:p>
  </w:footnote>
  <w:footnote w:type="continuationSeparator" w:id="0">
    <w:p w14:paraId="640339B2" w14:textId="77777777" w:rsidR="00FB6CAF" w:rsidRDefault="00FB6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7B9B" w14:textId="10710811" w:rsidR="00162CE1" w:rsidRPr="0058688A" w:rsidRDefault="00402006" w:rsidP="00162CE1">
    <w:pPr>
      <w:pStyle w:val="Encabezado"/>
      <w:jc w:val="center"/>
      <w:rPr>
        <w:lang w:val="es-ES_tradnl"/>
      </w:rPr>
    </w:pPr>
    <w:r>
      <w:rPr>
        <w:noProof/>
        <w:lang w:val="es-ES_tradnl"/>
      </w:rPr>
      <w:drawing>
        <wp:inline distT="0" distB="0" distL="0" distR="0" wp14:anchorId="414635C1" wp14:editId="19A2AA6E">
          <wp:extent cx="2286000" cy="1238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27ABEE0" w14:textId="77777777" w:rsidR="00162CE1" w:rsidRDefault="00162CE1">
    <w:pPr>
      <w:pStyle w:val="Encabezado"/>
    </w:pPr>
    <w:r>
      <w:pict w14:anchorId="3D890F92">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F1B9" w14:textId="38AA1054" w:rsidR="00162CE1" w:rsidRDefault="00402006" w:rsidP="00162CE1">
    <w:pPr>
      <w:pStyle w:val="Encabezado"/>
    </w:pPr>
    <w:r w:rsidRPr="008A5CB5">
      <w:rPr>
        <w:noProof/>
      </w:rPr>
      <w:drawing>
        <wp:inline distT="0" distB="0" distL="0" distR="0" wp14:anchorId="4E272170" wp14:editId="085ED1FA">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4E3AB7E1" wp14:editId="00508558">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21F05AB" w14:textId="77777777" w:rsidR="00162CE1" w:rsidRDefault="00162CE1" w:rsidP="00162CE1">
    <w:pPr>
      <w:pStyle w:val="Encabezado"/>
    </w:pPr>
  </w:p>
  <w:p w14:paraId="5B296B8D" w14:textId="77777777" w:rsidR="00162CE1" w:rsidRDefault="00162CE1" w:rsidP="00162CE1">
    <w:pPr>
      <w:pStyle w:val="Encabezado"/>
    </w:pPr>
    <w:r>
      <w:pict w14:anchorId="3DAD05AF">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4AAD"/>
    <w:multiLevelType w:val="hybridMultilevel"/>
    <w:tmpl w:val="365CF948"/>
    <w:lvl w:ilvl="0" w:tplc="C232A3CC">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D7D4B9D"/>
    <w:multiLevelType w:val="hybridMultilevel"/>
    <w:tmpl w:val="1070178A"/>
    <w:lvl w:ilvl="0" w:tplc="6CB001C0">
      <w:start w:val="1"/>
      <w:numFmt w:val="decimal"/>
      <w:lvlText w:val="%1."/>
      <w:lvlJc w:val="left"/>
      <w:pPr>
        <w:ind w:left="360" w:hanging="360"/>
      </w:pPr>
      <w:rPr>
        <w:rFonts w:ascii="Cambria" w:hAnsi="Cambria" w:hint="default"/>
        <w:b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1"/>
  </w:num>
  <w:num w:numId="6">
    <w:abstractNumId w:val="3"/>
  </w:num>
  <w:num w:numId="7">
    <w:abstractNumId w:val="2"/>
  </w:num>
  <w:num w:numId="8">
    <w:abstractNumId w:val="0"/>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17E7A"/>
    <w:rsid w:val="00026ADD"/>
    <w:rsid w:val="00031EB1"/>
    <w:rsid w:val="00036FC7"/>
    <w:rsid w:val="00040E55"/>
    <w:rsid w:val="000751DF"/>
    <w:rsid w:val="00076DBF"/>
    <w:rsid w:val="00077DE5"/>
    <w:rsid w:val="00077FF7"/>
    <w:rsid w:val="00084078"/>
    <w:rsid w:val="000A45AD"/>
    <w:rsid w:val="000A4754"/>
    <w:rsid w:val="000A4B14"/>
    <w:rsid w:val="000B1138"/>
    <w:rsid w:val="000B26E6"/>
    <w:rsid w:val="000B3053"/>
    <w:rsid w:val="000C140C"/>
    <w:rsid w:val="000C5BFC"/>
    <w:rsid w:val="000D164E"/>
    <w:rsid w:val="000D2623"/>
    <w:rsid w:val="000D26A9"/>
    <w:rsid w:val="000D4633"/>
    <w:rsid w:val="000D4AE6"/>
    <w:rsid w:val="000E0F2F"/>
    <w:rsid w:val="000E2431"/>
    <w:rsid w:val="000E3841"/>
    <w:rsid w:val="000F08C6"/>
    <w:rsid w:val="000F23FB"/>
    <w:rsid w:val="000F291B"/>
    <w:rsid w:val="00107B94"/>
    <w:rsid w:val="001217D9"/>
    <w:rsid w:val="0013078C"/>
    <w:rsid w:val="00131B3B"/>
    <w:rsid w:val="00134CFC"/>
    <w:rsid w:val="00140652"/>
    <w:rsid w:val="00141387"/>
    <w:rsid w:val="00143EB4"/>
    <w:rsid w:val="0014432C"/>
    <w:rsid w:val="00144496"/>
    <w:rsid w:val="00146EE3"/>
    <w:rsid w:val="0015496C"/>
    <w:rsid w:val="00157476"/>
    <w:rsid w:val="00161D40"/>
    <w:rsid w:val="00162CE1"/>
    <w:rsid w:val="00163AA6"/>
    <w:rsid w:val="00170E12"/>
    <w:rsid w:val="00176C72"/>
    <w:rsid w:val="001770EE"/>
    <w:rsid w:val="001904F6"/>
    <w:rsid w:val="001942E2"/>
    <w:rsid w:val="00194815"/>
    <w:rsid w:val="00196D6F"/>
    <w:rsid w:val="001A1F7B"/>
    <w:rsid w:val="001A7EDF"/>
    <w:rsid w:val="001B08B2"/>
    <w:rsid w:val="001B08F9"/>
    <w:rsid w:val="001C2AED"/>
    <w:rsid w:val="001D0C4D"/>
    <w:rsid w:val="001D5161"/>
    <w:rsid w:val="001E5256"/>
    <w:rsid w:val="001E59D8"/>
    <w:rsid w:val="00206412"/>
    <w:rsid w:val="002219A9"/>
    <w:rsid w:val="00222D46"/>
    <w:rsid w:val="00226BCD"/>
    <w:rsid w:val="00234AC6"/>
    <w:rsid w:val="00237ECE"/>
    <w:rsid w:val="002426D8"/>
    <w:rsid w:val="00245F50"/>
    <w:rsid w:val="002534CD"/>
    <w:rsid w:val="002568CD"/>
    <w:rsid w:val="0027604A"/>
    <w:rsid w:val="002832EC"/>
    <w:rsid w:val="002A19E1"/>
    <w:rsid w:val="002B64DC"/>
    <w:rsid w:val="002C5B1D"/>
    <w:rsid w:val="002D2985"/>
    <w:rsid w:val="002D4670"/>
    <w:rsid w:val="002D632B"/>
    <w:rsid w:val="002E48D6"/>
    <w:rsid w:val="002E780D"/>
    <w:rsid w:val="002F2F75"/>
    <w:rsid w:val="002F6526"/>
    <w:rsid w:val="0030700B"/>
    <w:rsid w:val="00312151"/>
    <w:rsid w:val="00316C30"/>
    <w:rsid w:val="00316E75"/>
    <w:rsid w:val="003254D3"/>
    <w:rsid w:val="00325553"/>
    <w:rsid w:val="0032794B"/>
    <w:rsid w:val="00331129"/>
    <w:rsid w:val="00333497"/>
    <w:rsid w:val="0033372D"/>
    <w:rsid w:val="00336D34"/>
    <w:rsid w:val="003406ED"/>
    <w:rsid w:val="00343EDF"/>
    <w:rsid w:val="0035292C"/>
    <w:rsid w:val="00362BCC"/>
    <w:rsid w:val="00363DA9"/>
    <w:rsid w:val="003667FF"/>
    <w:rsid w:val="00374F28"/>
    <w:rsid w:val="00377262"/>
    <w:rsid w:val="00387D83"/>
    <w:rsid w:val="003904CF"/>
    <w:rsid w:val="003919EC"/>
    <w:rsid w:val="003968A2"/>
    <w:rsid w:val="003A233C"/>
    <w:rsid w:val="003A6DEC"/>
    <w:rsid w:val="003A71C5"/>
    <w:rsid w:val="003A7B52"/>
    <w:rsid w:val="003D3F6E"/>
    <w:rsid w:val="003D4DD9"/>
    <w:rsid w:val="003E14A3"/>
    <w:rsid w:val="00402006"/>
    <w:rsid w:val="004051B3"/>
    <w:rsid w:val="00407877"/>
    <w:rsid w:val="004103EC"/>
    <w:rsid w:val="00415488"/>
    <w:rsid w:val="004173F3"/>
    <w:rsid w:val="004229FE"/>
    <w:rsid w:val="0042403B"/>
    <w:rsid w:val="00452270"/>
    <w:rsid w:val="00456DAA"/>
    <w:rsid w:val="00464696"/>
    <w:rsid w:val="00471FAD"/>
    <w:rsid w:val="00475C19"/>
    <w:rsid w:val="0047698B"/>
    <w:rsid w:val="00477AB9"/>
    <w:rsid w:val="004825F5"/>
    <w:rsid w:val="00491AB8"/>
    <w:rsid w:val="00495F11"/>
    <w:rsid w:val="00496C45"/>
    <w:rsid w:val="004A2758"/>
    <w:rsid w:val="004A40DD"/>
    <w:rsid w:val="004C11AF"/>
    <w:rsid w:val="004D15E1"/>
    <w:rsid w:val="004D7DF0"/>
    <w:rsid w:val="004D7F1C"/>
    <w:rsid w:val="004E0C4F"/>
    <w:rsid w:val="004E0F5A"/>
    <w:rsid w:val="004E6A6C"/>
    <w:rsid w:val="004F13CD"/>
    <w:rsid w:val="004F3366"/>
    <w:rsid w:val="004F475F"/>
    <w:rsid w:val="004F651D"/>
    <w:rsid w:val="00501326"/>
    <w:rsid w:val="00501558"/>
    <w:rsid w:val="00506DE4"/>
    <w:rsid w:val="00516A3B"/>
    <w:rsid w:val="00517525"/>
    <w:rsid w:val="00520A6F"/>
    <w:rsid w:val="005266C2"/>
    <w:rsid w:val="00526C8F"/>
    <w:rsid w:val="00530164"/>
    <w:rsid w:val="005306F3"/>
    <w:rsid w:val="005319E3"/>
    <w:rsid w:val="005334BE"/>
    <w:rsid w:val="00541254"/>
    <w:rsid w:val="00550822"/>
    <w:rsid w:val="00551DD6"/>
    <w:rsid w:val="005570AA"/>
    <w:rsid w:val="00557B7E"/>
    <w:rsid w:val="00560F49"/>
    <w:rsid w:val="00563E22"/>
    <w:rsid w:val="00563EFC"/>
    <w:rsid w:val="00564608"/>
    <w:rsid w:val="005668C4"/>
    <w:rsid w:val="0057349A"/>
    <w:rsid w:val="0057354D"/>
    <w:rsid w:val="00581B3C"/>
    <w:rsid w:val="0059345A"/>
    <w:rsid w:val="005A4E07"/>
    <w:rsid w:val="005A621F"/>
    <w:rsid w:val="005A7321"/>
    <w:rsid w:val="005B4F61"/>
    <w:rsid w:val="005B6610"/>
    <w:rsid w:val="005C5C37"/>
    <w:rsid w:val="005C7C22"/>
    <w:rsid w:val="005C7F13"/>
    <w:rsid w:val="005D2B11"/>
    <w:rsid w:val="005E0E8D"/>
    <w:rsid w:val="005E7858"/>
    <w:rsid w:val="005E7AE9"/>
    <w:rsid w:val="005F109F"/>
    <w:rsid w:val="005F3FF9"/>
    <w:rsid w:val="006022CC"/>
    <w:rsid w:val="0060615D"/>
    <w:rsid w:val="00607CA5"/>
    <w:rsid w:val="00612A1C"/>
    <w:rsid w:val="006238C4"/>
    <w:rsid w:val="006253E4"/>
    <w:rsid w:val="00625C17"/>
    <w:rsid w:val="0063157A"/>
    <w:rsid w:val="006344F2"/>
    <w:rsid w:val="00641E26"/>
    <w:rsid w:val="0065299A"/>
    <w:rsid w:val="00661062"/>
    <w:rsid w:val="006634BE"/>
    <w:rsid w:val="00667D8A"/>
    <w:rsid w:val="00670828"/>
    <w:rsid w:val="00671CEB"/>
    <w:rsid w:val="00681D50"/>
    <w:rsid w:val="00684BFF"/>
    <w:rsid w:val="00691A97"/>
    <w:rsid w:val="00694376"/>
    <w:rsid w:val="006943A7"/>
    <w:rsid w:val="006A0DDA"/>
    <w:rsid w:val="006C058E"/>
    <w:rsid w:val="006C3E16"/>
    <w:rsid w:val="006D45B0"/>
    <w:rsid w:val="006D7A02"/>
    <w:rsid w:val="006F46B8"/>
    <w:rsid w:val="006F4B0C"/>
    <w:rsid w:val="006F5300"/>
    <w:rsid w:val="006F539D"/>
    <w:rsid w:val="00707281"/>
    <w:rsid w:val="00730B2B"/>
    <w:rsid w:val="007401E2"/>
    <w:rsid w:val="00743959"/>
    <w:rsid w:val="0074602A"/>
    <w:rsid w:val="00746A42"/>
    <w:rsid w:val="00770267"/>
    <w:rsid w:val="00775598"/>
    <w:rsid w:val="00777515"/>
    <w:rsid w:val="00780FAD"/>
    <w:rsid w:val="00782AEB"/>
    <w:rsid w:val="007940B2"/>
    <w:rsid w:val="007942A1"/>
    <w:rsid w:val="00795EEE"/>
    <w:rsid w:val="00796DD9"/>
    <w:rsid w:val="007A20BB"/>
    <w:rsid w:val="007B22B5"/>
    <w:rsid w:val="007B7696"/>
    <w:rsid w:val="007C15AB"/>
    <w:rsid w:val="007C212B"/>
    <w:rsid w:val="007C42F0"/>
    <w:rsid w:val="007C4501"/>
    <w:rsid w:val="007E3EF7"/>
    <w:rsid w:val="007F6B0D"/>
    <w:rsid w:val="0082191F"/>
    <w:rsid w:val="008335A1"/>
    <w:rsid w:val="00837A17"/>
    <w:rsid w:val="0084002E"/>
    <w:rsid w:val="0084069E"/>
    <w:rsid w:val="00847BDC"/>
    <w:rsid w:val="00862AD4"/>
    <w:rsid w:val="00863302"/>
    <w:rsid w:val="0086367F"/>
    <w:rsid w:val="00864E93"/>
    <w:rsid w:val="008666F3"/>
    <w:rsid w:val="0088196F"/>
    <w:rsid w:val="00883E7F"/>
    <w:rsid w:val="00893093"/>
    <w:rsid w:val="008A11E8"/>
    <w:rsid w:val="008A143D"/>
    <w:rsid w:val="008A1F21"/>
    <w:rsid w:val="008A422D"/>
    <w:rsid w:val="008A6113"/>
    <w:rsid w:val="008B3A73"/>
    <w:rsid w:val="008C0E95"/>
    <w:rsid w:val="008C0ECE"/>
    <w:rsid w:val="008C7EBA"/>
    <w:rsid w:val="008D07A3"/>
    <w:rsid w:val="008D5226"/>
    <w:rsid w:val="008D53E2"/>
    <w:rsid w:val="008D72C2"/>
    <w:rsid w:val="008E006A"/>
    <w:rsid w:val="008E3768"/>
    <w:rsid w:val="008F34BF"/>
    <w:rsid w:val="008F7152"/>
    <w:rsid w:val="008F7250"/>
    <w:rsid w:val="009025D4"/>
    <w:rsid w:val="0090766E"/>
    <w:rsid w:val="009078E5"/>
    <w:rsid w:val="00910C01"/>
    <w:rsid w:val="00913BA4"/>
    <w:rsid w:val="00914042"/>
    <w:rsid w:val="0092092D"/>
    <w:rsid w:val="00932AD3"/>
    <w:rsid w:val="009359C9"/>
    <w:rsid w:val="00944E4E"/>
    <w:rsid w:val="0095543E"/>
    <w:rsid w:val="00961B44"/>
    <w:rsid w:val="00967A6F"/>
    <w:rsid w:val="00970BC7"/>
    <w:rsid w:val="00977A5C"/>
    <w:rsid w:val="0099038C"/>
    <w:rsid w:val="00990F1C"/>
    <w:rsid w:val="009914FA"/>
    <w:rsid w:val="00992286"/>
    <w:rsid w:val="009969E8"/>
    <w:rsid w:val="009A0971"/>
    <w:rsid w:val="009A0E8E"/>
    <w:rsid w:val="009B333D"/>
    <w:rsid w:val="009C1EB7"/>
    <w:rsid w:val="009E0A11"/>
    <w:rsid w:val="009E23BD"/>
    <w:rsid w:val="009E2CC2"/>
    <w:rsid w:val="009E2EBC"/>
    <w:rsid w:val="009E3BC0"/>
    <w:rsid w:val="009E433A"/>
    <w:rsid w:val="009F4C73"/>
    <w:rsid w:val="009F4F6A"/>
    <w:rsid w:val="009F77AA"/>
    <w:rsid w:val="00A03F38"/>
    <w:rsid w:val="00A06FAC"/>
    <w:rsid w:val="00A15067"/>
    <w:rsid w:val="00A15A9A"/>
    <w:rsid w:val="00A2631B"/>
    <w:rsid w:val="00A30A74"/>
    <w:rsid w:val="00A4186A"/>
    <w:rsid w:val="00A44D63"/>
    <w:rsid w:val="00A500E8"/>
    <w:rsid w:val="00A52483"/>
    <w:rsid w:val="00A532CA"/>
    <w:rsid w:val="00A54EEB"/>
    <w:rsid w:val="00A65452"/>
    <w:rsid w:val="00A70E15"/>
    <w:rsid w:val="00A7442D"/>
    <w:rsid w:val="00A77918"/>
    <w:rsid w:val="00A92321"/>
    <w:rsid w:val="00A928C7"/>
    <w:rsid w:val="00AB1A5D"/>
    <w:rsid w:val="00AB1AF1"/>
    <w:rsid w:val="00AB70F2"/>
    <w:rsid w:val="00AC403E"/>
    <w:rsid w:val="00AC471C"/>
    <w:rsid w:val="00AD5F3D"/>
    <w:rsid w:val="00AD6936"/>
    <w:rsid w:val="00AE314D"/>
    <w:rsid w:val="00AE5935"/>
    <w:rsid w:val="00AF2B73"/>
    <w:rsid w:val="00AF4B54"/>
    <w:rsid w:val="00AF5BCC"/>
    <w:rsid w:val="00B037A3"/>
    <w:rsid w:val="00B03DD7"/>
    <w:rsid w:val="00B05FFF"/>
    <w:rsid w:val="00B06F3F"/>
    <w:rsid w:val="00B24A53"/>
    <w:rsid w:val="00B30C05"/>
    <w:rsid w:val="00B4147B"/>
    <w:rsid w:val="00B44AD6"/>
    <w:rsid w:val="00B67019"/>
    <w:rsid w:val="00B67CD0"/>
    <w:rsid w:val="00B70B7C"/>
    <w:rsid w:val="00B73900"/>
    <w:rsid w:val="00B8038E"/>
    <w:rsid w:val="00B82394"/>
    <w:rsid w:val="00B96B34"/>
    <w:rsid w:val="00BB0160"/>
    <w:rsid w:val="00BB136A"/>
    <w:rsid w:val="00BB2038"/>
    <w:rsid w:val="00BB4AB9"/>
    <w:rsid w:val="00BB720B"/>
    <w:rsid w:val="00BD3AB3"/>
    <w:rsid w:val="00BE21C5"/>
    <w:rsid w:val="00BE50F8"/>
    <w:rsid w:val="00BF3C98"/>
    <w:rsid w:val="00C22D7B"/>
    <w:rsid w:val="00C24FF7"/>
    <w:rsid w:val="00C250DE"/>
    <w:rsid w:val="00C2673B"/>
    <w:rsid w:val="00C40437"/>
    <w:rsid w:val="00C427E5"/>
    <w:rsid w:val="00C44075"/>
    <w:rsid w:val="00C44C0E"/>
    <w:rsid w:val="00C459F8"/>
    <w:rsid w:val="00C524EE"/>
    <w:rsid w:val="00C52A3C"/>
    <w:rsid w:val="00C5331A"/>
    <w:rsid w:val="00C615C6"/>
    <w:rsid w:val="00C82F29"/>
    <w:rsid w:val="00C86746"/>
    <w:rsid w:val="00C872C8"/>
    <w:rsid w:val="00CB0139"/>
    <w:rsid w:val="00CD1091"/>
    <w:rsid w:val="00CE1783"/>
    <w:rsid w:val="00CE18E3"/>
    <w:rsid w:val="00CE18ED"/>
    <w:rsid w:val="00CE60A3"/>
    <w:rsid w:val="00CF68B8"/>
    <w:rsid w:val="00D04EF2"/>
    <w:rsid w:val="00D210E4"/>
    <w:rsid w:val="00D30790"/>
    <w:rsid w:val="00D358CC"/>
    <w:rsid w:val="00D40531"/>
    <w:rsid w:val="00D41DD9"/>
    <w:rsid w:val="00D456E1"/>
    <w:rsid w:val="00D458E2"/>
    <w:rsid w:val="00D507B2"/>
    <w:rsid w:val="00D50C53"/>
    <w:rsid w:val="00D54583"/>
    <w:rsid w:val="00D55740"/>
    <w:rsid w:val="00D618E7"/>
    <w:rsid w:val="00D61BA6"/>
    <w:rsid w:val="00D66EC6"/>
    <w:rsid w:val="00D73B7B"/>
    <w:rsid w:val="00D7730D"/>
    <w:rsid w:val="00D805B3"/>
    <w:rsid w:val="00D8378B"/>
    <w:rsid w:val="00D902D7"/>
    <w:rsid w:val="00D90A04"/>
    <w:rsid w:val="00D9548A"/>
    <w:rsid w:val="00D96806"/>
    <w:rsid w:val="00DB03F6"/>
    <w:rsid w:val="00DB56E1"/>
    <w:rsid w:val="00DC1B25"/>
    <w:rsid w:val="00DE0E68"/>
    <w:rsid w:val="00DE2CA0"/>
    <w:rsid w:val="00DE7134"/>
    <w:rsid w:val="00DF3621"/>
    <w:rsid w:val="00DF3B7F"/>
    <w:rsid w:val="00DF46F3"/>
    <w:rsid w:val="00DF4A93"/>
    <w:rsid w:val="00DF7DE3"/>
    <w:rsid w:val="00E073FA"/>
    <w:rsid w:val="00E0780E"/>
    <w:rsid w:val="00E12B66"/>
    <w:rsid w:val="00E14CA1"/>
    <w:rsid w:val="00E16ED1"/>
    <w:rsid w:val="00E17733"/>
    <w:rsid w:val="00E21E08"/>
    <w:rsid w:val="00E25B3F"/>
    <w:rsid w:val="00E26906"/>
    <w:rsid w:val="00E26CD9"/>
    <w:rsid w:val="00E31CFC"/>
    <w:rsid w:val="00E35D60"/>
    <w:rsid w:val="00E405C0"/>
    <w:rsid w:val="00E5346E"/>
    <w:rsid w:val="00E54A1A"/>
    <w:rsid w:val="00E6263B"/>
    <w:rsid w:val="00E6441F"/>
    <w:rsid w:val="00E67F09"/>
    <w:rsid w:val="00E7198B"/>
    <w:rsid w:val="00E828A3"/>
    <w:rsid w:val="00E83947"/>
    <w:rsid w:val="00E85ECE"/>
    <w:rsid w:val="00E939BD"/>
    <w:rsid w:val="00EC01C4"/>
    <w:rsid w:val="00EC655F"/>
    <w:rsid w:val="00ED588B"/>
    <w:rsid w:val="00ED764A"/>
    <w:rsid w:val="00EE2E5E"/>
    <w:rsid w:val="00EE5095"/>
    <w:rsid w:val="00EF2CA7"/>
    <w:rsid w:val="00EF3DD1"/>
    <w:rsid w:val="00F07EE5"/>
    <w:rsid w:val="00F11C02"/>
    <w:rsid w:val="00F353B3"/>
    <w:rsid w:val="00F35BB1"/>
    <w:rsid w:val="00F4501D"/>
    <w:rsid w:val="00F467D0"/>
    <w:rsid w:val="00F47068"/>
    <w:rsid w:val="00F5130E"/>
    <w:rsid w:val="00F51BAF"/>
    <w:rsid w:val="00F5749D"/>
    <w:rsid w:val="00F616AB"/>
    <w:rsid w:val="00F70939"/>
    <w:rsid w:val="00F73473"/>
    <w:rsid w:val="00F759EB"/>
    <w:rsid w:val="00F75B73"/>
    <w:rsid w:val="00F82F6E"/>
    <w:rsid w:val="00F84A74"/>
    <w:rsid w:val="00F84B4C"/>
    <w:rsid w:val="00F86E94"/>
    <w:rsid w:val="00F969DE"/>
    <w:rsid w:val="00FA5645"/>
    <w:rsid w:val="00FA576A"/>
    <w:rsid w:val="00FB0B22"/>
    <w:rsid w:val="00FB0B99"/>
    <w:rsid w:val="00FB23F4"/>
    <w:rsid w:val="00FB6CAF"/>
    <w:rsid w:val="00FC0A74"/>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55DB9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tulo">
    <w:name w:val="Title"/>
    <w:basedOn w:val="Normal"/>
    <w:link w:val="TtuloCar"/>
    <w:qFormat/>
    <w:rsid w:val="004A40DD"/>
    <w:pPr>
      <w:spacing w:after="0" w:line="240" w:lineRule="auto"/>
      <w:jc w:val="center"/>
    </w:pPr>
    <w:rPr>
      <w:rFonts w:ascii="Garamond" w:eastAsia="Times New Roman" w:hAnsi="Garamond"/>
      <w:b/>
      <w:bCs/>
      <w:sz w:val="30"/>
      <w:szCs w:val="30"/>
      <w:lang w:val="en-GB" w:eastAsia="es-ES"/>
    </w:rPr>
  </w:style>
  <w:style w:type="character" w:customStyle="1" w:styleId="TtuloCar">
    <w:name w:val="Título Car"/>
    <w:link w:val="Ttulo"/>
    <w:rsid w:val="004A40DD"/>
    <w:rPr>
      <w:rFonts w:ascii="Garamond" w:hAnsi="Garamond"/>
      <w:b/>
      <w:bCs/>
      <w:sz w:val="30"/>
      <w:szCs w:val="30"/>
      <w:lang w:val="en-GB"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basedOn w:val="Normal"/>
    <w:link w:val="TextonotapieCar1"/>
    <w:uiPriority w:val="99"/>
    <w:unhideWhenUsed/>
    <w:qFormat/>
    <w:rsid w:val="009078E5"/>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rsid w:val="009078E5"/>
    <w:rPr>
      <w:rFonts w:ascii="Calibri" w:eastAsia="Calibri" w:hAnsi="Calibri"/>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iPriority w:val="99"/>
    <w:unhideWhenUsed/>
    <w:qFormat/>
    <w:rsid w:val="009078E5"/>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E0A11"/>
    <w:pPr>
      <w:spacing w:after="160" w:line="240" w:lineRule="exact"/>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606470186">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BAEC0-0E3E-4F85-A096-36ECA543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1888</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2021-05-13T14:25:00Z</dcterms:created>
  <dcterms:modified xsi:type="dcterms:W3CDTF">2021-05-13T14:25:00Z</dcterms:modified>
</cp:coreProperties>
</file>