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F2BAB1" w14:textId="5878090D" w:rsidR="002C7584" w:rsidRDefault="002C7584" w:rsidP="00594851">
      <w:pPr>
        <w:tabs>
          <w:tab w:val="left" w:pos="567"/>
        </w:tabs>
        <w:jc w:val="center"/>
        <w:rPr>
          <w:rFonts w:eastAsiaTheme="minorHAnsi" w:cstheme="minorBidi"/>
          <w:b/>
          <w:szCs w:val="22"/>
          <w:lang w:val="es-MX"/>
        </w:rPr>
      </w:pPr>
    </w:p>
    <w:p w14:paraId="100018AF" w14:textId="77777777" w:rsidR="00885537" w:rsidRDefault="00885537" w:rsidP="00594851">
      <w:pPr>
        <w:tabs>
          <w:tab w:val="left" w:pos="567"/>
        </w:tabs>
        <w:jc w:val="center"/>
        <w:rPr>
          <w:rFonts w:eastAsiaTheme="minorHAnsi" w:cstheme="minorBidi"/>
          <w:b/>
          <w:szCs w:val="22"/>
          <w:lang w:val="es-MX"/>
        </w:rPr>
      </w:pPr>
    </w:p>
    <w:p w14:paraId="45F0E614" w14:textId="77777777" w:rsidR="005C5BB3" w:rsidRDefault="005C5BB3" w:rsidP="00594851">
      <w:pPr>
        <w:tabs>
          <w:tab w:val="left" w:pos="567"/>
        </w:tabs>
        <w:jc w:val="center"/>
        <w:rPr>
          <w:rFonts w:eastAsiaTheme="minorHAnsi" w:cstheme="minorBidi"/>
          <w:b/>
          <w:szCs w:val="22"/>
          <w:lang w:val="es-MX"/>
        </w:rPr>
      </w:pPr>
    </w:p>
    <w:p w14:paraId="45B75592" w14:textId="77777777" w:rsidR="005C5BB3" w:rsidRDefault="005C5BB3" w:rsidP="00594851">
      <w:pPr>
        <w:tabs>
          <w:tab w:val="left" w:pos="567"/>
        </w:tabs>
        <w:jc w:val="center"/>
        <w:rPr>
          <w:rFonts w:eastAsiaTheme="minorHAnsi" w:cstheme="minorBidi"/>
          <w:b/>
          <w:szCs w:val="22"/>
          <w:lang w:val="es-MX"/>
        </w:rPr>
      </w:pPr>
    </w:p>
    <w:p w14:paraId="255AA6BF" w14:textId="77777777" w:rsidR="005C5BB3" w:rsidRDefault="005C5BB3" w:rsidP="00594851">
      <w:pPr>
        <w:tabs>
          <w:tab w:val="left" w:pos="567"/>
        </w:tabs>
        <w:jc w:val="center"/>
        <w:rPr>
          <w:rFonts w:eastAsiaTheme="minorHAnsi" w:cstheme="minorBidi"/>
          <w:b/>
          <w:szCs w:val="22"/>
          <w:lang w:val="es-MX"/>
        </w:rPr>
      </w:pPr>
    </w:p>
    <w:p w14:paraId="21BBA5A9" w14:textId="77777777" w:rsidR="00594851" w:rsidRPr="00CB6343" w:rsidRDefault="00594851" w:rsidP="00594851">
      <w:pPr>
        <w:tabs>
          <w:tab w:val="left" w:pos="567"/>
        </w:tabs>
        <w:jc w:val="center"/>
        <w:rPr>
          <w:rFonts w:eastAsiaTheme="minorHAnsi" w:cstheme="minorBidi"/>
          <w:b/>
          <w:szCs w:val="22"/>
          <w:lang w:val="es-MX"/>
        </w:rPr>
      </w:pPr>
      <w:r w:rsidRPr="00CB6343">
        <w:rPr>
          <w:rFonts w:eastAsiaTheme="minorHAnsi" w:cstheme="minorBidi"/>
          <w:b/>
          <w:szCs w:val="22"/>
          <w:lang w:val="es-MX"/>
        </w:rPr>
        <w:t xml:space="preserve">RESOLUCIÓN DE LA </w:t>
      </w:r>
    </w:p>
    <w:p w14:paraId="36CF07AE" w14:textId="77777777" w:rsidR="00AC7107" w:rsidRPr="00284EAE" w:rsidRDefault="00AC7107" w:rsidP="00AC7107">
      <w:pPr>
        <w:pStyle w:val="Ttulo"/>
        <w:tabs>
          <w:tab w:val="left" w:pos="567"/>
        </w:tabs>
        <w:rPr>
          <w:spacing w:val="-4"/>
          <w:lang w:val="es-CR"/>
        </w:rPr>
      </w:pPr>
      <w:r w:rsidRPr="00284EAE">
        <w:rPr>
          <w:spacing w:val="-4"/>
          <w:lang w:val="es-CR"/>
        </w:rPr>
        <w:t>CORTE INTERAMERICANA DE DERECHOS HUMANOS</w:t>
      </w:r>
      <w:r w:rsidRPr="00284EAE">
        <w:rPr>
          <w:rStyle w:val="Refdenotaalpie"/>
          <w:spacing w:val="-4"/>
          <w:szCs w:val="20"/>
          <w:lang w:val="es-ES_tradnl"/>
        </w:rPr>
        <w:footnoteReference w:customMarkFollows="1" w:id="1"/>
        <w:t>*</w:t>
      </w:r>
    </w:p>
    <w:p w14:paraId="3F667C65" w14:textId="77777777" w:rsidR="00594851" w:rsidRPr="00CB6343" w:rsidRDefault="00594851" w:rsidP="00594851">
      <w:pPr>
        <w:tabs>
          <w:tab w:val="left" w:pos="567"/>
        </w:tabs>
        <w:jc w:val="center"/>
        <w:rPr>
          <w:rFonts w:ascii="Garamond" w:eastAsiaTheme="minorHAnsi" w:hAnsi="Garamond" w:cstheme="minorBidi"/>
          <w:b/>
          <w:sz w:val="24"/>
          <w:szCs w:val="22"/>
          <w:lang w:val="es-ES_tradnl"/>
        </w:rPr>
      </w:pPr>
    </w:p>
    <w:p w14:paraId="59BF14E4" w14:textId="5A8F1BD7" w:rsidR="00594851" w:rsidRPr="00CB6343" w:rsidRDefault="00594851" w:rsidP="00594851">
      <w:pPr>
        <w:tabs>
          <w:tab w:val="left" w:pos="567"/>
        </w:tabs>
        <w:jc w:val="center"/>
        <w:rPr>
          <w:rFonts w:eastAsiaTheme="minorHAnsi" w:cstheme="minorBidi"/>
          <w:b/>
          <w:szCs w:val="22"/>
          <w:lang w:val="es-MX"/>
        </w:rPr>
      </w:pPr>
      <w:r w:rsidRPr="00CB6343">
        <w:rPr>
          <w:rFonts w:eastAsiaTheme="minorHAnsi" w:cstheme="minorBidi"/>
          <w:b/>
          <w:szCs w:val="22"/>
          <w:lang w:val="es-MX"/>
        </w:rPr>
        <w:t xml:space="preserve">DE </w:t>
      </w:r>
      <w:r w:rsidR="004027D5">
        <w:rPr>
          <w:rFonts w:eastAsiaTheme="minorHAnsi" w:cstheme="minorBidi"/>
          <w:b/>
          <w:szCs w:val="22"/>
          <w:lang w:val="es-MX"/>
        </w:rPr>
        <w:t>4</w:t>
      </w:r>
      <w:r>
        <w:rPr>
          <w:rFonts w:eastAsiaTheme="minorHAnsi" w:cstheme="minorBidi"/>
          <w:b/>
          <w:szCs w:val="22"/>
          <w:lang w:val="es-GT"/>
        </w:rPr>
        <w:t xml:space="preserve"> DE </w:t>
      </w:r>
      <w:r w:rsidR="004041CA">
        <w:rPr>
          <w:rFonts w:eastAsiaTheme="minorHAnsi" w:cstheme="minorBidi"/>
          <w:b/>
          <w:szCs w:val="22"/>
          <w:lang w:val="es-GT"/>
        </w:rPr>
        <w:t>JUNIO</w:t>
      </w:r>
      <w:r>
        <w:rPr>
          <w:rFonts w:eastAsiaTheme="minorHAnsi" w:cstheme="minorBidi"/>
          <w:b/>
          <w:szCs w:val="22"/>
          <w:lang w:val="es-GT"/>
        </w:rPr>
        <w:t xml:space="preserve"> </w:t>
      </w:r>
      <w:r w:rsidR="007D61A0">
        <w:rPr>
          <w:rFonts w:eastAsiaTheme="minorHAnsi" w:cstheme="minorBidi"/>
          <w:b/>
          <w:szCs w:val="22"/>
          <w:lang w:val="es-MX"/>
        </w:rPr>
        <w:t>DE 2021</w:t>
      </w:r>
    </w:p>
    <w:p w14:paraId="129165BE" w14:textId="77777777" w:rsidR="00594851" w:rsidRPr="006A6717" w:rsidRDefault="00594851" w:rsidP="00594851">
      <w:pPr>
        <w:tabs>
          <w:tab w:val="left" w:pos="567"/>
          <w:tab w:val="left" w:pos="3709"/>
        </w:tabs>
        <w:rPr>
          <w:rFonts w:eastAsiaTheme="minorHAnsi" w:cstheme="minorBidi"/>
          <w:b/>
          <w:szCs w:val="22"/>
          <w:lang w:val="es-CR"/>
        </w:rPr>
      </w:pPr>
    </w:p>
    <w:p w14:paraId="6EF8E79D" w14:textId="24831D8E" w:rsidR="00594851" w:rsidRPr="006A6717" w:rsidRDefault="00594851" w:rsidP="00594851">
      <w:pPr>
        <w:tabs>
          <w:tab w:val="left" w:pos="567"/>
        </w:tabs>
        <w:jc w:val="center"/>
        <w:rPr>
          <w:rFonts w:eastAsiaTheme="minorHAnsi" w:cstheme="minorBidi"/>
          <w:b/>
          <w:szCs w:val="22"/>
          <w:lang w:val="es-CR"/>
        </w:rPr>
      </w:pPr>
      <w:r w:rsidRPr="006A6717">
        <w:rPr>
          <w:rFonts w:eastAsiaTheme="minorHAnsi" w:cstheme="minorBidi"/>
          <w:b/>
          <w:szCs w:val="22"/>
          <w:lang w:val="es-CR"/>
        </w:rPr>
        <w:t xml:space="preserve">CASO </w:t>
      </w:r>
      <w:r w:rsidR="004041CA">
        <w:rPr>
          <w:rFonts w:eastAsiaTheme="minorHAnsi" w:cstheme="minorBidi"/>
          <w:b/>
          <w:szCs w:val="22"/>
          <w:lang w:val="es-CR"/>
        </w:rPr>
        <w:t>PALACIO URRUTIA</w:t>
      </w:r>
      <w:r w:rsidR="008C6B0A">
        <w:rPr>
          <w:rFonts w:eastAsiaTheme="minorHAnsi" w:cstheme="minorBidi"/>
          <w:b/>
          <w:szCs w:val="22"/>
          <w:lang w:val="es-CR"/>
        </w:rPr>
        <w:t xml:space="preserve"> Y OTROS</w:t>
      </w:r>
      <w:r w:rsidR="00653215">
        <w:rPr>
          <w:rFonts w:eastAsiaTheme="minorHAnsi" w:cstheme="minorBidi"/>
          <w:b/>
          <w:szCs w:val="22"/>
          <w:lang w:val="es-CR"/>
        </w:rPr>
        <w:t xml:space="preserve"> VS. </w:t>
      </w:r>
      <w:r w:rsidR="004041CA">
        <w:rPr>
          <w:rFonts w:eastAsiaTheme="minorHAnsi" w:cstheme="minorBidi"/>
          <w:b/>
          <w:szCs w:val="22"/>
          <w:lang w:val="es-CR"/>
        </w:rPr>
        <w:t>ECUADOR</w:t>
      </w:r>
    </w:p>
    <w:p w14:paraId="5DDA57B6" w14:textId="77777777" w:rsidR="00594851" w:rsidRPr="006A6717" w:rsidRDefault="00594851" w:rsidP="00594851">
      <w:pPr>
        <w:tabs>
          <w:tab w:val="left" w:pos="567"/>
        </w:tabs>
        <w:jc w:val="both"/>
        <w:rPr>
          <w:rFonts w:asciiTheme="minorHAnsi" w:eastAsiaTheme="minorHAnsi" w:hAnsiTheme="minorHAnsi" w:cstheme="minorBidi"/>
          <w:sz w:val="22"/>
          <w:szCs w:val="22"/>
          <w:lang w:val="es-CR"/>
        </w:rPr>
      </w:pPr>
    </w:p>
    <w:p w14:paraId="1C63CDB1" w14:textId="77777777" w:rsidR="00594851" w:rsidRPr="006A6717" w:rsidRDefault="00594851" w:rsidP="00594851">
      <w:pPr>
        <w:tabs>
          <w:tab w:val="left" w:pos="567"/>
        </w:tabs>
        <w:jc w:val="both"/>
        <w:rPr>
          <w:rFonts w:asciiTheme="minorHAnsi" w:eastAsiaTheme="minorHAnsi" w:hAnsiTheme="minorHAnsi" w:cstheme="minorBidi"/>
          <w:sz w:val="22"/>
          <w:szCs w:val="22"/>
          <w:lang w:val="es-CR"/>
        </w:rPr>
      </w:pPr>
    </w:p>
    <w:p w14:paraId="3BD6BA58" w14:textId="77777777" w:rsidR="00594851" w:rsidRPr="00CB6343" w:rsidRDefault="00594851" w:rsidP="00594851">
      <w:pPr>
        <w:tabs>
          <w:tab w:val="left" w:pos="567"/>
        </w:tabs>
        <w:jc w:val="both"/>
        <w:rPr>
          <w:rFonts w:eastAsiaTheme="minorHAnsi" w:cstheme="minorBidi"/>
          <w:b/>
          <w:szCs w:val="22"/>
          <w:lang w:val="es-MX"/>
        </w:rPr>
      </w:pPr>
      <w:r w:rsidRPr="00CB6343">
        <w:rPr>
          <w:rFonts w:eastAsiaTheme="minorHAnsi" w:cstheme="minorBidi"/>
          <w:b/>
          <w:szCs w:val="22"/>
          <w:lang w:val="es-MX"/>
        </w:rPr>
        <w:t>VISTO:</w:t>
      </w:r>
    </w:p>
    <w:p w14:paraId="37B7A0E7" w14:textId="77777777" w:rsidR="00594851" w:rsidRPr="00CB6343" w:rsidRDefault="00594851" w:rsidP="00594851">
      <w:pPr>
        <w:tabs>
          <w:tab w:val="left" w:pos="567"/>
        </w:tabs>
        <w:jc w:val="both"/>
        <w:rPr>
          <w:rFonts w:eastAsiaTheme="minorHAnsi" w:cstheme="minorBidi"/>
          <w:b/>
          <w:szCs w:val="22"/>
          <w:lang w:val="es-MX"/>
        </w:rPr>
      </w:pPr>
    </w:p>
    <w:p w14:paraId="0C1E4D68" w14:textId="37030954" w:rsidR="007D61A0" w:rsidRDefault="00594851" w:rsidP="007D61A0">
      <w:pPr>
        <w:pStyle w:val="Numberedparagraphs"/>
        <w:tabs>
          <w:tab w:val="left" w:pos="567"/>
        </w:tabs>
      </w:pPr>
      <w:r w:rsidRPr="00594851">
        <w:t xml:space="preserve">La Resolución </w:t>
      </w:r>
      <w:r w:rsidR="004041CA">
        <w:t>de la Presidenta</w:t>
      </w:r>
      <w:r w:rsidRPr="00594851">
        <w:t xml:space="preserve"> de la Corte Interamericana de Derechos Humanos (e</w:t>
      </w:r>
      <w:r w:rsidR="004041CA">
        <w:t>n adelante “la Presidenta</w:t>
      </w:r>
      <w:r w:rsidR="00B44465">
        <w:t xml:space="preserve">”) de </w:t>
      </w:r>
      <w:r w:rsidR="00653215">
        <w:t>12</w:t>
      </w:r>
      <w:r w:rsidR="00B44465">
        <w:t xml:space="preserve"> de </w:t>
      </w:r>
      <w:r w:rsidR="007D61A0">
        <w:t>abril</w:t>
      </w:r>
      <w:r w:rsidR="00653215">
        <w:t xml:space="preserve"> de 20</w:t>
      </w:r>
      <w:r w:rsidR="007D61A0">
        <w:t>21</w:t>
      </w:r>
      <w:r w:rsidRPr="00594851">
        <w:t xml:space="preserve"> (en adelante “la Resolución de</w:t>
      </w:r>
      <w:r w:rsidR="007D61A0">
        <w:t xml:space="preserve"> </w:t>
      </w:r>
      <w:r w:rsidRPr="00594851">
        <w:t>l</w:t>
      </w:r>
      <w:r w:rsidR="007D61A0">
        <w:t>a Presidenta</w:t>
      </w:r>
      <w:r w:rsidRPr="00594851">
        <w:t xml:space="preserve">”) mediante la cual, </w:t>
      </w:r>
      <w:r w:rsidRPr="00B44465">
        <w:rPr>
          <w:i/>
        </w:rPr>
        <w:t xml:space="preserve">inter </w:t>
      </w:r>
      <w:proofErr w:type="spellStart"/>
      <w:r w:rsidRPr="00B44465">
        <w:rPr>
          <w:i/>
        </w:rPr>
        <w:t>alia</w:t>
      </w:r>
      <w:proofErr w:type="spellEnd"/>
      <w:r w:rsidRPr="00594851">
        <w:t xml:space="preserve">, ordenó la recepción de diversas declaraciones en audiencia pública y mediante </w:t>
      </w:r>
      <w:r w:rsidRPr="00B44465">
        <w:rPr>
          <w:i/>
        </w:rPr>
        <w:t>affid</w:t>
      </w:r>
      <w:r w:rsidR="00A549D7">
        <w:rPr>
          <w:i/>
        </w:rPr>
        <w:t>a</w:t>
      </w:r>
      <w:r w:rsidRPr="00B44465">
        <w:rPr>
          <w:i/>
        </w:rPr>
        <w:t>vit</w:t>
      </w:r>
      <w:r w:rsidR="008C6B0A">
        <w:t>,</w:t>
      </w:r>
      <w:r w:rsidRPr="00594851">
        <w:t xml:space="preserve"> y convocó a la Comisión Interamericana de Derecho</w:t>
      </w:r>
      <w:r w:rsidR="00134713">
        <w:t>s Humanos (en adelante también</w:t>
      </w:r>
      <w:r w:rsidR="00314B3F">
        <w:t xml:space="preserve"> “la Comisión”), </w:t>
      </w:r>
      <w:r w:rsidR="00653215">
        <w:t>a los representantes de la</w:t>
      </w:r>
      <w:r w:rsidR="007D61A0">
        <w:t>s</w:t>
      </w:r>
      <w:r w:rsidR="00653215">
        <w:t xml:space="preserve"> presunta</w:t>
      </w:r>
      <w:r w:rsidR="007D61A0">
        <w:t>s</w:t>
      </w:r>
      <w:r w:rsidR="00653215">
        <w:t xml:space="preserve"> víctima</w:t>
      </w:r>
      <w:r w:rsidR="007D61A0">
        <w:t>s</w:t>
      </w:r>
      <w:r w:rsidR="001779B3">
        <w:t xml:space="preserve"> (en adelante también “</w:t>
      </w:r>
      <w:r w:rsidR="00653215">
        <w:t>los representantes</w:t>
      </w:r>
      <w:r w:rsidRPr="00594851">
        <w:t xml:space="preserve">”) y </w:t>
      </w:r>
      <w:r w:rsidR="007D61A0">
        <w:t xml:space="preserve">al Estado de Ecuador </w:t>
      </w:r>
      <w:r w:rsidRPr="00594851">
        <w:t>(en adelante “el Estado” o “</w:t>
      </w:r>
      <w:r w:rsidR="007D61A0">
        <w:t>Ecuador</w:t>
      </w:r>
      <w:r w:rsidRPr="00594851">
        <w:t>”) a una aud</w:t>
      </w:r>
      <w:r w:rsidR="00653215">
        <w:t xml:space="preserve">iencia pública a celebrarse el </w:t>
      </w:r>
      <w:r w:rsidR="007D61A0">
        <w:t>14</w:t>
      </w:r>
      <w:r w:rsidR="00B44465">
        <w:t xml:space="preserve"> </w:t>
      </w:r>
      <w:r w:rsidR="00653215">
        <w:t xml:space="preserve">y </w:t>
      </w:r>
      <w:r w:rsidR="007D61A0">
        <w:t>15</w:t>
      </w:r>
      <w:r w:rsidR="00653215">
        <w:t xml:space="preserve"> de </w:t>
      </w:r>
      <w:r w:rsidR="007D61A0">
        <w:t>junio de 2021</w:t>
      </w:r>
      <w:r w:rsidRPr="00594851">
        <w:t xml:space="preserve"> para recibir sus alegatos finales orales so</w:t>
      </w:r>
      <w:r w:rsidR="00B44465">
        <w:t xml:space="preserve">bre </w:t>
      </w:r>
      <w:r w:rsidR="007D61A0">
        <w:t>el</w:t>
      </w:r>
      <w:r w:rsidRPr="00594851">
        <w:t xml:space="preserve"> fondo,</w:t>
      </w:r>
      <w:r w:rsidR="007D61A0">
        <w:t xml:space="preserve"> y eventuales</w:t>
      </w:r>
      <w:r w:rsidRPr="00594851">
        <w:t xml:space="preserve"> reparaciones y costas en el presente caso</w:t>
      </w:r>
      <w:r w:rsidR="008D67EA">
        <w:t>.</w:t>
      </w:r>
    </w:p>
    <w:p w14:paraId="25563F2E" w14:textId="77777777" w:rsidR="007D61A0" w:rsidRDefault="007D61A0" w:rsidP="007D61A0">
      <w:pPr>
        <w:pStyle w:val="Numberedparagraphs"/>
        <w:numPr>
          <w:ilvl w:val="0"/>
          <w:numId w:val="0"/>
        </w:numPr>
        <w:tabs>
          <w:tab w:val="left" w:pos="567"/>
        </w:tabs>
      </w:pPr>
    </w:p>
    <w:p w14:paraId="08C88466" w14:textId="4FC508CE" w:rsidR="007D61A0" w:rsidRPr="007D61A0" w:rsidRDefault="00653215" w:rsidP="005462DF">
      <w:pPr>
        <w:pStyle w:val="Numberedparagraphs"/>
        <w:tabs>
          <w:tab w:val="left" w:pos="567"/>
        </w:tabs>
      </w:pPr>
      <w:r w:rsidRPr="007D61A0">
        <w:t>El escrito de 1</w:t>
      </w:r>
      <w:r w:rsidR="007D61A0" w:rsidRPr="007D61A0">
        <w:t>4</w:t>
      </w:r>
      <w:r w:rsidRPr="007D61A0">
        <w:t xml:space="preserve"> de </w:t>
      </w:r>
      <w:r w:rsidR="007D61A0" w:rsidRPr="007D61A0">
        <w:t>mayo</w:t>
      </w:r>
      <w:r w:rsidRPr="007D61A0">
        <w:t xml:space="preserve"> de 20</w:t>
      </w:r>
      <w:r w:rsidR="007D61A0" w:rsidRPr="007D61A0">
        <w:t>21</w:t>
      </w:r>
      <w:r w:rsidRPr="007D61A0">
        <w:t xml:space="preserve">, mediante el cual </w:t>
      </w:r>
      <w:r w:rsidR="007D61A0" w:rsidRPr="007D61A0">
        <w:t>el Estado</w:t>
      </w:r>
      <w:r w:rsidRPr="007D61A0">
        <w:t xml:space="preserve"> </w:t>
      </w:r>
      <w:r w:rsidR="007D61A0" w:rsidRPr="007D61A0">
        <w:t>se dirigió</w:t>
      </w:r>
      <w:r w:rsidRPr="007D61A0">
        <w:t xml:space="preserve"> a la Corte </w:t>
      </w:r>
      <w:r w:rsidR="007D61A0" w:rsidRPr="007D61A0">
        <w:t>con el propósito de “</w:t>
      </w:r>
      <w:r w:rsidR="007D61A0" w:rsidRPr="007D61A0">
        <w:rPr>
          <w:rFonts w:eastAsiaTheme="minorHAnsi" w:cs="TimesNewRomanPSMT"/>
        </w:rPr>
        <w:t>impugnar ante el Pleno de la Corte la Resolución de la Presidenta sobre prueba y audiencia de 12 de abril de 2021, específicamente en lo referente a los peritajes propuestos por el Estado ecuatoriano”</w:t>
      </w:r>
      <w:r w:rsidR="008C6B0A">
        <w:rPr>
          <w:rFonts w:eastAsiaTheme="minorHAnsi" w:cs="TimesNewRomanPSMT"/>
        </w:rPr>
        <w:t>;</w:t>
      </w:r>
      <w:r w:rsidR="005462DF">
        <w:rPr>
          <w:rFonts w:eastAsiaTheme="minorHAnsi" w:cs="TimesNewRomanPSMT"/>
        </w:rPr>
        <w:t xml:space="preserve"> </w:t>
      </w:r>
      <w:r w:rsidR="005462DF">
        <w:t>e</w:t>
      </w:r>
      <w:r w:rsidR="00A330CE" w:rsidRPr="007D61A0">
        <w:t xml:space="preserve">l escrito de </w:t>
      </w:r>
      <w:r w:rsidR="007D61A0" w:rsidRPr="007D61A0">
        <w:t>25</w:t>
      </w:r>
      <w:r w:rsidR="00A330CE" w:rsidRPr="007D61A0">
        <w:t xml:space="preserve"> de </w:t>
      </w:r>
      <w:r w:rsidR="007D61A0" w:rsidRPr="007D61A0">
        <w:t>mayo</w:t>
      </w:r>
      <w:r w:rsidR="00A330CE" w:rsidRPr="007D61A0">
        <w:t xml:space="preserve"> de 20</w:t>
      </w:r>
      <w:r w:rsidR="007D61A0" w:rsidRPr="007D61A0">
        <w:t>21</w:t>
      </w:r>
      <w:r w:rsidR="00A330CE" w:rsidRPr="007D61A0">
        <w:t xml:space="preserve">, mediante el cual </w:t>
      </w:r>
      <w:r w:rsidR="007D61A0" w:rsidRPr="007D61A0">
        <w:t>los representantes</w:t>
      </w:r>
      <w:r w:rsidR="00A330CE" w:rsidRPr="007D61A0">
        <w:t xml:space="preserve"> </w:t>
      </w:r>
      <w:r w:rsidR="007D61A0" w:rsidRPr="007D61A0">
        <w:t xml:space="preserve">informaron que </w:t>
      </w:r>
      <w:r w:rsidR="007D61A0" w:rsidRPr="005462DF">
        <w:rPr>
          <w:rFonts w:eastAsiaTheme="minorHAnsi" w:cs="BookAntiqua"/>
        </w:rPr>
        <w:t xml:space="preserve">“por motivos de fuerza mayor sobrevenidos, no le será posible al perito Manuel García rendir por medio de affidavit su peritaje en la fecha acordada en la Resolución de 12 de abril de 2021”, y </w:t>
      </w:r>
      <w:r w:rsidR="00E83F2F" w:rsidRPr="005462DF">
        <w:rPr>
          <w:rFonts w:eastAsiaTheme="minorHAnsi" w:cs="BookAntiqua"/>
        </w:rPr>
        <w:t>solicitaron su sustitución</w:t>
      </w:r>
      <w:r w:rsidR="007D61A0" w:rsidRPr="005462DF">
        <w:rPr>
          <w:rFonts w:eastAsiaTheme="minorHAnsi" w:cs="BookAntiqua"/>
        </w:rPr>
        <w:t>.</w:t>
      </w:r>
    </w:p>
    <w:p w14:paraId="636779F6" w14:textId="77777777" w:rsidR="00DA400F" w:rsidRPr="00E83F2F" w:rsidRDefault="00DA400F" w:rsidP="00A809F1">
      <w:pPr>
        <w:tabs>
          <w:tab w:val="left" w:pos="567"/>
        </w:tabs>
        <w:rPr>
          <w:lang w:val="es-ES_tradnl"/>
        </w:rPr>
      </w:pPr>
    </w:p>
    <w:p w14:paraId="00160AF9" w14:textId="1D931D8D" w:rsidR="001779B3" w:rsidRDefault="00FC2F85" w:rsidP="005462DF">
      <w:pPr>
        <w:pStyle w:val="Numberedparagraphs"/>
        <w:tabs>
          <w:tab w:val="left" w:pos="567"/>
        </w:tabs>
      </w:pPr>
      <w:r>
        <w:t xml:space="preserve">Las comunicaciones de la Secretaría del Tribunal de </w:t>
      </w:r>
      <w:r w:rsidR="007D61A0">
        <w:t xml:space="preserve">18 </w:t>
      </w:r>
      <w:r w:rsidR="008316AB">
        <w:t xml:space="preserve">y </w:t>
      </w:r>
      <w:r w:rsidR="00C02461" w:rsidRPr="00C02461">
        <w:t>27</w:t>
      </w:r>
      <w:r w:rsidR="008316AB" w:rsidRPr="00C02461">
        <w:t xml:space="preserve"> de </w:t>
      </w:r>
      <w:r w:rsidR="00C02461" w:rsidRPr="00C02461">
        <w:t>mayo de 2021</w:t>
      </w:r>
      <w:r w:rsidRPr="00C02461">
        <w:t>,</w:t>
      </w:r>
      <w:r>
        <w:t xml:space="preserve"> mediante las cuales, siguiendo instrucciones </w:t>
      </w:r>
      <w:r w:rsidR="00705036">
        <w:t>de la Presidencia de la Corte</w:t>
      </w:r>
      <w:r>
        <w:t xml:space="preserve">, </w:t>
      </w:r>
      <w:r w:rsidR="00705036">
        <w:t xml:space="preserve">se </w:t>
      </w:r>
      <w:r>
        <w:t>otorgó plazo a la Comisión</w:t>
      </w:r>
      <w:r w:rsidR="008316AB">
        <w:t xml:space="preserve"> y a las partes</w:t>
      </w:r>
      <w:r>
        <w:t xml:space="preserve"> para que presentaran las observaciones que estimaren pertinentes a la</w:t>
      </w:r>
      <w:r w:rsidR="008316AB">
        <w:t>s</w:t>
      </w:r>
      <w:r>
        <w:t xml:space="preserve"> solicitud</w:t>
      </w:r>
      <w:r w:rsidR="008316AB">
        <w:t>es</w:t>
      </w:r>
      <w:r w:rsidR="008C6B0A">
        <w:t xml:space="preserve"> </w:t>
      </w:r>
      <w:r w:rsidR="00F93496">
        <w:t>de las partes</w:t>
      </w:r>
      <w:r w:rsidR="008C6B0A">
        <w:t>;</w:t>
      </w:r>
      <w:r w:rsidR="005462DF">
        <w:t xml:space="preserve"> </w:t>
      </w:r>
      <w:r w:rsidR="005462DF">
        <w:rPr>
          <w:lang w:val="es-CR"/>
        </w:rPr>
        <w:t>l</w:t>
      </w:r>
      <w:r w:rsidR="008316AB" w:rsidRPr="005462DF">
        <w:rPr>
          <w:lang w:val="es-CR"/>
        </w:rPr>
        <w:t xml:space="preserve">os escritos de </w:t>
      </w:r>
      <w:r w:rsidR="00C02461" w:rsidRPr="005462DF">
        <w:rPr>
          <w:lang w:val="es-CR"/>
        </w:rPr>
        <w:t xml:space="preserve">25 </w:t>
      </w:r>
      <w:r w:rsidR="00705036" w:rsidRPr="005462DF">
        <w:rPr>
          <w:lang w:val="es-CR"/>
        </w:rPr>
        <w:t xml:space="preserve">y </w:t>
      </w:r>
      <w:r w:rsidR="00C02461" w:rsidRPr="005462DF">
        <w:rPr>
          <w:lang w:val="es-CR"/>
        </w:rPr>
        <w:t>31</w:t>
      </w:r>
      <w:r w:rsidR="00705036" w:rsidRPr="005462DF">
        <w:rPr>
          <w:lang w:val="es-CR"/>
        </w:rPr>
        <w:t xml:space="preserve"> de </w:t>
      </w:r>
      <w:r w:rsidR="00C02461" w:rsidRPr="005462DF">
        <w:rPr>
          <w:lang w:val="es-CR"/>
        </w:rPr>
        <w:t>mayo de 2021</w:t>
      </w:r>
      <w:r w:rsidR="008316AB" w:rsidRPr="005462DF">
        <w:rPr>
          <w:lang w:val="es-CR"/>
        </w:rPr>
        <w:t xml:space="preserve">, </w:t>
      </w:r>
      <w:r w:rsidR="001779B3" w:rsidRPr="00C02461">
        <w:t xml:space="preserve">mediante </w:t>
      </w:r>
      <w:r w:rsidR="002C7584" w:rsidRPr="00C02461">
        <w:t xml:space="preserve">los </w:t>
      </w:r>
      <w:r w:rsidR="001779B3" w:rsidRPr="00C02461">
        <w:t>cual</w:t>
      </w:r>
      <w:r w:rsidR="002C7584" w:rsidRPr="00C02461">
        <w:t>es</w:t>
      </w:r>
      <w:r w:rsidR="00705036" w:rsidRPr="00C02461">
        <w:t xml:space="preserve"> los</w:t>
      </w:r>
      <w:r w:rsidR="001779B3" w:rsidRPr="00C02461">
        <w:t xml:space="preserve"> representante</w:t>
      </w:r>
      <w:r w:rsidR="00705036" w:rsidRPr="00C02461">
        <w:t>s, el Estado</w:t>
      </w:r>
      <w:r w:rsidR="001779B3" w:rsidRPr="00C02461">
        <w:t xml:space="preserve"> </w:t>
      </w:r>
      <w:r w:rsidR="00A809F1" w:rsidRPr="00C02461">
        <w:t>y la Comisión, respectivamente, presentaron sus observaciones a la</w:t>
      </w:r>
      <w:r w:rsidR="00705036" w:rsidRPr="00C02461">
        <w:t>s</w:t>
      </w:r>
      <w:r w:rsidR="00A809F1" w:rsidRPr="00C02461">
        <w:t xml:space="preserve"> solicitud</w:t>
      </w:r>
      <w:r w:rsidR="00705036" w:rsidRPr="00C02461">
        <w:t>es</w:t>
      </w:r>
      <w:r w:rsidR="00A809F1" w:rsidRPr="00C02461">
        <w:t xml:space="preserve"> de </w:t>
      </w:r>
      <w:r w:rsidR="00E83F2F">
        <w:t>las partes</w:t>
      </w:r>
      <w:r w:rsidR="008C6B0A">
        <w:t>; y la comunicación de la Secretaría del Tribunal de 2 de junio de 2021</w:t>
      </w:r>
      <w:r w:rsidR="00885537">
        <w:t>,</w:t>
      </w:r>
      <w:r w:rsidR="008C6B0A">
        <w:t xml:space="preserve"> mediante la cual se otorgó una prórroga para la presentación de ciertas declaraciones por </w:t>
      </w:r>
      <w:r w:rsidR="008C6B0A">
        <w:rPr>
          <w:i/>
        </w:rPr>
        <w:t>affidavit</w:t>
      </w:r>
      <w:r w:rsidR="008C6B0A">
        <w:t xml:space="preserve"> ofrecidas por los representantes.</w:t>
      </w:r>
    </w:p>
    <w:p w14:paraId="69268224" w14:textId="6221F4A7" w:rsidR="00F93496" w:rsidRDefault="00F93496" w:rsidP="00F93496">
      <w:pPr>
        <w:pStyle w:val="Numberedparagraphs"/>
        <w:numPr>
          <w:ilvl w:val="0"/>
          <w:numId w:val="0"/>
        </w:numPr>
        <w:tabs>
          <w:tab w:val="left" w:pos="567"/>
        </w:tabs>
      </w:pPr>
    </w:p>
    <w:p w14:paraId="354DF110" w14:textId="7C84859A" w:rsidR="00F93496" w:rsidRPr="00F93496" w:rsidRDefault="00F93496" w:rsidP="005462DF">
      <w:pPr>
        <w:pStyle w:val="Numberedparagraphs"/>
        <w:tabs>
          <w:tab w:val="left" w:pos="567"/>
        </w:tabs>
      </w:pPr>
      <w:r w:rsidRPr="00F93496">
        <w:rPr>
          <w:lang w:val="es-CR"/>
        </w:rPr>
        <w:t xml:space="preserve">El escrito de 3 de </w:t>
      </w:r>
      <w:r>
        <w:rPr>
          <w:lang w:val="es-CR"/>
        </w:rPr>
        <w:t>junio</w:t>
      </w:r>
      <w:r w:rsidRPr="00F93496">
        <w:rPr>
          <w:lang w:val="es-CR"/>
        </w:rPr>
        <w:t xml:space="preserve"> de 2021, </w:t>
      </w:r>
      <w:r w:rsidRPr="00F93496">
        <w:t xml:space="preserve">mediante el cual los representantes solicitaron </w:t>
      </w:r>
      <w:r w:rsidRPr="00F93496">
        <w:rPr>
          <w:rFonts w:eastAsia="Calibri" w:cs="Calibri"/>
        </w:rPr>
        <w:t xml:space="preserve">que no sean tomadas en cuenta las observaciones del Estado respecto a la solicitud de </w:t>
      </w:r>
      <w:r>
        <w:rPr>
          <w:rFonts w:eastAsia="Calibri" w:cs="Calibri"/>
        </w:rPr>
        <w:t>sustitución de un perito</w:t>
      </w:r>
      <w:r w:rsidRPr="00F93496">
        <w:rPr>
          <w:rFonts w:eastAsia="Calibri" w:cs="Calibri"/>
        </w:rPr>
        <w:t>, dado que el documento que contiene dichas observaciones no se encuentra firmado</w:t>
      </w:r>
      <w:r w:rsidRPr="00F93496">
        <w:t xml:space="preserve">; y la comunicación de la Secretaría del Tribunal de 4 de junio de 2021, mediante la cual se </w:t>
      </w:r>
      <w:r w:rsidRPr="00F93496">
        <w:rPr>
          <w:rFonts w:eastAsia="Calibri" w:cs="Calibri"/>
        </w:rPr>
        <w:t>remitió nuevamente el escrito del Estado que contiene la firma electrónica</w:t>
      </w:r>
      <w:r w:rsidRPr="00F93496">
        <w:t>.</w:t>
      </w:r>
    </w:p>
    <w:p w14:paraId="68AFA45B" w14:textId="77777777" w:rsidR="00594851" w:rsidRPr="005C5BB3" w:rsidRDefault="00594851" w:rsidP="00594851">
      <w:pPr>
        <w:pStyle w:val="Numberedparagraphs"/>
        <w:numPr>
          <w:ilvl w:val="0"/>
          <w:numId w:val="0"/>
        </w:numPr>
        <w:tabs>
          <w:tab w:val="left" w:pos="567"/>
        </w:tabs>
        <w:rPr>
          <w:lang w:val="es-VE"/>
        </w:rPr>
      </w:pPr>
    </w:p>
    <w:p w14:paraId="35413637" w14:textId="77777777" w:rsidR="00594851" w:rsidRPr="00CB6343" w:rsidRDefault="00594851" w:rsidP="00594851">
      <w:pPr>
        <w:pStyle w:val="Numberedparagraphs"/>
        <w:numPr>
          <w:ilvl w:val="0"/>
          <w:numId w:val="0"/>
        </w:numPr>
        <w:tabs>
          <w:tab w:val="left" w:pos="567"/>
        </w:tabs>
        <w:rPr>
          <w:b/>
        </w:rPr>
      </w:pPr>
      <w:r>
        <w:rPr>
          <w:b/>
        </w:rPr>
        <w:t>CONSIDERANDO</w:t>
      </w:r>
      <w:r w:rsidR="002C7584">
        <w:rPr>
          <w:b/>
        </w:rPr>
        <w:t xml:space="preserve"> QUE</w:t>
      </w:r>
      <w:r w:rsidRPr="00CB6343">
        <w:rPr>
          <w:b/>
        </w:rPr>
        <w:t>:</w:t>
      </w:r>
    </w:p>
    <w:p w14:paraId="21C9A676" w14:textId="77777777" w:rsidR="00594851" w:rsidRPr="00F27801" w:rsidRDefault="00594851" w:rsidP="00594851">
      <w:pPr>
        <w:spacing w:line="200" w:lineRule="exact"/>
        <w:rPr>
          <w:rFonts w:ascii="Times New Roman" w:hAnsi="Times New Roman"/>
          <w:lang w:val="es-PE"/>
        </w:rPr>
      </w:pPr>
    </w:p>
    <w:p w14:paraId="3377EC99" w14:textId="073BB320" w:rsidR="00F11E17" w:rsidRPr="005462DF" w:rsidRDefault="001779B3" w:rsidP="005462DF">
      <w:pPr>
        <w:pStyle w:val="Prrafodelista"/>
        <w:numPr>
          <w:ilvl w:val="0"/>
          <w:numId w:val="3"/>
        </w:numPr>
        <w:tabs>
          <w:tab w:val="left" w:pos="540"/>
        </w:tabs>
        <w:spacing w:after="0" w:line="246" w:lineRule="auto"/>
        <w:ind w:left="0" w:right="4" w:firstLine="0"/>
        <w:jc w:val="both"/>
        <w:rPr>
          <w:rFonts w:eastAsia="Verdana"/>
          <w:lang w:val="es-PE"/>
        </w:rPr>
      </w:pPr>
      <w:r>
        <w:rPr>
          <w:rFonts w:ascii="Verdana" w:eastAsia="Verdana" w:hAnsi="Verdana"/>
          <w:sz w:val="20"/>
          <w:szCs w:val="20"/>
          <w:lang w:val="es-PE"/>
        </w:rPr>
        <w:lastRenderedPageBreak/>
        <w:t xml:space="preserve">Las decisiones </w:t>
      </w:r>
      <w:r w:rsidR="00825FF3">
        <w:rPr>
          <w:rFonts w:ascii="Verdana" w:eastAsia="Verdana" w:hAnsi="Verdana"/>
          <w:sz w:val="20"/>
          <w:szCs w:val="20"/>
          <w:lang w:val="es-PE"/>
        </w:rPr>
        <w:t>de la Presidencia</w:t>
      </w:r>
      <w:r>
        <w:rPr>
          <w:rFonts w:ascii="Verdana" w:eastAsia="Verdana" w:hAnsi="Verdana"/>
          <w:sz w:val="20"/>
          <w:szCs w:val="20"/>
          <w:lang w:val="es-PE"/>
        </w:rPr>
        <w:t xml:space="preserve">, que no sean de mero trámite, son recurribles ante la Corte Interamericana de Derechos Humanos </w:t>
      </w:r>
      <w:r w:rsidR="00F92895">
        <w:rPr>
          <w:rFonts w:ascii="Verdana" w:eastAsia="Verdana" w:hAnsi="Verdana"/>
          <w:sz w:val="20"/>
          <w:szCs w:val="20"/>
          <w:lang w:val="es-PE"/>
        </w:rPr>
        <w:t>(en adelante “la Corte” o “el Tribunal”, en los términos del artículo 31.2 del Reglamento de este tribunal (en adelante “el Reglamento”).</w:t>
      </w:r>
      <w:r w:rsidR="005462DF">
        <w:rPr>
          <w:rFonts w:eastAsia="Verdana"/>
          <w:lang w:val="es-PE"/>
        </w:rPr>
        <w:t xml:space="preserve"> </w:t>
      </w:r>
      <w:r w:rsidR="00F11E17" w:rsidRPr="005462DF">
        <w:rPr>
          <w:rFonts w:ascii="Verdana" w:eastAsia="Verdana" w:hAnsi="Verdana"/>
          <w:sz w:val="20"/>
          <w:szCs w:val="20"/>
          <w:lang w:val="es-PE"/>
        </w:rPr>
        <w:t>El ofrecimiento y la admisión de la prueba, así como la citación de presuntas víctimas, testigos y peritos se encuentran regulados en los artículos 35.1.f, 40.2.c, 41.1.c, 46, 47, 48, 50, 52.3, 57 y 58 del Reglamento.</w:t>
      </w:r>
      <w:r w:rsidR="005462DF">
        <w:rPr>
          <w:rFonts w:eastAsia="Verdana"/>
          <w:lang w:val="es-PE"/>
        </w:rPr>
        <w:t xml:space="preserve"> </w:t>
      </w:r>
      <w:r w:rsidR="00F11E17" w:rsidRPr="005462DF">
        <w:rPr>
          <w:rFonts w:ascii="Verdana" w:eastAsia="Verdana" w:hAnsi="Verdana"/>
          <w:sz w:val="20"/>
          <w:szCs w:val="20"/>
          <w:lang w:val="es-PE"/>
        </w:rPr>
        <w:t>El Tribunal tiene amplias facultades en cuanto a la admisión y a la modalidad de recepción de la prueba, de conformidad con los artículos 46, 49 y 50 del Reglamento.</w:t>
      </w:r>
    </w:p>
    <w:p w14:paraId="185383DB" w14:textId="77777777" w:rsidR="005462DF" w:rsidRPr="005462DF" w:rsidRDefault="005462DF" w:rsidP="005462DF">
      <w:pPr>
        <w:pStyle w:val="Prrafodelista"/>
        <w:tabs>
          <w:tab w:val="left" w:pos="540"/>
        </w:tabs>
        <w:spacing w:after="0" w:line="246" w:lineRule="auto"/>
        <w:ind w:left="0" w:right="4"/>
        <w:jc w:val="both"/>
        <w:rPr>
          <w:rFonts w:eastAsia="Verdana"/>
          <w:lang w:val="es-PE"/>
        </w:rPr>
      </w:pPr>
    </w:p>
    <w:p w14:paraId="4E0A6C65" w14:textId="13B611D0" w:rsidR="00704E6C" w:rsidRPr="001E146E" w:rsidRDefault="00704E6C" w:rsidP="005462DF">
      <w:pPr>
        <w:pStyle w:val="Ttulo2"/>
        <w:tabs>
          <w:tab w:val="left" w:pos="709"/>
        </w:tabs>
        <w:ind w:left="0" w:firstLine="0"/>
        <w:jc w:val="both"/>
      </w:pPr>
      <w:r w:rsidRPr="001E146E">
        <w:t xml:space="preserve">Respecto de la </w:t>
      </w:r>
      <w:r w:rsidR="00825FF3" w:rsidRPr="001E146E">
        <w:t>solicitud del Estado en relación con el peritaje de Mauricio</w:t>
      </w:r>
      <w:r w:rsidR="008C6B0A">
        <w:t xml:space="preserve"> Santiago</w:t>
      </w:r>
      <w:r w:rsidR="00825FF3" w:rsidRPr="001E146E">
        <w:t xml:space="preserve"> Sosa</w:t>
      </w:r>
      <w:r w:rsidR="008C6B0A">
        <w:t xml:space="preserve"> Chiriboga</w:t>
      </w:r>
    </w:p>
    <w:p w14:paraId="00ED48F2" w14:textId="4A1AEBFF" w:rsidR="00704E6C" w:rsidRDefault="00704E6C" w:rsidP="00E83F2F">
      <w:pPr>
        <w:rPr>
          <w:rFonts w:eastAsia="Verdana"/>
          <w:lang w:val="es-PE"/>
        </w:rPr>
      </w:pPr>
    </w:p>
    <w:p w14:paraId="3770EC35" w14:textId="307AFE02" w:rsidR="001E146E" w:rsidRPr="005462DF" w:rsidRDefault="005462DF" w:rsidP="005462DF">
      <w:pPr>
        <w:ind w:firstLine="720"/>
        <w:rPr>
          <w:rFonts w:eastAsia="Verdana"/>
          <w:i/>
          <w:lang w:val="es-PE"/>
        </w:rPr>
      </w:pPr>
      <w:r>
        <w:rPr>
          <w:rFonts w:eastAsia="Verdana"/>
          <w:i/>
          <w:lang w:val="es-PE"/>
        </w:rPr>
        <w:t>A.1. Antecedentes</w:t>
      </w:r>
    </w:p>
    <w:p w14:paraId="5D05A90A" w14:textId="55405BD0" w:rsidR="005462DF" w:rsidRDefault="005462DF" w:rsidP="00E83F2F">
      <w:pPr>
        <w:rPr>
          <w:rFonts w:eastAsia="Verdana"/>
          <w:lang w:val="es-PE"/>
        </w:rPr>
      </w:pPr>
    </w:p>
    <w:p w14:paraId="5C37D7DD" w14:textId="354F2CC3" w:rsidR="005462DF" w:rsidRDefault="005462DF" w:rsidP="00815F27">
      <w:pPr>
        <w:pStyle w:val="Prrafodelista"/>
        <w:numPr>
          <w:ilvl w:val="0"/>
          <w:numId w:val="3"/>
        </w:numPr>
        <w:autoSpaceDE w:val="0"/>
        <w:autoSpaceDN w:val="0"/>
        <w:adjustRightInd w:val="0"/>
        <w:spacing w:after="0" w:line="240" w:lineRule="auto"/>
        <w:ind w:left="0" w:firstLine="0"/>
        <w:jc w:val="both"/>
        <w:rPr>
          <w:rFonts w:ascii="Verdana" w:hAnsi="Verdana" w:cs="TimesNewRomanPSMT"/>
          <w:sz w:val="20"/>
          <w:szCs w:val="20"/>
          <w:lang w:val="es-ES_tradnl"/>
        </w:rPr>
      </w:pPr>
      <w:r w:rsidRPr="005462DF">
        <w:rPr>
          <w:rFonts w:ascii="Verdana" w:hAnsi="Verdana"/>
          <w:sz w:val="20"/>
          <w:szCs w:val="20"/>
          <w:lang w:val="es-ES_tradnl"/>
        </w:rPr>
        <w:t>En su escrito de contestación, el Estado ofreció como prueba el peritaje de Mauricio Santiago Sosa</w:t>
      </w:r>
      <w:r w:rsidR="008C6B0A">
        <w:rPr>
          <w:rFonts w:ascii="Verdana" w:hAnsi="Verdana"/>
          <w:sz w:val="20"/>
          <w:szCs w:val="20"/>
          <w:lang w:val="es-ES_tradnl"/>
        </w:rPr>
        <w:t xml:space="preserve"> Chiriboga</w:t>
      </w:r>
      <w:r w:rsidRPr="005462DF">
        <w:rPr>
          <w:rFonts w:ascii="Verdana" w:hAnsi="Verdana"/>
          <w:sz w:val="20"/>
          <w:szCs w:val="20"/>
          <w:lang w:val="es-ES_tradnl"/>
        </w:rPr>
        <w:t>, quien presentaría un “</w:t>
      </w:r>
      <w:r w:rsidRPr="005462DF">
        <w:rPr>
          <w:rFonts w:ascii="Verdana" w:hAnsi="Verdana" w:cs="TimesNewRomanPSMT"/>
          <w:sz w:val="20"/>
          <w:szCs w:val="20"/>
          <w:lang w:val="es-ES_tradnl"/>
        </w:rPr>
        <w:t>informe comparativo sobre la situación financiera tanto de la Compañía Anónima El Universo como del señor Emilio Palacio Urrutia, durante el período comprendido entre los años 2009 a 2013, a partir de la información tributaria presentada en dicho período”</w:t>
      </w:r>
      <w:r w:rsidR="00CD4BD2">
        <w:rPr>
          <w:rFonts w:ascii="Verdana" w:hAnsi="Verdana" w:cs="TimesNewRomanPSMT"/>
          <w:sz w:val="20"/>
          <w:szCs w:val="20"/>
          <w:lang w:val="es-ES_tradnl"/>
        </w:rPr>
        <w:t>.</w:t>
      </w:r>
      <w:r w:rsidRPr="005462DF">
        <w:rPr>
          <w:rFonts w:ascii="Verdana" w:hAnsi="Verdana" w:cs="TimesNewRomanPSMT"/>
          <w:sz w:val="20"/>
          <w:szCs w:val="20"/>
          <w:lang w:val="es-ES_tradnl"/>
        </w:rPr>
        <w:t xml:space="preserve"> En relación con dicho ofrecimiento, el Estado solicitó que “a fin de que los citados profesionales puedan contar con toda la información necesaria para realizar sus respectivos peritajes, se solicita que la Corte Interamericana disponga a las presuntas víctimas facilitar el acceso a dicha información”</w:t>
      </w:r>
      <w:r w:rsidR="00CD4BD2">
        <w:rPr>
          <w:rFonts w:ascii="Verdana" w:hAnsi="Verdana" w:cs="TimesNewRomanPSMT"/>
          <w:sz w:val="20"/>
          <w:szCs w:val="20"/>
          <w:lang w:val="es-ES_tradnl"/>
        </w:rPr>
        <w:t>.</w:t>
      </w:r>
    </w:p>
    <w:p w14:paraId="6EE6D0DB" w14:textId="77777777" w:rsidR="005462DF" w:rsidRDefault="005462DF" w:rsidP="00815F27">
      <w:pPr>
        <w:pStyle w:val="Prrafodelista"/>
        <w:autoSpaceDE w:val="0"/>
        <w:autoSpaceDN w:val="0"/>
        <w:adjustRightInd w:val="0"/>
        <w:spacing w:after="0" w:line="240" w:lineRule="auto"/>
        <w:ind w:left="0"/>
        <w:jc w:val="both"/>
        <w:rPr>
          <w:rFonts w:ascii="Verdana" w:hAnsi="Verdana" w:cs="TimesNewRomanPSMT"/>
          <w:sz w:val="20"/>
          <w:szCs w:val="20"/>
          <w:lang w:val="es-ES_tradnl"/>
        </w:rPr>
      </w:pPr>
    </w:p>
    <w:p w14:paraId="30503242" w14:textId="02302569" w:rsidR="00815F27" w:rsidRDefault="005462DF" w:rsidP="00815F27">
      <w:pPr>
        <w:pStyle w:val="Prrafodelista"/>
        <w:numPr>
          <w:ilvl w:val="0"/>
          <w:numId w:val="3"/>
        </w:numPr>
        <w:autoSpaceDE w:val="0"/>
        <w:autoSpaceDN w:val="0"/>
        <w:adjustRightInd w:val="0"/>
        <w:spacing w:after="0" w:line="240" w:lineRule="auto"/>
        <w:ind w:left="0" w:firstLine="0"/>
        <w:jc w:val="both"/>
        <w:rPr>
          <w:rFonts w:ascii="Verdana" w:hAnsi="Verdana" w:cs="TimesNewRomanPSMT"/>
          <w:sz w:val="20"/>
          <w:szCs w:val="20"/>
          <w:lang w:val="es-ES_tradnl"/>
        </w:rPr>
      </w:pPr>
      <w:r w:rsidRPr="005462DF">
        <w:rPr>
          <w:rFonts w:ascii="Verdana" w:hAnsi="Verdana" w:cs="TimesNewRomanPSMT"/>
          <w:sz w:val="20"/>
          <w:szCs w:val="20"/>
          <w:lang w:val="es-ES_tradnl"/>
        </w:rPr>
        <w:t>Los representantes, en sus observaciones a la</w:t>
      </w:r>
      <w:r w:rsidR="008C6B0A">
        <w:rPr>
          <w:rFonts w:ascii="Verdana" w:hAnsi="Verdana" w:cs="TimesNewRomanPSMT"/>
          <w:sz w:val="20"/>
          <w:szCs w:val="20"/>
          <w:lang w:val="es-ES_tradnl"/>
        </w:rPr>
        <w:t>s</w:t>
      </w:r>
      <w:r w:rsidRPr="005462DF">
        <w:rPr>
          <w:rFonts w:ascii="Verdana" w:hAnsi="Verdana" w:cs="TimesNewRomanPSMT"/>
          <w:sz w:val="20"/>
          <w:szCs w:val="20"/>
          <w:lang w:val="es-ES_tradnl"/>
        </w:rPr>
        <w:t xml:space="preserve"> lista</w:t>
      </w:r>
      <w:r w:rsidR="008C6B0A">
        <w:rPr>
          <w:rFonts w:ascii="Verdana" w:hAnsi="Verdana" w:cs="TimesNewRomanPSMT"/>
          <w:sz w:val="20"/>
          <w:szCs w:val="20"/>
          <w:lang w:val="es-ES_tradnl"/>
        </w:rPr>
        <w:t>s</w:t>
      </w:r>
      <w:r w:rsidRPr="005462DF">
        <w:rPr>
          <w:rFonts w:ascii="Verdana" w:hAnsi="Verdana" w:cs="TimesNewRomanPSMT"/>
          <w:sz w:val="20"/>
          <w:szCs w:val="20"/>
          <w:lang w:val="es-ES_tradnl"/>
        </w:rPr>
        <w:t xml:space="preserve"> definitiva</w:t>
      </w:r>
      <w:r w:rsidR="008C6B0A">
        <w:rPr>
          <w:rFonts w:ascii="Verdana" w:hAnsi="Verdana" w:cs="TimesNewRomanPSMT"/>
          <w:sz w:val="20"/>
          <w:szCs w:val="20"/>
          <w:lang w:val="es-ES_tradnl"/>
        </w:rPr>
        <w:t>s</w:t>
      </w:r>
      <w:r w:rsidRPr="005462DF">
        <w:rPr>
          <w:rFonts w:ascii="Verdana" w:hAnsi="Verdana" w:cs="TimesNewRomanPSMT"/>
          <w:sz w:val="20"/>
          <w:szCs w:val="20"/>
          <w:lang w:val="es-ES_tradnl"/>
        </w:rPr>
        <w:t xml:space="preserve"> de declarantes, recusaron al perito Mauricio Sosa, </w:t>
      </w:r>
      <w:r w:rsidRPr="005462DF">
        <w:rPr>
          <w:rFonts w:ascii="Verdana" w:hAnsi="Verdana"/>
          <w:sz w:val="20"/>
          <w:szCs w:val="20"/>
        </w:rPr>
        <w:t xml:space="preserve">de conformidad con el artículo 48.1.c) del Reglamento, debido a que estaría afectado de imparcialidad, por la presión externa que supone que un peritaje contrario a los intereses del gobierno puede costarle su puesto de trabajo. Asimismo, </w:t>
      </w:r>
      <w:r w:rsidRPr="005462DF">
        <w:rPr>
          <w:rFonts w:ascii="Verdana" w:hAnsi="Verdana" w:cs="TimesNewRomanPSMT"/>
          <w:sz w:val="20"/>
          <w:szCs w:val="20"/>
          <w:lang w:val="es-ES_tradnl"/>
        </w:rPr>
        <w:t>manifestaron que “el ingeniero Sosa es un funcionario del Servicio de Rentas Internas,</w:t>
      </w:r>
      <w:r w:rsidR="008C6B0A">
        <w:rPr>
          <w:rFonts w:ascii="Verdana" w:hAnsi="Verdana" w:cs="TimesNewRomanPSMT"/>
          <w:sz w:val="20"/>
          <w:szCs w:val="20"/>
          <w:lang w:val="es-ES_tradnl"/>
        </w:rPr>
        <w:t xml:space="preserve"> por lo que</w:t>
      </w:r>
      <w:r w:rsidRPr="005462DF">
        <w:rPr>
          <w:rFonts w:ascii="Verdana" w:hAnsi="Verdana" w:cs="TimesNewRomanPSMT"/>
          <w:sz w:val="20"/>
          <w:szCs w:val="20"/>
          <w:lang w:val="es-ES_tradnl"/>
        </w:rPr>
        <w:t xml:space="preserve"> éste tiene una prohibición de utilizar información a la que haya podido tener acceso en el ejercicio de sus funciones. </w:t>
      </w:r>
      <w:r w:rsidRPr="005462DF">
        <w:rPr>
          <w:rFonts w:ascii="Verdana" w:hAnsi="Verdana" w:cs="TimesNewRomanPS-BoldMT"/>
          <w:bCs/>
          <w:sz w:val="20"/>
          <w:szCs w:val="20"/>
          <w:lang w:val="es-ES_tradnl"/>
        </w:rPr>
        <w:t>Por lo cual, de realizar un posible peritaje a partir de la información tributaria presentada ante el SRI, este tendría un carácter ilegal bajo el ordenamiento jurídico ecuatoriano</w:t>
      </w:r>
      <w:r w:rsidRPr="005462DF">
        <w:rPr>
          <w:rFonts w:ascii="Verdana" w:hAnsi="Verdana" w:cs="TimesNewRomanPSMT"/>
          <w:sz w:val="20"/>
          <w:szCs w:val="20"/>
          <w:lang w:val="es-ES_tradnl"/>
        </w:rPr>
        <w:t>”.</w:t>
      </w:r>
    </w:p>
    <w:p w14:paraId="4BC97B39" w14:textId="77777777" w:rsidR="00815F27" w:rsidRPr="00815F27" w:rsidRDefault="00815F27" w:rsidP="00815F27">
      <w:pPr>
        <w:rPr>
          <w:rFonts w:cs="Calibri"/>
          <w:lang w:val="es-ES_tradnl"/>
        </w:rPr>
      </w:pPr>
    </w:p>
    <w:p w14:paraId="71FED82F" w14:textId="0848486F" w:rsidR="00815F27" w:rsidRDefault="00815F27" w:rsidP="00815F27">
      <w:pPr>
        <w:pStyle w:val="Prrafodelista"/>
        <w:numPr>
          <w:ilvl w:val="0"/>
          <w:numId w:val="3"/>
        </w:numPr>
        <w:autoSpaceDE w:val="0"/>
        <w:autoSpaceDN w:val="0"/>
        <w:adjustRightInd w:val="0"/>
        <w:spacing w:after="0" w:line="240" w:lineRule="auto"/>
        <w:ind w:left="0" w:firstLine="0"/>
        <w:jc w:val="both"/>
        <w:rPr>
          <w:rFonts w:ascii="Verdana" w:hAnsi="Verdana" w:cs="TimesNewRomanPSMT"/>
          <w:sz w:val="20"/>
          <w:szCs w:val="20"/>
          <w:lang w:val="es-ES_tradnl"/>
        </w:rPr>
      </w:pPr>
      <w:r w:rsidRPr="00815F27">
        <w:rPr>
          <w:rFonts w:ascii="Verdana" w:hAnsi="Verdana" w:cs="Calibri"/>
          <w:sz w:val="20"/>
          <w:szCs w:val="20"/>
          <w:lang w:val="es-ES_tradnl"/>
        </w:rPr>
        <w:t xml:space="preserve">En la </w:t>
      </w:r>
      <w:r w:rsidR="006C07ED">
        <w:rPr>
          <w:rFonts w:ascii="Verdana" w:hAnsi="Verdana" w:cs="Calibri"/>
          <w:sz w:val="20"/>
          <w:szCs w:val="20"/>
          <w:lang w:val="es-ES_tradnl"/>
        </w:rPr>
        <w:t xml:space="preserve">Resolución de la </w:t>
      </w:r>
      <w:proofErr w:type="gramStart"/>
      <w:r w:rsidR="006C07ED">
        <w:rPr>
          <w:rFonts w:ascii="Verdana" w:hAnsi="Verdana" w:cs="Calibri"/>
          <w:sz w:val="20"/>
          <w:szCs w:val="20"/>
          <w:lang w:val="es-ES_tradnl"/>
        </w:rPr>
        <w:t>Presidenta</w:t>
      </w:r>
      <w:proofErr w:type="gramEnd"/>
      <w:r w:rsidRPr="00815F27">
        <w:rPr>
          <w:rFonts w:ascii="Verdana" w:hAnsi="Verdana" w:cs="Calibri"/>
          <w:sz w:val="20"/>
          <w:szCs w:val="20"/>
          <w:lang w:val="es-ES_tradnl"/>
        </w:rPr>
        <w:t xml:space="preserve"> de 12 de abril de 2021, la Presidenta rechazó la solicitud de recusación del perito</w:t>
      </w:r>
      <w:r w:rsidR="008C6B0A">
        <w:rPr>
          <w:rFonts w:ascii="Verdana" w:hAnsi="Verdana" w:cs="Calibri"/>
          <w:sz w:val="20"/>
          <w:szCs w:val="20"/>
          <w:lang w:val="es-ES_tradnl"/>
        </w:rPr>
        <w:t xml:space="preserve"> Mauricio Sosa</w:t>
      </w:r>
      <w:r w:rsidRPr="00815F27">
        <w:rPr>
          <w:rFonts w:ascii="Verdana" w:hAnsi="Verdana" w:cs="Calibri"/>
          <w:sz w:val="20"/>
          <w:szCs w:val="20"/>
          <w:lang w:val="es-ES_tradnl"/>
        </w:rPr>
        <w:t>, y resolvió lo siguiente</w:t>
      </w:r>
      <w:r>
        <w:rPr>
          <w:rFonts w:ascii="Verdana" w:hAnsi="Verdana" w:cs="Calibri"/>
          <w:sz w:val="20"/>
          <w:szCs w:val="20"/>
          <w:lang w:val="es-ES_tradnl"/>
        </w:rPr>
        <w:t xml:space="preserve"> en relación con la solicitud del Estado</w:t>
      </w:r>
      <w:r w:rsidR="008C6B0A">
        <w:rPr>
          <w:rFonts w:ascii="Verdana" w:hAnsi="Verdana" w:cs="Calibri"/>
          <w:sz w:val="20"/>
          <w:szCs w:val="20"/>
          <w:lang w:val="es-ES_tradnl"/>
        </w:rPr>
        <w:t xml:space="preserve"> presentada en su escrito de contestación</w:t>
      </w:r>
      <w:r w:rsidRPr="00815F27">
        <w:rPr>
          <w:rFonts w:ascii="Verdana" w:hAnsi="Verdana" w:cs="Calibri"/>
          <w:sz w:val="20"/>
          <w:szCs w:val="20"/>
          <w:lang w:val="es-ES_tradnl"/>
        </w:rPr>
        <w:t xml:space="preserve">: </w:t>
      </w:r>
    </w:p>
    <w:p w14:paraId="1DE547CF" w14:textId="77777777" w:rsidR="00815F27" w:rsidRPr="00815F27" w:rsidRDefault="00815F27" w:rsidP="00815F27">
      <w:pPr>
        <w:pStyle w:val="Prrafodelista"/>
        <w:rPr>
          <w:rFonts w:ascii="Verdana" w:hAnsi="Verdana" w:cs="Verdana"/>
          <w:sz w:val="20"/>
          <w:szCs w:val="20"/>
          <w:lang w:bidi="en-US"/>
        </w:rPr>
      </w:pPr>
    </w:p>
    <w:p w14:paraId="4EB46CF8" w14:textId="3D2E3C7D" w:rsidR="00815F27" w:rsidRPr="00815F27" w:rsidRDefault="00815F27" w:rsidP="00815F27">
      <w:pPr>
        <w:pStyle w:val="Prrafodelista"/>
        <w:autoSpaceDE w:val="0"/>
        <w:autoSpaceDN w:val="0"/>
        <w:adjustRightInd w:val="0"/>
        <w:spacing w:after="0" w:line="240" w:lineRule="auto"/>
        <w:ind w:right="899"/>
        <w:jc w:val="both"/>
        <w:rPr>
          <w:rFonts w:ascii="Verdana" w:hAnsi="Verdana" w:cs="TimesNewRomanPSMT"/>
          <w:sz w:val="18"/>
          <w:szCs w:val="18"/>
          <w:lang w:val="es-ES_tradnl"/>
        </w:rPr>
      </w:pPr>
      <w:r w:rsidRPr="00815F27">
        <w:rPr>
          <w:rFonts w:ascii="Verdana" w:hAnsi="Verdana" w:cs="Verdana"/>
          <w:sz w:val="18"/>
          <w:szCs w:val="18"/>
          <w:lang w:bidi="en-US"/>
        </w:rPr>
        <w:t xml:space="preserve">En ese sentido, y en relación a la solicitud del Estado respecto a que las presuntas víctimas faciliten el acceso a la información necesaria para la elaboración de dicho peritaje, la </w:t>
      </w:r>
      <w:proofErr w:type="gramStart"/>
      <w:r w:rsidRPr="00815F27">
        <w:rPr>
          <w:rFonts w:ascii="Verdana" w:hAnsi="Verdana" w:cs="Verdana"/>
          <w:sz w:val="18"/>
          <w:szCs w:val="18"/>
          <w:lang w:bidi="en-US"/>
        </w:rPr>
        <w:t>Presidenta</w:t>
      </w:r>
      <w:proofErr w:type="gramEnd"/>
      <w:r w:rsidRPr="00815F27">
        <w:rPr>
          <w:rFonts w:ascii="Verdana" w:hAnsi="Verdana" w:cs="Verdana"/>
          <w:sz w:val="18"/>
          <w:szCs w:val="18"/>
          <w:lang w:bidi="en-US"/>
        </w:rPr>
        <w:t xml:space="preserve"> considera que, dado que dicha información se encuentra en poder del Estado</w:t>
      </w:r>
      <w:r w:rsidRPr="00815F27">
        <w:rPr>
          <w:rFonts w:ascii="Verdana" w:hAnsi="Verdana"/>
          <w:sz w:val="18"/>
          <w:szCs w:val="18"/>
        </w:rPr>
        <w:t>, y ser éste quien ofrece la elaboración del peritaje del señor Sosa, dicha solicitud es improcedente</w:t>
      </w:r>
      <w:r w:rsidRPr="00815F27">
        <w:rPr>
          <w:rStyle w:val="Refdenotaalpie"/>
          <w:rFonts w:ascii="Verdana" w:hAnsi="Verdana"/>
          <w:sz w:val="18"/>
          <w:szCs w:val="18"/>
        </w:rPr>
        <w:footnoteReference w:id="2"/>
      </w:r>
      <w:r w:rsidRPr="00815F27">
        <w:rPr>
          <w:rFonts w:ascii="Verdana" w:hAnsi="Verdana"/>
          <w:sz w:val="18"/>
          <w:szCs w:val="18"/>
        </w:rPr>
        <w:t>.</w:t>
      </w:r>
    </w:p>
    <w:p w14:paraId="0C5CF47C" w14:textId="775F46DA" w:rsidR="005462DF" w:rsidRDefault="005462DF" w:rsidP="00E83F2F">
      <w:pPr>
        <w:rPr>
          <w:rFonts w:eastAsia="Verdana"/>
          <w:lang w:val="es-PE"/>
        </w:rPr>
      </w:pPr>
    </w:p>
    <w:p w14:paraId="7EC78D09" w14:textId="42BAA282" w:rsidR="005462DF" w:rsidRDefault="005462DF" w:rsidP="005462DF">
      <w:pPr>
        <w:ind w:firstLine="720"/>
        <w:rPr>
          <w:rFonts w:eastAsia="Verdana"/>
          <w:i/>
          <w:lang w:val="es-PE"/>
        </w:rPr>
      </w:pPr>
      <w:r>
        <w:rPr>
          <w:rFonts w:eastAsia="Verdana"/>
          <w:i/>
          <w:lang w:val="es-PE"/>
        </w:rPr>
        <w:t>A.2. Alegatos</w:t>
      </w:r>
    </w:p>
    <w:p w14:paraId="0CF9373C" w14:textId="46738A1E" w:rsidR="005462DF" w:rsidRDefault="005462DF" w:rsidP="005462DF">
      <w:pPr>
        <w:rPr>
          <w:rFonts w:eastAsia="Verdana"/>
          <w:lang w:val="es-PE"/>
        </w:rPr>
      </w:pPr>
    </w:p>
    <w:p w14:paraId="417A0522" w14:textId="6FCAADD4" w:rsidR="00815F27" w:rsidRPr="006A2D95" w:rsidRDefault="00815F27" w:rsidP="00875CEA">
      <w:pPr>
        <w:pStyle w:val="Prrafodelista"/>
        <w:numPr>
          <w:ilvl w:val="0"/>
          <w:numId w:val="3"/>
        </w:numPr>
        <w:tabs>
          <w:tab w:val="left" w:pos="540"/>
        </w:tabs>
        <w:spacing w:after="0" w:line="246" w:lineRule="auto"/>
        <w:ind w:left="0" w:right="48" w:firstLine="0"/>
        <w:jc w:val="both"/>
        <w:rPr>
          <w:rFonts w:ascii="Verdana" w:eastAsia="Verdana" w:hAnsi="Verdana"/>
          <w:sz w:val="20"/>
          <w:szCs w:val="20"/>
          <w:lang w:val="es-PE"/>
        </w:rPr>
      </w:pPr>
      <w:r w:rsidRPr="006A2D95">
        <w:rPr>
          <w:rFonts w:ascii="Verdana" w:eastAsia="Verdana" w:hAnsi="Verdana"/>
          <w:sz w:val="20"/>
          <w:szCs w:val="20"/>
          <w:lang w:val="es-PE"/>
        </w:rPr>
        <w:t xml:space="preserve">En relación con lo anterior, el </w:t>
      </w:r>
      <w:r w:rsidRPr="006A2D95">
        <w:rPr>
          <w:rFonts w:ascii="Verdana" w:eastAsia="Verdana" w:hAnsi="Verdana"/>
          <w:b/>
          <w:i/>
          <w:sz w:val="20"/>
          <w:szCs w:val="20"/>
          <w:lang w:val="es-PE"/>
        </w:rPr>
        <w:t xml:space="preserve">Estado </w:t>
      </w:r>
      <w:r w:rsidRPr="006A2D95">
        <w:rPr>
          <w:rFonts w:ascii="Verdana" w:eastAsia="Verdana" w:hAnsi="Verdana"/>
          <w:sz w:val="20"/>
          <w:szCs w:val="20"/>
          <w:lang w:val="es-PE"/>
        </w:rPr>
        <w:t>expresó, mediante escrito de 14 de mayo de 2021 (</w:t>
      </w:r>
      <w:r w:rsidRPr="006A2D95">
        <w:rPr>
          <w:rFonts w:ascii="Verdana" w:eastAsia="Verdana" w:hAnsi="Verdana"/>
          <w:i/>
          <w:sz w:val="20"/>
          <w:szCs w:val="20"/>
          <w:lang w:val="es-PE"/>
        </w:rPr>
        <w:t xml:space="preserve">supra </w:t>
      </w:r>
      <w:r w:rsidRPr="006A2D95">
        <w:rPr>
          <w:rFonts w:ascii="Verdana" w:eastAsia="Verdana" w:hAnsi="Verdana"/>
          <w:sz w:val="20"/>
          <w:szCs w:val="20"/>
          <w:lang w:val="es-PE"/>
        </w:rPr>
        <w:t>párr. 2)</w:t>
      </w:r>
      <w:r w:rsidR="006A2D95" w:rsidRPr="006A2D95">
        <w:rPr>
          <w:rFonts w:ascii="Verdana" w:eastAsia="Verdana" w:hAnsi="Verdana"/>
          <w:sz w:val="20"/>
          <w:szCs w:val="20"/>
          <w:lang w:val="es-PE"/>
        </w:rPr>
        <w:t xml:space="preserve">, </w:t>
      </w:r>
      <w:r w:rsidRPr="006A2D95">
        <w:rPr>
          <w:rFonts w:ascii="Verdana" w:eastAsia="Verdana" w:hAnsi="Verdana"/>
          <w:sz w:val="20"/>
          <w:szCs w:val="20"/>
          <w:lang w:val="es-PE"/>
        </w:rPr>
        <w:t xml:space="preserve">que, a fin de que el </w:t>
      </w:r>
      <w:r w:rsidR="009007DC">
        <w:rPr>
          <w:rFonts w:ascii="Verdana" w:eastAsia="Verdana" w:hAnsi="Verdana"/>
          <w:sz w:val="20"/>
          <w:szCs w:val="20"/>
          <w:lang w:val="es-PE"/>
        </w:rPr>
        <w:t xml:space="preserve">señor </w:t>
      </w:r>
      <w:r w:rsidRPr="006A2D95">
        <w:rPr>
          <w:rFonts w:ascii="Verdana" w:eastAsia="Verdana" w:hAnsi="Verdana"/>
          <w:sz w:val="20"/>
          <w:szCs w:val="20"/>
          <w:lang w:val="es-PE"/>
        </w:rPr>
        <w:t xml:space="preserve">Mauricio Sosa </w:t>
      </w:r>
      <w:r w:rsidR="009007DC">
        <w:rPr>
          <w:rFonts w:ascii="Verdana" w:eastAsia="Verdana" w:hAnsi="Verdana"/>
          <w:sz w:val="20"/>
          <w:szCs w:val="20"/>
          <w:lang w:val="es-PE"/>
        </w:rPr>
        <w:t xml:space="preserve">Chiriboga </w:t>
      </w:r>
      <w:r w:rsidRPr="006A2D95">
        <w:rPr>
          <w:rFonts w:ascii="Verdana" w:eastAsia="Verdana" w:hAnsi="Verdana"/>
          <w:sz w:val="20"/>
          <w:szCs w:val="20"/>
          <w:lang w:val="es-PE"/>
        </w:rPr>
        <w:t>pueda realizar su informe pericial en</w:t>
      </w:r>
      <w:r w:rsidR="006A2D95" w:rsidRPr="006A2D95">
        <w:rPr>
          <w:rFonts w:ascii="Verdana" w:eastAsia="Verdana" w:hAnsi="Verdana"/>
          <w:sz w:val="20"/>
          <w:szCs w:val="20"/>
          <w:lang w:val="es-PE"/>
        </w:rPr>
        <w:t xml:space="preserve"> los</w:t>
      </w:r>
      <w:r w:rsidR="006C07ED">
        <w:rPr>
          <w:rFonts w:ascii="Verdana" w:eastAsia="Verdana" w:hAnsi="Verdana"/>
          <w:sz w:val="20"/>
          <w:szCs w:val="20"/>
          <w:lang w:val="es-PE"/>
        </w:rPr>
        <w:t xml:space="preserve"> términos de la R</w:t>
      </w:r>
      <w:r w:rsidRPr="006A2D95">
        <w:rPr>
          <w:rFonts w:ascii="Verdana" w:eastAsia="Verdana" w:hAnsi="Verdana"/>
          <w:sz w:val="20"/>
          <w:szCs w:val="20"/>
          <w:lang w:val="es-PE"/>
        </w:rPr>
        <w:t xml:space="preserve">esolución de la </w:t>
      </w:r>
      <w:proofErr w:type="gramStart"/>
      <w:r w:rsidRPr="006A2D95">
        <w:rPr>
          <w:rFonts w:ascii="Verdana" w:eastAsia="Verdana" w:hAnsi="Verdana"/>
          <w:sz w:val="20"/>
          <w:szCs w:val="20"/>
          <w:lang w:val="es-PE"/>
        </w:rPr>
        <w:t>Presidenta</w:t>
      </w:r>
      <w:proofErr w:type="gramEnd"/>
      <w:r w:rsidRPr="006A2D95">
        <w:rPr>
          <w:rFonts w:ascii="Verdana" w:eastAsia="Verdana" w:hAnsi="Verdana"/>
          <w:sz w:val="20"/>
          <w:szCs w:val="20"/>
          <w:lang w:val="es-PE"/>
        </w:rPr>
        <w:t xml:space="preserve"> de 12 de abril de 2021, requiere al Pleno de la Corte que autorice al perito utilizar la información tributaria y sus anexos que hayan sido reportados tanto por el señor Emilio Palacio Urrutia y por la Compañía El Universo </w:t>
      </w:r>
      <w:r w:rsidRPr="006A2D95">
        <w:rPr>
          <w:rFonts w:ascii="Verdana" w:eastAsia="Verdana" w:hAnsi="Verdana"/>
          <w:sz w:val="20"/>
          <w:szCs w:val="20"/>
          <w:lang w:val="es-PE"/>
        </w:rPr>
        <w:lastRenderedPageBreak/>
        <w:t>durante el per</w:t>
      </w:r>
      <w:r w:rsidR="00CD4BD2">
        <w:rPr>
          <w:rFonts w:ascii="Verdana" w:eastAsia="Verdana" w:hAnsi="Verdana"/>
          <w:sz w:val="20"/>
          <w:szCs w:val="20"/>
          <w:lang w:val="es-PE"/>
        </w:rPr>
        <w:t>í</w:t>
      </w:r>
      <w:r w:rsidRPr="006A2D95">
        <w:rPr>
          <w:rFonts w:ascii="Verdana" w:eastAsia="Verdana" w:hAnsi="Verdana"/>
          <w:sz w:val="20"/>
          <w:szCs w:val="20"/>
          <w:lang w:val="es-PE"/>
        </w:rPr>
        <w:t xml:space="preserve">odo 2009-2020. Asimismo, solicitó que </w:t>
      </w:r>
      <w:r w:rsidR="009007DC">
        <w:rPr>
          <w:rFonts w:ascii="Verdana" w:eastAsia="Verdana" w:hAnsi="Verdana"/>
          <w:sz w:val="20"/>
          <w:szCs w:val="20"/>
          <w:lang w:val="es-PE"/>
        </w:rPr>
        <w:t xml:space="preserve">se le </w:t>
      </w:r>
      <w:r w:rsidRPr="006A2D95">
        <w:rPr>
          <w:rFonts w:ascii="Verdana" w:eastAsia="Verdana" w:hAnsi="Verdana"/>
          <w:sz w:val="20"/>
          <w:szCs w:val="20"/>
          <w:lang w:val="es-PE"/>
        </w:rPr>
        <w:t xml:space="preserve">ofrezcan garantías de protección al </w:t>
      </w:r>
      <w:r w:rsidR="009007DC">
        <w:rPr>
          <w:rFonts w:ascii="Verdana" w:eastAsia="Verdana" w:hAnsi="Verdana"/>
          <w:sz w:val="20"/>
          <w:szCs w:val="20"/>
          <w:lang w:val="es-PE"/>
        </w:rPr>
        <w:t xml:space="preserve">señor Sosa Chiriboga </w:t>
      </w:r>
      <w:r w:rsidRPr="006A2D95">
        <w:rPr>
          <w:rFonts w:ascii="Verdana" w:eastAsia="Verdana" w:hAnsi="Verdana"/>
          <w:sz w:val="20"/>
          <w:szCs w:val="20"/>
          <w:lang w:val="es-PE"/>
        </w:rPr>
        <w:t>para que pueda desarrollar su informe pericial sin temor, y solicitaron que se suspenda el plazo para la presentación del peritaje.</w:t>
      </w:r>
      <w:r w:rsidR="006A2D95" w:rsidRPr="006A2D95">
        <w:rPr>
          <w:rFonts w:ascii="Verdana" w:eastAsia="Verdana" w:hAnsi="Verdana"/>
          <w:sz w:val="20"/>
          <w:szCs w:val="20"/>
          <w:lang w:val="es-PE"/>
        </w:rPr>
        <w:t xml:space="preserve"> </w:t>
      </w:r>
      <w:r w:rsidRPr="006A2D95">
        <w:rPr>
          <w:rFonts w:ascii="Verdana" w:eastAsia="Verdana" w:hAnsi="Verdana"/>
          <w:sz w:val="20"/>
          <w:szCs w:val="20"/>
          <w:lang w:val="es-PE"/>
        </w:rPr>
        <w:t xml:space="preserve">Los </w:t>
      </w:r>
      <w:r w:rsidRPr="006A2D95">
        <w:rPr>
          <w:rFonts w:ascii="Verdana" w:eastAsia="Verdana" w:hAnsi="Verdana"/>
          <w:b/>
          <w:i/>
          <w:sz w:val="20"/>
          <w:szCs w:val="20"/>
          <w:lang w:val="es-PE"/>
        </w:rPr>
        <w:t xml:space="preserve">representantes </w:t>
      </w:r>
      <w:r w:rsidRPr="006A2D95">
        <w:rPr>
          <w:rFonts w:ascii="Verdana" w:eastAsia="Verdana" w:hAnsi="Verdana"/>
          <w:sz w:val="20"/>
          <w:szCs w:val="20"/>
          <w:lang w:val="es-PE"/>
        </w:rPr>
        <w:t>reiteraron su posición a lo largo del proceso, respecto de la inadmisibilidad del peritaje ofrecido por el Estado</w:t>
      </w:r>
      <w:r w:rsidR="00675E27" w:rsidRPr="006A2D95">
        <w:rPr>
          <w:rFonts w:ascii="Verdana" w:eastAsia="Verdana" w:hAnsi="Verdana"/>
          <w:sz w:val="20"/>
          <w:szCs w:val="20"/>
          <w:lang w:val="es-PE"/>
        </w:rPr>
        <w:t>,</w:t>
      </w:r>
      <w:r w:rsidR="006A2D95" w:rsidRPr="006A2D95">
        <w:rPr>
          <w:rFonts w:ascii="Verdana" w:eastAsia="Verdana" w:hAnsi="Verdana"/>
          <w:sz w:val="20"/>
          <w:szCs w:val="20"/>
          <w:lang w:val="es-PE"/>
        </w:rPr>
        <w:t xml:space="preserve"> y</w:t>
      </w:r>
      <w:r w:rsidRPr="006A2D95">
        <w:rPr>
          <w:rFonts w:ascii="Verdana" w:eastAsia="Verdana" w:hAnsi="Verdana"/>
          <w:sz w:val="20"/>
          <w:szCs w:val="20"/>
          <w:lang w:val="es-PE"/>
        </w:rPr>
        <w:t xml:space="preserve"> estimaron que la impugnación del Estado es impertinente e improcedente. </w:t>
      </w:r>
      <w:r w:rsidR="006A2D95">
        <w:rPr>
          <w:rFonts w:ascii="Verdana" w:eastAsia="Verdana" w:hAnsi="Verdana"/>
          <w:sz w:val="20"/>
          <w:szCs w:val="20"/>
          <w:lang w:val="es-PE"/>
        </w:rPr>
        <w:t>L</w:t>
      </w:r>
      <w:r w:rsidRPr="006A2D95">
        <w:rPr>
          <w:rFonts w:ascii="Verdana" w:eastAsia="Verdana" w:hAnsi="Verdana"/>
          <w:sz w:val="20"/>
          <w:szCs w:val="20"/>
          <w:lang w:val="es-PE"/>
        </w:rPr>
        <w:t xml:space="preserve">a </w:t>
      </w:r>
      <w:r w:rsidRPr="006A2D95">
        <w:rPr>
          <w:rFonts w:ascii="Verdana" w:eastAsia="Verdana" w:hAnsi="Verdana"/>
          <w:b/>
          <w:i/>
          <w:sz w:val="20"/>
          <w:szCs w:val="20"/>
          <w:lang w:val="es-PE"/>
        </w:rPr>
        <w:t xml:space="preserve">Comisión </w:t>
      </w:r>
      <w:r w:rsidRPr="006A2D95">
        <w:rPr>
          <w:rFonts w:ascii="Verdana" w:eastAsia="Verdana" w:hAnsi="Verdana"/>
          <w:sz w:val="20"/>
          <w:szCs w:val="20"/>
          <w:lang w:val="es-PE"/>
        </w:rPr>
        <w:t>observó</w:t>
      </w:r>
      <w:r w:rsidR="003C41EF" w:rsidRPr="006A2D95">
        <w:rPr>
          <w:rFonts w:ascii="Verdana" w:eastAsia="Verdana" w:hAnsi="Verdana"/>
          <w:sz w:val="20"/>
          <w:szCs w:val="20"/>
          <w:lang w:val="es-PE"/>
        </w:rPr>
        <w:t xml:space="preserve"> que</w:t>
      </w:r>
      <w:r w:rsidRPr="006A2D95">
        <w:rPr>
          <w:rFonts w:ascii="Verdana" w:eastAsiaTheme="minorHAnsi" w:hAnsi="Verdana" w:cs="Cambria"/>
          <w:sz w:val="20"/>
          <w:szCs w:val="20"/>
          <w:lang w:val="es-ES_tradnl"/>
        </w:rPr>
        <w:t xml:space="preserve"> </w:t>
      </w:r>
      <w:r w:rsidR="003C41EF" w:rsidRPr="006A2D95">
        <w:rPr>
          <w:rFonts w:ascii="Verdana" w:eastAsiaTheme="minorHAnsi" w:hAnsi="Verdana" w:cs="Cambria"/>
          <w:sz w:val="20"/>
          <w:szCs w:val="20"/>
          <w:lang w:val="es-ES_tradnl"/>
        </w:rPr>
        <w:t xml:space="preserve">es </w:t>
      </w:r>
      <w:r w:rsidRPr="006A2D95">
        <w:rPr>
          <w:rFonts w:ascii="Verdana" w:eastAsiaTheme="minorHAnsi" w:hAnsi="Verdana" w:cs="Cambria"/>
          <w:sz w:val="20"/>
          <w:szCs w:val="20"/>
          <w:lang w:val="es-ES_tradnl"/>
        </w:rPr>
        <w:t>importan</w:t>
      </w:r>
      <w:r w:rsidR="003C41EF" w:rsidRPr="006A2D95">
        <w:rPr>
          <w:rFonts w:ascii="Verdana" w:eastAsiaTheme="minorHAnsi" w:hAnsi="Verdana" w:cs="Cambria"/>
          <w:sz w:val="20"/>
          <w:szCs w:val="20"/>
          <w:lang w:val="es-ES_tradnl"/>
        </w:rPr>
        <w:t>te</w:t>
      </w:r>
      <w:r w:rsidRPr="006A2D95">
        <w:rPr>
          <w:rFonts w:ascii="Verdana" w:eastAsiaTheme="minorHAnsi" w:hAnsi="Verdana" w:cs="Cambria"/>
          <w:sz w:val="20"/>
          <w:szCs w:val="20"/>
          <w:lang w:val="es-ES_tradnl"/>
        </w:rPr>
        <w:t xml:space="preserve"> contar con las precisiones correspondientes a lo estipulado en el párrafo 46 de la Resolución de la </w:t>
      </w:r>
      <w:proofErr w:type="gramStart"/>
      <w:r w:rsidRPr="006A2D95">
        <w:rPr>
          <w:rFonts w:ascii="Verdana" w:eastAsiaTheme="minorHAnsi" w:hAnsi="Verdana" w:cs="Cambria"/>
          <w:sz w:val="20"/>
          <w:szCs w:val="20"/>
          <w:lang w:val="es-ES_tradnl"/>
        </w:rPr>
        <w:t>Presidenta</w:t>
      </w:r>
      <w:proofErr w:type="gramEnd"/>
      <w:r w:rsidRPr="006A2D95">
        <w:rPr>
          <w:rFonts w:ascii="Verdana" w:eastAsiaTheme="minorHAnsi" w:hAnsi="Verdana" w:cs="Cambria"/>
          <w:sz w:val="20"/>
          <w:szCs w:val="20"/>
          <w:lang w:val="es-ES_tradnl"/>
        </w:rPr>
        <w:t>.</w:t>
      </w:r>
    </w:p>
    <w:p w14:paraId="555E33BC" w14:textId="77777777" w:rsidR="005462DF" w:rsidRPr="005462DF" w:rsidRDefault="005462DF" w:rsidP="005462DF">
      <w:pPr>
        <w:rPr>
          <w:rFonts w:eastAsia="Verdana"/>
          <w:lang w:val="es-PE"/>
        </w:rPr>
      </w:pPr>
    </w:p>
    <w:p w14:paraId="42D2A0B5" w14:textId="1FA66220" w:rsidR="005462DF" w:rsidRDefault="005462DF" w:rsidP="005462DF">
      <w:pPr>
        <w:ind w:firstLine="720"/>
        <w:rPr>
          <w:rFonts w:eastAsia="Verdana"/>
          <w:i/>
          <w:lang w:val="es-PE"/>
        </w:rPr>
      </w:pPr>
      <w:r>
        <w:rPr>
          <w:rFonts w:eastAsia="Verdana"/>
          <w:i/>
          <w:lang w:val="es-PE"/>
        </w:rPr>
        <w:t>A.3. Resolución</w:t>
      </w:r>
    </w:p>
    <w:p w14:paraId="2F3C7AED" w14:textId="35A64DD4" w:rsidR="005462DF" w:rsidRPr="005462DF" w:rsidRDefault="005462DF" w:rsidP="005462DF">
      <w:pPr>
        <w:rPr>
          <w:rFonts w:eastAsia="Verdana"/>
          <w:lang w:val="es-PE"/>
        </w:rPr>
      </w:pPr>
    </w:p>
    <w:p w14:paraId="18A99994" w14:textId="77D01095" w:rsidR="00F041D7" w:rsidRPr="006A2D95" w:rsidRDefault="00DE081B" w:rsidP="006A2D95">
      <w:pPr>
        <w:pStyle w:val="Prrafodelista"/>
        <w:numPr>
          <w:ilvl w:val="0"/>
          <w:numId w:val="3"/>
        </w:numPr>
        <w:spacing w:line="240" w:lineRule="auto"/>
        <w:ind w:left="0" w:firstLine="0"/>
        <w:jc w:val="both"/>
        <w:rPr>
          <w:rFonts w:ascii="Verdana" w:eastAsia="Verdana" w:hAnsi="Verdana"/>
          <w:sz w:val="20"/>
          <w:szCs w:val="20"/>
          <w:lang w:val="es-PE"/>
        </w:rPr>
      </w:pPr>
      <w:r w:rsidRPr="006A2D95">
        <w:rPr>
          <w:rFonts w:ascii="Verdana" w:eastAsia="Verdana" w:hAnsi="Verdana"/>
          <w:sz w:val="20"/>
          <w:szCs w:val="20"/>
          <w:lang w:val="es-PE"/>
        </w:rPr>
        <w:t xml:space="preserve">En relación con lo anterior, la Corte </w:t>
      </w:r>
      <w:r w:rsidR="00F041D7" w:rsidRPr="006A2D95">
        <w:rPr>
          <w:rFonts w:ascii="Verdana" w:eastAsia="Verdana" w:hAnsi="Verdana"/>
          <w:sz w:val="20"/>
          <w:szCs w:val="20"/>
          <w:lang w:val="es-PE"/>
        </w:rPr>
        <w:t>considera que,</w:t>
      </w:r>
      <w:r w:rsidR="00CC17A4" w:rsidRPr="006A2D95">
        <w:rPr>
          <w:rFonts w:ascii="Verdana" w:eastAsia="Verdana" w:hAnsi="Verdana"/>
          <w:sz w:val="20"/>
          <w:szCs w:val="20"/>
          <w:lang w:val="es-PE"/>
        </w:rPr>
        <w:t xml:space="preserve"> </w:t>
      </w:r>
      <w:r w:rsidR="00F041D7" w:rsidRPr="006A2D95">
        <w:rPr>
          <w:rFonts w:ascii="Verdana" w:eastAsia="Verdana" w:hAnsi="Verdana"/>
          <w:sz w:val="20"/>
          <w:szCs w:val="20"/>
          <w:lang w:val="es-PE"/>
        </w:rPr>
        <w:t xml:space="preserve">en </w:t>
      </w:r>
      <w:r w:rsidR="00CC17A4" w:rsidRPr="006A2D95">
        <w:rPr>
          <w:rFonts w:ascii="Verdana" w:eastAsia="Verdana" w:hAnsi="Verdana"/>
          <w:sz w:val="20"/>
          <w:szCs w:val="20"/>
          <w:lang w:val="es-PE"/>
        </w:rPr>
        <w:t xml:space="preserve">el ofrecimiento de la prueba, como regla general, es </w:t>
      </w:r>
      <w:r w:rsidR="00601112" w:rsidRPr="006A2D95">
        <w:rPr>
          <w:rFonts w:ascii="Verdana" w:eastAsia="Verdana" w:hAnsi="Verdana"/>
          <w:sz w:val="20"/>
          <w:szCs w:val="20"/>
          <w:lang w:val="es-PE"/>
        </w:rPr>
        <w:t>l</w:t>
      </w:r>
      <w:r w:rsidR="00F041D7" w:rsidRPr="006A2D95">
        <w:rPr>
          <w:rFonts w:ascii="Verdana" w:eastAsia="Verdana" w:hAnsi="Verdana"/>
          <w:sz w:val="20"/>
          <w:szCs w:val="20"/>
          <w:lang w:val="es-PE"/>
        </w:rPr>
        <w:t>a parte que</w:t>
      </w:r>
      <w:r w:rsidR="00601112" w:rsidRPr="006A2D95">
        <w:rPr>
          <w:rFonts w:ascii="Verdana" w:eastAsia="Verdana" w:hAnsi="Verdana"/>
          <w:sz w:val="20"/>
          <w:szCs w:val="20"/>
          <w:lang w:val="es-PE"/>
        </w:rPr>
        <w:t xml:space="preserve"> ofrece</w:t>
      </w:r>
      <w:r w:rsidR="00CC17A4" w:rsidRPr="006A2D95">
        <w:rPr>
          <w:rFonts w:ascii="Verdana" w:eastAsia="Verdana" w:hAnsi="Verdana"/>
          <w:sz w:val="20"/>
          <w:szCs w:val="20"/>
          <w:lang w:val="es-PE"/>
        </w:rPr>
        <w:t xml:space="preserve"> </w:t>
      </w:r>
      <w:r w:rsidR="00601112" w:rsidRPr="006A2D95">
        <w:rPr>
          <w:rFonts w:ascii="Verdana" w:eastAsia="Verdana" w:hAnsi="Verdana"/>
          <w:sz w:val="20"/>
          <w:szCs w:val="20"/>
          <w:lang w:val="es-PE"/>
        </w:rPr>
        <w:t>quien debe realizar los actos necesarios para la producción de dicha prueba, lo que incluye</w:t>
      </w:r>
      <w:r w:rsidR="00F041D7" w:rsidRPr="006A2D95">
        <w:rPr>
          <w:rFonts w:ascii="Verdana" w:eastAsia="Verdana" w:hAnsi="Verdana"/>
          <w:sz w:val="20"/>
          <w:szCs w:val="20"/>
          <w:lang w:val="es-PE"/>
        </w:rPr>
        <w:t>, de ser el caso,</w:t>
      </w:r>
      <w:r w:rsidR="00601112" w:rsidRPr="006A2D95">
        <w:rPr>
          <w:rFonts w:ascii="Verdana" w:eastAsia="Verdana" w:hAnsi="Verdana"/>
          <w:sz w:val="20"/>
          <w:szCs w:val="20"/>
          <w:lang w:val="es-PE"/>
        </w:rPr>
        <w:t xml:space="preserve"> proveer la información necesaria para que los peritos</w:t>
      </w:r>
      <w:r w:rsidR="00F041D7" w:rsidRPr="006A2D95">
        <w:rPr>
          <w:rFonts w:ascii="Verdana" w:eastAsia="Verdana" w:hAnsi="Verdana"/>
          <w:sz w:val="20"/>
          <w:szCs w:val="20"/>
          <w:lang w:val="es-PE"/>
        </w:rPr>
        <w:t xml:space="preserve"> </w:t>
      </w:r>
      <w:r w:rsidR="00601112" w:rsidRPr="006A2D95">
        <w:rPr>
          <w:rFonts w:ascii="Verdana" w:eastAsia="Verdana" w:hAnsi="Verdana"/>
          <w:sz w:val="20"/>
          <w:szCs w:val="20"/>
          <w:lang w:val="es-PE"/>
        </w:rPr>
        <w:t>realicen sus dictámenes. Sin embargo, la C</w:t>
      </w:r>
      <w:r w:rsidR="006A2D95">
        <w:rPr>
          <w:rFonts w:ascii="Verdana" w:eastAsia="Verdana" w:hAnsi="Verdana"/>
          <w:sz w:val="20"/>
          <w:szCs w:val="20"/>
          <w:lang w:val="es-PE"/>
        </w:rPr>
        <w:t>orte constat</w:t>
      </w:r>
      <w:r w:rsidR="00601112" w:rsidRPr="006A2D95">
        <w:rPr>
          <w:rFonts w:ascii="Verdana" w:eastAsia="Verdana" w:hAnsi="Verdana"/>
          <w:sz w:val="20"/>
          <w:szCs w:val="20"/>
          <w:lang w:val="es-PE"/>
        </w:rPr>
        <w:t xml:space="preserve">a que, en el presente caso, la elaboración del dictamen pericial del señor Mauricio Sosa se encuentra supeditada a </w:t>
      </w:r>
      <w:r w:rsidR="004026DA">
        <w:rPr>
          <w:rFonts w:ascii="Verdana" w:eastAsia="Verdana" w:hAnsi="Verdana"/>
          <w:sz w:val="20"/>
          <w:szCs w:val="20"/>
          <w:lang w:val="es-PE"/>
        </w:rPr>
        <w:t>una</w:t>
      </w:r>
      <w:r w:rsidR="004026DA" w:rsidRPr="006A2D95">
        <w:rPr>
          <w:rFonts w:ascii="Verdana" w:eastAsia="Verdana" w:hAnsi="Verdana"/>
          <w:sz w:val="20"/>
          <w:szCs w:val="20"/>
          <w:lang w:val="es-PE"/>
        </w:rPr>
        <w:t xml:space="preserve"> </w:t>
      </w:r>
      <w:r w:rsidR="00601112" w:rsidRPr="006A2D95">
        <w:rPr>
          <w:rFonts w:ascii="Verdana" w:eastAsia="Verdana" w:hAnsi="Verdana"/>
          <w:sz w:val="20"/>
          <w:szCs w:val="20"/>
          <w:lang w:val="es-PE"/>
        </w:rPr>
        <w:t>autorización</w:t>
      </w:r>
      <w:r w:rsidR="002F1B45">
        <w:rPr>
          <w:rFonts w:ascii="Verdana" w:eastAsia="Verdana" w:hAnsi="Verdana"/>
          <w:sz w:val="20"/>
          <w:szCs w:val="20"/>
          <w:lang w:val="es-PE"/>
        </w:rPr>
        <w:t xml:space="preserve"> expresa</w:t>
      </w:r>
      <w:r w:rsidR="004026DA">
        <w:rPr>
          <w:rFonts w:ascii="Verdana" w:eastAsia="Verdana" w:hAnsi="Verdana"/>
          <w:sz w:val="20"/>
          <w:szCs w:val="20"/>
          <w:lang w:val="es-PE"/>
        </w:rPr>
        <w:t xml:space="preserve"> para acceder a la documentación respectiva que obra en poder del Estado, sea a trav</w:t>
      </w:r>
      <w:r w:rsidR="002F1B45">
        <w:rPr>
          <w:rFonts w:ascii="Verdana" w:eastAsia="Verdana" w:hAnsi="Verdana"/>
          <w:sz w:val="20"/>
          <w:szCs w:val="20"/>
          <w:lang w:val="es-PE"/>
        </w:rPr>
        <w:t xml:space="preserve">és de </w:t>
      </w:r>
      <w:r w:rsidR="004026DA">
        <w:rPr>
          <w:rFonts w:ascii="Verdana" w:eastAsia="Verdana" w:hAnsi="Verdana"/>
          <w:sz w:val="20"/>
          <w:szCs w:val="20"/>
          <w:lang w:val="es-PE"/>
        </w:rPr>
        <w:t>las presuntas víctimas</w:t>
      </w:r>
      <w:r w:rsidR="00DF273B">
        <w:rPr>
          <w:rFonts w:ascii="Verdana" w:eastAsia="Verdana" w:hAnsi="Verdana"/>
          <w:sz w:val="20"/>
          <w:szCs w:val="20"/>
          <w:lang w:val="es-PE"/>
        </w:rPr>
        <w:t>,</w:t>
      </w:r>
      <w:r w:rsidR="00601112" w:rsidRPr="006A2D95">
        <w:rPr>
          <w:rFonts w:ascii="Verdana" w:eastAsia="Verdana" w:hAnsi="Verdana"/>
          <w:sz w:val="20"/>
          <w:szCs w:val="20"/>
          <w:lang w:val="es-PE"/>
        </w:rPr>
        <w:t xml:space="preserve"> o bien mediante una orden judicial, pues de lo contrario el perito podría incurrir en una violación al ordenamiento jurídico ecuatoriano.</w:t>
      </w:r>
    </w:p>
    <w:p w14:paraId="584D5BD5" w14:textId="77777777" w:rsidR="00F041D7" w:rsidRPr="006A2D95" w:rsidRDefault="00F041D7" w:rsidP="006A2D95">
      <w:pPr>
        <w:pStyle w:val="Prrafodelista"/>
        <w:spacing w:line="240" w:lineRule="auto"/>
        <w:ind w:left="0"/>
        <w:jc w:val="both"/>
        <w:rPr>
          <w:rFonts w:ascii="Verdana" w:eastAsia="Verdana" w:hAnsi="Verdana"/>
          <w:sz w:val="20"/>
          <w:szCs w:val="20"/>
          <w:lang w:val="es-PE"/>
        </w:rPr>
      </w:pPr>
    </w:p>
    <w:p w14:paraId="1245C5D4" w14:textId="50CBA3BB" w:rsidR="00F041D7" w:rsidRPr="006A2D95" w:rsidRDefault="00601112" w:rsidP="006A2D95">
      <w:pPr>
        <w:pStyle w:val="Prrafodelista"/>
        <w:numPr>
          <w:ilvl w:val="0"/>
          <w:numId w:val="3"/>
        </w:numPr>
        <w:spacing w:line="240" w:lineRule="auto"/>
        <w:ind w:left="0" w:firstLine="0"/>
        <w:jc w:val="both"/>
        <w:rPr>
          <w:rFonts w:ascii="Verdana" w:eastAsia="Verdana" w:hAnsi="Verdana"/>
          <w:sz w:val="20"/>
          <w:szCs w:val="20"/>
          <w:lang w:val="es-PE"/>
        </w:rPr>
      </w:pPr>
      <w:r w:rsidRPr="006A2D95">
        <w:rPr>
          <w:rFonts w:ascii="Verdana" w:eastAsia="Verdana" w:hAnsi="Verdana"/>
          <w:sz w:val="20"/>
          <w:szCs w:val="20"/>
          <w:lang w:val="es-PE"/>
        </w:rPr>
        <w:t xml:space="preserve">En ese sentido, este Tribunal considera </w:t>
      </w:r>
      <w:r w:rsidR="00B52246" w:rsidRPr="006A2D95">
        <w:rPr>
          <w:rFonts w:ascii="Verdana" w:eastAsia="Verdana" w:hAnsi="Verdana"/>
          <w:sz w:val="20"/>
          <w:szCs w:val="20"/>
          <w:lang w:val="es-PE"/>
        </w:rPr>
        <w:t>que, de conformidad con el principio de igualdad de armas, que implica</w:t>
      </w:r>
      <w:r w:rsidR="00CC518C" w:rsidRPr="006A2D95">
        <w:rPr>
          <w:rFonts w:ascii="Verdana" w:eastAsia="Verdana" w:hAnsi="Verdana"/>
          <w:sz w:val="20"/>
          <w:szCs w:val="20"/>
          <w:lang w:val="es-PE"/>
        </w:rPr>
        <w:t xml:space="preserve"> que las partes gocen de las mismas posibilidades jurídicas de defenderse durante el juicio</w:t>
      </w:r>
      <w:r w:rsidR="00B52246" w:rsidRPr="006A2D95">
        <w:rPr>
          <w:rFonts w:ascii="Verdana" w:eastAsia="Verdana" w:hAnsi="Verdana"/>
          <w:sz w:val="20"/>
          <w:szCs w:val="20"/>
          <w:lang w:val="es-PE"/>
        </w:rPr>
        <w:t>, y de conformidad con las facultades que el artículo 50.1 del Reglamento, el cual reconoce que la Corte podrá decidir sobre “la remisión de las declaraciones ante fedatario público (</w:t>
      </w:r>
      <w:r w:rsidR="00B52246" w:rsidRPr="006A2D95">
        <w:rPr>
          <w:rFonts w:ascii="Verdana" w:eastAsia="Verdana" w:hAnsi="Verdana"/>
          <w:i/>
          <w:sz w:val="20"/>
          <w:szCs w:val="20"/>
          <w:lang w:val="es-PE"/>
        </w:rPr>
        <w:t>affidavit</w:t>
      </w:r>
      <w:r w:rsidR="00B52246" w:rsidRPr="006A2D95">
        <w:rPr>
          <w:rFonts w:ascii="Verdana" w:eastAsia="Verdana" w:hAnsi="Verdana"/>
          <w:sz w:val="20"/>
          <w:szCs w:val="20"/>
          <w:lang w:val="es-PE"/>
        </w:rPr>
        <w:t xml:space="preserve">) que considere pertinentes”, es procedente la solicitud del Estado </w:t>
      </w:r>
      <w:r w:rsidR="009007DC">
        <w:rPr>
          <w:rFonts w:ascii="Verdana" w:eastAsia="Verdana" w:hAnsi="Verdana"/>
          <w:sz w:val="20"/>
          <w:szCs w:val="20"/>
          <w:lang w:val="es-PE"/>
        </w:rPr>
        <w:t xml:space="preserve">de </w:t>
      </w:r>
      <w:r w:rsidR="00B52246" w:rsidRPr="006A2D95">
        <w:rPr>
          <w:rFonts w:ascii="Verdana" w:eastAsia="Verdana" w:hAnsi="Verdana"/>
          <w:sz w:val="20"/>
          <w:szCs w:val="20"/>
          <w:lang w:val="es-PE"/>
        </w:rPr>
        <w:t xml:space="preserve">que </w:t>
      </w:r>
      <w:r w:rsidR="006A2D95">
        <w:rPr>
          <w:rFonts w:ascii="Verdana" w:eastAsia="Verdana" w:hAnsi="Verdana"/>
          <w:sz w:val="20"/>
          <w:szCs w:val="20"/>
          <w:lang w:val="es-PE"/>
        </w:rPr>
        <w:t>este Tribunal</w:t>
      </w:r>
      <w:r w:rsidR="00B52246" w:rsidRPr="006A2D95">
        <w:rPr>
          <w:rFonts w:ascii="Verdana" w:eastAsia="Verdana" w:hAnsi="Verdana"/>
          <w:sz w:val="20"/>
          <w:szCs w:val="20"/>
          <w:lang w:val="es-PE"/>
        </w:rPr>
        <w:t xml:space="preserve"> autorice al perito Mauricio Sosa a utilizar la información tributaria del señor Emilio Palacio Urrutia</w:t>
      </w:r>
      <w:r w:rsidR="00F041D7" w:rsidRPr="006A2D95">
        <w:rPr>
          <w:rFonts w:ascii="Verdana" w:eastAsia="Verdana" w:hAnsi="Verdana"/>
          <w:sz w:val="20"/>
          <w:szCs w:val="20"/>
          <w:lang w:val="es-PE"/>
        </w:rPr>
        <w:t>,</w:t>
      </w:r>
      <w:r w:rsidR="00B52246" w:rsidRPr="006A2D95">
        <w:rPr>
          <w:rFonts w:ascii="Verdana" w:eastAsia="Verdana" w:hAnsi="Verdana"/>
          <w:sz w:val="20"/>
          <w:szCs w:val="20"/>
          <w:lang w:val="es-PE"/>
        </w:rPr>
        <w:t xml:space="preserve"> y </w:t>
      </w:r>
      <w:r w:rsidR="009007DC">
        <w:rPr>
          <w:rFonts w:ascii="Verdana" w:eastAsia="Verdana" w:hAnsi="Verdana"/>
          <w:sz w:val="20"/>
          <w:szCs w:val="20"/>
          <w:lang w:val="es-PE"/>
        </w:rPr>
        <w:t>de</w:t>
      </w:r>
      <w:r w:rsidR="00B52246" w:rsidRPr="006A2D95">
        <w:rPr>
          <w:rFonts w:ascii="Verdana" w:eastAsia="Verdana" w:hAnsi="Verdana"/>
          <w:sz w:val="20"/>
          <w:szCs w:val="20"/>
          <w:lang w:val="es-PE"/>
        </w:rPr>
        <w:t xml:space="preserve"> la </w:t>
      </w:r>
      <w:r w:rsidR="002F1B45">
        <w:rPr>
          <w:rFonts w:ascii="Verdana" w:eastAsia="Verdana" w:hAnsi="Verdana"/>
          <w:sz w:val="20"/>
          <w:szCs w:val="20"/>
          <w:lang w:val="es-PE"/>
        </w:rPr>
        <w:t>C</w:t>
      </w:r>
      <w:r w:rsidR="00B52246" w:rsidRPr="006A2D95">
        <w:rPr>
          <w:rFonts w:ascii="Verdana" w:eastAsia="Verdana" w:hAnsi="Verdana"/>
          <w:sz w:val="20"/>
          <w:szCs w:val="20"/>
          <w:lang w:val="es-PE"/>
        </w:rPr>
        <w:t>ompañía</w:t>
      </w:r>
      <w:r w:rsidR="002F1B45">
        <w:rPr>
          <w:rFonts w:ascii="Verdana" w:eastAsia="Verdana" w:hAnsi="Verdana"/>
          <w:sz w:val="20"/>
          <w:szCs w:val="20"/>
          <w:lang w:val="es-PE"/>
        </w:rPr>
        <w:t xml:space="preserve"> Anónima</w:t>
      </w:r>
      <w:r w:rsidR="00B52246" w:rsidRPr="006A2D95">
        <w:rPr>
          <w:rFonts w:ascii="Verdana" w:eastAsia="Verdana" w:hAnsi="Verdana"/>
          <w:sz w:val="20"/>
          <w:szCs w:val="20"/>
          <w:lang w:val="es-PE"/>
        </w:rPr>
        <w:t xml:space="preserve"> Diario El Universo</w:t>
      </w:r>
      <w:r w:rsidR="00F041D7" w:rsidRPr="006A2D95">
        <w:rPr>
          <w:rFonts w:ascii="Verdana" w:eastAsia="Verdana" w:hAnsi="Verdana"/>
          <w:sz w:val="20"/>
          <w:szCs w:val="20"/>
          <w:lang w:val="es-PE"/>
        </w:rPr>
        <w:t>,</w:t>
      </w:r>
      <w:r w:rsidR="00B52246" w:rsidRPr="006A2D95">
        <w:rPr>
          <w:rFonts w:ascii="Verdana" w:eastAsia="Verdana" w:hAnsi="Verdana"/>
          <w:sz w:val="20"/>
          <w:szCs w:val="20"/>
          <w:lang w:val="es-PE"/>
        </w:rPr>
        <w:t xml:space="preserve"> </w:t>
      </w:r>
      <w:r w:rsidR="002F1B45">
        <w:rPr>
          <w:rFonts w:ascii="Verdana" w:eastAsia="Verdana" w:hAnsi="Verdana"/>
          <w:sz w:val="20"/>
          <w:szCs w:val="20"/>
          <w:lang w:val="es-PE"/>
        </w:rPr>
        <w:t xml:space="preserve">presentada oportunamente ante los órganos estatales competentes </w:t>
      </w:r>
      <w:r w:rsidR="002F1B45" w:rsidRPr="005462DF">
        <w:rPr>
          <w:rFonts w:ascii="Verdana" w:hAnsi="Verdana" w:cs="TimesNewRomanPSMT"/>
          <w:sz w:val="20"/>
          <w:szCs w:val="20"/>
          <w:lang w:val="es-ES_tradnl"/>
        </w:rPr>
        <w:t>durante el período comprendido entre los años 2009 a 20</w:t>
      </w:r>
      <w:r w:rsidR="00EC266B">
        <w:rPr>
          <w:rFonts w:ascii="Verdana" w:hAnsi="Verdana" w:cs="TimesNewRomanPSMT"/>
          <w:sz w:val="20"/>
          <w:szCs w:val="20"/>
          <w:lang w:val="es-ES_tradnl"/>
        </w:rPr>
        <w:t>20</w:t>
      </w:r>
      <w:r w:rsidR="002F1B45">
        <w:rPr>
          <w:rFonts w:ascii="Verdana" w:hAnsi="Verdana" w:cs="TimesNewRomanPSMT"/>
          <w:sz w:val="20"/>
          <w:szCs w:val="20"/>
          <w:lang w:val="es-ES_tradnl"/>
        </w:rPr>
        <w:t xml:space="preserve">, </w:t>
      </w:r>
      <w:r w:rsidR="00B52246" w:rsidRPr="006A2D95">
        <w:rPr>
          <w:rFonts w:ascii="Verdana" w:eastAsia="Verdana" w:hAnsi="Verdana"/>
          <w:sz w:val="20"/>
          <w:szCs w:val="20"/>
          <w:lang w:val="es-PE"/>
        </w:rPr>
        <w:t xml:space="preserve">para la elaboración del dictamen pericial </w:t>
      </w:r>
      <w:r w:rsidR="00F041D7" w:rsidRPr="006A2D95">
        <w:rPr>
          <w:rFonts w:ascii="Verdana" w:eastAsia="Verdana" w:hAnsi="Verdana"/>
          <w:sz w:val="20"/>
          <w:szCs w:val="20"/>
          <w:lang w:val="es-PE"/>
        </w:rPr>
        <w:t xml:space="preserve">en los términos </w:t>
      </w:r>
      <w:r w:rsidR="00B52246" w:rsidRPr="006A2D95">
        <w:rPr>
          <w:rFonts w:ascii="Verdana" w:eastAsia="Verdana" w:hAnsi="Verdana"/>
          <w:sz w:val="20"/>
          <w:szCs w:val="20"/>
          <w:lang w:val="es-PE"/>
        </w:rPr>
        <w:t>aprobado en la Resolución de la Presidenta de 12 de abril de 2021.</w:t>
      </w:r>
    </w:p>
    <w:p w14:paraId="2771138A" w14:textId="77777777" w:rsidR="002F1B45" w:rsidRPr="006A2D95" w:rsidRDefault="002F1B45" w:rsidP="006A2D95">
      <w:pPr>
        <w:pStyle w:val="Prrafodelista"/>
        <w:spacing w:line="240" w:lineRule="auto"/>
        <w:ind w:left="0"/>
        <w:jc w:val="both"/>
        <w:rPr>
          <w:rFonts w:ascii="Verdana" w:eastAsia="Verdana" w:hAnsi="Verdana"/>
          <w:sz w:val="20"/>
          <w:szCs w:val="20"/>
          <w:lang w:val="es-PE"/>
        </w:rPr>
      </w:pPr>
    </w:p>
    <w:p w14:paraId="448C5C96" w14:textId="28EC1345" w:rsidR="00CC518C" w:rsidRPr="006A2D95" w:rsidRDefault="00F041D7" w:rsidP="006A2D95">
      <w:pPr>
        <w:pStyle w:val="Prrafodelista"/>
        <w:numPr>
          <w:ilvl w:val="0"/>
          <w:numId w:val="3"/>
        </w:numPr>
        <w:spacing w:after="0" w:line="240" w:lineRule="auto"/>
        <w:ind w:left="0" w:firstLine="0"/>
        <w:jc w:val="both"/>
        <w:rPr>
          <w:rFonts w:ascii="Verdana" w:eastAsia="Verdana" w:hAnsi="Verdana"/>
          <w:sz w:val="20"/>
          <w:szCs w:val="20"/>
          <w:lang w:val="es-PE"/>
        </w:rPr>
      </w:pPr>
      <w:r w:rsidRPr="006A2D95">
        <w:rPr>
          <w:rFonts w:ascii="Verdana" w:eastAsia="Verdana" w:hAnsi="Verdana"/>
          <w:sz w:val="20"/>
          <w:szCs w:val="20"/>
          <w:lang w:val="es-PE"/>
        </w:rPr>
        <w:t>Por otro lado</w:t>
      </w:r>
      <w:r w:rsidR="00B52246" w:rsidRPr="006A2D95">
        <w:rPr>
          <w:rFonts w:ascii="Verdana" w:eastAsia="Verdana" w:hAnsi="Verdana"/>
          <w:sz w:val="20"/>
          <w:szCs w:val="20"/>
          <w:lang w:val="es-PE"/>
        </w:rPr>
        <w:t>, el Tribunal recuerda que, de conformidad con el artículo 53 del Reglamento de la Corte “</w:t>
      </w:r>
      <w:r w:rsidR="00B52246" w:rsidRPr="006A2D95">
        <w:rPr>
          <w:rFonts w:ascii="Verdana" w:hAnsi="Verdana" w:cs="Arial"/>
          <w:sz w:val="20"/>
          <w:szCs w:val="20"/>
          <w:shd w:val="clear" w:color="auto" w:fill="FFFFFF"/>
          <w:lang w:val="es-PE"/>
        </w:rPr>
        <w:t>[l]</w:t>
      </w:r>
      <w:r w:rsidR="00B52246" w:rsidRPr="006A2D95">
        <w:rPr>
          <w:rFonts w:ascii="Verdana" w:hAnsi="Verdana" w:cs="Arial"/>
          <w:sz w:val="20"/>
          <w:szCs w:val="20"/>
          <w:shd w:val="clear" w:color="auto" w:fill="FFFFFF"/>
        </w:rPr>
        <w:t>os Estados no podrán enjuiciar a las presuntas víctimas, a los testigos y a los peritos, a sus representantes o asesores legales ni ejercer represalias contra ellos o sus familiares, a causa de sus declaraciones, dictámenes rendidos o su defensa legal ante la Corte”</w:t>
      </w:r>
      <w:r w:rsidR="00CC518C" w:rsidRPr="006A2D95">
        <w:rPr>
          <w:rFonts w:ascii="Verdana" w:hAnsi="Verdana" w:cs="Arial"/>
          <w:sz w:val="20"/>
          <w:szCs w:val="20"/>
          <w:shd w:val="clear" w:color="auto" w:fill="FFFFFF"/>
        </w:rPr>
        <w:t xml:space="preserve">, disposición plenamente aplicable en </w:t>
      </w:r>
      <w:r w:rsidR="006A2D95">
        <w:rPr>
          <w:rFonts w:ascii="Verdana" w:hAnsi="Verdana" w:cs="Arial"/>
          <w:sz w:val="20"/>
          <w:szCs w:val="20"/>
          <w:shd w:val="clear" w:color="auto" w:fill="FFFFFF"/>
        </w:rPr>
        <w:t>lo que respecta a la elaboración del peritaje de Mauricio Sosa en el presente caso</w:t>
      </w:r>
      <w:r w:rsidR="00B52246" w:rsidRPr="006A2D95">
        <w:rPr>
          <w:rFonts w:ascii="Verdana" w:hAnsi="Verdana" w:cs="Arial"/>
          <w:sz w:val="20"/>
          <w:szCs w:val="20"/>
          <w:shd w:val="clear" w:color="auto" w:fill="FFFFFF"/>
        </w:rPr>
        <w:t>.</w:t>
      </w:r>
      <w:r w:rsidRPr="006A2D95">
        <w:rPr>
          <w:rFonts w:ascii="Verdana" w:hAnsi="Verdana" w:cs="Arial"/>
          <w:sz w:val="20"/>
          <w:szCs w:val="20"/>
          <w:shd w:val="clear" w:color="auto" w:fill="FFFFFF"/>
        </w:rPr>
        <w:t xml:space="preserve"> Asimismo, dado que </w:t>
      </w:r>
      <w:r w:rsidR="006A2D95">
        <w:rPr>
          <w:rFonts w:ascii="Verdana" w:hAnsi="Verdana" w:cs="Arial"/>
          <w:sz w:val="20"/>
          <w:szCs w:val="20"/>
          <w:shd w:val="clear" w:color="auto" w:fill="FFFFFF"/>
        </w:rPr>
        <w:t>el Estado</w:t>
      </w:r>
      <w:r w:rsidRPr="006A2D95">
        <w:rPr>
          <w:rFonts w:ascii="Verdana" w:hAnsi="Verdana" w:cs="Arial"/>
          <w:sz w:val="20"/>
          <w:szCs w:val="20"/>
          <w:shd w:val="clear" w:color="auto" w:fill="FFFFFF"/>
        </w:rPr>
        <w:t xml:space="preserve"> </w:t>
      </w:r>
      <w:r w:rsidR="006A2D95">
        <w:rPr>
          <w:rFonts w:ascii="Verdana" w:hAnsi="Verdana" w:cs="Arial"/>
          <w:sz w:val="20"/>
          <w:szCs w:val="20"/>
          <w:shd w:val="clear" w:color="auto" w:fill="FFFFFF"/>
        </w:rPr>
        <w:t xml:space="preserve">impugnó la Resolución de la </w:t>
      </w:r>
      <w:proofErr w:type="gramStart"/>
      <w:r w:rsidR="006A2D95">
        <w:rPr>
          <w:rFonts w:ascii="Verdana" w:hAnsi="Verdana" w:cs="Arial"/>
          <w:sz w:val="20"/>
          <w:szCs w:val="20"/>
          <w:shd w:val="clear" w:color="auto" w:fill="FFFFFF"/>
        </w:rPr>
        <w:t>Presidenta</w:t>
      </w:r>
      <w:proofErr w:type="gramEnd"/>
      <w:r w:rsidR="006A2D95">
        <w:rPr>
          <w:rFonts w:ascii="Verdana" w:hAnsi="Verdana" w:cs="Arial"/>
          <w:sz w:val="20"/>
          <w:szCs w:val="20"/>
          <w:shd w:val="clear" w:color="auto" w:fill="FFFFFF"/>
        </w:rPr>
        <w:t xml:space="preserve"> el</w:t>
      </w:r>
      <w:r w:rsidRPr="006A2D95">
        <w:rPr>
          <w:rFonts w:ascii="Verdana" w:hAnsi="Verdana" w:cs="Arial"/>
          <w:sz w:val="20"/>
          <w:szCs w:val="20"/>
          <w:shd w:val="clear" w:color="auto" w:fill="FFFFFF"/>
        </w:rPr>
        <w:t xml:space="preserve"> 14 de mayo de 2021,</w:t>
      </w:r>
      <w:r w:rsidR="006A2D95">
        <w:rPr>
          <w:rFonts w:ascii="Verdana" w:hAnsi="Verdana" w:cs="Arial"/>
          <w:sz w:val="20"/>
          <w:szCs w:val="20"/>
          <w:shd w:val="clear" w:color="auto" w:fill="FFFFFF"/>
        </w:rPr>
        <w:t xml:space="preserve"> y con el objetivo de que el perito goce de un plazo adecuado para la realización de su dictamen,</w:t>
      </w:r>
      <w:r w:rsidRPr="006A2D95">
        <w:rPr>
          <w:rFonts w:ascii="Verdana" w:hAnsi="Verdana" w:cs="Arial"/>
          <w:sz w:val="20"/>
          <w:szCs w:val="20"/>
          <w:shd w:val="clear" w:color="auto" w:fill="FFFFFF"/>
        </w:rPr>
        <w:t xml:space="preserve"> el Tribunal considera pertinente otorgar una prórroga para la presentación de dicho peritaje hasta el 28 de junio de 2021.</w:t>
      </w:r>
    </w:p>
    <w:p w14:paraId="14EE91BA" w14:textId="77777777" w:rsidR="00704E6C" w:rsidRPr="00DE081B" w:rsidRDefault="00704E6C" w:rsidP="00704E6C">
      <w:pPr>
        <w:tabs>
          <w:tab w:val="left" w:pos="540"/>
        </w:tabs>
        <w:spacing w:line="246" w:lineRule="auto"/>
        <w:ind w:right="48"/>
        <w:jc w:val="both"/>
        <w:rPr>
          <w:rFonts w:eastAsia="Verdana"/>
          <w:lang w:val="es-CR"/>
        </w:rPr>
      </w:pPr>
    </w:p>
    <w:p w14:paraId="1F5956D4" w14:textId="2FBC7D03" w:rsidR="00704E6C" w:rsidRPr="00704E6C" w:rsidRDefault="00704E6C" w:rsidP="00815F27">
      <w:pPr>
        <w:pStyle w:val="Ttulo2"/>
        <w:ind w:left="0" w:firstLine="0"/>
        <w:jc w:val="both"/>
      </w:pPr>
      <w:r>
        <w:t>Respecto de la</w:t>
      </w:r>
      <w:r w:rsidR="00825FF3">
        <w:t xml:space="preserve"> solicitud de</w:t>
      </w:r>
      <w:r>
        <w:t xml:space="preserve"> </w:t>
      </w:r>
      <w:r w:rsidR="00825FF3">
        <w:t>sustitución de un peritaje ofrecido por los representantes</w:t>
      </w:r>
    </w:p>
    <w:p w14:paraId="4164B6B7" w14:textId="77777777" w:rsidR="00ED77DA" w:rsidRDefault="00ED77DA" w:rsidP="00ED77DA">
      <w:pPr>
        <w:pStyle w:val="Prrafodelista"/>
        <w:tabs>
          <w:tab w:val="left" w:pos="540"/>
        </w:tabs>
        <w:spacing w:after="0" w:line="246" w:lineRule="auto"/>
        <w:ind w:left="0" w:right="48"/>
        <w:jc w:val="both"/>
        <w:rPr>
          <w:rFonts w:ascii="Verdana" w:eastAsia="Verdana" w:hAnsi="Verdana"/>
          <w:sz w:val="20"/>
          <w:szCs w:val="20"/>
          <w:lang w:val="es-PE"/>
        </w:rPr>
      </w:pPr>
    </w:p>
    <w:p w14:paraId="2E6E6A65" w14:textId="36D525B1" w:rsidR="002C4CD8" w:rsidRPr="002C4CD8" w:rsidRDefault="00704E6C" w:rsidP="002C4CD8">
      <w:pPr>
        <w:pStyle w:val="Prrafodelista"/>
        <w:numPr>
          <w:ilvl w:val="0"/>
          <w:numId w:val="3"/>
        </w:numPr>
        <w:tabs>
          <w:tab w:val="left" w:pos="540"/>
        </w:tabs>
        <w:spacing w:after="0" w:line="246" w:lineRule="auto"/>
        <w:ind w:left="0" w:right="48" w:firstLine="0"/>
        <w:jc w:val="both"/>
        <w:rPr>
          <w:rFonts w:ascii="Verdana" w:eastAsia="Verdana" w:hAnsi="Verdana"/>
          <w:sz w:val="20"/>
          <w:szCs w:val="20"/>
          <w:lang w:val="es-PE"/>
        </w:rPr>
      </w:pPr>
      <w:r w:rsidRPr="002C4CD8">
        <w:rPr>
          <w:rFonts w:ascii="Verdana" w:eastAsia="Verdana" w:hAnsi="Verdana"/>
          <w:sz w:val="20"/>
          <w:szCs w:val="20"/>
          <w:lang w:val="es-PE"/>
        </w:rPr>
        <w:t>L</w:t>
      </w:r>
      <w:r w:rsidR="00ED77DA" w:rsidRPr="002C4CD8">
        <w:rPr>
          <w:rFonts w:ascii="Verdana" w:eastAsia="Verdana" w:hAnsi="Verdana"/>
          <w:sz w:val="20"/>
          <w:szCs w:val="20"/>
          <w:lang w:val="es-PE"/>
        </w:rPr>
        <w:t xml:space="preserve">os </w:t>
      </w:r>
      <w:r w:rsidR="00ED77DA" w:rsidRPr="002C4CD8">
        <w:rPr>
          <w:rFonts w:ascii="Verdana" w:eastAsia="Verdana" w:hAnsi="Verdana"/>
          <w:b/>
          <w:i/>
          <w:sz w:val="20"/>
          <w:szCs w:val="20"/>
          <w:lang w:val="es-PE"/>
        </w:rPr>
        <w:t xml:space="preserve">representantes </w:t>
      </w:r>
      <w:r w:rsidR="002C4CD8" w:rsidRPr="002C4CD8">
        <w:rPr>
          <w:rFonts w:ascii="Verdana" w:eastAsia="Verdana" w:hAnsi="Verdana"/>
          <w:sz w:val="20"/>
          <w:szCs w:val="20"/>
          <w:lang w:val="es-PE"/>
        </w:rPr>
        <w:t>solicitaron,</w:t>
      </w:r>
      <w:r w:rsidR="00ED77DA" w:rsidRPr="002C4CD8">
        <w:rPr>
          <w:rFonts w:ascii="Verdana" w:eastAsia="Verdana" w:hAnsi="Verdana"/>
          <w:sz w:val="20"/>
          <w:szCs w:val="20"/>
          <w:lang w:val="es-PE"/>
        </w:rPr>
        <w:t xml:space="preserve"> </w:t>
      </w:r>
      <w:r w:rsidR="002C4CD8" w:rsidRPr="002C4CD8">
        <w:rPr>
          <w:rFonts w:ascii="Verdana" w:eastAsiaTheme="minorHAnsi" w:hAnsi="Verdana" w:cs="BookAntiqua"/>
          <w:sz w:val="20"/>
          <w:szCs w:val="20"/>
          <w:lang w:val="es-ES_tradnl"/>
        </w:rPr>
        <w:t xml:space="preserve">de acuerdo con el artículo 49 del Reglamento de la Corte, la </w:t>
      </w:r>
      <w:r w:rsidR="002C4CD8" w:rsidRPr="002C4CD8">
        <w:rPr>
          <w:rFonts w:ascii="Verdana" w:eastAsiaTheme="minorHAnsi" w:hAnsi="Verdana" w:cs="BookAntiqua-Bold"/>
          <w:bCs/>
          <w:sz w:val="20"/>
          <w:szCs w:val="20"/>
          <w:lang w:val="es-ES_tradnl"/>
        </w:rPr>
        <w:t>sustitución del perito Manuel García por Pedro Rodríguez</w:t>
      </w:r>
      <w:r w:rsidR="002C4CD8" w:rsidRPr="002C4CD8">
        <w:rPr>
          <w:rFonts w:ascii="Verdana" w:eastAsiaTheme="minorHAnsi" w:hAnsi="Verdana" w:cs="BookAntiqua"/>
          <w:sz w:val="20"/>
          <w:szCs w:val="20"/>
          <w:lang w:val="es-ES_tradnl"/>
        </w:rPr>
        <w:t xml:space="preserve">, sin modificación del objeto del peritaje establecido en la Resolución de la </w:t>
      </w:r>
      <w:proofErr w:type="gramStart"/>
      <w:r w:rsidR="002C4CD8" w:rsidRPr="002C4CD8">
        <w:rPr>
          <w:rFonts w:ascii="Verdana" w:eastAsiaTheme="minorHAnsi" w:hAnsi="Verdana" w:cs="BookAntiqua"/>
          <w:sz w:val="20"/>
          <w:szCs w:val="20"/>
          <w:lang w:val="es-ES_tradnl"/>
        </w:rPr>
        <w:t>Presidenta</w:t>
      </w:r>
      <w:proofErr w:type="gramEnd"/>
      <w:r w:rsidR="002C4CD8" w:rsidRPr="002C4CD8">
        <w:rPr>
          <w:rFonts w:ascii="Verdana" w:eastAsiaTheme="minorHAnsi" w:hAnsi="Verdana" w:cs="BookAntiqua"/>
          <w:sz w:val="20"/>
          <w:szCs w:val="20"/>
          <w:lang w:val="es-ES_tradnl"/>
        </w:rPr>
        <w:t>. En ese sentido, remitieron la hoja de vida de Pedro Rodríguez. Adicionalmente, tomando en cuenta la presente solicitud de sustitución, requirieron una prórroga hasta el 10 de junio de 2021, para presentar dicho peritaje por medio de affidavit.</w:t>
      </w:r>
      <w:r w:rsidR="002C4CD8">
        <w:rPr>
          <w:rFonts w:ascii="Verdana" w:eastAsiaTheme="minorHAnsi" w:hAnsi="Verdana" w:cs="BookAntiqua"/>
          <w:sz w:val="20"/>
          <w:szCs w:val="20"/>
          <w:lang w:val="es-ES_tradnl"/>
        </w:rPr>
        <w:t xml:space="preserve"> El </w:t>
      </w:r>
      <w:r w:rsidR="002C4CD8">
        <w:rPr>
          <w:rFonts w:ascii="Verdana" w:eastAsiaTheme="minorHAnsi" w:hAnsi="Verdana" w:cs="BookAntiqua"/>
          <w:b/>
          <w:i/>
          <w:sz w:val="20"/>
          <w:szCs w:val="20"/>
          <w:lang w:val="es-ES_tradnl"/>
        </w:rPr>
        <w:t xml:space="preserve">Estado </w:t>
      </w:r>
      <w:r w:rsidR="002C4CD8">
        <w:rPr>
          <w:rFonts w:ascii="Verdana" w:eastAsiaTheme="minorHAnsi" w:hAnsi="Verdana" w:cs="BookAntiqua"/>
          <w:sz w:val="20"/>
          <w:szCs w:val="20"/>
          <w:lang w:val="es-ES_tradnl"/>
        </w:rPr>
        <w:t xml:space="preserve">alegó que la solicitud de los representantes no se encuentra fundada, pues no se aportan elementos para su valoración. Adicionalmente, señaló que el </w:t>
      </w:r>
      <w:r w:rsidR="009007DC">
        <w:rPr>
          <w:rFonts w:ascii="Verdana" w:eastAsiaTheme="minorHAnsi" w:hAnsi="Verdana" w:cs="BookAntiqua"/>
          <w:sz w:val="20"/>
          <w:szCs w:val="20"/>
          <w:lang w:val="es-ES_tradnl"/>
        </w:rPr>
        <w:t>R</w:t>
      </w:r>
      <w:r w:rsidR="002C4CD8">
        <w:rPr>
          <w:rFonts w:ascii="Verdana" w:eastAsiaTheme="minorHAnsi" w:hAnsi="Verdana" w:cs="BookAntiqua"/>
          <w:sz w:val="20"/>
          <w:szCs w:val="20"/>
          <w:lang w:val="es-ES_tradnl"/>
        </w:rPr>
        <w:t xml:space="preserve">eglamento no prevé la posibilidad de otorgar un plazo adicional para la presentación de un nuevo peritaje. De esta forma, el Estado solicitó que la solicitud de los representantes </w:t>
      </w:r>
      <w:r w:rsidR="002C4CD8">
        <w:rPr>
          <w:rFonts w:ascii="Verdana" w:eastAsiaTheme="minorHAnsi" w:hAnsi="Verdana" w:cs="BookAntiqua"/>
          <w:sz w:val="20"/>
          <w:szCs w:val="20"/>
          <w:lang w:val="es-ES_tradnl"/>
        </w:rPr>
        <w:lastRenderedPageBreak/>
        <w:t xml:space="preserve">sea rechazada por improcedente. Finalmente, expresó que la hoja de vida del perito ofrecido no permite advertir el lugar donde se ha realizado su consulta privada desde el año 2002. La </w:t>
      </w:r>
      <w:r w:rsidR="002C4CD8">
        <w:rPr>
          <w:rFonts w:ascii="Verdana" w:eastAsiaTheme="minorHAnsi" w:hAnsi="Verdana" w:cs="BookAntiqua"/>
          <w:b/>
          <w:i/>
          <w:sz w:val="20"/>
          <w:szCs w:val="20"/>
          <w:lang w:val="es-ES_tradnl"/>
        </w:rPr>
        <w:t xml:space="preserve">Comisión </w:t>
      </w:r>
      <w:r w:rsidR="002C4CD8">
        <w:rPr>
          <w:rFonts w:ascii="Verdana" w:eastAsiaTheme="minorHAnsi" w:hAnsi="Verdana" w:cs="BookAntiqua"/>
          <w:sz w:val="20"/>
          <w:szCs w:val="20"/>
          <w:lang w:val="es-ES_tradnl"/>
        </w:rPr>
        <w:t>no formuló observaciones.</w:t>
      </w:r>
    </w:p>
    <w:p w14:paraId="71781979" w14:textId="77777777" w:rsidR="00773F8C" w:rsidRDefault="00773F8C" w:rsidP="00773F8C">
      <w:pPr>
        <w:pStyle w:val="Prrafodelista"/>
        <w:tabs>
          <w:tab w:val="left" w:pos="540"/>
        </w:tabs>
        <w:spacing w:after="0" w:line="246" w:lineRule="auto"/>
        <w:ind w:left="0" w:right="48"/>
        <w:jc w:val="both"/>
        <w:rPr>
          <w:rFonts w:ascii="Verdana" w:eastAsia="Verdana" w:hAnsi="Verdana"/>
          <w:sz w:val="20"/>
          <w:szCs w:val="20"/>
          <w:lang w:val="es-PE"/>
        </w:rPr>
      </w:pPr>
    </w:p>
    <w:p w14:paraId="589D3E15" w14:textId="6F41157A" w:rsidR="00BA4FA3" w:rsidRPr="00794C45" w:rsidRDefault="00B0559A" w:rsidP="00794C45">
      <w:pPr>
        <w:pStyle w:val="Prrafodelista"/>
        <w:numPr>
          <w:ilvl w:val="0"/>
          <w:numId w:val="3"/>
        </w:numPr>
        <w:tabs>
          <w:tab w:val="left" w:pos="540"/>
        </w:tabs>
        <w:spacing w:after="0" w:line="246" w:lineRule="auto"/>
        <w:ind w:left="0" w:right="48" w:firstLine="0"/>
        <w:jc w:val="both"/>
        <w:rPr>
          <w:rFonts w:ascii="Verdana" w:eastAsia="Verdana" w:hAnsi="Verdana"/>
          <w:sz w:val="20"/>
          <w:szCs w:val="20"/>
          <w:lang w:val="es-PE"/>
        </w:rPr>
      </w:pPr>
      <w:r>
        <w:rPr>
          <w:rFonts w:ascii="Verdana" w:eastAsia="Verdana" w:hAnsi="Verdana"/>
          <w:sz w:val="20"/>
          <w:szCs w:val="20"/>
          <w:lang w:val="es-PE"/>
        </w:rPr>
        <w:t>Al respecto, la Corte recuerda que e</w:t>
      </w:r>
      <w:r w:rsidR="00C53930" w:rsidRPr="00794C45">
        <w:rPr>
          <w:rFonts w:ascii="Verdana" w:eastAsia="Verdana" w:hAnsi="Verdana"/>
          <w:sz w:val="20"/>
          <w:szCs w:val="20"/>
          <w:lang w:val="es-PE"/>
        </w:rPr>
        <w:t>l artículo 49 del Reglamento</w:t>
      </w:r>
      <w:r w:rsidR="004320A1" w:rsidRPr="00794C45">
        <w:rPr>
          <w:rFonts w:ascii="Verdana" w:eastAsia="Verdana" w:hAnsi="Verdana"/>
          <w:sz w:val="20"/>
          <w:szCs w:val="20"/>
          <w:lang w:val="es-PE"/>
        </w:rPr>
        <w:t xml:space="preserve"> establece que</w:t>
      </w:r>
      <w:r w:rsidR="00C53930" w:rsidRPr="00794C45">
        <w:rPr>
          <w:rFonts w:ascii="Verdana" w:eastAsia="Verdana" w:hAnsi="Verdana"/>
          <w:sz w:val="20"/>
          <w:szCs w:val="20"/>
          <w:lang w:val="es-PE"/>
        </w:rPr>
        <w:t xml:space="preserve"> </w:t>
      </w:r>
      <w:r w:rsidR="009E4BE1" w:rsidRPr="00794C45">
        <w:rPr>
          <w:rFonts w:ascii="Verdana" w:hAnsi="Verdana" w:cs="Verdana"/>
          <w:sz w:val="20"/>
          <w:szCs w:val="20"/>
          <w:lang w:bidi="en-US"/>
        </w:rPr>
        <w:t>“[e]</w:t>
      </w:r>
      <w:proofErr w:type="spellStart"/>
      <w:r w:rsidR="009E4BE1" w:rsidRPr="00794C45">
        <w:rPr>
          <w:rFonts w:ascii="Verdana" w:hAnsi="Verdana" w:cs="Verdana"/>
          <w:sz w:val="20"/>
          <w:szCs w:val="20"/>
          <w:lang w:bidi="en-US"/>
        </w:rPr>
        <w:t>xcepcionalmente</w:t>
      </w:r>
      <w:proofErr w:type="spellEnd"/>
      <w:r w:rsidR="009E4BE1" w:rsidRPr="00794C45">
        <w:rPr>
          <w:rFonts w:ascii="Verdana" w:hAnsi="Verdana" w:cs="Verdana"/>
          <w:sz w:val="20"/>
          <w:szCs w:val="20"/>
          <w:lang w:bidi="en-US"/>
        </w:rPr>
        <w:t>, frente a solicitud fundada y oído el parecer de la contraparte, la Corte podrá aceptar la sustitución de un declarante siempre que se individualice el sustituto y se respete el objeto de la declaración, testimonio o peritaje originalmente ofrecido”. La Corte ha interpretado de manera constante que la sustituci</w:t>
      </w:r>
      <w:r w:rsidR="00AF0EC0" w:rsidRPr="00794C45">
        <w:rPr>
          <w:rFonts w:ascii="Verdana" w:hAnsi="Verdana" w:cs="Verdana"/>
          <w:sz w:val="20"/>
          <w:szCs w:val="20"/>
          <w:lang w:bidi="en-US"/>
        </w:rPr>
        <w:t>ón de peritos se justifica en una situación “excepcional” y</w:t>
      </w:r>
      <w:r w:rsidR="00AC18F1">
        <w:rPr>
          <w:rFonts w:ascii="Verdana" w:hAnsi="Verdana" w:cs="Verdana"/>
          <w:sz w:val="20"/>
          <w:szCs w:val="20"/>
          <w:lang w:bidi="en-US"/>
        </w:rPr>
        <w:t>,</w:t>
      </w:r>
      <w:r w:rsidR="00AF0EC0" w:rsidRPr="00794C45">
        <w:rPr>
          <w:rFonts w:ascii="Verdana" w:hAnsi="Verdana" w:cs="Verdana"/>
          <w:sz w:val="20"/>
          <w:szCs w:val="20"/>
          <w:lang w:bidi="en-US"/>
        </w:rPr>
        <w:t xml:space="preserve"> por lo tanto</w:t>
      </w:r>
      <w:r w:rsidR="00AC18F1">
        <w:rPr>
          <w:rFonts w:ascii="Verdana" w:hAnsi="Verdana" w:cs="Verdana"/>
          <w:sz w:val="20"/>
          <w:szCs w:val="20"/>
          <w:lang w:bidi="en-US"/>
        </w:rPr>
        <w:t>,</w:t>
      </w:r>
      <w:r w:rsidR="00AF0EC0" w:rsidRPr="00794C45">
        <w:rPr>
          <w:rFonts w:ascii="Verdana" w:hAnsi="Verdana" w:cs="Verdana"/>
          <w:sz w:val="20"/>
          <w:szCs w:val="20"/>
          <w:lang w:bidi="en-US"/>
        </w:rPr>
        <w:t xml:space="preserve"> que quien la proponga debe especificar las razones que lo justifiquen</w:t>
      </w:r>
      <w:r w:rsidR="004376F2" w:rsidRPr="00794C45">
        <w:rPr>
          <w:rStyle w:val="Refdenotaalpie"/>
          <w:rFonts w:ascii="Verdana" w:hAnsi="Verdana" w:cs="Verdana"/>
          <w:sz w:val="20"/>
          <w:szCs w:val="20"/>
          <w:lang w:bidi="en-US"/>
        </w:rPr>
        <w:footnoteReference w:id="3"/>
      </w:r>
      <w:r w:rsidR="00AF0EC0" w:rsidRPr="00794C45">
        <w:rPr>
          <w:rFonts w:ascii="Verdana" w:hAnsi="Verdana" w:cs="Verdana"/>
          <w:sz w:val="20"/>
          <w:szCs w:val="20"/>
          <w:lang w:bidi="en-US"/>
        </w:rPr>
        <w:t xml:space="preserve">. </w:t>
      </w:r>
      <w:r w:rsidR="00794C45" w:rsidRPr="00794C45">
        <w:rPr>
          <w:rFonts w:ascii="Verdana" w:hAnsi="Verdana"/>
          <w:sz w:val="20"/>
          <w:szCs w:val="20"/>
        </w:rPr>
        <w:t xml:space="preserve">En </w:t>
      </w:r>
      <w:r>
        <w:rPr>
          <w:rFonts w:ascii="Verdana" w:hAnsi="Verdana"/>
          <w:sz w:val="20"/>
          <w:szCs w:val="20"/>
        </w:rPr>
        <w:t>ese sentido,</w:t>
      </w:r>
      <w:r w:rsidR="00794C45" w:rsidRPr="00794C45">
        <w:rPr>
          <w:rFonts w:ascii="Verdana" w:hAnsi="Verdana"/>
          <w:sz w:val="20"/>
          <w:szCs w:val="20"/>
        </w:rPr>
        <w:t xml:space="preserve"> </w:t>
      </w:r>
      <w:r w:rsidR="00794C45">
        <w:rPr>
          <w:rFonts w:ascii="Verdana" w:hAnsi="Verdana"/>
          <w:sz w:val="20"/>
          <w:szCs w:val="20"/>
        </w:rPr>
        <w:t xml:space="preserve">la </w:t>
      </w:r>
      <w:r w:rsidR="00114381">
        <w:rPr>
          <w:rFonts w:ascii="Verdana" w:hAnsi="Verdana"/>
          <w:sz w:val="20"/>
          <w:szCs w:val="20"/>
        </w:rPr>
        <w:t>Corte</w:t>
      </w:r>
      <w:r w:rsidR="00794C45" w:rsidRPr="00794C45">
        <w:rPr>
          <w:rFonts w:ascii="Verdana" w:hAnsi="Verdana"/>
          <w:sz w:val="20"/>
          <w:szCs w:val="20"/>
        </w:rPr>
        <w:t xml:space="preserve"> </w:t>
      </w:r>
      <w:r w:rsidR="00794C45">
        <w:rPr>
          <w:rFonts w:ascii="Verdana" w:hAnsi="Verdana"/>
          <w:sz w:val="20"/>
          <w:szCs w:val="20"/>
        </w:rPr>
        <w:t>advierte</w:t>
      </w:r>
      <w:r w:rsidR="00794C45" w:rsidRPr="00794C45">
        <w:rPr>
          <w:rFonts w:ascii="Verdana" w:hAnsi="Verdana"/>
          <w:sz w:val="20"/>
          <w:szCs w:val="20"/>
        </w:rPr>
        <w:t xml:space="preserve"> que</w:t>
      </w:r>
      <w:r w:rsidR="00794C45">
        <w:rPr>
          <w:rFonts w:ascii="Verdana" w:hAnsi="Verdana"/>
          <w:sz w:val="20"/>
          <w:szCs w:val="20"/>
        </w:rPr>
        <w:t xml:space="preserve"> los representantes sustentaron su solicitud de sustitución en la existencia de “motivos de fuerza mayor sobrevenidos”, sin </w:t>
      </w:r>
      <w:r w:rsidR="00114381">
        <w:rPr>
          <w:rFonts w:ascii="Verdana" w:hAnsi="Verdana"/>
          <w:sz w:val="20"/>
          <w:szCs w:val="20"/>
        </w:rPr>
        <w:t>realizar explicación alguna respecto al contenido de dicha afirmación</w:t>
      </w:r>
      <w:r w:rsidR="00794C45">
        <w:rPr>
          <w:rFonts w:ascii="Verdana" w:hAnsi="Verdana"/>
          <w:sz w:val="20"/>
          <w:szCs w:val="20"/>
        </w:rPr>
        <w:t>.</w:t>
      </w:r>
      <w:r w:rsidR="00114381">
        <w:rPr>
          <w:rFonts w:ascii="Verdana" w:hAnsi="Verdana"/>
          <w:sz w:val="20"/>
          <w:szCs w:val="20"/>
        </w:rPr>
        <w:t xml:space="preserve"> </w:t>
      </w:r>
      <w:r>
        <w:rPr>
          <w:rFonts w:ascii="Verdana" w:hAnsi="Verdana"/>
          <w:sz w:val="20"/>
          <w:szCs w:val="20"/>
        </w:rPr>
        <w:t>Por esta razón, l</w:t>
      </w:r>
      <w:r w:rsidR="00114381">
        <w:rPr>
          <w:rFonts w:ascii="Verdana" w:hAnsi="Verdana"/>
          <w:sz w:val="20"/>
          <w:szCs w:val="20"/>
        </w:rPr>
        <w:t xml:space="preserve">a Corte considera que no es posible </w:t>
      </w:r>
      <w:r w:rsidR="00114381" w:rsidRPr="00794C45">
        <w:rPr>
          <w:rFonts w:ascii="Verdana" w:hAnsi="Verdana"/>
          <w:sz w:val="20"/>
          <w:szCs w:val="20"/>
        </w:rPr>
        <w:t>valorar la necesidad de la situación “excepcional” que justifique la sustitución de</w:t>
      </w:r>
      <w:r w:rsidR="00114381">
        <w:rPr>
          <w:rFonts w:ascii="Verdana" w:hAnsi="Verdana"/>
          <w:sz w:val="20"/>
          <w:szCs w:val="20"/>
        </w:rPr>
        <w:t>l</w:t>
      </w:r>
      <w:r w:rsidR="00114381" w:rsidRPr="00794C45">
        <w:rPr>
          <w:rFonts w:ascii="Verdana" w:hAnsi="Verdana"/>
          <w:sz w:val="20"/>
          <w:szCs w:val="20"/>
        </w:rPr>
        <w:t xml:space="preserve"> perito</w:t>
      </w:r>
      <w:r w:rsidR="00114381">
        <w:rPr>
          <w:rFonts w:ascii="Verdana" w:hAnsi="Verdana"/>
          <w:sz w:val="20"/>
          <w:szCs w:val="20"/>
        </w:rPr>
        <w:t xml:space="preserve">. En consecuencia, </w:t>
      </w:r>
      <w:r w:rsidR="00AF0EC0" w:rsidRPr="00794C45">
        <w:rPr>
          <w:rFonts w:ascii="Verdana" w:eastAsia="Verdana" w:hAnsi="Verdana"/>
          <w:sz w:val="20"/>
          <w:szCs w:val="20"/>
          <w:lang w:val="es-PE"/>
        </w:rPr>
        <w:t xml:space="preserve">la Corte </w:t>
      </w:r>
      <w:r w:rsidR="00AC18F1">
        <w:rPr>
          <w:rFonts w:ascii="Verdana" w:eastAsia="Verdana" w:hAnsi="Verdana"/>
          <w:sz w:val="20"/>
          <w:szCs w:val="20"/>
          <w:lang w:val="es-PE"/>
        </w:rPr>
        <w:t>estima improcedente</w:t>
      </w:r>
      <w:r w:rsidR="00AC18F1" w:rsidRPr="00794C45">
        <w:rPr>
          <w:rFonts w:ascii="Verdana" w:eastAsia="Verdana" w:hAnsi="Verdana"/>
          <w:sz w:val="20"/>
          <w:szCs w:val="20"/>
          <w:lang w:val="es-PE"/>
        </w:rPr>
        <w:t xml:space="preserve"> </w:t>
      </w:r>
      <w:r w:rsidR="00AF0EC0" w:rsidRPr="00794C45">
        <w:rPr>
          <w:rFonts w:ascii="Verdana" w:eastAsia="Verdana" w:hAnsi="Verdana"/>
          <w:sz w:val="20"/>
          <w:szCs w:val="20"/>
          <w:lang w:val="es-PE"/>
        </w:rPr>
        <w:t xml:space="preserve">la solicitud de sustitución </w:t>
      </w:r>
      <w:r w:rsidR="002C4CD8" w:rsidRPr="00794C45">
        <w:rPr>
          <w:rFonts w:ascii="Verdana" w:eastAsia="Verdana" w:hAnsi="Verdana"/>
          <w:sz w:val="20"/>
          <w:szCs w:val="20"/>
          <w:lang w:val="es-PE"/>
        </w:rPr>
        <w:t>del peritaje</w:t>
      </w:r>
      <w:r w:rsidR="00114381">
        <w:rPr>
          <w:rFonts w:ascii="Verdana" w:eastAsia="Verdana" w:hAnsi="Verdana"/>
          <w:sz w:val="20"/>
          <w:szCs w:val="20"/>
          <w:lang w:val="es-PE"/>
        </w:rPr>
        <w:t xml:space="preserve"> presentada por los representantes</w:t>
      </w:r>
      <w:r w:rsidR="00AF0EC0" w:rsidRPr="00794C45">
        <w:rPr>
          <w:rFonts w:ascii="Verdana" w:eastAsia="Verdana" w:hAnsi="Verdana"/>
          <w:sz w:val="20"/>
          <w:szCs w:val="20"/>
          <w:lang w:val="es-PE"/>
        </w:rPr>
        <w:t>.</w:t>
      </w:r>
    </w:p>
    <w:p w14:paraId="712B3BB4" w14:textId="46F530A2" w:rsidR="00646116" w:rsidRPr="00DF273B" w:rsidRDefault="00646116" w:rsidP="00594851">
      <w:pPr>
        <w:pStyle w:val="Numberedparagraphs"/>
        <w:numPr>
          <w:ilvl w:val="0"/>
          <w:numId w:val="0"/>
        </w:numPr>
        <w:tabs>
          <w:tab w:val="left" w:pos="567"/>
        </w:tabs>
        <w:rPr>
          <w:lang w:val="es-PE"/>
        </w:rPr>
      </w:pPr>
    </w:p>
    <w:p w14:paraId="229E5A35" w14:textId="77777777" w:rsidR="00594851" w:rsidRPr="00CB6343" w:rsidRDefault="00594851" w:rsidP="00594851">
      <w:pPr>
        <w:pStyle w:val="PrrafodeSentencia"/>
        <w:numPr>
          <w:ilvl w:val="0"/>
          <w:numId w:val="0"/>
        </w:numPr>
        <w:rPr>
          <w:b/>
        </w:rPr>
      </w:pPr>
      <w:r w:rsidRPr="00CB6343">
        <w:rPr>
          <w:b/>
        </w:rPr>
        <w:t>POR TANTO:</w:t>
      </w:r>
    </w:p>
    <w:p w14:paraId="2FF779CC" w14:textId="77777777" w:rsidR="00594851" w:rsidRPr="00CB6343" w:rsidRDefault="00594851" w:rsidP="00594851">
      <w:pPr>
        <w:tabs>
          <w:tab w:val="left" w:pos="567"/>
        </w:tabs>
        <w:jc w:val="both"/>
        <w:rPr>
          <w:b/>
          <w:lang w:val="es-MX"/>
        </w:rPr>
      </w:pPr>
    </w:p>
    <w:p w14:paraId="44085915" w14:textId="77777777" w:rsidR="00594851" w:rsidRPr="00CB6343" w:rsidRDefault="00594851" w:rsidP="00594851">
      <w:pPr>
        <w:tabs>
          <w:tab w:val="left" w:pos="567"/>
        </w:tabs>
        <w:jc w:val="both"/>
        <w:rPr>
          <w:b/>
          <w:lang w:val="es-MX"/>
        </w:rPr>
      </w:pPr>
      <w:r w:rsidRPr="00CB6343">
        <w:rPr>
          <w:b/>
          <w:lang w:val="es-MX"/>
        </w:rPr>
        <w:t>LA CORTE INTERAMERICANA DE DERECHOS HUMANOS,</w:t>
      </w:r>
    </w:p>
    <w:p w14:paraId="0F4E4988" w14:textId="77777777" w:rsidR="00594851" w:rsidRPr="00CB6343" w:rsidRDefault="00594851" w:rsidP="00594851">
      <w:pPr>
        <w:tabs>
          <w:tab w:val="left" w:pos="567"/>
        </w:tabs>
        <w:jc w:val="both"/>
        <w:rPr>
          <w:lang w:val="es-MX"/>
        </w:rPr>
      </w:pPr>
    </w:p>
    <w:p w14:paraId="4967A426" w14:textId="77777777" w:rsidR="00594851" w:rsidRDefault="00365164" w:rsidP="00594851">
      <w:pPr>
        <w:tabs>
          <w:tab w:val="left" w:pos="567"/>
        </w:tabs>
        <w:jc w:val="both"/>
        <w:rPr>
          <w:lang w:val="es-MX"/>
        </w:rPr>
      </w:pPr>
      <w:r w:rsidRPr="00365164">
        <w:rPr>
          <w:lang w:val="es-MX"/>
        </w:rPr>
        <w:t>de conformidad con el artículo 25.2 del Estatuto de la Corte y con los artículos 31.2, 49 y 50 del Reglamento,</w:t>
      </w:r>
    </w:p>
    <w:p w14:paraId="2811130F" w14:textId="77777777" w:rsidR="00365164" w:rsidRPr="00CB6343" w:rsidRDefault="00365164" w:rsidP="00594851">
      <w:pPr>
        <w:tabs>
          <w:tab w:val="left" w:pos="567"/>
        </w:tabs>
        <w:jc w:val="both"/>
        <w:rPr>
          <w:b/>
          <w:lang w:val="es-MX"/>
        </w:rPr>
      </w:pPr>
    </w:p>
    <w:p w14:paraId="3214E457" w14:textId="77777777" w:rsidR="00594851" w:rsidRPr="00CB6343" w:rsidRDefault="00594851" w:rsidP="00594851">
      <w:pPr>
        <w:tabs>
          <w:tab w:val="left" w:pos="567"/>
        </w:tabs>
        <w:jc w:val="both"/>
        <w:rPr>
          <w:b/>
        </w:rPr>
      </w:pPr>
      <w:r w:rsidRPr="00CB6343">
        <w:rPr>
          <w:b/>
          <w:lang w:val="es-MX"/>
        </w:rPr>
        <w:t>RESUELVE</w:t>
      </w:r>
      <w:r w:rsidRPr="00CB6343">
        <w:rPr>
          <w:b/>
        </w:rPr>
        <w:t>:</w:t>
      </w:r>
    </w:p>
    <w:p w14:paraId="6688B8CB" w14:textId="77777777" w:rsidR="00594851" w:rsidRDefault="00594851" w:rsidP="00594851">
      <w:pPr>
        <w:tabs>
          <w:tab w:val="left" w:pos="567"/>
        </w:tabs>
        <w:jc w:val="both"/>
        <w:rPr>
          <w:b/>
        </w:rPr>
      </w:pPr>
    </w:p>
    <w:p w14:paraId="26261FC3" w14:textId="6EBDFAD1" w:rsidR="00806EC9" w:rsidRPr="00806EC9" w:rsidRDefault="00806EC9" w:rsidP="00594851">
      <w:pPr>
        <w:tabs>
          <w:tab w:val="left" w:pos="567"/>
        </w:tabs>
        <w:jc w:val="both"/>
        <w:rPr>
          <w:b/>
        </w:rPr>
      </w:pPr>
      <w:r w:rsidRPr="001904DD">
        <w:rPr>
          <w:b/>
        </w:rPr>
        <w:t xml:space="preserve">por </w:t>
      </w:r>
      <w:proofErr w:type="spellStart"/>
      <w:r w:rsidR="001904DD" w:rsidRPr="001904DD">
        <w:rPr>
          <w:b/>
        </w:rPr>
        <w:t>unanimidad</w:t>
      </w:r>
      <w:proofErr w:type="spellEnd"/>
      <w:r w:rsidRPr="001904DD">
        <w:rPr>
          <w:b/>
        </w:rPr>
        <w:t>,</w:t>
      </w:r>
    </w:p>
    <w:p w14:paraId="1F9D316A" w14:textId="77777777" w:rsidR="00806EC9" w:rsidRPr="00CB6343" w:rsidRDefault="00806EC9" w:rsidP="00594851">
      <w:pPr>
        <w:tabs>
          <w:tab w:val="left" w:pos="567"/>
        </w:tabs>
        <w:jc w:val="both"/>
        <w:rPr>
          <w:b/>
        </w:rPr>
      </w:pPr>
    </w:p>
    <w:p w14:paraId="6C7D8479" w14:textId="66D4FCFC" w:rsidR="00F13F6F" w:rsidRPr="00EE6268" w:rsidRDefault="00365164" w:rsidP="007917BD">
      <w:pPr>
        <w:pStyle w:val="Numberedparagraphs"/>
        <w:numPr>
          <w:ilvl w:val="0"/>
          <w:numId w:val="2"/>
        </w:numPr>
        <w:tabs>
          <w:tab w:val="clear" w:pos="720"/>
          <w:tab w:val="num" w:pos="540"/>
          <w:tab w:val="left" w:pos="567"/>
        </w:tabs>
        <w:rPr>
          <w:lang w:val="es-PE"/>
        </w:rPr>
      </w:pPr>
      <w:r w:rsidRPr="00EE6268">
        <w:t>Modificar, en lo p</w:t>
      </w:r>
      <w:r w:rsidR="00253BC4" w:rsidRPr="00EE6268">
        <w:t xml:space="preserve">ertinente, el punto resolutivo </w:t>
      </w:r>
      <w:r w:rsidR="00203E0B">
        <w:t>3</w:t>
      </w:r>
      <w:r w:rsidRPr="00EE6268">
        <w:t xml:space="preserve">, inciso </w:t>
      </w:r>
      <w:r w:rsidR="00203E0B">
        <w:t>c</w:t>
      </w:r>
      <w:r w:rsidRPr="00EE6268">
        <w:t>), de la Resoluci</w:t>
      </w:r>
      <w:r w:rsidR="00F13F6F" w:rsidRPr="00EE6268">
        <w:t xml:space="preserve">ón </w:t>
      </w:r>
      <w:r w:rsidR="00203E0B">
        <w:t>de la Presidenta</w:t>
      </w:r>
      <w:r w:rsidR="00F13F6F" w:rsidRPr="00EE6268">
        <w:t xml:space="preserve"> de </w:t>
      </w:r>
      <w:r w:rsidR="00203E0B">
        <w:t>12</w:t>
      </w:r>
      <w:r w:rsidR="00F13F6F" w:rsidRPr="00EE6268">
        <w:t xml:space="preserve"> de </w:t>
      </w:r>
      <w:r w:rsidR="00203E0B">
        <w:t>abril de 2021</w:t>
      </w:r>
      <w:r w:rsidRPr="00EE6268">
        <w:t>, en atención a</w:t>
      </w:r>
      <w:r w:rsidR="00F13F6F" w:rsidRPr="00EE6268">
        <w:t xml:space="preserve"> </w:t>
      </w:r>
      <w:r w:rsidR="004A05F8" w:rsidRPr="00EE6268">
        <w:t>l</w:t>
      </w:r>
      <w:r w:rsidR="00F13F6F" w:rsidRPr="00EE6268">
        <w:t>os</w:t>
      </w:r>
      <w:r w:rsidR="004A05F8" w:rsidRPr="00EE6268">
        <w:t xml:space="preserve"> considerando</w:t>
      </w:r>
      <w:r w:rsidR="00F13F6F" w:rsidRPr="00EE6268">
        <w:t>s</w:t>
      </w:r>
      <w:r w:rsidRPr="00EE6268">
        <w:t xml:space="preserve"> </w:t>
      </w:r>
      <w:r w:rsidR="00B0559A">
        <w:t>6</w:t>
      </w:r>
      <w:r w:rsidR="00F13F6F" w:rsidRPr="00EE6268">
        <w:t xml:space="preserve"> a </w:t>
      </w:r>
      <w:r w:rsidR="00B0559A">
        <w:t>8</w:t>
      </w:r>
      <w:r w:rsidR="00253BC4" w:rsidRPr="00EE6268">
        <w:t xml:space="preserve"> de la presente </w:t>
      </w:r>
      <w:r w:rsidR="00904EF1" w:rsidRPr="00EE6268">
        <w:t>Resolución</w:t>
      </w:r>
      <w:r w:rsidR="00B0559A">
        <w:t>,</w:t>
      </w:r>
      <w:r w:rsidR="00253BC4" w:rsidRPr="00EE6268">
        <w:t xml:space="preserve"> con la finalidad de</w:t>
      </w:r>
      <w:r w:rsidRPr="00EE6268">
        <w:t xml:space="preserve"> </w:t>
      </w:r>
      <w:r w:rsidR="00203E0B">
        <w:t xml:space="preserve">autorizar </w:t>
      </w:r>
      <w:r w:rsidR="009007DC">
        <w:t>a</w:t>
      </w:r>
      <w:r w:rsidR="00203E0B">
        <w:t xml:space="preserve">l perito Mauricio Sosa </w:t>
      </w:r>
      <w:r w:rsidR="009007DC">
        <w:t xml:space="preserve">a </w:t>
      </w:r>
      <w:r w:rsidR="00203E0B">
        <w:t>utili</w:t>
      </w:r>
      <w:r w:rsidR="009007DC">
        <w:t>zar</w:t>
      </w:r>
      <w:r w:rsidR="00203E0B">
        <w:t xml:space="preserve"> la información tributaria del señor Emilio Palacio Urrutia y </w:t>
      </w:r>
      <w:r w:rsidR="00AC18F1">
        <w:t xml:space="preserve">de </w:t>
      </w:r>
      <w:r w:rsidR="00203E0B">
        <w:t xml:space="preserve">la </w:t>
      </w:r>
      <w:r w:rsidR="00AC18F1">
        <w:t>C</w:t>
      </w:r>
      <w:r w:rsidR="00203E0B">
        <w:t xml:space="preserve">ompañía </w:t>
      </w:r>
      <w:r w:rsidR="00AC18F1">
        <w:t xml:space="preserve">Anónima </w:t>
      </w:r>
      <w:r w:rsidR="00203E0B">
        <w:t xml:space="preserve">Diario El Universo </w:t>
      </w:r>
      <w:r w:rsidR="00AC18F1">
        <w:rPr>
          <w:rFonts w:eastAsia="Verdana"/>
          <w:lang w:val="es-PE"/>
        </w:rPr>
        <w:t xml:space="preserve">presentada oportunamente ante los órganos estatales competentes </w:t>
      </w:r>
      <w:r w:rsidR="00AC18F1" w:rsidRPr="005462DF">
        <w:rPr>
          <w:rFonts w:cs="TimesNewRomanPSMT"/>
        </w:rPr>
        <w:t>durante el período comprendido entre los años 2009 a 20</w:t>
      </w:r>
      <w:r w:rsidR="00EC266B">
        <w:rPr>
          <w:rFonts w:cs="TimesNewRomanPSMT"/>
        </w:rPr>
        <w:t>20</w:t>
      </w:r>
      <w:r w:rsidR="00AC18F1">
        <w:rPr>
          <w:rFonts w:cs="TimesNewRomanPSMT"/>
        </w:rPr>
        <w:t xml:space="preserve">, </w:t>
      </w:r>
      <w:r w:rsidR="00203E0B">
        <w:t>para la elaboración de su peritaje. Dicho peritaje deberá</w:t>
      </w:r>
      <w:r w:rsidR="00F13F6F" w:rsidRPr="00EE6268">
        <w:t xml:space="preserve"> remitirse por escrito al Tribunal a más tardar el </w:t>
      </w:r>
      <w:r w:rsidR="00203E0B">
        <w:t>28</w:t>
      </w:r>
      <w:r w:rsidR="00F13F6F" w:rsidRPr="00EE6268">
        <w:t xml:space="preserve"> de </w:t>
      </w:r>
      <w:r w:rsidR="00203E0B">
        <w:t>junio de 2021</w:t>
      </w:r>
      <w:r w:rsidR="00F13F6F" w:rsidRPr="00EE6268">
        <w:t>.</w:t>
      </w:r>
      <w:r w:rsidR="00EE6268">
        <w:t xml:space="preserve"> </w:t>
      </w:r>
    </w:p>
    <w:p w14:paraId="26501569" w14:textId="77777777" w:rsidR="00FF7736" w:rsidRPr="00FF7736" w:rsidRDefault="00FF7736" w:rsidP="00FF7736">
      <w:pPr>
        <w:pStyle w:val="Numberedparagraphs"/>
        <w:numPr>
          <w:ilvl w:val="0"/>
          <w:numId w:val="0"/>
        </w:numPr>
        <w:tabs>
          <w:tab w:val="left" w:pos="567"/>
        </w:tabs>
        <w:rPr>
          <w:lang w:val="es-PE"/>
        </w:rPr>
      </w:pPr>
    </w:p>
    <w:p w14:paraId="5146CF44" w14:textId="2A75512E" w:rsidR="00F13F6F" w:rsidRPr="00BA4FA3" w:rsidRDefault="00FF7736" w:rsidP="00FF7736">
      <w:pPr>
        <w:pStyle w:val="Numberedparagraphs"/>
        <w:numPr>
          <w:ilvl w:val="0"/>
          <w:numId w:val="2"/>
        </w:numPr>
        <w:tabs>
          <w:tab w:val="clear" w:pos="720"/>
          <w:tab w:val="num" w:pos="540"/>
          <w:tab w:val="left" w:pos="567"/>
        </w:tabs>
        <w:rPr>
          <w:lang w:val="es-PE"/>
        </w:rPr>
      </w:pPr>
      <w:r w:rsidRPr="00FF7736">
        <w:t>D</w:t>
      </w:r>
      <w:r w:rsidR="007917BD" w:rsidRPr="00FF7736">
        <w:t xml:space="preserve">eclarar improcedente la solicitud </w:t>
      </w:r>
      <w:r w:rsidRPr="00FF7736">
        <w:t>de los representantes</w:t>
      </w:r>
      <w:r w:rsidR="007917BD" w:rsidRPr="00FF7736">
        <w:t xml:space="preserve"> </w:t>
      </w:r>
      <w:r w:rsidR="00AC18F1">
        <w:t>de</w:t>
      </w:r>
      <w:r w:rsidR="00B23B6D">
        <w:rPr>
          <w:rFonts w:eastAsia="Verdana"/>
          <w:lang w:val="es-PE"/>
        </w:rPr>
        <w:t xml:space="preserve"> sustitución </w:t>
      </w:r>
      <w:r w:rsidR="00B0559A">
        <w:rPr>
          <w:rFonts w:eastAsia="Verdana"/>
          <w:lang w:val="es-PE"/>
        </w:rPr>
        <w:t>del</w:t>
      </w:r>
      <w:r w:rsidR="00203E0B">
        <w:rPr>
          <w:rFonts w:eastAsia="Verdana"/>
          <w:lang w:val="es-PE"/>
        </w:rPr>
        <w:t xml:space="preserve"> peritaje de Manuel García</w:t>
      </w:r>
      <w:r w:rsidRPr="00FF7736">
        <w:rPr>
          <w:rFonts w:eastAsia="Verdana"/>
          <w:lang w:val="es-PE"/>
        </w:rPr>
        <w:t>,</w:t>
      </w:r>
      <w:r w:rsidR="007917BD" w:rsidRPr="00FF7736">
        <w:rPr>
          <w:rFonts w:eastAsia="Verdana"/>
          <w:lang w:val="es-PE"/>
        </w:rPr>
        <w:t xml:space="preserve"> </w:t>
      </w:r>
      <w:r w:rsidR="00253BC4" w:rsidRPr="00FF7736">
        <w:rPr>
          <w:rFonts w:eastAsia="Verdana"/>
          <w:lang w:val="es-PE"/>
        </w:rPr>
        <w:t xml:space="preserve">en </w:t>
      </w:r>
      <w:r w:rsidR="007917BD" w:rsidRPr="00FF7736">
        <w:rPr>
          <w:rFonts w:eastAsia="Verdana"/>
          <w:lang w:val="es-PE"/>
        </w:rPr>
        <w:t xml:space="preserve">atención </w:t>
      </w:r>
      <w:r w:rsidR="00203E0B">
        <w:rPr>
          <w:rFonts w:eastAsia="Verdana"/>
          <w:lang w:val="es-PE"/>
        </w:rPr>
        <w:t>al considerando</w:t>
      </w:r>
      <w:r w:rsidR="007917BD" w:rsidRPr="00FF7736">
        <w:rPr>
          <w:rFonts w:eastAsia="Verdana"/>
          <w:lang w:val="es-PE"/>
        </w:rPr>
        <w:t xml:space="preserve"> </w:t>
      </w:r>
      <w:r w:rsidR="00DC200F" w:rsidRPr="00FF7736">
        <w:rPr>
          <w:rFonts w:eastAsia="Verdana"/>
          <w:lang w:val="es-PE"/>
        </w:rPr>
        <w:t>1</w:t>
      </w:r>
      <w:r w:rsidR="00B0559A">
        <w:rPr>
          <w:rFonts w:eastAsia="Verdana"/>
          <w:lang w:val="es-PE"/>
        </w:rPr>
        <w:t>0</w:t>
      </w:r>
      <w:r w:rsidR="008420F1" w:rsidRPr="00FF7736">
        <w:rPr>
          <w:rFonts w:eastAsia="Verdana"/>
          <w:lang w:val="es-PE"/>
        </w:rPr>
        <w:t xml:space="preserve"> de la presente </w:t>
      </w:r>
      <w:r w:rsidR="00904EF1" w:rsidRPr="00FF7736">
        <w:rPr>
          <w:rFonts w:eastAsia="Verdana"/>
          <w:lang w:val="es-PE"/>
        </w:rPr>
        <w:t>R</w:t>
      </w:r>
      <w:r w:rsidR="008420F1" w:rsidRPr="00FF7736">
        <w:rPr>
          <w:rFonts w:eastAsia="Verdana"/>
          <w:lang w:val="es-PE"/>
        </w:rPr>
        <w:t>esolución.</w:t>
      </w:r>
      <w:r w:rsidR="00203E0B">
        <w:rPr>
          <w:rFonts w:eastAsia="Verdana"/>
          <w:lang w:val="es-PE"/>
        </w:rPr>
        <w:t xml:space="preserve"> En consecuencia, el peritaje ofrecido por los representantes deberá remitirse al Tribunal a más tardar el 10 de junio de 2021.</w:t>
      </w:r>
    </w:p>
    <w:p w14:paraId="248A439D" w14:textId="77777777" w:rsidR="008420F1" w:rsidRPr="001F475B" w:rsidRDefault="008420F1" w:rsidP="001F475B">
      <w:pPr>
        <w:rPr>
          <w:lang w:val="es-PE"/>
        </w:rPr>
      </w:pPr>
    </w:p>
    <w:p w14:paraId="6750A4B1" w14:textId="2E39E36F" w:rsidR="008420F1" w:rsidRPr="007917BD" w:rsidRDefault="008420F1" w:rsidP="007917BD">
      <w:pPr>
        <w:pStyle w:val="Numberedparagraphs"/>
        <w:numPr>
          <w:ilvl w:val="0"/>
          <w:numId w:val="2"/>
        </w:numPr>
        <w:tabs>
          <w:tab w:val="clear" w:pos="720"/>
          <w:tab w:val="num" w:pos="540"/>
          <w:tab w:val="left" w:pos="567"/>
        </w:tabs>
        <w:rPr>
          <w:lang w:val="es-PE"/>
        </w:rPr>
      </w:pPr>
      <w:r>
        <w:rPr>
          <w:lang w:val="es-PE"/>
        </w:rPr>
        <w:t xml:space="preserve">Disponer que la Secretaría de la Corte Interamericana notifique la presente Resolución al Estado, </w:t>
      </w:r>
      <w:r w:rsidR="00FF7736">
        <w:rPr>
          <w:lang w:val="es-PE"/>
        </w:rPr>
        <w:t>los representantes de la</w:t>
      </w:r>
      <w:r w:rsidR="00AC18F1">
        <w:rPr>
          <w:lang w:val="es-PE"/>
        </w:rPr>
        <w:t>s</w:t>
      </w:r>
      <w:r w:rsidR="00FF7736">
        <w:rPr>
          <w:lang w:val="es-PE"/>
        </w:rPr>
        <w:t xml:space="preserve"> presunta</w:t>
      </w:r>
      <w:r w:rsidR="00AC18F1">
        <w:rPr>
          <w:lang w:val="es-PE"/>
        </w:rPr>
        <w:t>s</w:t>
      </w:r>
      <w:r w:rsidR="00FF7736">
        <w:rPr>
          <w:lang w:val="es-PE"/>
        </w:rPr>
        <w:t xml:space="preserve"> víctima</w:t>
      </w:r>
      <w:r w:rsidR="00AC18F1">
        <w:rPr>
          <w:lang w:val="es-PE"/>
        </w:rPr>
        <w:t>s</w:t>
      </w:r>
      <w:r>
        <w:rPr>
          <w:lang w:val="es-PE"/>
        </w:rPr>
        <w:t xml:space="preserve"> y a la Comisión Interamericana.</w:t>
      </w:r>
    </w:p>
    <w:p w14:paraId="1BCAFF28" w14:textId="77777777" w:rsidR="00BA4FA3" w:rsidRDefault="00BA4FA3">
      <w:pPr>
        <w:spacing w:after="160" w:line="259" w:lineRule="auto"/>
        <w:rPr>
          <w:rFonts w:ascii="Calibri" w:eastAsia="Calibri" w:hAnsi="Calibri"/>
          <w:sz w:val="22"/>
          <w:szCs w:val="22"/>
          <w:lang w:val="es-CR"/>
        </w:rPr>
      </w:pPr>
      <w:r w:rsidRPr="003F490A">
        <w:rPr>
          <w:lang w:val="es-CR"/>
        </w:rPr>
        <w:br w:type="page"/>
      </w:r>
    </w:p>
    <w:p w14:paraId="38276178" w14:textId="77777777" w:rsidR="00996BDE" w:rsidRPr="006E707A" w:rsidRDefault="00996BDE" w:rsidP="00996BDE">
      <w:pPr>
        <w:keepNext/>
        <w:jc w:val="both"/>
        <w:outlineLvl w:val="0"/>
        <w:rPr>
          <w:rFonts w:eastAsia="Times"/>
          <w:lang w:val="es-CR"/>
        </w:rPr>
      </w:pPr>
      <w:r w:rsidRPr="006E707A">
        <w:rPr>
          <w:rFonts w:cs="Courier New"/>
          <w:noProof/>
          <w:lang w:val="es-CR"/>
        </w:rPr>
        <w:lastRenderedPageBreak/>
        <w:t xml:space="preserve">Corte IDH. </w:t>
      </w:r>
      <w:r w:rsidRPr="006E707A">
        <w:rPr>
          <w:bCs/>
          <w:i/>
          <w:lang w:val="es-CR"/>
        </w:rPr>
        <w:t>Caso Palacio Urrutia y otros Vs. Ecuador.</w:t>
      </w:r>
      <w:r w:rsidRPr="006E707A">
        <w:rPr>
          <w:rFonts w:cs="Arial"/>
          <w:lang w:val="es-CR"/>
        </w:rPr>
        <w:t xml:space="preserve"> </w:t>
      </w:r>
      <w:r w:rsidRPr="006E707A">
        <w:rPr>
          <w:lang w:val="es-CR"/>
        </w:rPr>
        <w:t xml:space="preserve">Resolución de la Corte Interamericana de Derechos Humanos de 4 de junio de 2021. </w:t>
      </w:r>
      <w:r w:rsidRPr="006E707A">
        <w:rPr>
          <w:rFonts w:eastAsia="Times"/>
          <w:lang w:val="es-CR"/>
        </w:rPr>
        <w:t>Resolución adoptada en San José, Costa Rica por medio de sesión virtual.</w:t>
      </w:r>
    </w:p>
    <w:p w14:paraId="59D2F9A1" w14:textId="3D50F627" w:rsidR="00996BDE" w:rsidRPr="00422604" w:rsidRDefault="00996BDE" w:rsidP="00996BDE">
      <w:pPr>
        <w:rPr>
          <w:lang w:val="es-CR"/>
        </w:rPr>
      </w:pPr>
    </w:p>
    <w:p w14:paraId="0DBF88CE" w14:textId="77777777" w:rsidR="00996BDE" w:rsidRPr="00422604" w:rsidRDefault="00996BDE" w:rsidP="00996BDE">
      <w:pPr>
        <w:rPr>
          <w:lang w:val="es-ES"/>
        </w:rPr>
      </w:pPr>
    </w:p>
    <w:p w14:paraId="07F00F38" w14:textId="77777777" w:rsidR="00996BDE" w:rsidRPr="00422604" w:rsidRDefault="00996BDE" w:rsidP="00996BDE">
      <w:pPr>
        <w:rPr>
          <w:lang w:val="es-ES"/>
        </w:rPr>
      </w:pPr>
    </w:p>
    <w:p w14:paraId="1F849CA8" w14:textId="77777777" w:rsidR="00996BDE" w:rsidRPr="00422604" w:rsidRDefault="00996BDE" w:rsidP="00996BDE">
      <w:pPr>
        <w:rPr>
          <w:lang w:val="es-ES"/>
        </w:rPr>
      </w:pPr>
    </w:p>
    <w:p w14:paraId="3D7A8D2F" w14:textId="77777777" w:rsidR="00996BDE" w:rsidRPr="00422604" w:rsidRDefault="00996BDE" w:rsidP="00996BDE">
      <w:pPr>
        <w:rPr>
          <w:lang w:val="es-ES"/>
        </w:rPr>
      </w:pPr>
    </w:p>
    <w:p w14:paraId="218707BD" w14:textId="77777777" w:rsidR="00996BDE" w:rsidRPr="00422604" w:rsidRDefault="00996BDE" w:rsidP="00996BDE">
      <w:pPr>
        <w:jc w:val="center"/>
        <w:rPr>
          <w:lang w:val="pt-BR"/>
        </w:rPr>
      </w:pPr>
      <w:r w:rsidRPr="00422604">
        <w:rPr>
          <w:lang w:val="pt-BR"/>
        </w:rPr>
        <w:t xml:space="preserve">Elizabeth </w:t>
      </w:r>
      <w:proofErr w:type="spellStart"/>
      <w:r w:rsidRPr="00422604">
        <w:rPr>
          <w:lang w:val="pt-BR"/>
        </w:rPr>
        <w:t>Odio</w:t>
      </w:r>
      <w:proofErr w:type="spellEnd"/>
      <w:r w:rsidRPr="00422604">
        <w:rPr>
          <w:lang w:val="pt-BR"/>
        </w:rPr>
        <w:t xml:space="preserve"> Benito</w:t>
      </w:r>
    </w:p>
    <w:p w14:paraId="544091F6" w14:textId="0064A8FF" w:rsidR="00996BDE" w:rsidRPr="00422604" w:rsidRDefault="00996BDE" w:rsidP="00996BDE">
      <w:pPr>
        <w:jc w:val="center"/>
        <w:rPr>
          <w:lang w:val="pt-BR"/>
        </w:rPr>
      </w:pPr>
      <w:r w:rsidRPr="00422604">
        <w:rPr>
          <w:lang w:val="pt-BR"/>
        </w:rPr>
        <w:t>Presidenta</w:t>
      </w:r>
    </w:p>
    <w:p w14:paraId="4C2C5BF7" w14:textId="77777777" w:rsidR="00996BDE" w:rsidRPr="00422604" w:rsidRDefault="00996BDE" w:rsidP="00996BDE">
      <w:pPr>
        <w:jc w:val="both"/>
        <w:rPr>
          <w:lang w:val="pt-BR"/>
        </w:rPr>
      </w:pPr>
    </w:p>
    <w:p w14:paraId="5CD0E526" w14:textId="77777777" w:rsidR="00996BDE" w:rsidRPr="00422604" w:rsidRDefault="00996BDE" w:rsidP="00996BDE">
      <w:pPr>
        <w:jc w:val="both"/>
        <w:rPr>
          <w:lang w:val="pt-BR"/>
        </w:rPr>
      </w:pPr>
    </w:p>
    <w:p w14:paraId="54F3DB83" w14:textId="7243C60B" w:rsidR="00996BDE" w:rsidRPr="00422604" w:rsidRDefault="00996BDE" w:rsidP="00996BDE">
      <w:pPr>
        <w:jc w:val="both"/>
        <w:rPr>
          <w:lang w:val="pt-BR"/>
        </w:rPr>
      </w:pPr>
    </w:p>
    <w:p w14:paraId="2A392255" w14:textId="77777777" w:rsidR="00996BDE" w:rsidRPr="00422604" w:rsidRDefault="00996BDE" w:rsidP="00996BDE">
      <w:pPr>
        <w:jc w:val="both"/>
        <w:rPr>
          <w:lang w:val="pt-BR"/>
        </w:rPr>
      </w:pPr>
    </w:p>
    <w:p w14:paraId="6CE6E660" w14:textId="77777777" w:rsidR="00996BDE" w:rsidRPr="00422604" w:rsidRDefault="00996BDE" w:rsidP="00996BDE">
      <w:pPr>
        <w:jc w:val="both"/>
        <w:rPr>
          <w:lang w:val="pt-BR"/>
        </w:rPr>
      </w:pPr>
    </w:p>
    <w:p w14:paraId="7120E65C" w14:textId="6F497B91" w:rsidR="00996BDE" w:rsidRPr="00422604" w:rsidRDefault="00996BDE" w:rsidP="00996BDE">
      <w:pPr>
        <w:rPr>
          <w:lang w:val="pt-BR"/>
        </w:rPr>
      </w:pPr>
      <w:r w:rsidRPr="00422604">
        <w:rPr>
          <w:lang w:val="pt-BR"/>
        </w:rPr>
        <w:t>Eduardo Vio Grossi</w:t>
      </w:r>
      <w:r>
        <w:rPr>
          <w:lang w:val="pt-BR"/>
        </w:rPr>
        <w:tab/>
      </w:r>
      <w:r>
        <w:rPr>
          <w:lang w:val="pt-BR"/>
        </w:rPr>
        <w:tab/>
      </w:r>
      <w:r>
        <w:rPr>
          <w:lang w:val="pt-BR"/>
        </w:rPr>
        <w:tab/>
      </w:r>
      <w:r>
        <w:rPr>
          <w:lang w:val="pt-BR"/>
        </w:rPr>
        <w:tab/>
      </w:r>
      <w:r>
        <w:rPr>
          <w:lang w:val="pt-BR"/>
        </w:rPr>
        <w:tab/>
      </w:r>
      <w:r>
        <w:rPr>
          <w:lang w:val="pt-BR"/>
        </w:rPr>
        <w:tab/>
        <w:t xml:space="preserve">       </w:t>
      </w:r>
      <w:r w:rsidRPr="00422604">
        <w:rPr>
          <w:lang w:val="pt-BR"/>
        </w:rPr>
        <w:t xml:space="preserve">Humberto </w:t>
      </w:r>
      <w:proofErr w:type="spellStart"/>
      <w:r w:rsidRPr="00422604">
        <w:rPr>
          <w:lang w:val="pt-BR"/>
        </w:rPr>
        <w:t>Antonio</w:t>
      </w:r>
      <w:proofErr w:type="spellEnd"/>
      <w:r w:rsidRPr="00422604">
        <w:rPr>
          <w:lang w:val="pt-BR"/>
        </w:rPr>
        <w:t xml:space="preserve"> </w:t>
      </w:r>
      <w:proofErr w:type="spellStart"/>
      <w:r w:rsidRPr="00422604">
        <w:rPr>
          <w:lang w:val="pt-BR"/>
        </w:rPr>
        <w:t>Sierra</w:t>
      </w:r>
      <w:proofErr w:type="spellEnd"/>
      <w:r w:rsidRPr="00422604">
        <w:rPr>
          <w:lang w:val="pt-BR"/>
        </w:rPr>
        <w:t xml:space="preserve"> Porto</w:t>
      </w:r>
    </w:p>
    <w:p w14:paraId="1632506F" w14:textId="774504F9" w:rsidR="00996BDE" w:rsidRPr="00422604" w:rsidRDefault="00996BDE" w:rsidP="00996BDE">
      <w:pPr>
        <w:rPr>
          <w:lang w:val="pt-BR"/>
        </w:rPr>
      </w:pPr>
    </w:p>
    <w:p w14:paraId="2344734A" w14:textId="77777777" w:rsidR="00996BDE" w:rsidRPr="00422604" w:rsidRDefault="00996BDE" w:rsidP="00996BDE">
      <w:pPr>
        <w:rPr>
          <w:lang w:val="pt-BR"/>
        </w:rPr>
      </w:pPr>
    </w:p>
    <w:p w14:paraId="1407A3DE" w14:textId="77777777" w:rsidR="00996BDE" w:rsidRPr="00422604" w:rsidRDefault="00996BDE" w:rsidP="00996BDE">
      <w:pPr>
        <w:rPr>
          <w:lang w:val="pt-BR"/>
        </w:rPr>
      </w:pPr>
    </w:p>
    <w:p w14:paraId="04264827" w14:textId="77777777" w:rsidR="00996BDE" w:rsidRPr="00422604" w:rsidRDefault="00996BDE" w:rsidP="00996BDE">
      <w:pPr>
        <w:rPr>
          <w:lang w:val="pt-BR"/>
        </w:rPr>
      </w:pPr>
    </w:p>
    <w:p w14:paraId="4BAAC51A" w14:textId="77777777" w:rsidR="00996BDE" w:rsidRPr="00422604" w:rsidRDefault="00996BDE" w:rsidP="00996BDE">
      <w:pPr>
        <w:jc w:val="both"/>
        <w:rPr>
          <w:lang w:val="pt-BR"/>
        </w:rPr>
      </w:pPr>
    </w:p>
    <w:p w14:paraId="7158547A" w14:textId="77777777" w:rsidR="00996BDE" w:rsidRPr="00422604" w:rsidRDefault="00996BDE" w:rsidP="00996BDE">
      <w:pPr>
        <w:rPr>
          <w:lang w:val="pt-BR"/>
        </w:rPr>
      </w:pPr>
      <w:r w:rsidRPr="00422604">
        <w:rPr>
          <w:lang w:val="pt-BR"/>
        </w:rPr>
        <w:t xml:space="preserve">Eduardo Ferrer </w:t>
      </w:r>
      <w:proofErr w:type="spellStart"/>
      <w:r w:rsidRPr="00422604">
        <w:rPr>
          <w:lang w:val="pt-BR"/>
        </w:rPr>
        <w:t>Mac-Gregor</w:t>
      </w:r>
      <w:proofErr w:type="spellEnd"/>
      <w:r w:rsidRPr="00422604">
        <w:rPr>
          <w:lang w:val="pt-BR"/>
        </w:rPr>
        <w:t xml:space="preserve"> </w:t>
      </w:r>
      <w:proofErr w:type="spellStart"/>
      <w:r w:rsidRPr="00422604">
        <w:rPr>
          <w:lang w:val="pt-BR"/>
        </w:rPr>
        <w:t>Poisot</w:t>
      </w:r>
      <w:proofErr w:type="spellEnd"/>
      <w:r w:rsidRPr="00422604">
        <w:rPr>
          <w:lang w:val="pt-BR"/>
        </w:rPr>
        <w:tab/>
      </w:r>
      <w:r w:rsidRPr="00422604">
        <w:rPr>
          <w:lang w:val="pt-BR"/>
        </w:rPr>
        <w:tab/>
      </w:r>
      <w:r w:rsidRPr="00422604">
        <w:rPr>
          <w:lang w:val="pt-BR"/>
        </w:rPr>
        <w:tab/>
      </w:r>
      <w:r w:rsidRPr="00422604">
        <w:rPr>
          <w:lang w:val="pt-BR"/>
        </w:rPr>
        <w:tab/>
      </w:r>
      <w:r w:rsidRPr="00422604">
        <w:rPr>
          <w:lang w:val="pt-BR"/>
        </w:rPr>
        <w:tab/>
      </w:r>
      <w:r>
        <w:rPr>
          <w:lang w:val="pt-BR"/>
        </w:rPr>
        <w:t xml:space="preserve">         </w:t>
      </w:r>
      <w:r w:rsidRPr="00422604">
        <w:rPr>
          <w:lang w:val="pt-BR"/>
        </w:rPr>
        <w:t xml:space="preserve">Eugenio </w:t>
      </w:r>
      <w:proofErr w:type="spellStart"/>
      <w:r w:rsidRPr="00422604">
        <w:rPr>
          <w:lang w:val="pt-BR"/>
        </w:rPr>
        <w:t>Raúl</w:t>
      </w:r>
      <w:proofErr w:type="spellEnd"/>
      <w:r w:rsidRPr="00422604">
        <w:rPr>
          <w:lang w:val="pt-BR"/>
        </w:rPr>
        <w:t xml:space="preserve"> </w:t>
      </w:r>
      <w:proofErr w:type="spellStart"/>
      <w:r w:rsidRPr="00422604">
        <w:rPr>
          <w:lang w:val="pt-BR"/>
        </w:rPr>
        <w:t>Zaffaroni</w:t>
      </w:r>
      <w:proofErr w:type="spellEnd"/>
    </w:p>
    <w:p w14:paraId="64ADCAF2" w14:textId="77777777" w:rsidR="00996BDE" w:rsidRPr="00422604" w:rsidRDefault="00996BDE" w:rsidP="00996BDE">
      <w:pPr>
        <w:rPr>
          <w:lang w:val="pt-BR"/>
        </w:rPr>
      </w:pPr>
    </w:p>
    <w:p w14:paraId="7A4FA537" w14:textId="77777777" w:rsidR="00996BDE" w:rsidRPr="00422604" w:rsidRDefault="00996BDE" w:rsidP="00996BDE">
      <w:pPr>
        <w:rPr>
          <w:lang w:val="pt-BR"/>
        </w:rPr>
      </w:pPr>
    </w:p>
    <w:p w14:paraId="5C82201F" w14:textId="4C96DBEB" w:rsidR="00996BDE" w:rsidRPr="00422604" w:rsidRDefault="00996BDE" w:rsidP="00996BDE">
      <w:pPr>
        <w:rPr>
          <w:lang w:val="pt-BR"/>
        </w:rPr>
      </w:pPr>
    </w:p>
    <w:p w14:paraId="071729E5" w14:textId="379F8F4B" w:rsidR="00996BDE" w:rsidRPr="00422604" w:rsidRDefault="00996BDE" w:rsidP="00996BDE">
      <w:pPr>
        <w:rPr>
          <w:lang w:val="pt-BR"/>
        </w:rPr>
      </w:pPr>
    </w:p>
    <w:p w14:paraId="1EAEE77F" w14:textId="77777777" w:rsidR="00996BDE" w:rsidRPr="00422604" w:rsidRDefault="00996BDE" w:rsidP="00996BDE">
      <w:pPr>
        <w:rPr>
          <w:lang w:val="pt-BR"/>
        </w:rPr>
      </w:pPr>
    </w:p>
    <w:p w14:paraId="36F3BA8B" w14:textId="77777777" w:rsidR="00996BDE" w:rsidRPr="00422604" w:rsidRDefault="00996BDE" w:rsidP="00996BDE">
      <w:pPr>
        <w:jc w:val="center"/>
        <w:rPr>
          <w:lang w:val="es-CR"/>
        </w:rPr>
      </w:pPr>
      <w:r w:rsidRPr="00422604">
        <w:rPr>
          <w:lang w:val="es-CR"/>
        </w:rPr>
        <w:t>Ricardo C. Pérez Manrique</w:t>
      </w:r>
    </w:p>
    <w:p w14:paraId="3F48444F" w14:textId="77777777" w:rsidR="00996BDE" w:rsidRPr="00422604" w:rsidRDefault="00996BDE" w:rsidP="00996BDE">
      <w:pPr>
        <w:jc w:val="both"/>
        <w:rPr>
          <w:lang w:val="pt-BR"/>
        </w:rPr>
      </w:pPr>
    </w:p>
    <w:p w14:paraId="52714E0F" w14:textId="77777777" w:rsidR="00996BDE" w:rsidRPr="00422604" w:rsidRDefault="00996BDE" w:rsidP="00996BDE">
      <w:pPr>
        <w:jc w:val="both"/>
        <w:rPr>
          <w:lang w:val="pt-BR"/>
        </w:rPr>
      </w:pPr>
    </w:p>
    <w:p w14:paraId="5FCC7A9A" w14:textId="77777777" w:rsidR="00996BDE" w:rsidRPr="00422604" w:rsidRDefault="00996BDE" w:rsidP="00996BDE">
      <w:pPr>
        <w:jc w:val="both"/>
        <w:rPr>
          <w:lang w:val="pt-BR"/>
        </w:rPr>
      </w:pPr>
    </w:p>
    <w:p w14:paraId="42884807" w14:textId="77777777" w:rsidR="00996BDE" w:rsidRPr="00422604" w:rsidRDefault="00996BDE" w:rsidP="00996BDE">
      <w:pPr>
        <w:jc w:val="both"/>
        <w:rPr>
          <w:lang w:val="pt-BR"/>
        </w:rPr>
      </w:pPr>
    </w:p>
    <w:p w14:paraId="01400578" w14:textId="77777777" w:rsidR="00996BDE" w:rsidRPr="00422604" w:rsidRDefault="00996BDE" w:rsidP="00996BDE">
      <w:pPr>
        <w:jc w:val="both"/>
        <w:rPr>
          <w:lang w:val="pt-BR"/>
        </w:rPr>
      </w:pPr>
    </w:p>
    <w:p w14:paraId="101E86AB" w14:textId="77777777" w:rsidR="00996BDE" w:rsidRPr="00422604" w:rsidRDefault="00996BDE" w:rsidP="00996BDE">
      <w:pPr>
        <w:jc w:val="center"/>
        <w:rPr>
          <w:lang w:val="pt-BR"/>
        </w:rPr>
      </w:pPr>
      <w:r w:rsidRPr="00422604">
        <w:rPr>
          <w:lang w:val="pt-BR"/>
        </w:rPr>
        <w:t>Pablo Saavedra Alessandri</w:t>
      </w:r>
    </w:p>
    <w:p w14:paraId="7E20F8D4" w14:textId="77777777" w:rsidR="00996BDE" w:rsidRPr="00422604" w:rsidRDefault="00996BDE" w:rsidP="00996BDE">
      <w:pPr>
        <w:jc w:val="center"/>
        <w:rPr>
          <w:lang w:val="pt-BR"/>
        </w:rPr>
      </w:pPr>
      <w:r w:rsidRPr="00422604">
        <w:rPr>
          <w:lang w:val="pt-BR"/>
        </w:rPr>
        <w:t>Secretario</w:t>
      </w:r>
    </w:p>
    <w:p w14:paraId="51F6D6E3" w14:textId="77777777" w:rsidR="00996BDE" w:rsidRPr="00422604" w:rsidRDefault="00996BDE" w:rsidP="00996BDE">
      <w:pPr>
        <w:rPr>
          <w:lang w:val="pt-BR"/>
        </w:rPr>
      </w:pPr>
    </w:p>
    <w:p w14:paraId="059E9A0F" w14:textId="77777777" w:rsidR="00996BDE" w:rsidRDefault="00996BDE" w:rsidP="00996BDE">
      <w:pPr>
        <w:rPr>
          <w:lang w:val="pt-BR"/>
        </w:rPr>
      </w:pPr>
    </w:p>
    <w:p w14:paraId="3088F1E4" w14:textId="77777777" w:rsidR="00996BDE" w:rsidRPr="00422604" w:rsidRDefault="00996BDE" w:rsidP="00996BDE">
      <w:pPr>
        <w:rPr>
          <w:lang w:val="pt-BR"/>
        </w:rPr>
      </w:pPr>
    </w:p>
    <w:p w14:paraId="10B47366" w14:textId="77777777" w:rsidR="00996BDE" w:rsidRPr="00422604" w:rsidRDefault="00996BDE" w:rsidP="00996BDE">
      <w:pPr>
        <w:pStyle w:val="Textonotapie"/>
        <w:rPr>
          <w:lang w:val="pt-BR"/>
        </w:rPr>
      </w:pPr>
    </w:p>
    <w:p w14:paraId="75BBD30A" w14:textId="62AC4C40" w:rsidR="00996BDE" w:rsidRPr="00EB1429" w:rsidRDefault="00996BDE" w:rsidP="00996BDE">
      <w:pPr>
        <w:jc w:val="both"/>
        <w:rPr>
          <w:lang w:val="es-CR"/>
        </w:rPr>
      </w:pPr>
      <w:r w:rsidRPr="00EB1429">
        <w:rPr>
          <w:lang w:val="es-CR"/>
        </w:rPr>
        <w:t>Comuníquese y ejecútese,</w:t>
      </w:r>
    </w:p>
    <w:p w14:paraId="419C0F4F" w14:textId="77777777" w:rsidR="00996BDE" w:rsidRPr="00422604" w:rsidRDefault="00996BDE" w:rsidP="00996BDE">
      <w:pPr>
        <w:jc w:val="both"/>
        <w:rPr>
          <w:lang w:val="pt-BR"/>
        </w:rPr>
      </w:pPr>
    </w:p>
    <w:p w14:paraId="1B041A1A" w14:textId="77777777" w:rsidR="00996BDE" w:rsidRPr="00422604" w:rsidRDefault="00996BDE" w:rsidP="00996BDE">
      <w:pPr>
        <w:jc w:val="both"/>
        <w:rPr>
          <w:lang w:val="pt-BR"/>
        </w:rPr>
      </w:pPr>
    </w:p>
    <w:p w14:paraId="076A071A" w14:textId="7F4BD66B" w:rsidR="00996BDE" w:rsidRPr="00422604" w:rsidRDefault="00996BDE" w:rsidP="00996BDE">
      <w:pPr>
        <w:jc w:val="both"/>
        <w:rPr>
          <w:lang w:val="pt-BR"/>
        </w:rPr>
      </w:pPr>
    </w:p>
    <w:p w14:paraId="099F3801" w14:textId="77777777" w:rsidR="00996BDE" w:rsidRPr="00422604" w:rsidRDefault="00996BDE" w:rsidP="00996BDE">
      <w:pPr>
        <w:jc w:val="both"/>
        <w:rPr>
          <w:lang w:val="pt-BR"/>
        </w:rPr>
      </w:pPr>
    </w:p>
    <w:p w14:paraId="3C3443BF" w14:textId="77777777" w:rsidR="00996BDE" w:rsidRPr="00422604" w:rsidRDefault="00996BDE" w:rsidP="00996BDE">
      <w:pPr>
        <w:ind w:left="5664"/>
        <w:jc w:val="center"/>
        <w:rPr>
          <w:lang w:val="pt-BR"/>
        </w:rPr>
      </w:pPr>
      <w:r w:rsidRPr="00422604">
        <w:rPr>
          <w:lang w:val="pt-BR"/>
        </w:rPr>
        <w:t xml:space="preserve">Elizabeth </w:t>
      </w:r>
      <w:proofErr w:type="spellStart"/>
      <w:r w:rsidRPr="00422604">
        <w:rPr>
          <w:lang w:val="pt-BR"/>
        </w:rPr>
        <w:t>Odio</w:t>
      </w:r>
      <w:proofErr w:type="spellEnd"/>
      <w:r w:rsidRPr="00422604">
        <w:rPr>
          <w:lang w:val="pt-BR"/>
        </w:rPr>
        <w:t xml:space="preserve"> Benito</w:t>
      </w:r>
    </w:p>
    <w:p w14:paraId="3C17D7DE" w14:textId="77777777" w:rsidR="00996BDE" w:rsidRPr="00422604" w:rsidRDefault="00996BDE" w:rsidP="00996BDE">
      <w:pPr>
        <w:ind w:left="5664"/>
        <w:jc w:val="center"/>
        <w:rPr>
          <w:lang w:val="pt-BR"/>
        </w:rPr>
      </w:pPr>
      <w:r w:rsidRPr="00422604">
        <w:rPr>
          <w:lang w:val="pt-BR"/>
        </w:rPr>
        <w:t>Presidenta</w:t>
      </w:r>
    </w:p>
    <w:p w14:paraId="79C1458C" w14:textId="77777777" w:rsidR="00996BDE" w:rsidRPr="00422604" w:rsidRDefault="00996BDE" w:rsidP="00996BDE">
      <w:pPr>
        <w:jc w:val="both"/>
        <w:rPr>
          <w:lang w:val="pt-BR"/>
        </w:rPr>
      </w:pPr>
    </w:p>
    <w:p w14:paraId="06960D44" w14:textId="77777777" w:rsidR="00996BDE" w:rsidRPr="00422604" w:rsidRDefault="00996BDE" w:rsidP="00996BDE">
      <w:pPr>
        <w:jc w:val="both"/>
        <w:rPr>
          <w:lang w:val="pt-BR"/>
        </w:rPr>
      </w:pPr>
    </w:p>
    <w:p w14:paraId="4587917D" w14:textId="77777777" w:rsidR="00996BDE" w:rsidRPr="00422604" w:rsidRDefault="00996BDE" w:rsidP="00996BDE">
      <w:pPr>
        <w:jc w:val="both"/>
        <w:rPr>
          <w:lang w:val="pt-BR"/>
        </w:rPr>
      </w:pPr>
    </w:p>
    <w:p w14:paraId="7CE5538E" w14:textId="77777777" w:rsidR="00996BDE" w:rsidRPr="00422604" w:rsidRDefault="00996BDE" w:rsidP="00996BDE">
      <w:pPr>
        <w:jc w:val="both"/>
        <w:rPr>
          <w:lang w:val="pt-BR"/>
        </w:rPr>
      </w:pPr>
    </w:p>
    <w:p w14:paraId="04C3650D" w14:textId="77777777" w:rsidR="00996BDE" w:rsidRPr="00422604" w:rsidRDefault="00996BDE" w:rsidP="00996BDE">
      <w:pPr>
        <w:jc w:val="both"/>
        <w:rPr>
          <w:lang w:val="pt-BR"/>
        </w:rPr>
      </w:pPr>
    </w:p>
    <w:p w14:paraId="57085DF1" w14:textId="77777777" w:rsidR="00996BDE" w:rsidRPr="00422604" w:rsidRDefault="00996BDE" w:rsidP="00996BDE">
      <w:pPr>
        <w:jc w:val="both"/>
        <w:rPr>
          <w:lang w:val="es-ES"/>
        </w:rPr>
      </w:pPr>
      <w:r w:rsidRPr="00422604">
        <w:rPr>
          <w:lang w:val="es-ES"/>
        </w:rPr>
        <w:t>Pablo Saavedra Alessandri</w:t>
      </w:r>
    </w:p>
    <w:p w14:paraId="7708C58F" w14:textId="77777777" w:rsidR="00996BDE" w:rsidRPr="00422604" w:rsidRDefault="00996BDE" w:rsidP="00996BDE">
      <w:r w:rsidRPr="00422604">
        <w:rPr>
          <w:lang w:val="es-ES"/>
        </w:rPr>
        <w:tab/>
      </w:r>
      <w:proofErr w:type="spellStart"/>
      <w:r w:rsidRPr="00422604">
        <w:t>Secretario</w:t>
      </w:r>
      <w:proofErr w:type="spellEnd"/>
    </w:p>
    <w:sectPr w:rsidR="00996BDE" w:rsidRPr="00422604" w:rsidSect="002C7584">
      <w:headerReference w:type="default" r:id="rId8"/>
      <w:pgSz w:w="12240" w:h="15840"/>
      <w:pgMar w:top="1418" w:right="1418" w:bottom="1418" w:left="1418"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C65605" w14:textId="77777777" w:rsidR="009662C0" w:rsidRDefault="009662C0" w:rsidP="00594851">
      <w:r>
        <w:separator/>
      </w:r>
    </w:p>
  </w:endnote>
  <w:endnote w:type="continuationSeparator" w:id="0">
    <w:p w14:paraId="0B839914" w14:textId="77777777" w:rsidR="009662C0" w:rsidRDefault="009662C0" w:rsidP="00594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NewRomanPSMT">
    <w:panose1 w:val="00000000000000000000"/>
    <w:charset w:val="00"/>
    <w:family w:val="roman"/>
    <w:notTrueType/>
    <w:pitch w:val="default"/>
    <w:sig w:usb0="00000003" w:usb1="00000000" w:usb2="00000000" w:usb3="00000000" w:csb0="00000001" w:csb1="00000000"/>
  </w:font>
  <w:font w:name="BookAntiqua">
    <w:panose1 w:val="00000000000000000000"/>
    <w:charset w:val="00"/>
    <w:family w:val="roman"/>
    <w:notTrueType/>
    <w:pitch w:val="default"/>
    <w:sig w:usb0="00000003" w:usb1="00000000" w:usb2="00000000" w:usb3="00000000" w:csb0="00000001" w:csb1="00000000"/>
  </w:font>
  <w:font w:name="TimesNewRomanPS-Bold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Antiqua-Bold">
    <w:panose1 w:val="00000000000000000000"/>
    <w:charset w:val="00"/>
    <w:family w:val="swiss"/>
    <w:notTrueType/>
    <w:pitch w:val="default"/>
    <w:sig w:usb0="00000003" w:usb1="00000000" w:usb2="00000000" w:usb3="00000000" w:csb0="00000001" w:csb1="00000000"/>
  </w:font>
  <w:font w:name="Times">
    <w:altName w:val="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7F5D2C" w14:textId="77777777" w:rsidR="009662C0" w:rsidRDefault="009662C0" w:rsidP="00594851">
      <w:r>
        <w:separator/>
      </w:r>
    </w:p>
  </w:footnote>
  <w:footnote w:type="continuationSeparator" w:id="0">
    <w:p w14:paraId="29CE834E" w14:textId="77777777" w:rsidR="009662C0" w:rsidRDefault="009662C0" w:rsidP="00594851">
      <w:r>
        <w:continuationSeparator/>
      </w:r>
    </w:p>
  </w:footnote>
  <w:footnote w:id="1">
    <w:p w14:paraId="7D5915DB" w14:textId="5FDB2270" w:rsidR="00AC7107" w:rsidRPr="00C1736C" w:rsidRDefault="00AC7107" w:rsidP="00C1736C">
      <w:pPr>
        <w:tabs>
          <w:tab w:val="left" w:pos="426"/>
        </w:tabs>
        <w:jc w:val="both"/>
        <w:rPr>
          <w:sz w:val="16"/>
          <w:szCs w:val="16"/>
          <w:lang w:val="es-CR"/>
        </w:rPr>
      </w:pPr>
      <w:r w:rsidRPr="00C1736C">
        <w:rPr>
          <w:rStyle w:val="Refdenotaalpie"/>
          <w:sz w:val="16"/>
          <w:szCs w:val="16"/>
          <w:lang w:val="es-CR"/>
        </w:rPr>
        <w:t>*</w:t>
      </w:r>
      <w:r w:rsidRPr="00C1736C">
        <w:rPr>
          <w:sz w:val="16"/>
          <w:szCs w:val="16"/>
          <w:lang w:val="es-CR"/>
        </w:rPr>
        <w:t xml:space="preserve"> </w:t>
      </w:r>
      <w:r w:rsidRPr="00C1736C">
        <w:rPr>
          <w:sz w:val="16"/>
          <w:szCs w:val="16"/>
          <w:lang w:val="es-CR"/>
        </w:rPr>
        <w:tab/>
      </w:r>
      <w:r w:rsidR="00114381" w:rsidRPr="00114381">
        <w:rPr>
          <w:sz w:val="16"/>
          <w:szCs w:val="16"/>
          <w:lang w:val="es-ES_tradnl"/>
        </w:rPr>
        <w:t xml:space="preserve">Resolución aprobada durante el </w:t>
      </w:r>
      <w:r w:rsidR="00114381" w:rsidRPr="00885537">
        <w:rPr>
          <w:sz w:val="16"/>
          <w:szCs w:val="16"/>
          <w:lang w:val="es-ES_tradnl"/>
        </w:rPr>
        <w:t>14</w:t>
      </w:r>
      <w:r w:rsidR="00DF273B">
        <w:rPr>
          <w:sz w:val="16"/>
          <w:szCs w:val="16"/>
          <w:lang w:val="es-ES_tradnl"/>
        </w:rPr>
        <w:t>2</w:t>
      </w:r>
      <w:r w:rsidR="00114381" w:rsidRPr="00885537">
        <w:rPr>
          <w:sz w:val="16"/>
          <w:szCs w:val="16"/>
          <w:lang w:val="es-ES_tradnl"/>
        </w:rPr>
        <w:t xml:space="preserve"> Período</w:t>
      </w:r>
      <w:r w:rsidR="00114381" w:rsidRPr="00114381">
        <w:rPr>
          <w:sz w:val="16"/>
          <w:szCs w:val="16"/>
          <w:lang w:val="es-ES_tradnl"/>
        </w:rPr>
        <w:t xml:space="preserve"> Ordinario de Sesiones, llevado a cabo de forma no presencial utilizando medios tecnológicos de conformidad con lo establecido en el Reglamento de la Corte. </w:t>
      </w:r>
      <w:r w:rsidR="00705036" w:rsidRPr="00C1736C">
        <w:rPr>
          <w:sz w:val="16"/>
          <w:szCs w:val="16"/>
          <w:lang w:val="es-CR"/>
        </w:rPr>
        <w:t xml:space="preserve">El Juez </w:t>
      </w:r>
      <w:r w:rsidR="00C02461">
        <w:rPr>
          <w:sz w:val="16"/>
          <w:szCs w:val="16"/>
          <w:lang w:val="es-CR"/>
        </w:rPr>
        <w:t>Patricio Pazmiño Freire</w:t>
      </w:r>
      <w:r w:rsidR="00705036" w:rsidRPr="00C1736C">
        <w:rPr>
          <w:sz w:val="16"/>
          <w:szCs w:val="16"/>
          <w:lang w:val="es-CR"/>
        </w:rPr>
        <w:t xml:space="preserve">, de nacionalidad </w:t>
      </w:r>
      <w:r w:rsidR="00C02461">
        <w:rPr>
          <w:sz w:val="16"/>
          <w:szCs w:val="16"/>
          <w:lang w:val="es-CR"/>
        </w:rPr>
        <w:t>ecuatoriana</w:t>
      </w:r>
      <w:r w:rsidR="00705036" w:rsidRPr="00C1736C">
        <w:rPr>
          <w:sz w:val="16"/>
          <w:szCs w:val="16"/>
          <w:lang w:val="es-CR"/>
        </w:rPr>
        <w:t>, no participó en la deliberación y firma de esta Resolución, de conformidad con lo dispuesto en el artículo 19.1 del Reglamento de la Corte.</w:t>
      </w:r>
    </w:p>
  </w:footnote>
  <w:footnote w:id="2">
    <w:p w14:paraId="31D36453" w14:textId="3CF5E361" w:rsidR="00815F27" w:rsidRPr="008C6B0A" w:rsidRDefault="00815F27">
      <w:pPr>
        <w:pStyle w:val="Textonotapie"/>
        <w:rPr>
          <w:sz w:val="16"/>
          <w:szCs w:val="16"/>
          <w:lang w:val="es-ES_tradnl"/>
        </w:rPr>
      </w:pPr>
      <w:r w:rsidRPr="008C6B0A">
        <w:rPr>
          <w:rStyle w:val="Refdenotaalpie"/>
          <w:sz w:val="16"/>
          <w:szCs w:val="16"/>
        </w:rPr>
        <w:footnoteRef/>
      </w:r>
      <w:r w:rsidRPr="008C6B0A">
        <w:rPr>
          <w:sz w:val="16"/>
          <w:szCs w:val="16"/>
          <w:lang w:val="es-ES_tradnl"/>
        </w:rPr>
        <w:t xml:space="preserve"> </w:t>
      </w:r>
      <w:r w:rsidRPr="008C6B0A">
        <w:rPr>
          <w:sz w:val="16"/>
          <w:szCs w:val="16"/>
          <w:lang w:val="es-ES_tradnl"/>
        </w:rPr>
        <w:tab/>
      </w:r>
      <w:r w:rsidR="008C6B0A">
        <w:rPr>
          <w:i/>
          <w:sz w:val="16"/>
          <w:szCs w:val="16"/>
          <w:lang w:val="es-ES_tradnl"/>
        </w:rPr>
        <w:t xml:space="preserve">Cfr. </w:t>
      </w:r>
      <w:r w:rsidRPr="008C6B0A">
        <w:rPr>
          <w:rFonts w:cs="Arial"/>
          <w:i/>
          <w:sz w:val="16"/>
          <w:szCs w:val="16"/>
          <w:shd w:val="clear" w:color="auto" w:fill="FFFFFF"/>
          <w:lang w:val="es-ES_tradnl"/>
        </w:rPr>
        <w:t xml:space="preserve">Caso Palacio Urrutia y otros Vs. Ecuador. Convocatoria a audiencia. Resolución de la </w:t>
      </w:r>
      <w:proofErr w:type="gramStart"/>
      <w:r w:rsidRPr="008C6B0A">
        <w:rPr>
          <w:rFonts w:cs="Arial"/>
          <w:i/>
          <w:sz w:val="16"/>
          <w:szCs w:val="16"/>
          <w:shd w:val="clear" w:color="auto" w:fill="FFFFFF"/>
          <w:lang w:val="es-ES_tradnl"/>
        </w:rPr>
        <w:t>Presidenta</w:t>
      </w:r>
      <w:proofErr w:type="gramEnd"/>
      <w:r w:rsidRPr="008C6B0A">
        <w:rPr>
          <w:rFonts w:cs="Arial"/>
          <w:i/>
          <w:sz w:val="16"/>
          <w:szCs w:val="16"/>
          <w:shd w:val="clear" w:color="auto" w:fill="FFFFFF"/>
          <w:lang w:val="es-ES_tradnl"/>
        </w:rPr>
        <w:t xml:space="preserve"> de la Corte Interamericana de Derechos Humanos de 12 de abril de 2021</w:t>
      </w:r>
      <w:r w:rsidRPr="008C6B0A">
        <w:rPr>
          <w:rFonts w:cs="Arial"/>
          <w:sz w:val="16"/>
          <w:szCs w:val="16"/>
          <w:shd w:val="clear" w:color="auto" w:fill="FFFFFF"/>
          <w:lang w:val="es-ES_tradnl"/>
        </w:rPr>
        <w:t xml:space="preserve">, </w:t>
      </w:r>
      <w:r w:rsidRPr="008C6B0A">
        <w:rPr>
          <w:sz w:val="16"/>
          <w:szCs w:val="16"/>
          <w:lang w:val="es-CR"/>
        </w:rPr>
        <w:t>Párrafo Considerativo 46.</w:t>
      </w:r>
    </w:p>
  </w:footnote>
  <w:footnote w:id="3">
    <w:p w14:paraId="20E7111A" w14:textId="3B5EB4A1" w:rsidR="004376F2" w:rsidRPr="00794C45" w:rsidRDefault="004376F2" w:rsidP="00C1736C">
      <w:pPr>
        <w:pStyle w:val="Textonotapie"/>
        <w:jc w:val="both"/>
        <w:rPr>
          <w:sz w:val="16"/>
          <w:szCs w:val="16"/>
          <w:lang w:val="es-ES_tradnl"/>
        </w:rPr>
      </w:pPr>
      <w:r w:rsidRPr="00C1736C">
        <w:rPr>
          <w:rStyle w:val="Refdenotaalpie"/>
          <w:sz w:val="16"/>
          <w:szCs w:val="16"/>
        </w:rPr>
        <w:footnoteRef/>
      </w:r>
      <w:r w:rsidRPr="00C1736C">
        <w:rPr>
          <w:sz w:val="16"/>
          <w:szCs w:val="16"/>
          <w:lang w:val="es-CR"/>
        </w:rPr>
        <w:t xml:space="preserve"> </w:t>
      </w:r>
      <w:r w:rsidRPr="00C1736C">
        <w:rPr>
          <w:sz w:val="16"/>
          <w:szCs w:val="16"/>
          <w:lang w:val="es-CR"/>
        </w:rPr>
        <w:tab/>
      </w:r>
      <w:r w:rsidRPr="00C1736C">
        <w:rPr>
          <w:i/>
          <w:sz w:val="16"/>
          <w:szCs w:val="16"/>
          <w:lang w:val="es-CR"/>
        </w:rPr>
        <w:t xml:space="preserve">Cfr. </w:t>
      </w:r>
      <w:r w:rsidRPr="00C1736C">
        <w:rPr>
          <w:bCs/>
          <w:i/>
          <w:sz w:val="16"/>
          <w:szCs w:val="16"/>
          <w:lang w:val="es-CR"/>
        </w:rPr>
        <w:t xml:space="preserve">Caso Bueno Alves Vs. Argentina. Resolución del </w:t>
      </w:r>
      <w:proofErr w:type="gramStart"/>
      <w:r w:rsidRPr="00C1736C">
        <w:rPr>
          <w:bCs/>
          <w:i/>
          <w:sz w:val="16"/>
          <w:szCs w:val="16"/>
          <w:lang w:val="es-CR"/>
        </w:rPr>
        <w:t>Presidente</w:t>
      </w:r>
      <w:proofErr w:type="gramEnd"/>
      <w:r w:rsidRPr="00C1736C">
        <w:rPr>
          <w:bCs/>
          <w:i/>
          <w:sz w:val="16"/>
          <w:szCs w:val="16"/>
          <w:lang w:val="es-CR"/>
        </w:rPr>
        <w:t xml:space="preserve"> de la Corte Interamericana de Derechos Humanos de 6 de diciembre de 2006.</w:t>
      </w:r>
      <w:r w:rsidRPr="00C1736C">
        <w:rPr>
          <w:bCs/>
          <w:sz w:val="16"/>
          <w:szCs w:val="16"/>
          <w:lang w:val="es-CR"/>
        </w:rPr>
        <w:t xml:space="preserve"> </w:t>
      </w:r>
      <w:r w:rsidRPr="00C1736C">
        <w:rPr>
          <w:sz w:val="16"/>
          <w:szCs w:val="16"/>
          <w:lang w:val="es-CR"/>
        </w:rPr>
        <w:t xml:space="preserve">Párrafos Considerativos 18 y 19; </w:t>
      </w:r>
      <w:r w:rsidRPr="00C1736C">
        <w:rPr>
          <w:i/>
          <w:sz w:val="16"/>
          <w:szCs w:val="16"/>
          <w:lang w:val="es-CR"/>
        </w:rPr>
        <w:t xml:space="preserve">Caso Rosendo Cantú Vs México, </w:t>
      </w:r>
      <w:r w:rsidR="00C1736C" w:rsidRPr="00C1736C">
        <w:rPr>
          <w:i/>
          <w:sz w:val="16"/>
          <w:szCs w:val="16"/>
          <w:lang w:val="es-CR"/>
        </w:rPr>
        <w:t>Resolución</w:t>
      </w:r>
      <w:r w:rsidRPr="00C1736C">
        <w:rPr>
          <w:i/>
          <w:sz w:val="16"/>
          <w:szCs w:val="16"/>
          <w:lang w:val="es-CR"/>
        </w:rPr>
        <w:t xml:space="preserve"> del </w:t>
      </w:r>
      <w:proofErr w:type="gramStart"/>
      <w:r w:rsidRPr="00C1736C">
        <w:rPr>
          <w:i/>
          <w:sz w:val="16"/>
          <w:szCs w:val="16"/>
          <w:lang w:val="es-CR"/>
        </w:rPr>
        <w:t>Presidente</w:t>
      </w:r>
      <w:proofErr w:type="gramEnd"/>
      <w:r w:rsidRPr="00C1736C">
        <w:rPr>
          <w:i/>
          <w:sz w:val="16"/>
          <w:szCs w:val="16"/>
          <w:lang w:val="es-CR"/>
        </w:rPr>
        <w:t xml:space="preserve"> de la Corte </w:t>
      </w:r>
      <w:r w:rsidRPr="00C1736C">
        <w:rPr>
          <w:bCs/>
          <w:i/>
          <w:sz w:val="16"/>
          <w:szCs w:val="16"/>
          <w:lang w:val="es-CR"/>
        </w:rPr>
        <w:t>Interamericana de Derechos Humanos</w:t>
      </w:r>
      <w:r w:rsidRPr="00C1736C">
        <w:rPr>
          <w:i/>
          <w:sz w:val="16"/>
          <w:szCs w:val="16"/>
          <w:lang w:val="es-CR"/>
        </w:rPr>
        <w:t xml:space="preserve"> de 23 de abril de 2010</w:t>
      </w:r>
      <w:r w:rsidRPr="00C1736C">
        <w:rPr>
          <w:sz w:val="16"/>
          <w:szCs w:val="16"/>
          <w:lang w:val="es-CR"/>
        </w:rPr>
        <w:t xml:space="preserve">. Considerando 24; y </w:t>
      </w:r>
      <w:r w:rsidRPr="00C1736C">
        <w:rPr>
          <w:i/>
          <w:sz w:val="16"/>
          <w:szCs w:val="16"/>
          <w:lang w:val="es-CR"/>
        </w:rPr>
        <w:t xml:space="preserve">Caso del Pueblo Indígena </w:t>
      </w:r>
      <w:proofErr w:type="spellStart"/>
      <w:r w:rsidRPr="00C1736C">
        <w:rPr>
          <w:i/>
          <w:sz w:val="16"/>
          <w:szCs w:val="16"/>
          <w:lang w:val="es-CR"/>
        </w:rPr>
        <w:t>Kichwa</w:t>
      </w:r>
      <w:proofErr w:type="spellEnd"/>
      <w:r w:rsidRPr="00C1736C">
        <w:rPr>
          <w:i/>
          <w:sz w:val="16"/>
          <w:szCs w:val="16"/>
          <w:lang w:val="es-CR"/>
        </w:rPr>
        <w:t xml:space="preserve"> de </w:t>
      </w:r>
      <w:proofErr w:type="spellStart"/>
      <w:r w:rsidRPr="00C1736C">
        <w:rPr>
          <w:i/>
          <w:sz w:val="16"/>
          <w:szCs w:val="16"/>
          <w:lang w:val="es-CR"/>
        </w:rPr>
        <w:t>Sarayaku</w:t>
      </w:r>
      <w:proofErr w:type="spellEnd"/>
      <w:r w:rsidRPr="00C1736C">
        <w:rPr>
          <w:i/>
          <w:sz w:val="16"/>
          <w:szCs w:val="16"/>
          <w:lang w:val="es-CR"/>
        </w:rPr>
        <w:t xml:space="preserve"> Vs. Ecuador, </w:t>
      </w:r>
      <w:r w:rsidR="009A1B0B" w:rsidRPr="00C1736C">
        <w:rPr>
          <w:i/>
          <w:sz w:val="16"/>
          <w:szCs w:val="16"/>
          <w:lang w:val="es-CR"/>
        </w:rPr>
        <w:t>Resolución</w:t>
      </w:r>
      <w:r w:rsidRPr="00C1736C">
        <w:rPr>
          <w:i/>
          <w:sz w:val="16"/>
          <w:szCs w:val="16"/>
          <w:lang w:val="es-CR"/>
        </w:rPr>
        <w:t xml:space="preserve"> del </w:t>
      </w:r>
      <w:proofErr w:type="gramStart"/>
      <w:r w:rsidRPr="00C1736C">
        <w:rPr>
          <w:i/>
          <w:sz w:val="16"/>
          <w:szCs w:val="16"/>
          <w:lang w:val="es-CR"/>
        </w:rPr>
        <w:t>Presidente</w:t>
      </w:r>
      <w:proofErr w:type="gramEnd"/>
      <w:r w:rsidRPr="00C1736C">
        <w:rPr>
          <w:i/>
          <w:sz w:val="16"/>
          <w:szCs w:val="16"/>
          <w:lang w:val="es-CR"/>
        </w:rPr>
        <w:t xml:space="preserve"> de la Corte Interamericana de Derechos Humanos de 17 de junio de 2011</w:t>
      </w:r>
      <w:r w:rsidRPr="00C1736C">
        <w:rPr>
          <w:sz w:val="16"/>
          <w:szCs w:val="16"/>
          <w:lang w:val="es-CR"/>
        </w:rPr>
        <w:t>, Párrafos Considerativos 16 y 17</w:t>
      </w:r>
      <w:r w:rsidR="00794C45">
        <w:rPr>
          <w:sz w:val="16"/>
          <w:szCs w:val="16"/>
          <w:lang w:val="es-CR"/>
        </w:rPr>
        <w:t xml:space="preserve">; y </w:t>
      </w:r>
      <w:r w:rsidR="00794C45" w:rsidRPr="00794C45">
        <w:rPr>
          <w:rFonts w:cs="Arial"/>
          <w:i/>
          <w:sz w:val="16"/>
          <w:szCs w:val="16"/>
          <w:shd w:val="clear" w:color="auto" w:fill="FFFFFF"/>
          <w:lang w:val="es-ES_tradnl"/>
        </w:rPr>
        <w:t xml:space="preserve">Caso Petro Urrego Vs. Colombia. Convocatoria a audiencia. Resolución del </w:t>
      </w:r>
      <w:proofErr w:type="gramStart"/>
      <w:r w:rsidR="00794C45" w:rsidRPr="00794C45">
        <w:rPr>
          <w:rFonts w:cs="Arial"/>
          <w:i/>
          <w:sz w:val="16"/>
          <w:szCs w:val="16"/>
          <w:shd w:val="clear" w:color="auto" w:fill="FFFFFF"/>
          <w:lang w:val="es-ES_tradnl"/>
        </w:rPr>
        <w:t>Presidente</w:t>
      </w:r>
      <w:proofErr w:type="gramEnd"/>
      <w:r w:rsidR="00794C45" w:rsidRPr="00794C45">
        <w:rPr>
          <w:rFonts w:cs="Arial"/>
          <w:i/>
          <w:sz w:val="16"/>
          <w:szCs w:val="16"/>
          <w:shd w:val="clear" w:color="auto" w:fill="FFFFFF"/>
          <w:lang w:val="es-ES_tradnl"/>
        </w:rPr>
        <w:t xml:space="preserve"> de la Corte Interamericana de Derechos Humanos de 12 de diciembre de 2019</w:t>
      </w:r>
      <w:r w:rsidR="00794C45" w:rsidRPr="00794C45">
        <w:rPr>
          <w:rFonts w:cs="Arial"/>
          <w:sz w:val="16"/>
          <w:szCs w:val="16"/>
          <w:shd w:val="clear" w:color="auto" w:fill="FFFFFF"/>
          <w:lang w:val="es-ES_tradnl"/>
        </w:rPr>
        <w:t xml:space="preserve">, </w:t>
      </w:r>
      <w:r w:rsidR="00794C45">
        <w:rPr>
          <w:sz w:val="16"/>
          <w:szCs w:val="16"/>
          <w:lang w:val="es-CR"/>
        </w:rPr>
        <w:t>Párrafo Considerativo</w:t>
      </w:r>
      <w:r w:rsidR="00794C45" w:rsidRPr="00794C45">
        <w:rPr>
          <w:rFonts w:cs="Arial"/>
          <w:sz w:val="16"/>
          <w:szCs w:val="16"/>
          <w:shd w:val="clear" w:color="auto" w:fill="FFFFFF"/>
          <w:lang w:val="es-ES_tradnl"/>
        </w:rPr>
        <w:t xml:space="preserve"> 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23488736"/>
      <w:docPartObj>
        <w:docPartGallery w:val="Page Numbers (Top of Page)"/>
        <w:docPartUnique/>
      </w:docPartObj>
    </w:sdtPr>
    <w:sdtEndPr/>
    <w:sdtContent>
      <w:p w14:paraId="32B7F6F7" w14:textId="70CA82CE" w:rsidR="00B44465" w:rsidRDefault="002C7584" w:rsidP="002C7584">
        <w:pPr>
          <w:pStyle w:val="Encabezado"/>
          <w:ind w:left="720"/>
          <w:jc w:val="center"/>
        </w:pPr>
        <w:r>
          <w:t xml:space="preserve">- </w:t>
        </w:r>
        <w:r w:rsidR="00B44465">
          <w:fldChar w:fldCharType="begin"/>
        </w:r>
        <w:r w:rsidR="00B44465">
          <w:instrText>PAGE   \* MERGEFORMAT</w:instrText>
        </w:r>
        <w:r w:rsidR="00B44465">
          <w:fldChar w:fldCharType="separate"/>
        </w:r>
        <w:r w:rsidR="00500001" w:rsidRPr="00500001">
          <w:rPr>
            <w:noProof/>
            <w:lang w:val="es-ES"/>
          </w:rPr>
          <w:t>5</w:t>
        </w:r>
        <w:r w:rsidR="00B44465">
          <w:fldChar w:fldCharType="end"/>
        </w:r>
        <w:r>
          <w:t>-</w:t>
        </w:r>
      </w:p>
    </w:sdtContent>
  </w:sdt>
  <w:p w14:paraId="568A3BB8" w14:textId="77777777" w:rsidR="00B44465" w:rsidRDefault="00B4446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B5A0B"/>
    <w:multiLevelType w:val="hybridMultilevel"/>
    <w:tmpl w:val="99943D0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112B6349"/>
    <w:multiLevelType w:val="hybridMultilevel"/>
    <w:tmpl w:val="FDD80300"/>
    <w:lvl w:ilvl="0" w:tplc="950A1A02">
      <w:start w:val="1"/>
      <w:numFmt w:val="upp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 w15:restartNumberingAfterBreak="0">
    <w:nsid w:val="2FB44328"/>
    <w:multiLevelType w:val="multilevel"/>
    <w:tmpl w:val="2580069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42E7508"/>
    <w:multiLevelType w:val="multilevel"/>
    <w:tmpl w:val="F9168B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80A1E13"/>
    <w:multiLevelType w:val="hybridMultilevel"/>
    <w:tmpl w:val="153E525A"/>
    <w:lvl w:ilvl="0" w:tplc="6024A4A0">
      <w:numFmt w:val="bullet"/>
      <w:lvlText w:val="-"/>
      <w:lvlJc w:val="left"/>
      <w:pPr>
        <w:ind w:left="720" w:hanging="360"/>
      </w:pPr>
      <w:rPr>
        <w:rFonts w:ascii="Verdana" w:eastAsia="Times New Roman" w:hAnsi="Verdana"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47EE4C21"/>
    <w:multiLevelType w:val="hybridMultilevel"/>
    <w:tmpl w:val="903CD64A"/>
    <w:lvl w:ilvl="0" w:tplc="1FE637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D62342"/>
    <w:multiLevelType w:val="hybridMultilevel"/>
    <w:tmpl w:val="58029556"/>
    <w:lvl w:ilvl="0" w:tplc="950A1A02">
      <w:start w:val="1"/>
      <w:numFmt w:val="upp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7" w15:restartNumberingAfterBreak="0">
    <w:nsid w:val="55AA2C29"/>
    <w:multiLevelType w:val="hybridMultilevel"/>
    <w:tmpl w:val="0FA235B0"/>
    <w:lvl w:ilvl="0" w:tplc="1C1CD38C">
      <w:start w:val="1"/>
      <w:numFmt w:val="upperLetter"/>
      <w:pStyle w:val="Ttulo2"/>
      <w:lvlText w:val="%1."/>
      <w:lvlJc w:val="left"/>
      <w:pPr>
        <w:ind w:left="2781" w:hanging="360"/>
      </w:pPr>
      <w:rPr>
        <w:rFonts w:hint="default"/>
      </w:rPr>
    </w:lvl>
    <w:lvl w:ilvl="1" w:tplc="140A0019" w:tentative="1">
      <w:start w:val="1"/>
      <w:numFmt w:val="lowerLetter"/>
      <w:lvlText w:val="%2."/>
      <w:lvlJc w:val="left"/>
      <w:pPr>
        <w:ind w:left="3501" w:hanging="360"/>
      </w:pPr>
    </w:lvl>
    <w:lvl w:ilvl="2" w:tplc="140A001B" w:tentative="1">
      <w:start w:val="1"/>
      <w:numFmt w:val="lowerRoman"/>
      <w:lvlText w:val="%3."/>
      <w:lvlJc w:val="right"/>
      <w:pPr>
        <w:ind w:left="4221" w:hanging="180"/>
      </w:pPr>
    </w:lvl>
    <w:lvl w:ilvl="3" w:tplc="140A000F" w:tentative="1">
      <w:start w:val="1"/>
      <w:numFmt w:val="decimal"/>
      <w:lvlText w:val="%4."/>
      <w:lvlJc w:val="left"/>
      <w:pPr>
        <w:ind w:left="4941" w:hanging="360"/>
      </w:pPr>
    </w:lvl>
    <w:lvl w:ilvl="4" w:tplc="140A0019" w:tentative="1">
      <w:start w:val="1"/>
      <w:numFmt w:val="lowerLetter"/>
      <w:lvlText w:val="%5."/>
      <w:lvlJc w:val="left"/>
      <w:pPr>
        <w:ind w:left="5661" w:hanging="360"/>
      </w:pPr>
    </w:lvl>
    <w:lvl w:ilvl="5" w:tplc="140A001B" w:tentative="1">
      <w:start w:val="1"/>
      <w:numFmt w:val="lowerRoman"/>
      <w:lvlText w:val="%6."/>
      <w:lvlJc w:val="right"/>
      <w:pPr>
        <w:ind w:left="6381" w:hanging="180"/>
      </w:pPr>
    </w:lvl>
    <w:lvl w:ilvl="6" w:tplc="140A000F" w:tentative="1">
      <w:start w:val="1"/>
      <w:numFmt w:val="decimal"/>
      <w:lvlText w:val="%7."/>
      <w:lvlJc w:val="left"/>
      <w:pPr>
        <w:ind w:left="7101" w:hanging="360"/>
      </w:pPr>
    </w:lvl>
    <w:lvl w:ilvl="7" w:tplc="140A0019" w:tentative="1">
      <w:start w:val="1"/>
      <w:numFmt w:val="lowerLetter"/>
      <w:lvlText w:val="%8."/>
      <w:lvlJc w:val="left"/>
      <w:pPr>
        <w:ind w:left="7821" w:hanging="360"/>
      </w:pPr>
    </w:lvl>
    <w:lvl w:ilvl="8" w:tplc="140A001B" w:tentative="1">
      <w:start w:val="1"/>
      <w:numFmt w:val="lowerRoman"/>
      <w:lvlText w:val="%9."/>
      <w:lvlJc w:val="right"/>
      <w:pPr>
        <w:ind w:left="8541" w:hanging="180"/>
      </w:pPr>
    </w:lvl>
  </w:abstractNum>
  <w:abstractNum w:abstractNumId="8" w15:restartNumberingAfterBreak="0">
    <w:nsid w:val="5DDB6DC6"/>
    <w:multiLevelType w:val="hybridMultilevel"/>
    <w:tmpl w:val="BF803A00"/>
    <w:lvl w:ilvl="0" w:tplc="83943FF2">
      <w:start w:val="1"/>
      <w:numFmt w:val="decimal"/>
      <w:lvlText w:val="%1."/>
      <w:lvlJc w:val="left"/>
      <w:pPr>
        <w:ind w:left="8015" w:hanging="360"/>
      </w:pPr>
      <w:rPr>
        <w:rFonts w:ascii="Verdana" w:hAnsi="Verdana" w:hint="default"/>
        <w:b w:val="0"/>
        <w:i w:val="0"/>
        <w:color w:val="auto"/>
        <w:sz w:val="20"/>
        <w:szCs w:val="20"/>
        <w:lang w:val="es-CR"/>
      </w:rPr>
    </w:lvl>
    <w:lvl w:ilvl="1" w:tplc="04090019">
      <w:start w:val="1"/>
      <w:numFmt w:val="lowerLetter"/>
      <w:lvlText w:val="%2."/>
      <w:lvlJc w:val="left"/>
      <w:pPr>
        <w:ind w:left="7650" w:hanging="360"/>
      </w:pPr>
    </w:lvl>
    <w:lvl w:ilvl="2" w:tplc="0409001B" w:tentative="1">
      <w:start w:val="1"/>
      <w:numFmt w:val="lowerRoman"/>
      <w:lvlText w:val="%3."/>
      <w:lvlJc w:val="right"/>
      <w:pPr>
        <w:ind w:left="8370" w:hanging="180"/>
      </w:pPr>
    </w:lvl>
    <w:lvl w:ilvl="3" w:tplc="0409000F" w:tentative="1">
      <w:start w:val="1"/>
      <w:numFmt w:val="decimal"/>
      <w:lvlText w:val="%4."/>
      <w:lvlJc w:val="left"/>
      <w:pPr>
        <w:ind w:left="9090" w:hanging="360"/>
      </w:pPr>
    </w:lvl>
    <w:lvl w:ilvl="4" w:tplc="04090019" w:tentative="1">
      <w:start w:val="1"/>
      <w:numFmt w:val="lowerLetter"/>
      <w:lvlText w:val="%5."/>
      <w:lvlJc w:val="left"/>
      <w:pPr>
        <w:ind w:left="9810" w:hanging="360"/>
      </w:pPr>
    </w:lvl>
    <w:lvl w:ilvl="5" w:tplc="0409001B" w:tentative="1">
      <w:start w:val="1"/>
      <w:numFmt w:val="lowerRoman"/>
      <w:lvlText w:val="%6."/>
      <w:lvlJc w:val="right"/>
      <w:pPr>
        <w:ind w:left="10530" w:hanging="180"/>
      </w:pPr>
    </w:lvl>
    <w:lvl w:ilvl="6" w:tplc="0409000F" w:tentative="1">
      <w:start w:val="1"/>
      <w:numFmt w:val="decimal"/>
      <w:lvlText w:val="%7."/>
      <w:lvlJc w:val="left"/>
      <w:pPr>
        <w:ind w:left="11250" w:hanging="360"/>
      </w:pPr>
    </w:lvl>
    <w:lvl w:ilvl="7" w:tplc="04090019" w:tentative="1">
      <w:start w:val="1"/>
      <w:numFmt w:val="lowerLetter"/>
      <w:lvlText w:val="%8."/>
      <w:lvlJc w:val="left"/>
      <w:pPr>
        <w:ind w:left="11970" w:hanging="360"/>
      </w:pPr>
    </w:lvl>
    <w:lvl w:ilvl="8" w:tplc="0409001B" w:tentative="1">
      <w:start w:val="1"/>
      <w:numFmt w:val="lowerRoman"/>
      <w:lvlText w:val="%9."/>
      <w:lvlJc w:val="right"/>
      <w:pPr>
        <w:ind w:left="12690" w:hanging="180"/>
      </w:pPr>
    </w:lvl>
  </w:abstractNum>
  <w:abstractNum w:abstractNumId="9" w15:restartNumberingAfterBreak="0">
    <w:nsid w:val="604C11AE"/>
    <w:multiLevelType w:val="hybridMultilevel"/>
    <w:tmpl w:val="2A5209E6"/>
    <w:lvl w:ilvl="0" w:tplc="040A000F">
      <w:start w:val="1"/>
      <w:numFmt w:val="decimal"/>
      <w:lvlText w:val="%1."/>
      <w:lvlJc w:val="left"/>
      <w:pPr>
        <w:ind w:left="720" w:hanging="360"/>
      </w:pPr>
      <w:rPr>
        <w:rFonts w:cs="Times New Roman"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664D7704"/>
    <w:multiLevelType w:val="hybridMultilevel"/>
    <w:tmpl w:val="58029556"/>
    <w:lvl w:ilvl="0" w:tplc="950A1A02">
      <w:start w:val="1"/>
      <w:numFmt w:val="upp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1" w15:restartNumberingAfterBreak="0">
    <w:nsid w:val="705A6F5C"/>
    <w:multiLevelType w:val="hybridMultilevel"/>
    <w:tmpl w:val="8ADCBDF8"/>
    <w:lvl w:ilvl="0" w:tplc="891A315C">
      <w:start w:val="1"/>
      <w:numFmt w:val="decimal"/>
      <w:pStyle w:val="Numberedparagraphs"/>
      <w:lvlText w:val="%1."/>
      <w:lvlJc w:val="left"/>
      <w:pPr>
        <w:tabs>
          <w:tab w:val="num" w:pos="720"/>
        </w:tabs>
        <w:ind w:left="0" w:firstLine="0"/>
      </w:pPr>
      <w:rPr>
        <w:rFonts w:ascii="Verdana" w:hAnsi="Verdana" w:hint="default"/>
        <w:b w:val="0"/>
        <w:i w:val="0"/>
        <w:strike w:val="0"/>
        <w:color w:val="auto"/>
        <w:sz w:val="20"/>
        <w:szCs w:val="20"/>
        <w:lang w:val="es-CR"/>
      </w:rPr>
    </w:lvl>
    <w:lvl w:ilvl="1" w:tplc="68BECEB8">
      <w:start w:val="1"/>
      <w:numFmt w:val="lowerLetter"/>
      <w:lvlText w:val="%2."/>
      <w:lvlJc w:val="left"/>
      <w:pPr>
        <w:ind w:left="2160" w:hanging="360"/>
      </w:pPr>
      <w:rPr>
        <w:rFonts w:hint="default"/>
        <w:b w:val="0"/>
      </w:rPr>
    </w:lvl>
    <w:lvl w:ilvl="2" w:tplc="0409001B">
      <w:start w:val="1"/>
      <w:numFmt w:val="lowerRoman"/>
      <w:lvlText w:val="%3."/>
      <w:lvlJc w:val="right"/>
      <w:pPr>
        <w:ind w:left="2880" w:hanging="180"/>
      </w:pPr>
    </w:lvl>
    <w:lvl w:ilvl="3" w:tplc="FA4A8440">
      <w:start w:val="1"/>
      <w:numFmt w:val="lowerLetter"/>
      <w:lvlText w:val="%4)"/>
      <w:lvlJc w:val="left"/>
      <w:pPr>
        <w:ind w:left="3960" w:hanging="72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1"/>
  </w:num>
  <w:num w:numId="2">
    <w:abstractNumId w:val="11"/>
    <w:lvlOverride w:ilvl="0">
      <w:startOverride w:val="1"/>
    </w:lvlOverride>
  </w:num>
  <w:num w:numId="3">
    <w:abstractNumId w:val="5"/>
  </w:num>
  <w:num w:numId="4">
    <w:abstractNumId w:val="4"/>
  </w:num>
  <w:num w:numId="5">
    <w:abstractNumId w:val="3"/>
  </w:num>
  <w:num w:numId="6">
    <w:abstractNumId w:val="7"/>
  </w:num>
  <w:num w:numId="7">
    <w:abstractNumId w:val="1"/>
  </w:num>
  <w:num w:numId="8">
    <w:abstractNumId w:val="6"/>
  </w:num>
  <w:num w:numId="9">
    <w:abstractNumId w:val="10"/>
  </w:num>
  <w:num w:numId="10">
    <w:abstractNumId w:val="2"/>
  </w:num>
  <w:num w:numId="11">
    <w:abstractNumId w:val="0"/>
  </w:num>
  <w:num w:numId="12">
    <w:abstractNumId w:val="8"/>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pt-BR" w:vendorID="64" w:dllVersion="6" w:nlCheck="1" w:checkStyle="0"/>
  <w:activeWritingStyle w:appName="MSWord" w:lang="es-ES" w:vendorID="64" w:dllVersion="6" w:nlCheck="1" w:checkStyle="0"/>
  <w:activeWritingStyle w:appName="MSWord" w:lang="en-US" w:vendorID="64" w:dllVersion="6" w:nlCheck="1" w:checkStyle="1"/>
  <w:activeWritingStyle w:appName="MSWord" w:lang="es-AR" w:vendorID="64" w:dllVersion="6" w:nlCheck="1" w:checkStyle="0"/>
  <w:activeWritingStyle w:appName="MSWord" w:lang="es-CR" w:vendorID="64" w:dllVersion="6" w:nlCheck="1" w:checkStyle="0"/>
  <w:activeWritingStyle w:appName="MSWord" w:lang="es-MX" w:vendorID="64" w:dllVersion="6" w:nlCheck="1" w:checkStyle="0"/>
  <w:activeWritingStyle w:appName="MSWord" w:lang="es-PE" w:vendorID="64" w:dllVersion="6" w:nlCheck="1" w:checkStyle="0"/>
  <w:activeWritingStyle w:appName="MSWord" w:lang="es-ES_tradnl" w:vendorID="64" w:dllVersion="6" w:nlCheck="1" w:checkStyle="0"/>
  <w:activeWritingStyle w:appName="MSWord" w:lang="es-MX" w:vendorID="64" w:dllVersion="4096" w:nlCheck="1" w:checkStyle="0"/>
  <w:activeWritingStyle w:appName="MSWord" w:lang="es-CR" w:vendorID="64" w:dllVersion="4096" w:nlCheck="1" w:checkStyle="0"/>
  <w:activeWritingStyle w:appName="MSWord" w:lang="es-ES_tradnl" w:vendorID="64" w:dllVersion="4096" w:nlCheck="1" w:checkStyle="0"/>
  <w:activeWritingStyle w:appName="MSWord" w:lang="es-PE"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s-AR" w:vendorID="64" w:dllVersion="4096" w:nlCheck="1" w:checkStyle="0"/>
  <w:activeWritingStyle w:appName="MSWord" w:lang="pt-BR" w:vendorID="64" w:dllVersion="4096" w:nlCheck="1" w:checkStyle="0"/>
  <w:activeWritingStyle w:appName="MSWord" w:lang="es-BO" w:vendorID="64" w:dllVersion="4096" w:nlCheck="1" w:checkStyle="0"/>
  <w:activeWritingStyle w:appName="MSWord" w:lang="es-BO" w:vendorID="64" w:dllVersion="6" w:nlCheck="1" w:checkStyle="0"/>
  <w:activeWritingStyle w:appName="MSWord" w:lang="es-MX" w:vendorID="64" w:dllVersion="0" w:nlCheck="1" w:checkStyle="0"/>
  <w:activeWritingStyle w:appName="MSWord" w:lang="es-CR" w:vendorID="64" w:dllVersion="0" w:nlCheck="1" w:checkStyle="0"/>
  <w:activeWritingStyle w:appName="MSWord" w:lang="es-ES_tradnl" w:vendorID="64" w:dllVersion="0" w:nlCheck="1" w:checkStyle="0"/>
  <w:activeWritingStyle w:appName="MSWord" w:lang="es-PE" w:vendorID="64" w:dllVersion="0" w:nlCheck="1" w:checkStyle="0"/>
  <w:activeWritingStyle w:appName="MSWord" w:lang="en-US" w:vendorID="64" w:dllVersion="0" w:nlCheck="1" w:checkStyle="0"/>
  <w:activeWritingStyle w:appName="MSWord" w:lang="pt-BR" w:vendorID="64" w:dllVersion="0" w:nlCheck="1" w:checkStyle="0"/>
  <w:activeWritingStyle w:appName="MSWord" w:lang="es-ES" w:vendorID="64" w:dllVersion="0"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851"/>
    <w:rsid w:val="0002270B"/>
    <w:rsid w:val="00061F56"/>
    <w:rsid w:val="000A6061"/>
    <w:rsid w:val="000C71BD"/>
    <w:rsid w:val="00113C9F"/>
    <w:rsid w:val="00114381"/>
    <w:rsid w:val="00134713"/>
    <w:rsid w:val="00153F33"/>
    <w:rsid w:val="0015517C"/>
    <w:rsid w:val="00156232"/>
    <w:rsid w:val="001779B3"/>
    <w:rsid w:val="001904DD"/>
    <w:rsid w:val="001B6E97"/>
    <w:rsid w:val="001E146E"/>
    <w:rsid w:val="001E70F7"/>
    <w:rsid w:val="001F475B"/>
    <w:rsid w:val="00203E0B"/>
    <w:rsid w:val="0025367C"/>
    <w:rsid w:val="00253BC4"/>
    <w:rsid w:val="00281CA5"/>
    <w:rsid w:val="002A1337"/>
    <w:rsid w:val="002C4CD8"/>
    <w:rsid w:val="002C7584"/>
    <w:rsid w:val="002D6B50"/>
    <w:rsid w:val="002E753B"/>
    <w:rsid w:val="002E7C07"/>
    <w:rsid w:val="002F1B45"/>
    <w:rsid w:val="0030501A"/>
    <w:rsid w:val="00313E40"/>
    <w:rsid w:val="00314B3F"/>
    <w:rsid w:val="0031555C"/>
    <w:rsid w:val="00352363"/>
    <w:rsid w:val="00365164"/>
    <w:rsid w:val="003B36E3"/>
    <w:rsid w:val="003C41EF"/>
    <w:rsid w:val="003D0C06"/>
    <w:rsid w:val="003E1861"/>
    <w:rsid w:val="003F490A"/>
    <w:rsid w:val="004026DA"/>
    <w:rsid w:val="004027D5"/>
    <w:rsid w:val="004041CA"/>
    <w:rsid w:val="004320A1"/>
    <w:rsid w:val="0043416F"/>
    <w:rsid w:val="004358D7"/>
    <w:rsid w:val="004376F2"/>
    <w:rsid w:val="00442ADE"/>
    <w:rsid w:val="004500E4"/>
    <w:rsid w:val="0048006D"/>
    <w:rsid w:val="004A05F8"/>
    <w:rsid w:val="004A1535"/>
    <w:rsid w:val="004C56E6"/>
    <w:rsid w:val="004D1107"/>
    <w:rsid w:val="00500001"/>
    <w:rsid w:val="00522EDE"/>
    <w:rsid w:val="005462DF"/>
    <w:rsid w:val="00594851"/>
    <w:rsid w:val="005B46B6"/>
    <w:rsid w:val="005C0A08"/>
    <w:rsid w:val="005C5BB3"/>
    <w:rsid w:val="005D3864"/>
    <w:rsid w:val="005E4000"/>
    <w:rsid w:val="005E46AD"/>
    <w:rsid w:val="00601112"/>
    <w:rsid w:val="006014DE"/>
    <w:rsid w:val="00604690"/>
    <w:rsid w:val="00605F0C"/>
    <w:rsid w:val="00646116"/>
    <w:rsid w:val="00653215"/>
    <w:rsid w:val="0066798D"/>
    <w:rsid w:val="00675E27"/>
    <w:rsid w:val="006A13D5"/>
    <w:rsid w:val="006A2D95"/>
    <w:rsid w:val="006C07ED"/>
    <w:rsid w:val="006C6A25"/>
    <w:rsid w:val="006D30EA"/>
    <w:rsid w:val="006E3E11"/>
    <w:rsid w:val="006F3CA9"/>
    <w:rsid w:val="00704E6C"/>
    <w:rsid w:val="00705036"/>
    <w:rsid w:val="00762369"/>
    <w:rsid w:val="00773F8C"/>
    <w:rsid w:val="0078502E"/>
    <w:rsid w:val="007917BD"/>
    <w:rsid w:val="00794C45"/>
    <w:rsid w:val="007C4E7F"/>
    <w:rsid w:val="007C795D"/>
    <w:rsid w:val="007D61A0"/>
    <w:rsid w:val="00806EC9"/>
    <w:rsid w:val="00815F27"/>
    <w:rsid w:val="00825FF3"/>
    <w:rsid w:val="008316AB"/>
    <w:rsid w:val="008336DD"/>
    <w:rsid w:val="00836FD4"/>
    <w:rsid w:val="008420F1"/>
    <w:rsid w:val="00846D8A"/>
    <w:rsid w:val="00861C67"/>
    <w:rsid w:val="00885537"/>
    <w:rsid w:val="008A7F28"/>
    <w:rsid w:val="008C1BBE"/>
    <w:rsid w:val="008C6B0A"/>
    <w:rsid w:val="008D5C2F"/>
    <w:rsid w:val="008D67EA"/>
    <w:rsid w:val="008E782D"/>
    <w:rsid w:val="009007DC"/>
    <w:rsid w:val="00904EF1"/>
    <w:rsid w:val="0090738C"/>
    <w:rsid w:val="00910C1F"/>
    <w:rsid w:val="009136EB"/>
    <w:rsid w:val="009322FC"/>
    <w:rsid w:val="009559BC"/>
    <w:rsid w:val="009620A0"/>
    <w:rsid w:val="009662C0"/>
    <w:rsid w:val="00971A5A"/>
    <w:rsid w:val="00996BDE"/>
    <w:rsid w:val="009A14BC"/>
    <w:rsid w:val="009A1B0B"/>
    <w:rsid w:val="009B5706"/>
    <w:rsid w:val="009E4BE1"/>
    <w:rsid w:val="009F13BA"/>
    <w:rsid w:val="00A273D9"/>
    <w:rsid w:val="00A31BD4"/>
    <w:rsid w:val="00A330CE"/>
    <w:rsid w:val="00A510B3"/>
    <w:rsid w:val="00A549D7"/>
    <w:rsid w:val="00A809F1"/>
    <w:rsid w:val="00AA35B4"/>
    <w:rsid w:val="00AC18F1"/>
    <w:rsid w:val="00AC67BF"/>
    <w:rsid w:val="00AC7107"/>
    <w:rsid w:val="00AE142F"/>
    <w:rsid w:val="00AF0EC0"/>
    <w:rsid w:val="00B00605"/>
    <w:rsid w:val="00B0559A"/>
    <w:rsid w:val="00B12F9C"/>
    <w:rsid w:val="00B23B6D"/>
    <w:rsid w:val="00B31836"/>
    <w:rsid w:val="00B35738"/>
    <w:rsid w:val="00B412C9"/>
    <w:rsid w:val="00B44465"/>
    <w:rsid w:val="00B505F9"/>
    <w:rsid w:val="00B52246"/>
    <w:rsid w:val="00B602BA"/>
    <w:rsid w:val="00B6502D"/>
    <w:rsid w:val="00B8047A"/>
    <w:rsid w:val="00BA4FA3"/>
    <w:rsid w:val="00BD5EC0"/>
    <w:rsid w:val="00BF679A"/>
    <w:rsid w:val="00C02461"/>
    <w:rsid w:val="00C11673"/>
    <w:rsid w:val="00C1736C"/>
    <w:rsid w:val="00C449E7"/>
    <w:rsid w:val="00C45F80"/>
    <w:rsid w:val="00C53930"/>
    <w:rsid w:val="00C758D1"/>
    <w:rsid w:val="00C87D0C"/>
    <w:rsid w:val="00CC17A4"/>
    <w:rsid w:val="00CC518C"/>
    <w:rsid w:val="00CD1E65"/>
    <w:rsid w:val="00CD4BD2"/>
    <w:rsid w:val="00CF391F"/>
    <w:rsid w:val="00CF5563"/>
    <w:rsid w:val="00D14344"/>
    <w:rsid w:val="00D21FCE"/>
    <w:rsid w:val="00D31F75"/>
    <w:rsid w:val="00D4564B"/>
    <w:rsid w:val="00D90FD2"/>
    <w:rsid w:val="00DA400F"/>
    <w:rsid w:val="00DC200F"/>
    <w:rsid w:val="00DC6978"/>
    <w:rsid w:val="00DE081B"/>
    <w:rsid w:val="00DF273B"/>
    <w:rsid w:val="00E10807"/>
    <w:rsid w:val="00E248AF"/>
    <w:rsid w:val="00E51E13"/>
    <w:rsid w:val="00E71F0D"/>
    <w:rsid w:val="00E83F2F"/>
    <w:rsid w:val="00EB2FF2"/>
    <w:rsid w:val="00EB6DF2"/>
    <w:rsid w:val="00EB7C0F"/>
    <w:rsid w:val="00EC266B"/>
    <w:rsid w:val="00ED77DA"/>
    <w:rsid w:val="00EE1182"/>
    <w:rsid w:val="00EE6268"/>
    <w:rsid w:val="00F041D7"/>
    <w:rsid w:val="00F11E17"/>
    <w:rsid w:val="00F13F6F"/>
    <w:rsid w:val="00F92895"/>
    <w:rsid w:val="00F93496"/>
    <w:rsid w:val="00FA0E67"/>
    <w:rsid w:val="00FC2F85"/>
    <w:rsid w:val="00FD204F"/>
    <w:rsid w:val="00FD7167"/>
    <w:rsid w:val="00FE3E61"/>
    <w:rsid w:val="00FE4542"/>
    <w:rsid w:val="00FF64CE"/>
    <w:rsid w:val="00FF77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186694"/>
  <w15:docId w15:val="{942738CB-2CDF-4A77-9BAD-90768DA5B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851"/>
    <w:pPr>
      <w:spacing w:after="0" w:line="240" w:lineRule="auto"/>
    </w:pPr>
    <w:rPr>
      <w:rFonts w:ascii="Verdana" w:eastAsia="Times New Roman" w:hAnsi="Verdana" w:cs="Times New Roman"/>
      <w:sz w:val="20"/>
      <w:szCs w:val="20"/>
    </w:rPr>
  </w:style>
  <w:style w:type="paragraph" w:styleId="Ttulo1">
    <w:name w:val="heading 1"/>
    <w:basedOn w:val="Normal"/>
    <w:next w:val="Normal"/>
    <w:link w:val="Ttulo1Car"/>
    <w:uiPriority w:val="9"/>
    <w:qFormat/>
    <w:rsid w:val="00AC67BF"/>
    <w:pPr>
      <w:keepNext/>
      <w:ind w:right="48"/>
      <w:outlineLvl w:val="0"/>
    </w:pPr>
    <w:rPr>
      <w:rFonts w:eastAsia="Verdana"/>
      <w:b/>
      <w:lang w:val="es-PE"/>
    </w:rPr>
  </w:style>
  <w:style w:type="paragraph" w:styleId="Ttulo2">
    <w:name w:val="heading 2"/>
    <w:basedOn w:val="Prrafodelista"/>
    <w:next w:val="Normal"/>
    <w:link w:val="Ttulo2Car"/>
    <w:uiPriority w:val="9"/>
    <w:unhideWhenUsed/>
    <w:qFormat/>
    <w:rsid w:val="001E146E"/>
    <w:pPr>
      <w:numPr>
        <w:numId w:val="6"/>
      </w:numPr>
      <w:spacing w:after="0" w:line="240" w:lineRule="auto"/>
      <w:outlineLvl w:val="1"/>
    </w:pPr>
    <w:rPr>
      <w:rFonts w:ascii="Verdana" w:eastAsia="Verdana" w:hAnsi="Verdana"/>
      <w:b/>
      <w:i/>
      <w:sz w:val="20"/>
      <w:szCs w:val="20"/>
      <w:lang w:val="es-PE"/>
    </w:rPr>
  </w:style>
  <w:style w:type="paragraph" w:styleId="Ttulo3">
    <w:name w:val="heading 3"/>
    <w:basedOn w:val="Normal"/>
    <w:next w:val="Normal"/>
    <w:link w:val="Ttulo3Car"/>
    <w:uiPriority w:val="9"/>
    <w:unhideWhenUsed/>
    <w:qFormat/>
    <w:rsid w:val="001E146E"/>
    <w:pPr>
      <w:ind w:left="360" w:firstLine="720"/>
      <w:outlineLvl w:val="2"/>
    </w:pPr>
    <w:rPr>
      <w:rFonts w:eastAsia="Verdana"/>
      <w:b/>
      <w:i/>
      <w:lang w:val="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 Car,ft,C"/>
    <w:basedOn w:val="Normal"/>
    <w:link w:val="TextonotapieCar1"/>
    <w:qFormat/>
    <w:rsid w:val="00594851"/>
  </w:style>
  <w:style w:type="character" w:customStyle="1" w:styleId="TextonotapieCar">
    <w:name w:val="Texto nota pie Car"/>
    <w:basedOn w:val="Fuentedeprrafopredeter"/>
    <w:uiPriority w:val="99"/>
    <w:semiHidden/>
    <w:rsid w:val="00594851"/>
    <w:rPr>
      <w:rFonts w:ascii="Verdana" w:eastAsia="Times New Roman" w:hAnsi="Verdana" w:cs="Times New Roman"/>
      <w:sz w:val="20"/>
      <w:szCs w:val="20"/>
    </w:rPr>
  </w:style>
  <w:style w:type="character" w:customStyle="1" w:styleId="TextonotapieCar1">
    <w:name w:val="Texto nota pie Car1"/>
    <w:aliases w:val="Footnote Text Char Char Char Char Char Car,Footnote Text Char Char Char Char Car,Footnote reference Car,FA Fu Car1,Footnote Text Char Char Char Car,Footnote Text Cha Car,FA Fußnotentext Car,FA Fu?notentext Car,FA Fuﬂnotentext Car"/>
    <w:link w:val="Textonotapie"/>
    <w:qFormat/>
    <w:rsid w:val="00594851"/>
    <w:rPr>
      <w:rFonts w:ascii="Verdana" w:eastAsia="Times New Roman" w:hAnsi="Verdana" w:cs="Times New Roman"/>
      <w:sz w:val="20"/>
      <w:szCs w:val="20"/>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Ref. de nota al"/>
    <w:link w:val="4GChar"/>
    <w:uiPriority w:val="99"/>
    <w:qFormat/>
    <w:rsid w:val="00594851"/>
    <w:rPr>
      <w:vertAlign w:val="superscript"/>
    </w:rPr>
  </w:style>
  <w:style w:type="paragraph" w:customStyle="1" w:styleId="Numberedparagraphs">
    <w:name w:val="Numbered paragraphs"/>
    <w:basedOn w:val="Normal"/>
    <w:link w:val="NumberedparagraphsCar"/>
    <w:qFormat/>
    <w:rsid w:val="00594851"/>
    <w:pPr>
      <w:numPr>
        <w:numId w:val="1"/>
      </w:numPr>
      <w:jc w:val="both"/>
    </w:pPr>
    <w:rPr>
      <w:rFonts w:eastAsia="MS Mincho"/>
      <w:color w:val="000000"/>
      <w:lang w:val="es-ES_tradnl"/>
    </w:rPr>
  </w:style>
  <w:style w:type="paragraph" w:styleId="Prrafodelista">
    <w:name w:val="List Paragraph"/>
    <w:aliases w:val="Párrafo de lista1,List Paragraph2,Lista vistosa - Énfasis 11,List Paragraph11,List Paragraph1,Footnote,Footnote1"/>
    <w:basedOn w:val="Normal"/>
    <w:link w:val="PrrafodelistaCar"/>
    <w:uiPriority w:val="34"/>
    <w:qFormat/>
    <w:rsid w:val="00594851"/>
    <w:pPr>
      <w:spacing w:after="200" w:line="276" w:lineRule="auto"/>
      <w:ind w:left="720"/>
      <w:contextualSpacing/>
    </w:pPr>
    <w:rPr>
      <w:rFonts w:ascii="Calibri" w:eastAsia="Calibri" w:hAnsi="Calibri"/>
      <w:sz w:val="22"/>
      <w:szCs w:val="22"/>
      <w:lang w:val="es-CR"/>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594851"/>
    <w:pPr>
      <w:jc w:val="both"/>
    </w:pPr>
    <w:rPr>
      <w:rFonts w:asciiTheme="minorHAnsi" w:eastAsiaTheme="minorHAnsi" w:hAnsiTheme="minorHAnsi" w:cstheme="minorBidi"/>
      <w:sz w:val="22"/>
      <w:szCs w:val="22"/>
      <w:vertAlign w:val="superscript"/>
    </w:rPr>
  </w:style>
  <w:style w:type="paragraph" w:customStyle="1" w:styleId="PrrafodeSentencia">
    <w:name w:val="*. Párrafo de Sentencia"/>
    <w:basedOn w:val="Numberedparagraphs"/>
    <w:link w:val="PrrafodeSentenciaChar"/>
    <w:qFormat/>
    <w:rsid w:val="00594851"/>
    <w:pPr>
      <w:tabs>
        <w:tab w:val="clear" w:pos="720"/>
        <w:tab w:val="left" w:pos="567"/>
      </w:tabs>
    </w:pPr>
  </w:style>
  <w:style w:type="character" w:customStyle="1" w:styleId="PrrafodeSentenciaChar">
    <w:name w:val="*. Párrafo de Sentencia Char"/>
    <w:link w:val="PrrafodeSentencia"/>
    <w:rsid w:val="00594851"/>
    <w:rPr>
      <w:rFonts w:ascii="Verdana" w:eastAsia="MS Mincho" w:hAnsi="Verdana" w:cs="Times New Roman"/>
      <w:color w:val="000000"/>
      <w:sz w:val="20"/>
      <w:szCs w:val="20"/>
      <w:lang w:val="es-ES_tradnl"/>
    </w:rPr>
  </w:style>
  <w:style w:type="character" w:customStyle="1" w:styleId="NumberedparagraphsCar">
    <w:name w:val="Numbered paragraphs Car"/>
    <w:basedOn w:val="Fuentedeprrafopredeter"/>
    <w:link w:val="Numberedparagraphs"/>
    <w:rsid w:val="00594851"/>
    <w:rPr>
      <w:rFonts w:ascii="Verdana" w:eastAsia="MS Mincho" w:hAnsi="Verdana" w:cs="Times New Roman"/>
      <w:color w:val="000000"/>
      <w:sz w:val="20"/>
      <w:szCs w:val="20"/>
      <w:lang w:val="es-ES_tradnl"/>
    </w:rPr>
  </w:style>
  <w:style w:type="character" w:customStyle="1" w:styleId="PrrafodelistaCar">
    <w:name w:val="Párrafo de lista Car"/>
    <w:aliases w:val="Párrafo de lista1 Car,List Paragraph2 Car,Lista vistosa - Énfasis 11 Car,List Paragraph11 Car,List Paragraph1 Car,Footnote Car,Footnote1 Car"/>
    <w:basedOn w:val="Fuentedeprrafopredeter"/>
    <w:link w:val="Prrafodelista"/>
    <w:uiPriority w:val="34"/>
    <w:locked/>
    <w:rsid w:val="00594851"/>
    <w:rPr>
      <w:rFonts w:ascii="Calibri" w:eastAsia="Calibri" w:hAnsi="Calibri" w:cs="Times New Roman"/>
      <w:lang w:val="es-CR"/>
    </w:rPr>
  </w:style>
  <w:style w:type="paragraph" w:styleId="Encabezado">
    <w:name w:val="header"/>
    <w:basedOn w:val="Normal"/>
    <w:link w:val="EncabezadoCar"/>
    <w:uiPriority w:val="99"/>
    <w:unhideWhenUsed/>
    <w:rsid w:val="00B44465"/>
    <w:pPr>
      <w:tabs>
        <w:tab w:val="center" w:pos="4680"/>
        <w:tab w:val="right" w:pos="9360"/>
      </w:tabs>
    </w:pPr>
  </w:style>
  <w:style w:type="character" w:customStyle="1" w:styleId="EncabezadoCar">
    <w:name w:val="Encabezado Car"/>
    <w:basedOn w:val="Fuentedeprrafopredeter"/>
    <w:link w:val="Encabezado"/>
    <w:uiPriority w:val="99"/>
    <w:rsid w:val="00B44465"/>
    <w:rPr>
      <w:rFonts w:ascii="Verdana" w:eastAsia="Times New Roman" w:hAnsi="Verdana" w:cs="Times New Roman"/>
      <w:sz w:val="20"/>
      <w:szCs w:val="20"/>
    </w:rPr>
  </w:style>
  <w:style w:type="paragraph" w:styleId="Piedepgina">
    <w:name w:val="footer"/>
    <w:basedOn w:val="Normal"/>
    <w:link w:val="PiedepginaCar"/>
    <w:uiPriority w:val="99"/>
    <w:unhideWhenUsed/>
    <w:rsid w:val="00B44465"/>
    <w:pPr>
      <w:tabs>
        <w:tab w:val="center" w:pos="4680"/>
        <w:tab w:val="right" w:pos="9360"/>
      </w:tabs>
    </w:pPr>
  </w:style>
  <w:style w:type="character" w:customStyle="1" w:styleId="PiedepginaCar">
    <w:name w:val="Pie de página Car"/>
    <w:basedOn w:val="Fuentedeprrafopredeter"/>
    <w:link w:val="Piedepgina"/>
    <w:uiPriority w:val="99"/>
    <w:rsid w:val="00B44465"/>
    <w:rPr>
      <w:rFonts w:ascii="Verdana" w:eastAsia="Times New Roman" w:hAnsi="Verdana" w:cs="Times New Roman"/>
      <w:sz w:val="20"/>
      <w:szCs w:val="20"/>
    </w:rPr>
  </w:style>
  <w:style w:type="character" w:styleId="Refdecomentario">
    <w:name w:val="annotation reference"/>
    <w:basedOn w:val="Fuentedeprrafopredeter"/>
    <w:uiPriority w:val="99"/>
    <w:semiHidden/>
    <w:unhideWhenUsed/>
    <w:rsid w:val="00134713"/>
    <w:rPr>
      <w:sz w:val="16"/>
      <w:szCs w:val="16"/>
    </w:rPr>
  </w:style>
  <w:style w:type="paragraph" w:styleId="Textocomentario">
    <w:name w:val="annotation text"/>
    <w:basedOn w:val="Normal"/>
    <w:link w:val="TextocomentarioCar"/>
    <w:uiPriority w:val="99"/>
    <w:semiHidden/>
    <w:unhideWhenUsed/>
    <w:rsid w:val="00134713"/>
  </w:style>
  <w:style w:type="character" w:customStyle="1" w:styleId="TextocomentarioCar">
    <w:name w:val="Texto comentario Car"/>
    <w:basedOn w:val="Fuentedeprrafopredeter"/>
    <w:link w:val="Textocomentario"/>
    <w:uiPriority w:val="99"/>
    <w:semiHidden/>
    <w:rsid w:val="00134713"/>
    <w:rPr>
      <w:rFonts w:ascii="Verdana" w:eastAsia="Times New Roman" w:hAnsi="Verdana"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134713"/>
    <w:rPr>
      <w:b/>
      <w:bCs/>
    </w:rPr>
  </w:style>
  <w:style w:type="character" w:customStyle="1" w:styleId="AsuntodelcomentarioCar">
    <w:name w:val="Asunto del comentario Car"/>
    <w:basedOn w:val="TextocomentarioCar"/>
    <w:link w:val="Asuntodelcomentario"/>
    <w:uiPriority w:val="99"/>
    <w:semiHidden/>
    <w:rsid w:val="00134713"/>
    <w:rPr>
      <w:rFonts w:ascii="Verdana" w:eastAsia="Times New Roman" w:hAnsi="Verdana" w:cs="Times New Roman"/>
      <w:b/>
      <w:bCs/>
      <w:sz w:val="20"/>
      <w:szCs w:val="20"/>
    </w:rPr>
  </w:style>
  <w:style w:type="paragraph" w:styleId="Textodeglobo">
    <w:name w:val="Balloon Text"/>
    <w:basedOn w:val="Normal"/>
    <w:link w:val="TextodegloboCar"/>
    <w:uiPriority w:val="99"/>
    <w:semiHidden/>
    <w:unhideWhenUsed/>
    <w:rsid w:val="00134713"/>
    <w:rPr>
      <w:rFonts w:ascii="Tahoma" w:hAnsi="Tahoma" w:cs="Tahoma"/>
      <w:sz w:val="16"/>
      <w:szCs w:val="16"/>
    </w:rPr>
  </w:style>
  <w:style w:type="character" w:customStyle="1" w:styleId="TextodegloboCar">
    <w:name w:val="Texto de globo Car"/>
    <w:basedOn w:val="Fuentedeprrafopredeter"/>
    <w:link w:val="Textodeglobo"/>
    <w:uiPriority w:val="99"/>
    <w:semiHidden/>
    <w:rsid w:val="00134713"/>
    <w:rPr>
      <w:rFonts w:ascii="Tahoma" w:eastAsia="Times New Roman" w:hAnsi="Tahoma" w:cs="Tahoma"/>
      <w:sz w:val="16"/>
      <w:szCs w:val="16"/>
    </w:rPr>
  </w:style>
  <w:style w:type="paragraph" w:styleId="Ttulo">
    <w:name w:val="Title"/>
    <w:basedOn w:val="Normal"/>
    <w:next w:val="Normal"/>
    <w:link w:val="TtuloCar"/>
    <w:qFormat/>
    <w:rsid w:val="00AC7107"/>
    <w:pPr>
      <w:jc w:val="center"/>
    </w:pPr>
    <w:rPr>
      <w:rFonts w:eastAsiaTheme="minorHAnsi" w:cstheme="minorBidi"/>
      <w:b/>
      <w:szCs w:val="22"/>
    </w:rPr>
  </w:style>
  <w:style w:type="character" w:customStyle="1" w:styleId="TtuloCar">
    <w:name w:val="Título Car"/>
    <w:basedOn w:val="Fuentedeprrafopredeter"/>
    <w:link w:val="Ttulo"/>
    <w:rsid w:val="00AC7107"/>
    <w:rPr>
      <w:rFonts w:ascii="Verdana" w:hAnsi="Verdana"/>
      <w:b/>
      <w:sz w:val="20"/>
    </w:rPr>
  </w:style>
  <w:style w:type="character" w:customStyle="1" w:styleId="Ttulo1Car">
    <w:name w:val="Título 1 Car"/>
    <w:basedOn w:val="Fuentedeprrafopredeter"/>
    <w:link w:val="Ttulo1"/>
    <w:uiPriority w:val="9"/>
    <w:rsid w:val="00AC67BF"/>
    <w:rPr>
      <w:rFonts w:ascii="Verdana" w:eastAsia="Verdana" w:hAnsi="Verdana" w:cs="Times New Roman"/>
      <w:b/>
      <w:sz w:val="20"/>
      <w:szCs w:val="20"/>
      <w:lang w:val="es-PE"/>
    </w:rPr>
  </w:style>
  <w:style w:type="paragraph" w:styleId="Sinespaciado">
    <w:name w:val="No Spacing"/>
    <w:uiPriority w:val="1"/>
    <w:qFormat/>
    <w:rsid w:val="00D14344"/>
    <w:pPr>
      <w:spacing w:after="0" w:line="240" w:lineRule="auto"/>
    </w:pPr>
    <w:rPr>
      <w:rFonts w:ascii="Verdana" w:eastAsia="Times New Roman" w:hAnsi="Verdana" w:cs="Times New Roman"/>
      <w:sz w:val="28"/>
      <w:szCs w:val="24"/>
      <w:lang w:val="es-ES_tradnl"/>
    </w:rPr>
  </w:style>
  <w:style w:type="character" w:customStyle="1" w:styleId="Ttulo2Car">
    <w:name w:val="Título 2 Car"/>
    <w:basedOn w:val="Fuentedeprrafopredeter"/>
    <w:link w:val="Ttulo2"/>
    <w:uiPriority w:val="9"/>
    <w:rsid w:val="001E146E"/>
    <w:rPr>
      <w:rFonts w:ascii="Verdana" w:eastAsia="Verdana" w:hAnsi="Verdana" w:cs="Times New Roman"/>
      <w:b/>
      <w:i/>
      <w:sz w:val="20"/>
      <w:szCs w:val="20"/>
      <w:lang w:val="es-PE"/>
    </w:rPr>
  </w:style>
  <w:style w:type="character" w:customStyle="1" w:styleId="Ttulo3Car">
    <w:name w:val="Título 3 Car"/>
    <w:basedOn w:val="Fuentedeprrafopredeter"/>
    <w:link w:val="Ttulo3"/>
    <w:uiPriority w:val="9"/>
    <w:rsid w:val="001E146E"/>
    <w:rPr>
      <w:rFonts w:ascii="Verdana" w:eastAsia="Verdana" w:hAnsi="Verdana" w:cs="Times New Roman"/>
      <w:b/>
      <w:i/>
      <w:sz w:val="20"/>
      <w:szCs w:val="20"/>
      <w:lang w:val="es-PE"/>
    </w:rPr>
  </w:style>
  <w:style w:type="paragraph" w:customStyle="1" w:styleId="Default">
    <w:name w:val="Default"/>
    <w:rsid w:val="005462DF"/>
    <w:pPr>
      <w:autoSpaceDE w:val="0"/>
      <w:autoSpaceDN w:val="0"/>
      <w:adjustRightInd w:val="0"/>
      <w:spacing w:after="0" w:line="240" w:lineRule="auto"/>
    </w:pPr>
    <w:rPr>
      <w:rFonts w:ascii="Verdana" w:hAnsi="Verdana" w:cs="Verdana"/>
      <w:color w:val="000000"/>
      <w:sz w:val="24"/>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823038">
      <w:bodyDiv w:val="1"/>
      <w:marLeft w:val="0"/>
      <w:marRight w:val="0"/>
      <w:marTop w:val="0"/>
      <w:marBottom w:val="0"/>
      <w:divBdr>
        <w:top w:val="none" w:sz="0" w:space="0" w:color="auto"/>
        <w:left w:val="none" w:sz="0" w:space="0" w:color="auto"/>
        <w:bottom w:val="none" w:sz="0" w:space="0" w:color="auto"/>
        <w:right w:val="none" w:sz="0" w:space="0" w:color="auto"/>
      </w:divBdr>
    </w:div>
    <w:div w:id="732430465">
      <w:bodyDiv w:val="1"/>
      <w:marLeft w:val="0"/>
      <w:marRight w:val="0"/>
      <w:marTop w:val="0"/>
      <w:marBottom w:val="0"/>
      <w:divBdr>
        <w:top w:val="none" w:sz="0" w:space="0" w:color="auto"/>
        <w:left w:val="none" w:sz="0" w:space="0" w:color="auto"/>
        <w:bottom w:val="none" w:sz="0" w:space="0" w:color="auto"/>
        <w:right w:val="none" w:sz="0" w:space="0" w:color="auto"/>
      </w:divBdr>
    </w:div>
    <w:div w:id="776944735">
      <w:bodyDiv w:val="1"/>
      <w:marLeft w:val="0"/>
      <w:marRight w:val="0"/>
      <w:marTop w:val="0"/>
      <w:marBottom w:val="0"/>
      <w:divBdr>
        <w:top w:val="none" w:sz="0" w:space="0" w:color="auto"/>
        <w:left w:val="none" w:sz="0" w:space="0" w:color="auto"/>
        <w:bottom w:val="none" w:sz="0" w:space="0" w:color="auto"/>
        <w:right w:val="none" w:sz="0" w:space="0" w:color="auto"/>
      </w:divBdr>
    </w:div>
    <w:div w:id="798959831">
      <w:bodyDiv w:val="1"/>
      <w:marLeft w:val="0"/>
      <w:marRight w:val="0"/>
      <w:marTop w:val="0"/>
      <w:marBottom w:val="0"/>
      <w:divBdr>
        <w:top w:val="none" w:sz="0" w:space="0" w:color="auto"/>
        <w:left w:val="none" w:sz="0" w:space="0" w:color="auto"/>
        <w:bottom w:val="none" w:sz="0" w:space="0" w:color="auto"/>
        <w:right w:val="none" w:sz="0" w:space="0" w:color="auto"/>
      </w:divBdr>
    </w:div>
    <w:div w:id="1651667671">
      <w:bodyDiv w:val="1"/>
      <w:marLeft w:val="0"/>
      <w:marRight w:val="0"/>
      <w:marTop w:val="0"/>
      <w:marBottom w:val="0"/>
      <w:divBdr>
        <w:top w:val="none" w:sz="0" w:space="0" w:color="auto"/>
        <w:left w:val="none" w:sz="0" w:space="0" w:color="auto"/>
        <w:bottom w:val="none" w:sz="0" w:space="0" w:color="auto"/>
        <w:right w:val="none" w:sz="0" w:space="0" w:color="auto"/>
      </w:divBdr>
    </w:div>
    <w:div w:id="2056391457">
      <w:bodyDiv w:val="1"/>
      <w:marLeft w:val="0"/>
      <w:marRight w:val="0"/>
      <w:marTop w:val="0"/>
      <w:marBottom w:val="0"/>
      <w:divBdr>
        <w:top w:val="none" w:sz="0" w:space="0" w:color="auto"/>
        <w:left w:val="none" w:sz="0" w:space="0" w:color="auto"/>
        <w:bottom w:val="none" w:sz="0" w:space="0" w:color="auto"/>
        <w:right w:val="none" w:sz="0" w:space="0" w:color="auto"/>
      </w:divBdr>
    </w:div>
    <w:div w:id="2066954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64496E-E267-4789-9917-3BE30946D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2002</Words>
  <Characters>11016</Characters>
  <Application>Microsoft Office Word</Application>
  <DocSecurity>0</DocSecurity>
  <Lines>91</Lines>
  <Paragraphs>25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Corte IDH</dc:creator>
  <cp:lastModifiedBy>Liliana Tojo</cp:lastModifiedBy>
  <cp:revision>2</cp:revision>
  <cp:lastPrinted>2021-06-11T17:31:00Z</cp:lastPrinted>
  <dcterms:created xsi:type="dcterms:W3CDTF">2021-07-07T19:12:00Z</dcterms:created>
  <dcterms:modified xsi:type="dcterms:W3CDTF">2021-07-07T19:12:00Z</dcterms:modified>
</cp:coreProperties>
</file>