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0F0A07" w14:textId="44A38782" w:rsidR="004D4BE7" w:rsidRPr="00E05F9A" w:rsidRDefault="004D4BE7" w:rsidP="004D4BE7">
      <w:pPr>
        <w:pStyle w:val="NormalWeb"/>
        <w:jc w:val="both"/>
        <w:rPr>
          <w:rFonts w:ascii="Verdana" w:hAnsi="Verdana" w:cs="Calibri"/>
          <w:b/>
          <w:sz w:val="20"/>
          <w:szCs w:val="20"/>
        </w:rPr>
      </w:pPr>
    </w:p>
    <w:p w14:paraId="50924FE1" w14:textId="5CB770E0" w:rsidR="00E05F9A" w:rsidRPr="00E05F9A" w:rsidRDefault="00E05F9A" w:rsidP="004D4BE7">
      <w:pPr>
        <w:pStyle w:val="NormalWeb"/>
        <w:jc w:val="both"/>
        <w:rPr>
          <w:rFonts w:ascii="Verdana" w:hAnsi="Verdana" w:cs="Calibri"/>
          <w:b/>
          <w:sz w:val="20"/>
          <w:szCs w:val="20"/>
        </w:rPr>
      </w:pPr>
    </w:p>
    <w:p w14:paraId="04721C58" w14:textId="289BB547" w:rsidR="00E05F9A" w:rsidRPr="00E05F9A" w:rsidRDefault="00E05F9A" w:rsidP="004D4BE7">
      <w:pPr>
        <w:pStyle w:val="NormalWeb"/>
        <w:jc w:val="both"/>
        <w:rPr>
          <w:rFonts w:ascii="Verdana" w:hAnsi="Verdana" w:cs="Calibri"/>
          <w:b/>
          <w:sz w:val="20"/>
          <w:szCs w:val="20"/>
        </w:rPr>
      </w:pPr>
    </w:p>
    <w:p w14:paraId="7886303E" w14:textId="3646790E" w:rsidR="00E05F9A" w:rsidRPr="00E05F9A" w:rsidRDefault="00E05F9A" w:rsidP="004D4BE7">
      <w:pPr>
        <w:pStyle w:val="NormalWeb"/>
        <w:jc w:val="both"/>
        <w:rPr>
          <w:rFonts w:ascii="Verdana" w:hAnsi="Verdana" w:cs="Calibri"/>
          <w:b/>
          <w:sz w:val="20"/>
          <w:szCs w:val="20"/>
        </w:rPr>
      </w:pPr>
    </w:p>
    <w:p w14:paraId="489EE813" w14:textId="05D1A641" w:rsidR="00E05F9A" w:rsidRPr="00E05F9A" w:rsidRDefault="00E05F9A" w:rsidP="004D4BE7">
      <w:pPr>
        <w:pStyle w:val="NormalWeb"/>
        <w:jc w:val="both"/>
        <w:rPr>
          <w:rFonts w:ascii="Verdana" w:hAnsi="Verdana" w:cs="Calibri"/>
          <w:b/>
          <w:sz w:val="20"/>
          <w:szCs w:val="20"/>
        </w:rPr>
      </w:pPr>
    </w:p>
    <w:p w14:paraId="56E3B19A" w14:textId="77777777" w:rsidR="00E05F9A" w:rsidRPr="00E05F9A" w:rsidRDefault="00E05F9A" w:rsidP="004D4BE7">
      <w:pPr>
        <w:pStyle w:val="NormalWeb"/>
        <w:jc w:val="both"/>
        <w:rPr>
          <w:rFonts w:ascii="Verdana" w:hAnsi="Verdana" w:cs="Calibri"/>
          <w:b/>
          <w:sz w:val="20"/>
          <w:szCs w:val="20"/>
        </w:rPr>
      </w:pPr>
    </w:p>
    <w:p w14:paraId="6D6224C2" w14:textId="77777777" w:rsidR="00DF3B59" w:rsidRPr="00E05F9A" w:rsidRDefault="00DF3B59" w:rsidP="004D4BE7">
      <w:pPr>
        <w:pStyle w:val="NormalWeb"/>
        <w:jc w:val="both"/>
        <w:rPr>
          <w:rFonts w:ascii="Verdana" w:hAnsi="Verdana" w:cs="Calibri"/>
          <w:b/>
          <w:sz w:val="20"/>
          <w:szCs w:val="20"/>
        </w:rPr>
      </w:pPr>
    </w:p>
    <w:p w14:paraId="700082FD" w14:textId="77777777" w:rsidR="004D4BE7" w:rsidRPr="00716618" w:rsidRDefault="004D4BE7" w:rsidP="004D4BE7">
      <w:pPr>
        <w:pStyle w:val="NormalWeb"/>
        <w:jc w:val="center"/>
        <w:rPr>
          <w:rFonts w:ascii="Verdana" w:hAnsi="Verdana" w:cs="Calibri"/>
          <w:b/>
          <w:color w:val="000000"/>
          <w:sz w:val="20"/>
          <w:szCs w:val="20"/>
        </w:rPr>
      </w:pPr>
      <w:r w:rsidRPr="00716618">
        <w:rPr>
          <w:rFonts w:ascii="Verdana" w:hAnsi="Verdana" w:cs="Calibri"/>
          <w:b/>
          <w:color w:val="000000"/>
          <w:sz w:val="20"/>
          <w:szCs w:val="20"/>
        </w:rPr>
        <w:t xml:space="preserve">RESOLUCIÓN DE LA </w:t>
      </w:r>
    </w:p>
    <w:p w14:paraId="5EAE0996" w14:textId="77777777" w:rsidR="004D4BE7" w:rsidRPr="00716618" w:rsidRDefault="004D4BE7" w:rsidP="004D4BE7">
      <w:pPr>
        <w:pStyle w:val="NormalWeb"/>
        <w:jc w:val="center"/>
        <w:rPr>
          <w:rFonts w:ascii="Verdana" w:hAnsi="Verdana" w:cs="Calibri"/>
          <w:b/>
          <w:color w:val="000000"/>
          <w:sz w:val="20"/>
          <w:szCs w:val="20"/>
        </w:rPr>
      </w:pPr>
      <w:r w:rsidRPr="00716618">
        <w:rPr>
          <w:rFonts w:ascii="Verdana" w:hAnsi="Verdana" w:cs="Calibri"/>
          <w:b/>
          <w:color w:val="000000"/>
          <w:sz w:val="20"/>
          <w:szCs w:val="20"/>
        </w:rPr>
        <w:t>CORTE INTERAMERICANA DE DERECHOS HUMANOS</w:t>
      </w:r>
      <w:r w:rsidRPr="005E7788">
        <w:rPr>
          <w:rFonts w:ascii="Verdana" w:hAnsi="Verdana" w:cs="Calibri"/>
          <w:b/>
          <w:color w:val="000000"/>
          <w:sz w:val="20"/>
          <w:szCs w:val="20"/>
          <w:vertAlign w:val="superscript"/>
        </w:rPr>
        <w:t>*</w:t>
      </w:r>
    </w:p>
    <w:p w14:paraId="55B2AC10" w14:textId="77777777" w:rsidR="004D4BE7" w:rsidRDefault="004D4BE7" w:rsidP="004D4BE7">
      <w:pPr>
        <w:pStyle w:val="NormalWeb"/>
        <w:jc w:val="center"/>
        <w:rPr>
          <w:rFonts w:ascii="Verdana" w:hAnsi="Verdana" w:cs="Calibri"/>
          <w:b/>
          <w:color w:val="000000"/>
          <w:sz w:val="20"/>
          <w:szCs w:val="20"/>
        </w:rPr>
      </w:pPr>
    </w:p>
    <w:p w14:paraId="427FC338" w14:textId="6BAF7C69" w:rsidR="004D4BE7" w:rsidRPr="00716618" w:rsidRDefault="004D4BE7" w:rsidP="004D4BE7">
      <w:pPr>
        <w:pStyle w:val="NormalWeb"/>
        <w:jc w:val="center"/>
        <w:rPr>
          <w:rFonts w:ascii="Verdana" w:hAnsi="Verdana" w:cs="Calibri"/>
          <w:b/>
          <w:color w:val="000000"/>
          <w:sz w:val="20"/>
          <w:szCs w:val="20"/>
        </w:rPr>
      </w:pPr>
      <w:r w:rsidRPr="00716618">
        <w:rPr>
          <w:rFonts w:ascii="Verdana" w:hAnsi="Verdana" w:cs="Calibri"/>
          <w:b/>
          <w:color w:val="000000"/>
          <w:sz w:val="20"/>
          <w:szCs w:val="20"/>
        </w:rPr>
        <w:t xml:space="preserve">DE </w:t>
      </w:r>
      <w:r w:rsidR="00E05F9A">
        <w:rPr>
          <w:rFonts w:ascii="Verdana" w:hAnsi="Verdana" w:cs="Calibri"/>
          <w:b/>
          <w:color w:val="000000"/>
          <w:sz w:val="20"/>
          <w:szCs w:val="20"/>
        </w:rPr>
        <w:t>27</w:t>
      </w:r>
      <w:r w:rsidRPr="00716618">
        <w:rPr>
          <w:rFonts w:ascii="Verdana" w:hAnsi="Verdana" w:cs="Calibri"/>
          <w:b/>
          <w:color w:val="000000"/>
          <w:sz w:val="20"/>
          <w:szCs w:val="20"/>
        </w:rPr>
        <w:t xml:space="preserve"> DE </w:t>
      </w:r>
      <w:r w:rsidR="00E05F9A">
        <w:rPr>
          <w:rFonts w:ascii="Verdana" w:hAnsi="Verdana" w:cs="Calibri"/>
          <w:b/>
          <w:color w:val="000000"/>
          <w:sz w:val="20"/>
          <w:szCs w:val="20"/>
        </w:rPr>
        <w:t>MAYO</w:t>
      </w:r>
      <w:r w:rsidRPr="00716618">
        <w:rPr>
          <w:rFonts w:ascii="Verdana" w:hAnsi="Verdana" w:cs="Calibri"/>
          <w:b/>
          <w:color w:val="000000"/>
          <w:sz w:val="20"/>
          <w:szCs w:val="20"/>
        </w:rPr>
        <w:t xml:space="preserve"> DE 20</w:t>
      </w:r>
      <w:r>
        <w:rPr>
          <w:rFonts w:ascii="Verdana" w:hAnsi="Verdana" w:cs="Calibri"/>
          <w:b/>
          <w:color w:val="000000"/>
          <w:sz w:val="20"/>
          <w:szCs w:val="20"/>
        </w:rPr>
        <w:t>21</w:t>
      </w:r>
    </w:p>
    <w:p w14:paraId="3A711A47" w14:textId="77777777" w:rsidR="004D4BE7" w:rsidRPr="00716618" w:rsidRDefault="004D4BE7" w:rsidP="004D4BE7">
      <w:pPr>
        <w:pStyle w:val="NormalWeb"/>
        <w:jc w:val="center"/>
        <w:rPr>
          <w:rFonts w:ascii="Verdana" w:hAnsi="Verdana" w:cs="Calibri"/>
          <w:b/>
          <w:color w:val="000000"/>
          <w:sz w:val="20"/>
          <w:szCs w:val="20"/>
        </w:rPr>
      </w:pPr>
    </w:p>
    <w:p w14:paraId="2009F4F4" w14:textId="77777777" w:rsidR="004D4BE7" w:rsidRPr="005E7788" w:rsidRDefault="004D4BE7" w:rsidP="004D4BE7">
      <w:pPr>
        <w:pStyle w:val="NormalWeb"/>
        <w:jc w:val="center"/>
        <w:rPr>
          <w:rFonts w:ascii="Verdana" w:hAnsi="Verdana" w:cs="Calibri"/>
          <w:b/>
          <w:i/>
          <w:color w:val="000000"/>
          <w:sz w:val="20"/>
          <w:szCs w:val="20"/>
        </w:rPr>
      </w:pPr>
      <w:r w:rsidRPr="005E7788">
        <w:rPr>
          <w:rFonts w:ascii="Verdana" w:hAnsi="Verdana" w:cs="Calibri"/>
          <w:b/>
          <w:i/>
          <w:color w:val="000000"/>
          <w:sz w:val="20"/>
          <w:szCs w:val="20"/>
        </w:rPr>
        <w:t xml:space="preserve">CASO </w:t>
      </w:r>
      <w:r>
        <w:rPr>
          <w:rFonts w:ascii="Verdana" w:hAnsi="Verdana" w:cs="Calibri"/>
          <w:b/>
          <w:i/>
          <w:color w:val="000000"/>
          <w:sz w:val="20"/>
          <w:szCs w:val="20"/>
        </w:rPr>
        <w:t>HERNÁNDEZ</w:t>
      </w:r>
      <w:r w:rsidRPr="005E7788">
        <w:rPr>
          <w:rFonts w:ascii="Verdana" w:hAnsi="Verdana" w:cs="Calibri"/>
          <w:b/>
          <w:i/>
          <w:color w:val="000000"/>
          <w:sz w:val="20"/>
          <w:szCs w:val="20"/>
        </w:rPr>
        <w:t xml:space="preserve"> VS. ARGENTINA</w:t>
      </w:r>
    </w:p>
    <w:p w14:paraId="39070258" w14:textId="77777777" w:rsidR="004D4BE7" w:rsidRPr="00716618" w:rsidRDefault="004D4BE7" w:rsidP="004D4BE7">
      <w:pPr>
        <w:pStyle w:val="NormalWeb"/>
        <w:jc w:val="center"/>
        <w:rPr>
          <w:rFonts w:ascii="Verdana" w:hAnsi="Verdana" w:cs="Calibri"/>
          <w:b/>
          <w:color w:val="000000"/>
          <w:sz w:val="20"/>
          <w:szCs w:val="20"/>
        </w:rPr>
      </w:pPr>
    </w:p>
    <w:p w14:paraId="5CF1AB4E" w14:textId="77777777" w:rsidR="004D4BE7" w:rsidRPr="00716618" w:rsidRDefault="004D4BE7" w:rsidP="004D4BE7">
      <w:pPr>
        <w:pStyle w:val="NormalWeb"/>
        <w:jc w:val="center"/>
        <w:rPr>
          <w:rFonts w:ascii="Verdana" w:hAnsi="Verdana" w:cs="Calibri"/>
          <w:b/>
          <w:color w:val="000000"/>
          <w:sz w:val="20"/>
          <w:szCs w:val="20"/>
        </w:rPr>
      </w:pPr>
      <w:r w:rsidRPr="00716618">
        <w:rPr>
          <w:rFonts w:ascii="Verdana" w:hAnsi="Verdana" w:cs="Calibri"/>
          <w:b/>
          <w:color w:val="000000"/>
          <w:sz w:val="20"/>
          <w:szCs w:val="20"/>
        </w:rPr>
        <w:t>SUPERVISIÓN DE CUMPLIMIENTO DE SENTENCIA</w:t>
      </w:r>
    </w:p>
    <w:p w14:paraId="3E45B829" w14:textId="77777777" w:rsidR="004D4BE7" w:rsidRPr="00716618" w:rsidRDefault="004D4BE7" w:rsidP="004D4BE7">
      <w:pPr>
        <w:pStyle w:val="NormalWeb"/>
        <w:jc w:val="center"/>
        <w:rPr>
          <w:rFonts w:ascii="Verdana" w:hAnsi="Verdana" w:cs="Calibri"/>
          <w:color w:val="000000"/>
          <w:sz w:val="20"/>
          <w:szCs w:val="20"/>
        </w:rPr>
      </w:pPr>
    </w:p>
    <w:p w14:paraId="13B6DB28" w14:textId="77777777" w:rsidR="004D4BE7" w:rsidRPr="005E7788" w:rsidRDefault="004D4BE7" w:rsidP="00F04645">
      <w:pPr>
        <w:pStyle w:val="NormalWeb"/>
        <w:spacing w:before="120" w:after="120"/>
        <w:rPr>
          <w:rFonts w:ascii="Verdana" w:hAnsi="Verdana" w:cs="Calibri"/>
          <w:b/>
          <w:color w:val="000000"/>
          <w:sz w:val="20"/>
          <w:szCs w:val="20"/>
        </w:rPr>
      </w:pPr>
      <w:r w:rsidRPr="00716618">
        <w:rPr>
          <w:rFonts w:ascii="Verdana" w:hAnsi="Verdana" w:cs="Calibri"/>
          <w:b/>
          <w:color w:val="000000"/>
          <w:sz w:val="20"/>
          <w:szCs w:val="20"/>
        </w:rPr>
        <w:t xml:space="preserve">VISTO: </w:t>
      </w:r>
    </w:p>
    <w:p w14:paraId="69025456" w14:textId="14E14EF8" w:rsidR="009F1ED0" w:rsidRPr="00281DA7" w:rsidRDefault="004D4BE7" w:rsidP="00F04645">
      <w:pPr>
        <w:pStyle w:val="Prrafodelista"/>
        <w:numPr>
          <w:ilvl w:val="0"/>
          <w:numId w:val="1"/>
        </w:numPr>
        <w:spacing w:before="120" w:after="120"/>
        <w:ind w:left="0" w:firstLine="0"/>
        <w:jc w:val="both"/>
        <w:rPr>
          <w:b/>
          <w:bCs/>
        </w:rPr>
      </w:pPr>
      <w:r w:rsidRPr="004F6001">
        <w:rPr>
          <w:rFonts w:ascii="Verdana" w:hAnsi="Verdana"/>
          <w:sz w:val="20"/>
        </w:rPr>
        <w:t>La Sentencia de excepción preliminar, fondo, reparaciones y costas dictada por la Corte Interamericana de Derechos Humanos (en adelante “la Corte”, “la Corte Interamericana” o “el Tribunal”) el 2</w:t>
      </w:r>
      <w:r w:rsidR="00066A96">
        <w:rPr>
          <w:rFonts w:ascii="Verdana" w:hAnsi="Verdana"/>
          <w:sz w:val="20"/>
        </w:rPr>
        <w:t>2</w:t>
      </w:r>
      <w:r w:rsidRPr="004F6001">
        <w:rPr>
          <w:rFonts w:ascii="Verdana" w:hAnsi="Verdana"/>
          <w:sz w:val="20"/>
        </w:rPr>
        <w:t xml:space="preserve"> de </w:t>
      </w:r>
      <w:r w:rsidR="00DA4805">
        <w:rPr>
          <w:rFonts w:ascii="Verdana" w:hAnsi="Verdana"/>
          <w:sz w:val="20"/>
        </w:rPr>
        <w:t>n</w:t>
      </w:r>
      <w:r w:rsidR="00066A96">
        <w:rPr>
          <w:rFonts w:ascii="Verdana" w:hAnsi="Verdana"/>
          <w:sz w:val="20"/>
        </w:rPr>
        <w:t>oviembre</w:t>
      </w:r>
      <w:r w:rsidRPr="004F6001">
        <w:rPr>
          <w:rFonts w:ascii="Verdana" w:hAnsi="Verdana"/>
          <w:sz w:val="20"/>
        </w:rPr>
        <w:t xml:space="preserve"> de 2019</w:t>
      </w:r>
      <w:r>
        <w:rPr>
          <w:rStyle w:val="Refdenotaalpie"/>
          <w:rFonts w:ascii="Verdana" w:hAnsi="Verdana"/>
          <w:sz w:val="20"/>
        </w:rPr>
        <w:footnoteReference w:id="1"/>
      </w:r>
      <w:r w:rsidRPr="004F6001">
        <w:rPr>
          <w:rFonts w:ascii="Verdana" w:hAnsi="Verdana"/>
          <w:sz w:val="20"/>
        </w:rPr>
        <w:t>.</w:t>
      </w:r>
      <w:r w:rsidRPr="004F6001">
        <w:rPr>
          <w:rFonts w:ascii="Verdana" w:hAnsi="Verdana"/>
          <w:color w:val="000000"/>
          <w:sz w:val="18"/>
          <w:szCs w:val="20"/>
        </w:rPr>
        <w:t xml:space="preserve"> </w:t>
      </w:r>
      <w:r w:rsidRPr="00624685">
        <w:rPr>
          <w:rFonts w:ascii="Verdana" w:hAnsi="Verdana"/>
          <w:color w:val="000000"/>
          <w:sz w:val="20"/>
          <w:szCs w:val="20"/>
        </w:rPr>
        <w:t xml:space="preserve">La Corte declaró </w:t>
      </w:r>
      <w:r>
        <w:rPr>
          <w:rFonts w:ascii="Verdana" w:hAnsi="Verdana"/>
          <w:color w:val="000000"/>
          <w:sz w:val="20"/>
          <w:szCs w:val="20"/>
        </w:rPr>
        <w:t xml:space="preserve">responsable internacionalmente a la República Argentina (en adelante “el Estado” o “Argentina”) </w:t>
      </w:r>
      <w:r w:rsidR="00225F5B" w:rsidRPr="005F3A0F">
        <w:rPr>
          <w:rFonts w:ascii="Verdana" w:hAnsi="Verdana"/>
          <w:bCs/>
          <w:sz w:val="20"/>
        </w:rPr>
        <w:t>por</w:t>
      </w:r>
      <w:r w:rsidR="00225F5B" w:rsidRPr="00774626">
        <w:rPr>
          <w:bCs/>
        </w:rPr>
        <w:t xml:space="preserve"> </w:t>
      </w:r>
      <w:r w:rsidR="00225F5B" w:rsidRPr="00225F5B">
        <w:rPr>
          <w:rFonts w:ascii="Verdana" w:hAnsi="Verdana"/>
          <w:sz w:val="20"/>
        </w:rPr>
        <w:t xml:space="preserve">la violación a </w:t>
      </w:r>
      <w:r w:rsidR="00E46611">
        <w:rPr>
          <w:rFonts w:ascii="Verdana" w:hAnsi="Verdana"/>
          <w:sz w:val="20"/>
        </w:rPr>
        <w:t xml:space="preserve">los derechos a </w:t>
      </w:r>
      <w:r w:rsidR="00225F5B" w:rsidRPr="00225F5B">
        <w:rPr>
          <w:rFonts w:ascii="Verdana" w:hAnsi="Verdana"/>
          <w:sz w:val="20"/>
        </w:rPr>
        <w:t>la integridad personal</w:t>
      </w:r>
      <w:r w:rsidR="00774626">
        <w:rPr>
          <w:rFonts w:ascii="Verdana" w:hAnsi="Verdana"/>
          <w:sz w:val="20"/>
        </w:rPr>
        <w:t>,</w:t>
      </w:r>
      <w:r w:rsidR="00E46611">
        <w:rPr>
          <w:rFonts w:ascii="Verdana" w:hAnsi="Verdana"/>
          <w:sz w:val="20"/>
        </w:rPr>
        <w:t xml:space="preserve"> a la salud, a la libertad personal</w:t>
      </w:r>
      <w:r w:rsidR="00774626">
        <w:rPr>
          <w:rFonts w:ascii="Verdana" w:hAnsi="Verdana"/>
          <w:sz w:val="20"/>
        </w:rPr>
        <w:t>, a</w:t>
      </w:r>
      <w:r w:rsidR="00E46611">
        <w:rPr>
          <w:rFonts w:ascii="Verdana" w:hAnsi="Verdana"/>
          <w:sz w:val="20"/>
        </w:rPr>
        <w:t xml:space="preserve"> la presunción de inocencia y a la protección judicial, en perjuicio </w:t>
      </w:r>
      <w:r w:rsidR="00225F5B" w:rsidRPr="00225F5B">
        <w:rPr>
          <w:rFonts w:ascii="Verdana" w:hAnsi="Verdana"/>
          <w:sz w:val="20"/>
        </w:rPr>
        <w:t>de</w:t>
      </w:r>
      <w:r w:rsidR="00E46611">
        <w:rPr>
          <w:rFonts w:ascii="Verdana" w:hAnsi="Verdana"/>
          <w:sz w:val="20"/>
        </w:rPr>
        <w:t>l señor</w:t>
      </w:r>
      <w:r w:rsidR="00225F5B" w:rsidRPr="00225F5B">
        <w:rPr>
          <w:rFonts w:ascii="Verdana" w:hAnsi="Verdana"/>
          <w:sz w:val="20"/>
        </w:rPr>
        <w:t xml:space="preserve"> José Luis Hernández</w:t>
      </w:r>
      <w:r w:rsidR="00E46611">
        <w:rPr>
          <w:rFonts w:ascii="Verdana" w:hAnsi="Verdana"/>
          <w:sz w:val="20"/>
        </w:rPr>
        <w:t xml:space="preserve">, así como por la violación al derecho a la integridad personal de </w:t>
      </w:r>
      <w:r w:rsidR="00625930">
        <w:rPr>
          <w:rFonts w:ascii="Verdana" w:hAnsi="Verdana"/>
          <w:sz w:val="20"/>
        </w:rPr>
        <w:t>su</w:t>
      </w:r>
      <w:r w:rsidR="00E46611">
        <w:rPr>
          <w:rFonts w:ascii="Verdana" w:hAnsi="Verdana"/>
          <w:sz w:val="20"/>
        </w:rPr>
        <w:t xml:space="preserve"> madre, la señora Raquel San Marín de Hernández. En particular, la Corte encontró que la integridad personal y la salud del señor </w:t>
      </w:r>
      <w:r w:rsidR="00774626">
        <w:rPr>
          <w:rFonts w:ascii="Verdana" w:hAnsi="Verdana"/>
          <w:sz w:val="20"/>
        </w:rPr>
        <w:t>Hernández</w:t>
      </w:r>
      <w:r w:rsidR="00E46611">
        <w:rPr>
          <w:rFonts w:ascii="Verdana" w:hAnsi="Verdana"/>
          <w:sz w:val="20"/>
        </w:rPr>
        <w:t xml:space="preserve">, quien contrajo la enfermedad de Meningitis T.C.B mientras se encontraba </w:t>
      </w:r>
      <w:r w:rsidR="00721317">
        <w:rPr>
          <w:rFonts w:ascii="Verdana" w:hAnsi="Verdana"/>
          <w:sz w:val="20"/>
        </w:rPr>
        <w:t xml:space="preserve">detenido en </w:t>
      </w:r>
      <w:r w:rsidR="00625930">
        <w:rPr>
          <w:rFonts w:ascii="Verdana" w:hAnsi="Verdana"/>
          <w:sz w:val="20"/>
        </w:rPr>
        <w:t xml:space="preserve">una comisaría en la ciudad de Buenos Aires en </w:t>
      </w:r>
      <w:r w:rsidR="00721317">
        <w:rPr>
          <w:rFonts w:ascii="Verdana" w:hAnsi="Verdana"/>
          <w:sz w:val="20"/>
        </w:rPr>
        <w:t xml:space="preserve">el año 1989, se vieron afectadas como consecuencia de las condiciones </w:t>
      </w:r>
      <w:r w:rsidR="00625930">
        <w:rPr>
          <w:rFonts w:ascii="Verdana" w:hAnsi="Verdana"/>
          <w:sz w:val="20"/>
        </w:rPr>
        <w:t>de su detención</w:t>
      </w:r>
      <w:r w:rsidR="00721317" w:rsidRPr="00774626">
        <w:rPr>
          <w:rFonts w:ascii="Verdana" w:hAnsi="Verdana"/>
          <w:sz w:val="20"/>
          <w:szCs w:val="20"/>
        </w:rPr>
        <w:t>, así como por la falta de atención médica oportuna</w:t>
      </w:r>
      <w:r w:rsidR="00774626" w:rsidRPr="00774626">
        <w:rPr>
          <w:rFonts w:ascii="Verdana" w:hAnsi="Verdana"/>
          <w:sz w:val="20"/>
          <w:szCs w:val="20"/>
        </w:rPr>
        <w:t xml:space="preserve"> y </w:t>
      </w:r>
      <w:r w:rsidR="00721317" w:rsidRPr="00774626">
        <w:rPr>
          <w:rFonts w:ascii="Verdana" w:hAnsi="Verdana"/>
          <w:sz w:val="20"/>
          <w:szCs w:val="20"/>
        </w:rPr>
        <w:t>adecuada. Como consecuencia de los hechos</w:t>
      </w:r>
      <w:r w:rsidR="00721317" w:rsidRPr="00DF3B59">
        <w:rPr>
          <w:rFonts w:ascii="Verdana" w:hAnsi="Verdana"/>
          <w:sz w:val="20"/>
          <w:szCs w:val="20"/>
        </w:rPr>
        <w:t>, el señor Hernández sufrió graves daños a su salud</w:t>
      </w:r>
      <w:r w:rsidR="00774626" w:rsidRPr="00DF3B59">
        <w:rPr>
          <w:rFonts w:ascii="Verdana" w:hAnsi="Verdana"/>
          <w:sz w:val="20"/>
          <w:szCs w:val="20"/>
        </w:rPr>
        <w:t xml:space="preserve"> consistentes en </w:t>
      </w:r>
      <w:r w:rsidR="00721317" w:rsidRPr="00DF3B59">
        <w:rPr>
          <w:rFonts w:ascii="Verdana" w:hAnsi="Verdana"/>
          <w:sz w:val="20"/>
          <w:szCs w:val="20"/>
        </w:rPr>
        <w:t xml:space="preserve">afectaciones </w:t>
      </w:r>
      <w:r w:rsidR="00225F5B" w:rsidRPr="00DF3B59">
        <w:rPr>
          <w:rFonts w:ascii="Verdana" w:hAnsi="Verdana"/>
          <w:sz w:val="20"/>
          <w:szCs w:val="20"/>
        </w:rPr>
        <w:t>neurológicas como la pérdida absoluta de visión en un ojo, incapacidad parcial y permanente de</w:t>
      </w:r>
      <w:r w:rsidR="009F1ED0" w:rsidRPr="00DF3B59">
        <w:rPr>
          <w:rFonts w:ascii="Verdana" w:hAnsi="Verdana"/>
          <w:sz w:val="20"/>
          <w:szCs w:val="20"/>
        </w:rPr>
        <w:t xml:space="preserve"> un brazo, y pérdida de memoria</w:t>
      </w:r>
      <w:r w:rsidR="00774626" w:rsidRPr="00774626">
        <w:rPr>
          <w:rStyle w:val="Refdenotaalpie"/>
          <w:rFonts w:ascii="Verdana" w:hAnsi="Verdana"/>
          <w:sz w:val="20"/>
          <w:szCs w:val="20"/>
        </w:rPr>
        <w:footnoteReference w:id="2"/>
      </w:r>
      <w:r w:rsidR="009F1ED0" w:rsidRPr="00774626">
        <w:rPr>
          <w:rFonts w:ascii="Verdana" w:hAnsi="Verdana"/>
          <w:sz w:val="20"/>
          <w:szCs w:val="20"/>
        </w:rPr>
        <w:t xml:space="preserve">. </w:t>
      </w:r>
      <w:r w:rsidR="00774626" w:rsidRPr="00774626">
        <w:rPr>
          <w:rFonts w:ascii="Verdana" w:hAnsi="Verdana"/>
          <w:sz w:val="20"/>
          <w:szCs w:val="20"/>
        </w:rPr>
        <w:t>Adicionalmente</w:t>
      </w:r>
      <w:r w:rsidR="009F1ED0" w:rsidRPr="00774626">
        <w:rPr>
          <w:rFonts w:ascii="Verdana" w:hAnsi="Verdana"/>
          <w:sz w:val="20"/>
          <w:szCs w:val="20"/>
        </w:rPr>
        <w:t xml:space="preserve">, </w:t>
      </w:r>
      <w:r w:rsidR="00E05F9A">
        <w:rPr>
          <w:rFonts w:ascii="Verdana" w:hAnsi="Verdana"/>
          <w:sz w:val="20"/>
          <w:szCs w:val="20"/>
        </w:rPr>
        <w:t>este Tribunal</w:t>
      </w:r>
      <w:r w:rsidR="009F1ED0" w:rsidRPr="00774626">
        <w:rPr>
          <w:rFonts w:ascii="Verdana" w:hAnsi="Verdana"/>
          <w:sz w:val="20"/>
          <w:szCs w:val="20"/>
        </w:rPr>
        <w:t xml:space="preserve"> constató</w:t>
      </w:r>
      <w:r w:rsidR="00774626" w:rsidRPr="00774626">
        <w:rPr>
          <w:rFonts w:ascii="Verdana" w:hAnsi="Verdana"/>
          <w:sz w:val="20"/>
          <w:szCs w:val="20"/>
        </w:rPr>
        <w:t xml:space="preserve"> que la aplicación de la prisión preventiva al señor Hernández no persiguió un fin legítimo y constituyó un juicio anticipado en violación a sus derechos a la libertad personal y </w:t>
      </w:r>
      <w:r w:rsidR="00E05F9A">
        <w:rPr>
          <w:rFonts w:ascii="Verdana" w:hAnsi="Verdana"/>
          <w:sz w:val="20"/>
          <w:szCs w:val="20"/>
        </w:rPr>
        <w:t xml:space="preserve">a </w:t>
      </w:r>
      <w:r w:rsidR="00774626" w:rsidRPr="00774626">
        <w:rPr>
          <w:rFonts w:ascii="Verdana" w:hAnsi="Verdana"/>
          <w:sz w:val="20"/>
          <w:szCs w:val="20"/>
        </w:rPr>
        <w:t xml:space="preserve">la presunción de inocencia. Finalmente, concluyó que la falta de cumplimiento de las órdenes </w:t>
      </w:r>
      <w:r w:rsidR="000F067F">
        <w:rPr>
          <w:rFonts w:ascii="Verdana" w:hAnsi="Verdana"/>
          <w:sz w:val="20"/>
          <w:szCs w:val="20"/>
        </w:rPr>
        <w:t xml:space="preserve">judiciales </w:t>
      </w:r>
      <w:r w:rsidR="00774626" w:rsidRPr="00774626">
        <w:rPr>
          <w:rFonts w:ascii="Verdana" w:hAnsi="Verdana"/>
          <w:sz w:val="20"/>
          <w:szCs w:val="20"/>
        </w:rPr>
        <w:t xml:space="preserve">dirigidas a garantizar el derecho a la salud del señor Hernández constituyó una violación al derecho a la protección judicial. </w:t>
      </w:r>
      <w:r w:rsidR="009F1ED0" w:rsidRPr="00774626">
        <w:rPr>
          <w:rFonts w:ascii="Verdana" w:hAnsi="Verdana"/>
          <w:sz w:val="20"/>
          <w:szCs w:val="20"/>
        </w:rPr>
        <w:t>La Corte estableció que su Sentencia constituye por sí misma una forma de reparación y ordenó al Estado determinadas medidas de reparación adicionales (</w:t>
      </w:r>
      <w:r w:rsidR="009F1ED0" w:rsidRPr="00774626">
        <w:rPr>
          <w:rFonts w:ascii="Verdana" w:hAnsi="Verdana"/>
          <w:i/>
          <w:sz w:val="20"/>
          <w:szCs w:val="20"/>
        </w:rPr>
        <w:t>infra</w:t>
      </w:r>
      <w:r w:rsidR="001956A4" w:rsidRPr="00774626">
        <w:rPr>
          <w:rFonts w:ascii="Verdana" w:hAnsi="Verdana"/>
          <w:sz w:val="20"/>
          <w:szCs w:val="20"/>
        </w:rPr>
        <w:t xml:space="preserve"> Considerando 1</w:t>
      </w:r>
      <w:r w:rsidR="009F1ED0" w:rsidRPr="00774626">
        <w:rPr>
          <w:rFonts w:ascii="Verdana" w:hAnsi="Verdana"/>
          <w:sz w:val="20"/>
          <w:szCs w:val="20"/>
        </w:rPr>
        <w:t>).</w:t>
      </w:r>
      <w:r w:rsidR="009F1ED0" w:rsidRPr="00225F5B">
        <w:rPr>
          <w:rFonts w:ascii="Verdana" w:hAnsi="Verdana"/>
          <w:sz w:val="20"/>
        </w:rPr>
        <w:t xml:space="preserve"> </w:t>
      </w:r>
    </w:p>
    <w:p w14:paraId="229F3405" w14:textId="77777777" w:rsidR="00281DA7" w:rsidRPr="009F1ED0" w:rsidRDefault="00281DA7" w:rsidP="00281DA7">
      <w:pPr>
        <w:pStyle w:val="Prrafodelista"/>
        <w:spacing w:before="120" w:after="120"/>
        <w:ind w:left="0"/>
        <w:jc w:val="both"/>
        <w:rPr>
          <w:b/>
          <w:bCs/>
        </w:rPr>
      </w:pPr>
    </w:p>
    <w:p w14:paraId="04CA3E40" w14:textId="1AF29FA6" w:rsidR="00DB1900" w:rsidRPr="00DB1900" w:rsidRDefault="00DB1900" w:rsidP="00F04645">
      <w:pPr>
        <w:pStyle w:val="Prrafodelista"/>
        <w:numPr>
          <w:ilvl w:val="0"/>
          <w:numId w:val="1"/>
        </w:numPr>
        <w:spacing w:before="120" w:after="120"/>
        <w:ind w:left="0" w:firstLine="0"/>
        <w:jc w:val="both"/>
        <w:rPr>
          <w:rFonts w:ascii="Verdana" w:hAnsi="Verdana"/>
          <w:bCs/>
          <w:sz w:val="20"/>
        </w:rPr>
      </w:pPr>
      <w:r w:rsidRPr="00DF3B59">
        <w:rPr>
          <w:rFonts w:ascii="Verdana" w:hAnsi="Verdana"/>
          <w:bCs/>
          <w:sz w:val="20"/>
        </w:rPr>
        <w:lastRenderedPageBreak/>
        <w:t xml:space="preserve">La nota de la Secretaría de la Corte de </w:t>
      </w:r>
      <w:r>
        <w:rPr>
          <w:rFonts w:ascii="Verdana" w:hAnsi="Verdana"/>
          <w:bCs/>
          <w:sz w:val="20"/>
        </w:rPr>
        <w:t>3 de julio de 2020, mediante la cual, siguiendo instrucciones de la Presidenta del Tribunal y</w:t>
      </w:r>
      <w:r w:rsidR="00E05F9A">
        <w:rPr>
          <w:rFonts w:ascii="Verdana" w:hAnsi="Verdana"/>
          <w:bCs/>
          <w:sz w:val="20"/>
        </w:rPr>
        <w:t>,</w:t>
      </w:r>
      <w:r>
        <w:rPr>
          <w:rFonts w:ascii="Verdana" w:hAnsi="Verdana"/>
          <w:bCs/>
          <w:sz w:val="20"/>
        </w:rPr>
        <w:t xml:space="preserve"> de conformidad con el artículo 76 del Reglamento de la Corte, se hizo la rectificación de un error material en el punto resolutivo noveno de la Sentencia</w:t>
      </w:r>
      <w:r w:rsidR="00447674">
        <w:rPr>
          <w:rStyle w:val="Refdenotaalpie"/>
          <w:rFonts w:ascii="Verdana" w:hAnsi="Verdana"/>
          <w:bCs/>
          <w:sz w:val="20"/>
        </w:rPr>
        <w:footnoteReference w:id="3"/>
      </w:r>
      <w:r>
        <w:rPr>
          <w:rFonts w:ascii="Verdana" w:hAnsi="Verdana"/>
          <w:bCs/>
          <w:sz w:val="20"/>
        </w:rPr>
        <w:t xml:space="preserve">. </w:t>
      </w:r>
    </w:p>
    <w:p w14:paraId="196A5A09" w14:textId="4241F3C9" w:rsidR="004D4BE7" w:rsidRPr="004F6001" w:rsidRDefault="004D4BE7" w:rsidP="00F04645">
      <w:pPr>
        <w:pStyle w:val="Prrafodelista"/>
        <w:numPr>
          <w:ilvl w:val="0"/>
          <w:numId w:val="1"/>
        </w:numPr>
        <w:spacing w:before="120" w:after="120"/>
        <w:ind w:left="0" w:firstLine="0"/>
        <w:jc w:val="both"/>
        <w:rPr>
          <w:rFonts w:ascii="Verdana" w:hAnsi="Verdana"/>
          <w:b/>
          <w:bCs/>
          <w:sz w:val="20"/>
        </w:rPr>
      </w:pPr>
      <w:r w:rsidRPr="004F6001">
        <w:rPr>
          <w:rFonts w:ascii="Verdana" w:hAnsi="Verdana"/>
          <w:sz w:val="20"/>
        </w:rPr>
        <w:t xml:space="preserve">Los informes presentados por el Estado entre </w:t>
      </w:r>
      <w:r w:rsidR="00FE1006">
        <w:rPr>
          <w:rFonts w:ascii="Verdana" w:hAnsi="Verdana"/>
          <w:sz w:val="20"/>
        </w:rPr>
        <w:t>junio</w:t>
      </w:r>
      <w:r w:rsidRPr="004F6001">
        <w:rPr>
          <w:rFonts w:ascii="Verdana" w:hAnsi="Verdana"/>
          <w:sz w:val="20"/>
        </w:rPr>
        <w:t xml:space="preserve"> </w:t>
      </w:r>
      <w:r>
        <w:rPr>
          <w:rFonts w:ascii="Verdana" w:hAnsi="Verdana"/>
          <w:sz w:val="20"/>
        </w:rPr>
        <w:t xml:space="preserve">de 2020 </w:t>
      </w:r>
      <w:r w:rsidRPr="004F6001">
        <w:rPr>
          <w:rFonts w:ascii="Verdana" w:hAnsi="Verdana"/>
          <w:sz w:val="20"/>
        </w:rPr>
        <w:t xml:space="preserve">y </w:t>
      </w:r>
      <w:r>
        <w:rPr>
          <w:rFonts w:ascii="Verdana" w:hAnsi="Verdana"/>
          <w:sz w:val="20"/>
        </w:rPr>
        <w:t>febrero de 2021</w:t>
      </w:r>
      <w:r w:rsidRPr="004F6001">
        <w:rPr>
          <w:rFonts w:ascii="Verdana" w:hAnsi="Verdana"/>
          <w:sz w:val="20"/>
        </w:rPr>
        <w:t xml:space="preserve">. </w:t>
      </w:r>
    </w:p>
    <w:p w14:paraId="200CC93D" w14:textId="2772311B" w:rsidR="004D4BE7" w:rsidRPr="0072379C" w:rsidRDefault="004D4BE7" w:rsidP="00F04645">
      <w:pPr>
        <w:pStyle w:val="Prrafodelista"/>
        <w:numPr>
          <w:ilvl w:val="0"/>
          <w:numId w:val="1"/>
        </w:numPr>
        <w:spacing w:before="120" w:after="120"/>
        <w:ind w:left="0" w:firstLine="0"/>
        <w:jc w:val="both"/>
        <w:rPr>
          <w:rFonts w:ascii="Verdana" w:hAnsi="Verdana"/>
          <w:b/>
          <w:bCs/>
          <w:sz w:val="20"/>
        </w:rPr>
      </w:pPr>
      <w:r w:rsidRPr="004F6001">
        <w:rPr>
          <w:rFonts w:ascii="Verdana" w:hAnsi="Verdana"/>
          <w:sz w:val="20"/>
        </w:rPr>
        <w:t xml:space="preserve">Los escritos de </w:t>
      </w:r>
      <w:r>
        <w:rPr>
          <w:rFonts w:ascii="Verdana" w:hAnsi="Verdana"/>
          <w:sz w:val="20"/>
        </w:rPr>
        <w:t>observaciones presentados por lo</w:t>
      </w:r>
      <w:r w:rsidRPr="004F6001">
        <w:rPr>
          <w:rFonts w:ascii="Verdana" w:hAnsi="Verdana"/>
          <w:sz w:val="20"/>
        </w:rPr>
        <w:t>s representantes de las víctimas (en ade</w:t>
      </w:r>
      <w:r>
        <w:rPr>
          <w:rFonts w:ascii="Verdana" w:hAnsi="Verdana"/>
          <w:sz w:val="20"/>
        </w:rPr>
        <w:t>lante “lo</w:t>
      </w:r>
      <w:r w:rsidRPr="004F6001">
        <w:rPr>
          <w:rFonts w:ascii="Verdana" w:hAnsi="Verdana"/>
          <w:sz w:val="20"/>
        </w:rPr>
        <w:t>s representantes”)</w:t>
      </w:r>
      <w:r>
        <w:rPr>
          <w:rStyle w:val="Refdenotaalpie"/>
          <w:rFonts w:ascii="Verdana" w:hAnsi="Verdana"/>
          <w:sz w:val="20"/>
        </w:rPr>
        <w:footnoteReference w:id="4"/>
      </w:r>
      <w:r>
        <w:rPr>
          <w:rFonts w:ascii="Verdana" w:hAnsi="Verdana"/>
          <w:sz w:val="20"/>
        </w:rPr>
        <w:t xml:space="preserve"> </w:t>
      </w:r>
      <w:r w:rsidR="00DB1900">
        <w:rPr>
          <w:rFonts w:ascii="Verdana" w:hAnsi="Verdana"/>
          <w:sz w:val="20"/>
        </w:rPr>
        <w:t>el 17 de</w:t>
      </w:r>
      <w:r w:rsidR="00DB1900" w:rsidRPr="004F6001">
        <w:rPr>
          <w:rFonts w:ascii="Verdana" w:hAnsi="Verdana"/>
          <w:sz w:val="20"/>
        </w:rPr>
        <w:t xml:space="preserve"> </w:t>
      </w:r>
      <w:r w:rsidR="00DE3516">
        <w:rPr>
          <w:rFonts w:ascii="Verdana" w:hAnsi="Verdana"/>
          <w:sz w:val="20"/>
        </w:rPr>
        <w:t xml:space="preserve">julio </w:t>
      </w:r>
      <w:r>
        <w:rPr>
          <w:rFonts w:ascii="Verdana" w:hAnsi="Verdana"/>
          <w:sz w:val="20"/>
        </w:rPr>
        <w:t xml:space="preserve">de 2020 </w:t>
      </w:r>
      <w:r w:rsidR="00DE3516">
        <w:rPr>
          <w:rFonts w:ascii="Verdana" w:hAnsi="Verdana"/>
          <w:sz w:val="20"/>
        </w:rPr>
        <w:t xml:space="preserve">y </w:t>
      </w:r>
      <w:r w:rsidR="00DB1900">
        <w:rPr>
          <w:rFonts w:ascii="Verdana" w:hAnsi="Verdana"/>
          <w:sz w:val="20"/>
        </w:rPr>
        <w:t xml:space="preserve">el 14 de </w:t>
      </w:r>
      <w:r w:rsidR="00DE3516">
        <w:rPr>
          <w:rFonts w:ascii="Verdana" w:hAnsi="Verdana"/>
          <w:sz w:val="20"/>
        </w:rPr>
        <w:t>abril</w:t>
      </w:r>
      <w:r w:rsidRPr="00725C04">
        <w:rPr>
          <w:rFonts w:ascii="Verdana" w:hAnsi="Verdana"/>
          <w:sz w:val="20"/>
        </w:rPr>
        <w:t xml:space="preserve"> de 2021.</w:t>
      </w:r>
    </w:p>
    <w:p w14:paraId="2590E4F4" w14:textId="36840414" w:rsidR="004D4BE7" w:rsidRDefault="004D4BE7" w:rsidP="00AE004E">
      <w:pPr>
        <w:pStyle w:val="Prrafodelista"/>
        <w:numPr>
          <w:ilvl w:val="0"/>
          <w:numId w:val="1"/>
        </w:numPr>
        <w:spacing w:before="120" w:after="120"/>
        <w:ind w:left="0" w:firstLine="0"/>
        <w:jc w:val="both"/>
        <w:rPr>
          <w:rFonts w:ascii="Verdana" w:hAnsi="Verdana"/>
          <w:bCs/>
          <w:sz w:val="20"/>
        </w:rPr>
      </w:pPr>
      <w:r w:rsidRPr="0072379C">
        <w:rPr>
          <w:rFonts w:ascii="Verdana" w:hAnsi="Verdana"/>
          <w:bCs/>
          <w:sz w:val="20"/>
        </w:rPr>
        <w:t xml:space="preserve">El escrito de observaciones presentado por la Comisión Interamericana de Derechos Humanos </w:t>
      </w:r>
      <w:r w:rsidR="00974AA5">
        <w:rPr>
          <w:rFonts w:ascii="Verdana" w:hAnsi="Verdana"/>
          <w:bCs/>
          <w:sz w:val="20"/>
        </w:rPr>
        <w:t xml:space="preserve">(en adelante “la Comisión”) </w:t>
      </w:r>
      <w:r w:rsidRPr="0072379C">
        <w:rPr>
          <w:rFonts w:ascii="Verdana" w:hAnsi="Verdana"/>
          <w:bCs/>
          <w:sz w:val="20"/>
        </w:rPr>
        <w:t>el 22 de diciembre de 2020.</w:t>
      </w:r>
      <w:r>
        <w:rPr>
          <w:rFonts w:ascii="Verdana" w:hAnsi="Verdana"/>
          <w:bCs/>
          <w:sz w:val="20"/>
        </w:rPr>
        <w:t xml:space="preserve"> </w:t>
      </w:r>
    </w:p>
    <w:p w14:paraId="42AC3C88" w14:textId="77777777" w:rsidR="004D4BE7" w:rsidRPr="00E05F9A" w:rsidRDefault="004D4BE7" w:rsidP="00AE004E">
      <w:pPr>
        <w:pStyle w:val="Prrafodelista"/>
        <w:spacing w:before="120" w:after="120"/>
        <w:rPr>
          <w:rFonts w:ascii="Verdana" w:hAnsi="Verdana"/>
          <w:sz w:val="16"/>
        </w:rPr>
      </w:pPr>
    </w:p>
    <w:p w14:paraId="649B09B7" w14:textId="77777777" w:rsidR="004D4BE7" w:rsidRPr="00596ECD" w:rsidRDefault="004D4BE7" w:rsidP="00AE004E">
      <w:pPr>
        <w:pStyle w:val="Prrafodelista"/>
        <w:spacing w:before="120" w:after="120"/>
        <w:ind w:left="0"/>
        <w:jc w:val="both"/>
        <w:rPr>
          <w:rFonts w:ascii="Verdana" w:hAnsi="Verdana"/>
          <w:b/>
          <w:sz w:val="20"/>
        </w:rPr>
      </w:pPr>
      <w:r w:rsidRPr="00596ECD">
        <w:rPr>
          <w:rFonts w:ascii="Verdana" w:hAnsi="Verdana"/>
          <w:b/>
          <w:sz w:val="20"/>
        </w:rPr>
        <w:t xml:space="preserve">CONSIDERANDO QUE: </w:t>
      </w:r>
    </w:p>
    <w:p w14:paraId="2AD0A94B" w14:textId="70FBD84D" w:rsidR="004D4BE7" w:rsidRPr="00993169" w:rsidRDefault="004D4BE7" w:rsidP="00AE004E">
      <w:pPr>
        <w:pStyle w:val="Prrafodelista"/>
        <w:numPr>
          <w:ilvl w:val="0"/>
          <w:numId w:val="3"/>
        </w:numPr>
        <w:spacing w:before="120" w:after="120"/>
        <w:ind w:left="0" w:firstLine="0"/>
        <w:jc w:val="both"/>
        <w:rPr>
          <w:rFonts w:ascii="Verdana" w:hAnsi="Verdana"/>
          <w:b/>
          <w:sz w:val="14"/>
          <w:szCs w:val="20"/>
        </w:rPr>
      </w:pPr>
      <w:r w:rsidRPr="00596ECD">
        <w:rPr>
          <w:rFonts w:ascii="Verdana" w:hAnsi="Verdana"/>
          <w:sz w:val="20"/>
        </w:rPr>
        <w:t>En el ejercicio de su función jurisdiccional de supervisar el cumplimiento de sus decisiones</w:t>
      </w:r>
      <w:r>
        <w:rPr>
          <w:rStyle w:val="Refdenotaalpie"/>
          <w:rFonts w:ascii="Verdana" w:hAnsi="Verdana"/>
          <w:sz w:val="20"/>
        </w:rPr>
        <w:footnoteReference w:id="5"/>
      </w:r>
      <w:r w:rsidRPr="00596ECD">
        <w:rPr>
          <w:rFonts w:ascii="Verdana" w:hAnsi="Verdana"/>
          <w:sz w:val="20"/>
        </w:rPr>
        <w:t>, la Corte ha venido supervisando la ejecución de la Sentencia emitida en el presente caso en el 201</w:t>
      </w:r>
      <w:r>
        <w:rPr>
          <w:rFonts w:ascii="Verdana" w:hAnsi="Verdana"/>
          <w:sz w:val="20"/>
        </w:rPr>
        <w:t>9</w:t>
      </w:r>
      <w:r w:rsidRPr="00596ECD">
        <w:rPr>
          <w:rFonts w:ascii="Verdana" w:hAnsi="Verdana"/>
          <w:sz w:val="20"/>
        </w:rPr>
        <w:t xml:space="preserve"> (</w:t>
      </w:r>
      <w:r w:rsidRPr="00813791">
        <w:rPr>
          <w:rFonts w:ascii="Verdana" w:hAnsi="Verdana"/>
          <w:i/>
          <w:sz w:val="20"/>
        </w:rPr>
        <w:t>supra</w:t>
      </w:r>
      <w:r w:rsidRPr="00596ECD">
        <w:rPr>
          <w:rFonts w:ascii="Verdana" w:hAnsi="Verdana"/>
          <w:sz w:val="20"/>
        </w:rPr>
        <w:t xml:space="preserve"> Visto 1). En la Sentencia, el Tribunal dispuso</w:t>
      </w:r>
      <w:r>
        <w:rPr>
          <w:rFonts w:ascii="Verdana" w:hAnsi="Verdana"/>
          <w:sz w:val="20"/>
        </w:rPr>
        <w:t xml:space="preserve"> </w:t>
      </w:r>
      <w:r w:rsidR="00177AF0">
        <w:rPr>
          <w:rFonts w:ascii="Verdana" w:hAnsi="Verdana"/>
          <w:sz w:val="20"/>
        </w:rPr>
        <w:t>c</w:t>
      </w:r>
      <w:r w:rsidR="00653425">
        <w:rPr>
          <w:rFonts w:ascii="Verdana" w:hAnsi="Verdana"/>
          <w:sz w:val="20"/>
        </w:rPr>
        <w:t>inco</w:t>
      </w:r>
      <w:r w:rsidR="00177AF0" w:rsidRPr="00596ECD">
        <w:rPr>
          <w:rFonts w:ascii="Verdana" w:hAnsi="Verdana"/>
          <w:sz w:val="20"/>
        </w:rPr>
        <w:t xml:space="preserve"> </w:t>
      </w:r>
      <w:r w:rsidRPr="00596ECD">
        <w:rPr>
          <w:rFonts w:ascii="Verdana" w:hAnsi="Verdana"/>
          <w:sz w:val="20"/>
        </w:rPr>
        <w:t>medidas de reparación</w:t>
      </w:r>
      <w:r w:rsidR="00774626">
        <w:rPr>
          <w:rFonts w:ascii="Verdana" w:hAnsi="Verdana"/>
          <w:sz w:val="20"/>
        </w:rPr>
        <w:t xml:space="preserve"> (</w:t>
      </w:r>
      <w:r w:rsidR="00774626" w:rsidRPr="00DF3B59">
        <w:rPr>
          <w:rFonts w:ascii="Verdana" w:hAnsi="Verdana"/>
          <w:i/>
          <w:sz w:val="20"/>
        </w:rPr>
        <w:t xml:space="preserve">infra </w:t>
      </w:r>
      <w:r w:rsidR="00774626">
        <w:rPr>
          <w:rFonts w:ascii="Verdana" w:hAnsi="Verdana"/>
          <w:sz w:val="20"/>
        </w:rPr>
        <w:t xml:space="preserve">Considerando </w:t>
      </w:r>
      <w:r w:rsidR="00080CA5">
        <w:rPr>
          <w:rFonts w:ascii="Verdana" w:hAnsi="Verdana"/>
          <w:sz w:val="20"/>
        </w:rPr>
        <w:t xml:space="preserve">4 </w:t>
      </w:r>
      <w:r w:rsidR="00774626">
        <w:rPr>
          <w:rFonts w:ascii="Verdana" w:hAnsi="Verdana"/>
          <w:sz w:val="20"/>
        </w:rPr>
        <w:t xml:space="preserve">y punto resolutivo </w:t>
      </w:r>
      <w:r w:rsidR="009C3B92">
        <w:rPr>
          <w:rFonts w:ascii="Verdana" w:hAnsi="Verdana"/>
          <w:sz w:val="20"/>
        </w:rPr>
        <w:t>2</w:t>
      </w:r>
      <w:r w:rsidR="00774626">
        <w:rPr>
          <w:rFonts w:ascii="Verdana" w:hAnsi="Verdana"/>
          <w:sz w:val="20"/>
        </w:rPr>
        <w:t>)</w:t>
      </w:r>
      <w:r w:rsidRPr="00596ECD">
        <w:rPr>
          <w:rFonts w:ascii="Verdana" w:hAnsi="Verdana"/>
          <w:sz w:val="20"/>
        </w:rPr>
        <w:t>.</w:t>
      </w:r>
    </w:p>
    <w:p w14:paraId="21FB66BC" w14:textId="77777777" w:rsidR="001956A4" w:rsidRDefault="004D4BE7" w:rsidP="00AE004E">
      <w:pPr>
        <w:pStyle w:val="Prrafodelista"/>
        <w:numPr>
          <w:ilvl w:val="0"/>
          <w:numId w:val="3"/>
        </w:numPr>
        <w:spacing w:before="120" w:after="120"/>
        <w:ind w:left="0" w:firstLine="0"/>
        <w:jc w:val="both"/>
        <w:rPr>
          <w:rFonts w:ascii="Verdana" w:hAnsi="Verdana"/>
          <w:b/>
          <w:sz w:val="12"/>
          <w:szCs w:val="20"/>
        </w:rPr>
      </w:pPr>
      <w:r w:rsidRPr="00BF41E1">
        <w:rPr>
          <w:rFonts w:ascii="Verdana" w:hAnsi="Verdana"/>
          <w:sz w:val="20"/>
        </w:rPr>
        <w:t xml:space="preserve">De conformidad con lo establecido en el artículo 68.1 de la Convención Americana sobre Derechos Humanos, “[l]os Estados Partes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cumplimiento </w:t>
      </w:r>
      <w:r>
        <w:rPr>
          <w:rFonts w:ascii="Verdana" w:hAnsi="Verdana"/>
          <w:sz w:val="20"/>
        </w:rPr>
        <w:t>de la Sentencia en su conjunto</w:t>
      </w:r>
      <w:r>
        <w:rPr>
          <w:rStyle w:val="Refdenotaalpie"/>
          <w:rFonts w:ascii="Verdana" w:hAnsi="Verdana"/>
          <w:sz w:val="20"/>
        </w:rPr>
        <w:footnoteReference w:id="6"/>
      </w:r>
      <w:r w:rsidRPr="00BF41E1">
        <w:rPr>
          <w:rFonts w:ascii="Verdana" w:hAnsi="Verdana"/>
          <w:sz w:val="20"/>
        </w:rPr>
        <w:t>. Los Estados Parte en la Convención deben garantizar el cumplimiento de las disposiciones convencionales y sus efectos propios (</w:t>
      </w:r>
      <w:proofErr w:type="spellStart"/>
      <w:r w:rsidRPr="00FB4489">
        <w:rPr>
          <w:rFonts w:ascii="Verdana" w:hAnsi="Verdana"/>
          <w:i/>
          <w:sz w:val="20"/>
        </w:rPr>
        <w:t>effet</w:t>
      </w:r>
      <w:proofErr w:type="spellEnd"/>
      <w:r w:rsidRPr="00FB4489">
        <w:rPr>
          <w:rFonts w:ascii="Verdana" w:hAnsi="Verdana"/>
          <w:i/>
          <w:sz w:val="20"/>
        </w:rPr>
        <w:t xml:space="preserve"> </w:t>
      </w:r>
      <w:proofErr w:type="spellStart"/>
      <w:r w:rsidRPr="00FB4489">
        <w:rPr>
          <w:rFonts w:ascii="Verdana" w:hAnsi="Verdana"/>
          <w:i/>
          <w:sz w:val="20"/>
        </w:rPr>
        <w:t>utile</w:t>
      </w:r>
      <w:proofErr w:type="spellEnd"/>
      <w:r w:rsidRPr="00BF41E1">
        <w:rPr>
          <w:rFonts w:ascii="Verdana" w:hAnsi="Verdana"/>
          <w:sz w:val="20"/>
        </w:rPr>
        <w:t>) en el plano de sus respectivos derechos internos. Estas obligaciones deben ser interpretadas y aplicadas de manera que la garantía protegida sea verdaderamente práctica y eficaz, teniendo presente la naturaleza especial de l</w:t>
      </w:r>
      <w:r>
        <w:rPr>
          <w:rFonts w:ascii="Verdana" w:hAnsi="Verdana"/>
          <w:sz w:val="20"/>
        </w:rPr>
        <w:t>os tratados de derechos humanos</w:t>
      </w:r>
      <w:r>
        <w:rPr>
          <w:rStyle w:val="Refdenotaalpie"/>
          <w:rFonts w:ascii="Verdana" w:hAnsi="Verdana"/>
          <w:sz w:val="20"/>
        </w:rPr>
        <w:footnoteReference w:id="7"/>
      </w:r>
      <w:r>
        <w:rPr>
          <w:rFonts w:ascii="Verdana" w:hAnsi="Verdana"/>
          <w:sz w:val="20"/>
        </w:rPr>
        <w:t>.</w:t>
      </w:r>
    </w:p>
    <w:p w14:paraId="44A0EE86" w14:textId="4DE9FC47" w:rsidR="001956A4" w:rsidRPr="00AE004E" w:rsidRDefault="00974AA5" w:rsidP="00AE004E">
      <w:pPr>
        <w:pStyle w:val="Prrafodelista"/>
        <w:numPr>
          <w:ilvl w:val="0"/>
          <w:numId w:val="3"/>
        </w:numPr>
        <w:spacing w:before="120" w:after="120"/>
        <w:ind w:left="0" w:firstLine="0"/>
        <w:jc w:val="both"/>
        <w:rPr>
          <w:rFonts w:ascii="Verdana" w:hAnsi="Verdana"/>
          <w:b/>
          <w:sz w:val="12"/>
          <w:szCs w:val="20"/>
        </w:rPr>
      </w:pPr>
      <w:r>
        <w:rPr>
          <w:rFonts w:ascii="Verdana" w:hAnsi="Verdana"/>
          <w:sz w:val="20"/>
          <w:szCs w:val="20"/>
        </w:rPr>
        <w:t>En la presente Resolución, l</w:t>
      </w:r>
      <w:r w:rsidR="004D4BE7" w:rsidRPr="001956A4">
        <w:rPr>
          <w:rFonts w:ascii="Verdana" w:hAnsi="Verdana"/>
          <w:sz w:val="20"/>
          <w:szCs w:val="20"/>
        </w:rPr>
        <w:t xml:space="preserve">a Corte se pronunciará sobre </w:t>
      </w:r>
      <w:r w:rsidR="001956A4">
        <w:rPr>
          <w:rFonts w:ascii="Verdana" w:hAnsi="Verdana"/>
          <w:sz w:val="20"/>
          <w:szCs w:val="20"/>
        </w:rPr>
        <w:t>la</w:t>
      </w:r>
      <w:r w:rsidR="004031A5">
        <w:rPr>
          <w:rFonts w:ascii="Verdana" w:hAnsi="Verdana"/>
          <w:sz w:val="20"/>
          <w:szCs w:val="20"/>
        </w:rPr>
        <w:t>s</w:t>
      </w:r>
      <w:r w:rsidR="001956A4">
        <w:rPr>
          <w:rFonts w:ascii="Verdana" w:hAnsi="Verdana"/>
          <w:sz w:val="20"/>
          <w:szCs w:val="20"/>
        </w:rPr>
        <w:t xml:space="preserve"> medida</w:t>
      </w:r>
      <w:r w:rsidR="004031A5">
        <w:rPr>
          <w:rFonts w:ascii="Verdana" w:hAnsi="Verdana"/>
          <w:sz w:val="20"/>
          <w:szCs w:val="20"/>
        </w:rPr>
        <w:t>s</w:t>
      </w:r>
      <w:r w:rsidR="001956A4">
        <w:rPr>
          <w:rFonts w:ascii="Verdana" w:hAnsi="Verdana"/>
          <w:sz w:val="20"/>
          <w:szCs w:val="20"/>
        </w:rPr>
        <w:t xml:space="preserve"> </w:t>
      </w:r>
      <w:r w:rsidR="007B3D61">
        <w:rPr>
          <w:rFonts w:ascii="Verdana" w:hAnsi="Verdana"/>
          <w:sz w:val="20"/>
          <w:szCs w:val="20"/>
        </w:rPr>
        <w:t xml:space="preserve">referentes a la </w:t>
      </w:r>
      <w:r w:rsidR="001956A4">
        <w:rPr>
          <w:rFonts w:ascii="Verdana" w:hAnsi="Verdana"/>
          <w:sz w:val="20"/>
          <w:szCs w:val="20"/>
        </w:rPr>
        <w:t>publicación y difusión de la Sentencia</w:t>
      </w:r>
      <w:r w:rsidR="009C3B92">
        <w:rPr>
          <w:rFonts w:ascii="Verdana" w:hAnsi="Verdana"/>
          <w:sz w:val="20"/>
          <w:szCs w:val="20"/>
        </w:rPr>
        <w:t xml:space="preserve"> y su resumen oficial</w:t>
      </w:r>
      <w:r w:rsidR="004D4BE7" w:rsidRPr="001956A4">
        <w:rPr>
          <w:rFonts w:ascii="Verdana" w:hAnsi="Verdana"/>
          <w:sz w:val="20"/>
          <w:szCs w:val="20"/>
        </w:rPr>
        <w:t>,</w:t>
      </w:r>
      <w:r w:rsidR="00EF2CD2" w:rsidRPr="001956A4">
        <w:rPr>
          <w:rFonts w:ascii="Verdana" w:hAnsi="Verdana"/>
          <w:sz w:val="20"/>
        </w:rPr>
        <w:t xml:space="preserve"> respecto de la</w:t>
      </w:r>
      <w:r w:rsidR="00F04645">
        <w:rPr>
          <w:rFonts w:ascii="Verdana" w:hAnsi="Verdana"/>
          <w:sz w:val="20"/>
        </w:rPr>
        <w:t>s</w:t>
      </w:r>
      <w:r w:rsidR="00EF2CD2" w:rsidRPr="001956A4">
        <w:rPr>
          <w:rFonts w:ascii="Verdana" w:hAnsi="Verdana"/>
          <w:sz w:val="20"/>
        </w:rPr>
        <w:t xml:space="preserve"> cual</w:t>
      </w:r>
      <w:r w:rsidR="00F04645">
        <w:rPr>
          <w:rFonts w:ascii="Verdana" w:hAnsi="Verdana"/>
          <w:sz w:val="20"/>
        </w:rPr>
        <w:t>es</w:t>
      </w:r>
      <w:r w:rsidR="004D4BE7" w:rsidRPr="001956A4">
        <w:rPr>
          <w:rFonts w:ascii="Verdana" w:hAnsi="Verdana"/>
          <w:sz w:val="20"/>
        </w:rPr>
        <w:t xml:space="preserve"> se ha aportado suficiente información que permite valorar su cumplimiento</w:t>
      </w:r>
      <w:r w:rsidR="00F04645">
        <w:rPr>
          <w:rFonts w:ascii="Verdana" w:hAnsi="Verdana"/>
          <w:sz w:val="20"/>
        </w:rPr>
        <w:t xml:space="preserve"> total (</w:t>
      </w:r>
      <w:r w:rsidR="00F04645" w:rsidRPr="00F04645">
        <w:rPr>
          <w:rFonts w:ascii="Verdana" w:hAnsi="Verdana"/>
          <w:i/>
          <w:sz w:val="20"/>
        </w:rPr>
        <w:t>infra</w:t>
      </w:r>
      <w:r w:rsidR="00F04645">
        <w:rPr>
          <w:rFonts w:ascii="Verdana" w:hAnsi="Verdana"/>
          <w:sz w:val="20"/>
        </w:rPr>
        <w:t xml:space="preserve"> Considerandos </w:t>
      </w:r>
      <w:r w:rsidR="009C3B92">
        <w:rPr>
          <w:rFonts w:ascii="Verdana" w:hAnsi="Verdana"/>
          <w:sz w:val="20"/>
        </w:rPr>
        <w:t>4 a 6</w:t>
      </w:r>
      <w:r w:rsidR="00F04645">
        <w:rPr>
          <w:rFonts w:ascii="Verdana" w:hAnsi="Verdana"/>
          <w:sz w:val="20"/>
        </w:rPr>
        <w:t>)</w:t>
      </w:r>
      <w:r w:rsidR="004D4BE7" w:rsidRPr="001956A4">
        <w:rPr>
          <w:rFonts w:ascii="Verdana" w:hAnsi="Verdana"/>
          <w:sz w:val="20"/>
        </w:rPr>
        <w:t>.</w:t>
      </w:r>
      <w:r w:rsidR="004D4BE7" w:rsidRPr="001956A4">
        <w:rPr>
          <w:rFonts w:ascii="Verdana" w:hAnsi="Verdana"/>
          <w:sz w:val="20"/>
          <w:szCs w:val="20"/>
        </w:rPr>
        <w:t xml:space="preserve"> </w:t>
      </w:r>
      <w:r>
        <w:rPr>
          <w:rFonts w:ascii="Verdana" w:hAnsi="Verdana"/>
          <w:sz w:val="20"/>
          <w:szCs w:val="20"/>
        </w:rPr>
        <w:t>En una posterior resolución, la Corte se pronunciará sobre las restantes medidas pendientes de cumplimiento (</w:t>
      </w:r>
      <w:r w:rsidRPr="000F067F">
        <w:rPr>
          <w:rFonts w:ascii="Verdana" w:hAnsi="Verdana"/>
          <w:i/>
          <w:sz w:val="20"/>
          <w:szCs w:val="20"/>
        </w:rPr>
        <w:t>infra</w:t>
      </w:r>
      <w:r>
        <w:rPr>
          <w:rFonts w:ascii="Verdana" w:hAnsi="Verdana"/>
          <w:sz w:val="20"/>
          <w:szCs w:val="20"/>
        </w:rPr>
        <w:t xml:space="preserve"> punto resolutivo </w:t>
      </w:r>
      <w:r w:rsidR="009C3B92">
        <w:rPr>
          <w:rFonts w:ascii="Verdana" w:hAnsi="Verdana"/>
          <w:sz w:val="20"/>
          <w:szCs w:val="20"/>
        </w:rPr>
        <w:t>2</w:t>
      </w:r>
      <w:r>
        <w:rPr>
          <w:rFonts w:ascii="Verdana" w:hAnsi="Verdana"/>
          <w:sz w:val="20"/>
          <w:szCs w:val="20"/>
        </w:rPr>
        <w:t xml:space="preserve">). </w:t>
      </w:r>
    </w:p>
    <w:p w14:paraId="52C5B770" w14:textId="77777777" w:rsidR="00AE004E" w:rsidRDefault="00AE004E" w:rsidP="00AE004E">
      <w:pPr>
        <w:pStyle w:val="Prrafodelista"/>
        <w:spacing w:before="120" w:after="120"/>
        <w:ind w:left="0"/>
        <w:jc w:val="both"/>
        <w:rPr>
          <w:rFonts w:ascii="Verdana" w:hAnsi="Verdana"/>
          <w:b/>
          <w:sz w:val="12"/>
          <w:szCs w:val="20"/>
        </w:rPr>
      </w:pPr>
    </w:p>
    <w:p w14:paraId="556C60E8" w14:textId="4869671D" w:rsidR="008E247C" w:rsidRDefault="001956A4" w:rsidP="000F067F">
      <w:pPr>
        <w:pStyle w:val="Prrafodelista"/>
        <w:numPr>
          <w:ilvl w:val="0"/>
          <w:numId w:val="7"/>
        </w:numPr>
        <w:spacing w:before="120" w:after="120"/>
        <w:jc w:val="both"/>
        <w:rPr>
          <w:rFonts w:ascii="Verdana" w:hAnsi="Verdana"/>
          <w:i/>
          <w:sz w:val="20"/>
        </w:rPr>
      </w:pPr>
      <w:r w:rsidRPr="001956A4">
        <w:rPr>
          <w:rFonts w:ascii="Verdana" w:hAnsi="Verdana"/>
          <w:i/>
          <w:sz w:val="20"/>
        </w:rPr>
        <w:t xml:space="preserve"> Medidas ordenadas por la Corte</w:t>
      </w:r>
    </w:p>
    <w:p w14:paraId="42B4F254" w14:textId="72BC6BBD" w:rsidR="001956A4" w:rsidRPr="00AE004E" w:rsidRDefault="001956A4" w:rsidP="00AE004E">
      <w:pPr>
        <w:pStyle w:val="Prrafodelista"/>
        <w:numPr>
          <w:ilvl w:val="0"/>
          <w:numId w:val="3"/>
        </w:numPr>
        <w:spacing w:before="120" w:after="120"/>
        <w:ind w:left="0" w:firstLine="0"/>
        <w:jc w:val="both"/>
        <w:rPr>
          <w:rFonts w:ascii="Verdana" w:hAnsi="Verdana"/>
          <w:sz w:val="20"/>
        </w:rPr>
      </w:pPr>
      <w:r w:rsidRPr="00E76D38">
        <w:rPr>
          <w:rFonts w:ascii="Verdana" w:hAnsi="Verdana"/>
          <w:sz w:val="20"/>
        </w:rPr>
        <w:t xml:space="preserve">En el punto resolutivo séptimo y el </w:t>
      </w:r>
      <w:r w:rsidR="00F04645" w:rsidRPr="00E76D38">
        <w:rPr>
          <w:rFonts w:ascii="Verdana" w:hAnsi="Verdana"/>
          <w:sz w:val="20"/>
        </w:rPr>
        <w:t>párrafo</w:t>
      </w:r>
      <w:r w:rsidRPr="00E76D38">
        <w:rPr>
          <w:rFonts w:ascii="Verdana" w:hAnsi="Verdana"/>
          <w:sz w:val="20"/>
        </w:rPr>
        <w:t xml:space="preserve"> 158 de la </w:t>
      </w:r>
      <w:r w:rsidR="007143B6" w:rsidRPr="00E76D38">
        <w:rPr>
          <w:rFonts w:ascii="Verdana" w:hAnsi="Verdana"/>
          <w:sz w:val="20"/>
        </w:rPr>
        <w:t>Sentencia, se ordenó al Estado que “en un</w:t>
      </w:r>
      <w:r w:rsidRPr="00E76D38">
        <w:rPr>
          <w:rFonts w:ascii="Verdana" w:hAnsi="Verdana"/>
          <w:sz w:val="20"/>
        </w:rPr>
        <w:t xml:space="preserve"> plazo de seis meses, contado a partir de la notificación de la Sentencia</w:t>
      </w:r>
      <w:r w:rsidR="007143B6" w:rsidRPr="00E76D38">
        <w:rPr>
          <w:rFonts w:ascii="Verdana" w:hAnsi="Verdana"/>
          <w:sz w:val="20"/>
        </w:rPr>
        <w:t>”</w:t>
      </w:r>
      <w:r w:rsidRPr="00E76D38">
        <w:rPr>
          <w:rFonts w:ascii="Verdana" w:hAnsi="Verdana"/>
          <w:sz w:val="20"/>
        </w:rPr>
        <w:t xml:space="preserve">, realice las siguientes publicaciones: </w:t>
      </w:r>
      <w:r w:rsidR="007143B6" w:rsidRPr="00E76D38">
        <w:rPr>
          <w:rFonts w:ascii="Verdana" w:hAnsi="Verdana"/>
          <w:sz w:val="20"/>
        </w:rPr>
        <w:t>“</w:t>
      </w:r>
      <w:r w:rsidRPr="00E76D38">
        <w:rPr>
          <w:rFonts w:ascii="Verdana" w:hAnsi="Verdana"/>
          <w:sz w:val="20"/>
        </w:rPr>
        <w:t>a) el resumen oficial de la Sentencia elaborado por la Corte, por una sola vez, en el Diario</w:t>
      </w:r>
      <w:r w:rsidRPr="00E76D38">
        <w:rPr>
          <w:rFonts w:ascii="Verdana" w:hAnsi="Verdana"/>
          <w:sz w:val="20"/>
          <w:szCs w:val="20"/>
        </w:rPr>
        <w:t xml:space="preserve"> Oficial</w:t>
      </w:r>
      <w:r w:rsidR="007143B6" w:rsidRPr="00E76D38">
        <w:rPr>
          <w:rFonts w:ascii="Verdana" w:hAnsi="Verdana"/>
          <w:sz w:val="20"/>
          <w:szCs w:val="20"/>
        </w:rPr>
        <w:t xml:space="preserve"> y en otro diario de circulación </w:t>
      </w:r>
      <w:r w:rsidR="007143B6" w:rsidRPr="00E76D38">
        <w:rPr>
          <w:rFonts w:ascii="Verdana" w:hAnsi="Verdana"/>
          <w:sz w:val="20"/>
          <w:szCs w:val="20"/>
        </w:rPr>
        <w:lastRenderedPageBreak/>
        <w:t xml:space="preserve">nacional, con un tamaño de letra legible y adecuado, y b) la presente Sentencia en su integridad, disponible, por un período de al menos un año, en un sitio </w:t>
      </w:r>
      <w:r w:rsidR="007143B6" w:rsidRPr="009C3B92">
        <w:rPr>
          <w:rFonts w:ascii="Verdana" w:hAnsi="Verdana"/>
          <w:i/>
          <w:sz w:val="20"/>
          <w:szCs w:val="20"/>
        </w:rPr>
        <w:t>web</w:t>
      </w:r>
      <w:r w:rsidR="007143B6" w:rsidRPr="00E76D38">
        <w:rPr>
          <w:rFonts w:ascii="Verdana" w:hAnsi="Verdana"/>
          <w:sz w:val="20"/>
          <w:szCs w:val="20"/>
        </w:rPr>
        <w:t xml:space="preserve"> oficial del Estado, de manera accesible al público y desde la página de inicio del sitio </w:t>
      </w:r>
      <w:r w:rsidR="007143B6" w:rsidRPr="009C3B92">
        <w:rPr>
          <w:rFonts w:ascii="Verdana" w:hAnsi="Verdana"/>
          <w:i/>
          <w:sz w:val="20"/>
          <w:szCs w:val="20"/>
        </w:rPr>
        <w:t>web</w:t>
      </w:r>
      <w:r w:rsidR="007143B6" w:rsidRPr="00E76D38">
        <w:rPr>
          <w:rFonts w:ascii="Verdana" w:hAnsi="Verdana"/>
          <w:sz w:val="20"/>
          <w:szCs w:val="20"/>
        </w:rPr>
        <w:t>”.</w:t>
      </w:r>
    </w:p>
    <w:p w14:paraId="3FBC9AD5" w14:textId="0492E688" w:rsidR="001956A4" w:rsidRPr="000F067F" w:rsidRDefault="001956A4" w:rsidP="000F067F">
      <w:pPr>
        <w:pStyle w:val="Prrafodelista"/>
        <w:numPr>
          <w:ilvl w:val="0"/>
          <w:numId w:val="7"/>
        </w:numPr>
        <w:spacing w:before="120" w:after="120"/>
        <w:jc w:val="both"/>
        <w:rPr>
          <w:rFonts w:ascii="Verdana" w:hAnsi="Verdana"/>
          <w:i/>
          <w:sz w:val="20"/>
        </w:rPr>
      </w:pPr>
      <w:r w:rsidRPr="000F067F">
        <w:rPr>
          <w:rFonts w:ascii="Verdana" w:hAnsi="Verdana"/>
          <w:i/>
          <w:sz w:val="20"/>
        </w:rPr>
        <w:t xml:space="preserve"> Consideraciones de la Corte </w:t>
      </w:r>
    </w:p>
    <w:p w14:paraId="418CBB44" w14:textId="16D52D39" w:rsidR="00086934" w:rsidRPr="00AE004E" w:rsidRDefault="001956A4" w:rsidP="00AE004E">
      <w:pPr>
        <w:pStyle w:val="Prrafodelista"/>
        <w:numPr>
          <w:ilvl w:val="0"/>
          <w:numId w:val="3"/>
        </w:numPr>
        <w:spacing w:before="120" w:after="120"/>
        <w:ind w:left="0" w:firstLine="0"/>
        <w:jc w:val="both"/>
        <w:rPr>
          <w:rFonts w:ascii="Verdana" w:hAnsi="Verdana"/>
          <w:sz w:val="20"/>
        </w:rPr>
      </w:pPr>
      <w:r w:rsidRPr="007143B6">
        <w:rPr>
          <w:rFonts w:ascii="Verdana" w:hAnsi="Verdana"/>
          <w:sz w:val="20"/>
        </w:rPr>
        <w:t>Con base en la información y los comprobantes aportados por Argentina y las observaciones de los representantes</w:t>
      </w:r>
      <w:r w:rsidR="008E247C">
        <w:rPr>
          <w:rStyle w:val="Refdenotaalpie"/>
          <w:rFonts w:ascii="Verdana" w:hAnsi="Verdana"/>
          <w:sz w:val="20"/>
        </w:rPr>
        <w:footnoteReference w:id="8"/>
      </w:r>
      <w:r w:rsidRPr="007143B6">
        <w:rPr>
          <w:rFonts w:ascii="Verdana" w:hAnsi="Verdana"/>
          <w:sz w:val="20"/>
        </w:rPr>
        <w:t xml:space="preserve"> </w:t>
      </w:r>
      <w:r w:rsidR="008E247C">
        <w:rPr>
          <w:rFonts w:ascii="Verdana" w:hAnsi="Verdana"/>
          <w:sz w:val="20"/>
        </w:rPr>
        <w:t>y la Comisión</w:t>
      </w:r>
      <w:r w:rsidR="008E247C">
        <w:rPr>
          <w:rStyle w:val="Refdenotaalpie"/>
          <w:rFonts w:ascii="Verdana" w:hAnsi="Verdana"/>
          <w:sz w:val="20"/>
        </w:rPr>
        <w:footnoteReference w:id="9"/>
      </w:r>
      <w:r w:rsidR="008E247C">
        <w:rPr>
          <w:rFonts w:ascii="Verdana" w:hAnsi="Verdana"/>
          <w:sz w:val="20"/>
        </w:rPr>
        <w:t xml:space="preserve">, </w:t>
      </w:r>
      <w:r w:rsidRPr="007143B6">
        <w:rPr>
          <w:rFonts w:ascii="Verdana" w:hAnsi="Verdana"/>
          <w:sz w:val="20"/>
        </w:rPr>
        <w:t xml:space="preserve">la Corte constata que se realizaron las referidas publicaciones, ya que Argentina publicó el resumen </w:t>
      </w:r>
      <w:r w:rsidRPr="00AE004E">
        <w:rPr>
          <w:rFonts w:ascii="Verdana" w:hAnsi="Verdana"/>
          <w:sz w:val="20"/>
        </w:rPr>
        <w:t xml:space="preserve">oficial de la Sentencia en el Boletín Oficial de la </w:t>
      </w:r>
      <w:r w:rsidR="007143B6" w:rsidRPr="00AE004E">
        <w:rPr>
          <w:rFonts w:ascii="Verdana" w:hAnsi="Verdana"/>
          <w:sz w:val="20"/>
        </w:rPr>
        <w:t>Nación</w:t>
      </w:r>
      <w:r w:rsidR="007143B6" w:rsidRPr="00AE004E">
        <w:rPr>
          <w:rStyle w:val="Refdenotaalpie"/>
          <w:rFonts w:ascii="Verdana" w:hAnsi="Verdana"/>
          <w:sz w:val="20"/>
        </w:rPr>
        <w:footnoteReference w:id="10"/>
      </w:r>
      <w:r w:rsidR="008A1D93" w:rsidRPr="00AE004E">
        <w:rPr>
          <w:rFonts w:ascii="Verdana" w:hAnsi="Verdana"/>
          <w:sz w:val="20"/>
        </w:rPr>
        <w:t xml:space="preserve"> y </w:t>
      </w:r>
      <w:r w:rsidRPr="00AE004E">
        <w:rPr>
          <w:rFonts w:ascii="Verdana" w:hAnsi="Verdana"/>
          <w:sz w:val="20"/>
        </w:rPr>
        <w:t>en un “diario de circulación nacional” (</w:t>
      </w:r>
      <w:r w:rsidR="008A1D93" w:rsidRPr="00AE004E">
        <w:rPr>
          <w:rFonts w:ascii="Verdana" w:hAnsi="Verdana"/>
          <w:sz w:val="20"/>
        </w:rPr>
        <w:t>Ámbito Financier</w:t>
      </w:r>
      <w:r w:rsidR="008A1D93" w:rsidRPr="00AE004E">
        <w:rPr>
          <w:rFonts w:ascii="Verdana" w:hAnsi="Verdana"/>
          <w:sz w:val="20"/>
          <w:szCs w:val="20"/>
        </w:rPr>
        <w:t>o)</w:t>
      </w:r>
      <w:r w:rsidR="008A1D93" w:rsidRPr="00AE004E">
        <w:rPr>
          <w:rStyle w:val="Refdenotaalpie"/>
          <w:rFonts w:ascii="Verdana" w:hAnsi="Verdana"/>
          <w:sz w:val="20"/>
          <w:szCs w:val="20"/>
        </w:rPr>
        <w:footnoteReference w:id="11"/>
      </w:r>
      <w:r w:rsidR="008A1D93" w:rsidRPr="00AE004E">
        <w:rPr>
          <w:rFonts w:ascii="Verdana" w:hAnsi="Verdana"/>
          <w:sz w:val="20"/>
          <w:szCs w:val="20"/>
        </w:rPr>
        <w:t xml:space="preserve">. De igual forma, </w:t>
      </w:r>
      <w:r w:rsidR="00F0063F" w:rsidRPr="00AE004E">
        <w:rPr>
          <w:rFonts w:ascii="Verdana" w:hAnsi="Verdana"/>
          <w:sz w:val="20"/>
          <w:szCs w:val="20"/>
        </w:rPr>
        <w:t xml:space="preserve">según lo informado por Argentina y no controvertido por los representantes, “desde el 2 de junio de 2020” se </w:t>
      </w:r>
      <w:r w:rsidR="008A1D93" w:rsidRPr="00AE004E">
        <w:rPr>
          <w:rFonts w:ascii="Verdana" w:hAnsi="Verdana"/>
          <w:sz w:val="20"/>
          <w:szCs w:val="20"/>
        </w:rPr>
        <w:t xml:space="preserve">publicó, de manera íntegra la Sentencia en el sitio </w:t>
      </w:r>
      <w:r w:rsidR="008A1D93" w:rsidRPr="00B811D7">
        <w:rPr>
          <w:rFonts w:ascii="Verdana" w:hAnsi="Verdana"/>
          <w:i/>
          <w:sz w:val="20"/>
          <w:szCs w:val="20"/>
        </w:rPr>
        <w:t>web</w:t>
      </w:r>
      <w:r w:rsidR="008A1D93" w:rsidRPr="00AE004E">
        <w:rPr>
          <w:rFonts w:ascii="Verdana" w:hAnsi="Verdana"/>
          <w:sz w:val="20"/>
          <w:szCs w:val="20"/>
        </w:rPr>
        <w:t xml:space="preserve"> </w:t>
      </w:r>
      <w:r w:rsidR="00E76D38" w:rsidRPr="00AE004E">
        <w:rPr>
          <w:rFonts w:ascii="Verdana" w:hAnsi="Verdana"/>
          <w:sz w:val="20"/>
          <w:szCs w:val="20"/>
        </w:rPr>
        <w:t>oficial del Ministerio de Justicia y Derechos Humanos de la Nación</w:t>
      </w:r>
      <w:r w:rsidR="00E76D38" w:rsidRPr="00AE004E">
        <w:rPr>
          <w:rStyle w:val="Refdenotaalpie"/>
          <w:rFonts w:ascii="Verdana" w:hAnsi="Verdana"/>
          <w:sz w:val="20"/>
          <w:szCs w:val="20"/>
        </w:rPr>
        <w:footnoteReference w:id="12"/>
      </w:r>
      <w:r w:rsidR="008A1D93" w:rsidRPr="00AE004E">
        <w:rPr>
          <w:rFonts w:ascii="Verdana" w:hAnsi="Verdana"/>
          <w:sz w:val="20"/>
          <w:szCs w:val="20"/>
        </w:rPr>
        <w:t xml:space="preserve">. La Corte valora positivamente que </w:t>
      </w:r>
      <w:r w:rsidR="00F0063F" w:rsidRPr="00AE004E">
        <w:rPr>
          <w:rFonts w:ascii="Verdana" w:hAnsi="Verdana"/>
          <w:sz w:val="20"/>
          <w:szCs w:val="20"/>
        </w:rPr>
        <w:t xml:space="preserve">todas </w:t>
      </w:r>
      <w:r w:rsidR="008A1D93" w:rsidRPr="00AE004E">
        <w:rPr>
          <w:rFonts w:ascii="Verdana" w:hAnsi="Verdana"/>
          <w:sz w:val="20"/>
          <w:szCs w:val="20"/>
        </w:rPr>
        <w:t>la</w:t>
      </w:r>
      <w:r w:rsidR="00F0063F" w:rsidRPr="00AE004E">
        <w:rPr>
          <w:rFonts w:ascii="Verdana" w:hAnsi="Verdana"/>
          <w:sz w:val="20"/>
          <w:szCs w:val="20"/>
        </w:rPr>
        <w:t>s referidas</w:t>
      </w:r>
      <w:r w:rsidR="008A1D93" w:rsidRPr="00AE004E">
        <w:rPr>
          <w:rFonts w:ascii="Verdana" w:hAnsi="Verdana"/>
          <w:sz w:val="20"/>
          <w:szCs w:val="20"/>
        </w:rPr>
        <w:t xml:space="preserve"> </w:t>
      </w:r>
      <w:r w:rsidR="00F0063F" w:rsidRPr="00AE004E">
        <w:rPr>
          <w:rFonts w:ascii="Verdana" w:hAnsi="Verdana"/>
          <w:sz w:val="20"/>
          <w:szCs w:val="20"/>
        </w:rPr>
        <w:t xml:space="preserve">publicaciones </w:t>
      </w:r>
      <w:r w:rsidR="008A1D93" w:rsidRPr="00AE004E">
        <w:rPr>
          <w:rFonts w:ascii="Verdana" w:hAnsi="Verdana"/>
          <w:sz w:val="20"/>
          <w:szCs w:val="20"/>
        </w:rPr>
        <w:t xml:space="preserve">de la Sentencia </w:t>
      </w:r>
      <w:r w:rsidR="00F0063F" w:rsidRPr="00AE004E">
        <w:rPr>
          <w:rFonts w:ascii="Verdana" w:hAnsi="Verdana"/>
          <w:sz w:val="20"/>
          <w:szCs w:val="20"/>
        </w:rPr>
        <w:t xml:space="preserve">y su resumen oficial </w:t>
      </w:r>
      <w:r w:rsidR="008A1D93" w:rsidRPr="00AE004E">
        <w:rPr>
          <w:rFonts w:ascii="Verdana" w:hAnsi="Verdana"/>
          <w:sz w:val="20"/>
          <w:szCs w:val="20"/>
        </w:rPr>
        <w:t>haya</w:t>
      </w:r>
      <w:r w:rsidR="00F0063F" w:rsidRPr="00AE004E">
        <w:rPr>
          <w:rFonts w:ascii="Verdana" w:hAnsi="Verdana"/>
          <w:sz w:val="20"/>
          <w:szCs w:val="20"/>
        </w:rPr>
        <w:t>n</w:t>
      </w:r>
      <w:r w:rsidR="008A1D93" w:rsidRPr="00AE004E">
        <w:rPr>
          <w:rFonts w:ascii="Verdana" w:hAnsi="Verdana"/>
          <w:sz w:val="20"/>
          <w:szCs w:val="20"/>
        </w:rPr>
        <w:t xml:space="preserve"> sido realizada</w:t>
      </w:r>
      <w:r w:rsidR="00F0063F" w:rsidRPr="00AE004E">
        <w:rPr>
          <w:rFonts w:ascii="Verdana" w:hAnsi="Verdana"/>
          <w:sz w:val="20"/>
          <w:szCs w:val="20"/>
        </w:rPr>
        <w:t>s</w:t>
      </w:r>
      <w:r w:rsidR="008A1D93" w:rsidRPr="00AE004E">
        <w:rPr>
          <w:rFonts w:ascii="Verdana" w:hAnsi="Verdana"/>
          <w:sz w:val="20"/>
          <w:szCs w:val="20"/>
        </w:rPr>
        <w:t xml:space="preserve"> dentro del plazo otorgado </w:t>
      </w:r>
      <w:r w:rsidR="00141AD2">
        <w:rPr>
          <w:rFonts w:ascii="Verdana" w:hAnsi="Verdana"/>
          <w:sz w:val="20"/>
          <w:szCs w:val="20"/>
        </w:rPr>
        <w:t>en la Sentencia</w:t>
      </w:r>
      <w:r w:rsidR="008A1D93" w:rsidRPr="00AE004E">
        <w:rPr>
          <w:rFonts w:ascii="Verdana" w:hAnsi="Verdana"/>
          <w:sz w:val="20"/>
          <w:szCs w:val="20"/>
        </w:rPr>
        <w:t>.</w:t>
      </w:r>
    </w:p>
    <w:p w14:paraId="3E3715F0" w14:textId="3A9BAC3A" w:rsidR="00E76D38" w:rsidRPr="00AE004E" w:rsidRDefault="00E76D38" w:rsidP="00AE004E">
      <w:pPr>
        <w:pStyle w:val="Prrafodelista"/>
        <w:numPr>
          <w:ilvl w:val="0"/>
          <w:numId w:val="3"/>
        </w:numPr>
        <w:spacing w:before="120" w:after="120"/>
        <w:ind w:left="0" w:firstLine="0"/>
        <w:jc w:val="both"/>
        <w:rPr>
          <w:rFonts w:ascii="Verdana" w:hAnsi="Verdana"/>
          <w:sz w:val="18"/>
        </w:rPr>
      </w:pPr>
      <w:r w:rsidRPr="00AE004E">
        <w:rPr>
          <w:rFonts w:ascii="Verdana" w:hAnsi="Verdana"/>
          <w:sz w:val="20"/>
        </w:rPr>
        <w:t xml:space="preserve">En virtud de lo anterior, la Corte </w:t>
      </w:r>
      <w:r w:rsidR="003E68B9">
        <w:rPr>
          <w:rFonts w:ascii="Verdana" w:hAnsi="Verdana"/>
          <w:sz w:val="20"/>
        </w:rPr>
        <w:t xml:space="preserve">considera </w:t>
      </w:r>
      <w:r w:rsidRPr="00AE004E">
        <w:rPr>
          <w:rFonts w:ascii="Verdana" w:hAnsi="Verdana"/>
          <w:sz w:val="20"/>
        </w:rPr>
        <w:t xml:space="preserve">que el Estado ha dado cumplimiento total a las medidas de publicación y difusión de la Sentencia y de su resumen oficial, ordenadas en el punto resolutivo </w:t>
      </w:r>
      <w:r w:rsidR="00F04645" w:rsidRPr="00AE004E">
        <w:rPr>
          <w:rFonts w:ascii="Verdana" w:hAnsi="Verdana"/>
          <w:sz w:val="20"/>
        </w:rPr>
        <w:t xml:space="preserve">séptimo </w:t>
      </w:r>
      <w:r w:rsidRPr="00AE004E">
        <w:rPr>
          <w:rFonts w:ascii="Verdana" w:hAnsi="Verdana"/>
          <w:sz w:val="20"/>
        </w:rPr>
        <w:t>de la misma.</w:t>
      </w:r>
    </w:p>
    <w:p w14:paraId="62517AA4" w14:textId="77777777" w:rsidR="00F04645" w:rsidRDefault="00F04645" w:rsidP="00AE004E">
      <w:pPr>
        <w:pStyle w:val="Prrafodelista"/>
        <w:spacing w:before="120" w:after="120"/>
        <w:rPr>
          <w:rFonts w:ascii="Verdana" w:hAnsi="Verdana"/>
          <w:sz w:val="18"/>
        </w:rPr>
      </w:pPr>
    </w:p>
    <w:p w14:paraId="1053F6DA" w14:textId="77777777" w:rsidR="00E76D38" w:rsidRPr="00E76D38" w:rsidRDefault="00E76D38" w:rsidP="00AE004E">
      <w:pPr>
        <w:pStyle w:val="Prrafodelista"/>
        <w:spacing w:before="120" w:after="120"/>
        <w:ind w:left="0"/>
        <w:jc w:val="both"/>
        <w:rPr>
          <w:rFonts w:ascii="Verdana" w:hAnsi="Verdana"/>
          <w:b/>
          <w:sz w:val="20"/>
        </w:rPr>
      </w:pPr>
      <w:r w:rsidRPr="00E76D38">
        <w:rPr>
          <w:rFonts w:ascii="Verdana" w:hAnsi="Verdana"/>
          <w:b/>
          <w:sz w:val="20"/>
        </w:rPr>
        <w:t xml:space="preserve">POR TANTO: </w:t>
      </w:r>
    </w:p>
    <w:p w14:paraId="0E622CB2" w14:textId="77777777" w:rsidR="00E76D38" w:rsidRPr="00E76D38" w:rsidRDefault="00E76D38" w:rsidP="00AE004E">
      <w:pPr>
        <w:pStyle w:val="Prrafodelista"/>
        <w:spacing w:before="120" w:after="120"/>
        <w:ind w:left="0"/>
        <w:jc w:val="both"/>
        <w:rPr>
          <w:rFonts w:ascii="Verdana" w:hAnsi="Verdana"/>
          <w:b/>
          <w:sz w:val="20"/>
        </w:rPr>
      </w:pPr>
      <w:r w:rsidRPr="00E76D38">
        <w:rPr>
          <w:rFonts w:ascii="Verdana" w:hAnsi="Verdana"/>
          <w:b/>
          <w:sz w:val="20"/>
        </w:rPr>
        <w:t xml:space="preserve">LA CORTE INTERAMERICANA DE DERECHOS HUMANOS, </w:t>
      </w:r>
    </w:p>
    <w:p w14:paraId="6AA3ABF1" w14:textId="77777777" w:rsidR="00E76D38" w:rsidRDefault="00E76D38" w:rsidP="00AE004E">
      <w:pPr>
        <w:pStyle w:val="Prrafodelista"/>
        <w:spacing w:before="120" w:after="120"/>
        <w:ind w:left="0"/>
        <w:jc w:val="both"/>
        <w:rPr>
          <w:rFonts w:ascii="Verdana" w:hAnsi="Verdana"/>
          <w:sz w:val="20"/>
        </w:rPr>
      </w:pPr>
      <w:r w:rsidRPr="00E76D38">
        <w:rPr>
          <w:rFonts w:ascii="Verdana" w:hAnsi="Verdana"/>
          <w:sz w:val="20"/>
        </w:rPr>
        <w:t xml:space="preserve">en el ejercicio de sus atribuciones de supervisión del cumplimiento de sus decisiones y de conformidad con los artículos 33, 62.1, 62.3, 65, 67 y 68.1 de la Convención Americana sobre Derechos Humanos, 24, 25 y 30 del Estatuto, y 31.2 y 69 de su Reglamento, </w:t>
      </w:r>
    </w:p>
    <w:p w14:paraId="240833FD" w14:textId="77777777" w:rsidR="00E76D38" w:rsidRDefault="00E76D38" w:rsidP="00AE004E">
      <w:pPr>
        <w:pStyle w:val="Prrafodelista"/>
        <w:spacing w:before="120" w:after="120"/>
        <w:ind w:left="0"/>
        <w:jc w:val="both"/>
        <w:rPr>
          <w:rFonts w:ascii="Verdana" w:hAnsi="Verdana"/>
          <w:sz w:val="20"/>
        </w:rPr>
      </w:pPr>
    </w:p>
    <w:p w14:paraId="69BF38EA" w14:textId="77777777" w:rsidR="00E76D38" w:rsidRPr="004031A5" w:rsidRDefault="00E76D38" w:rsidP="00AE004E">
      <w:pPr>
        <w:pStyle w:val="Prrafodelista"/>
        <w:spacing w:before="120" w:after="120"/>
        <w:ind w:left="0"/>
        <w:jc w:val="both"/>
        <w:rPr>
          <w:rFonts w:ascii="Verdana" w:hAnsi="Verdana"/>
          <w:b/>
          <w:sz w:val="20"/>
        </w:rPr>
      </w:pPr>
      <w:r w:rsidRPr="004031A5">
        <w:rPr>
          <w:rFonts w:ascii="Verdana" w:hAnsi="Verdana"/>
          <w:b/>
          <w:sz w:val="20"/>
        </w:rPr>
        <w:t xml:space="preserve">RESUELVE: </w:t>
      </w:r>
    </w:p>
    <w:p w14:paraId="16FF8BA6" w14:textId="6C9654FF" w:rsidR="004031A5" w:rsidRPr="004031A5" w:rsidRDefault="00E76D38" w:rsidP="00AE004E">
      <w:pPr>
        <w:pStyle w:val="Prrafodelista"/>
        <w:numPr>
          <w:ilvl w:val="0"/>
          <w:numId w:val="5"/>
        </w:numPr>
        <w:spacing w:before="120" w:after="120"/>
        <w:ind w:left="0" w:firstLine="0"/>
        <w:jc w:val="both"/>
        <w:rPr>
          <w:rFonts w:ascii="Verdana" w:hAnsi="Verdana"/>
          <w:sz w:val="16"/>
        </w:rPr>
      </w:pPr>
      <w:r w:rsidRPr="00E76D38">
        <w:rPr>
          <w:rFonts w:ascii="Verdana" w:hAnsi="Verdana"/>
          <w:sz w:val="20"/>
        </w:rPr>
        <w:t>Declarar, de conformidad con lo</w:t>
      </w:r>
      <w:r>
        <w:rPr>
          <w:rFonts w:ascii="Verdana" w:hAnsi="Verdana"/>
          <w:sz w:val="20"/>
        </w:rPr>
        <w:t xml:space="preserve"> señalado en los Considerandos </w:t>
      </w:r>
      <w:r w:rsidR="006D2C43">
        <w:rPr>
          <w:rFonts w:ascii="Verdana" w:hAnsi="Verdana"/>
          <w:sz w:val="20"/>
        </w:rPr>
        <w:t xml:space="preserve">5 y </w:t>
      </w:r>
      <w:r>
        <w:rPr>
          <w:rFonts w:ascii="Verdana" w:hAnsi="Verdana"/>
          <w:sz w:val="20"/>
        </w:rPr>
        <w:t>6</w:t>
      </w:r>
      <w:r w:rsidRPr="00E76D38">
        <w:rPr>
          <w:rFonts w:ascii="Verdana" w:hAnsi="Verdana"/>
          <w:sz w:val="20"/>
        </w:rPr>
        <w:t xml:space="preserve"> de la presente Resolución, que </w:t>
      </w:r>
      <w:r w:rsidR="004031A5" w:rsidRPr="00E76D38">
        <w:rPr>
          <w:rFonts w:ascii="Verdana" w:hAnsi="Verdana"/>
          <w:sz w:val="20"/>
        </w:rPr>
        <w:t>el Estado ha dado cumplimiento total a las medidas de publicación y difusión de la Sentencia y su resumen oficial</w:t>
      </w:r>
      <w:r w:rsidRPr="00E76D38">
        <w:rPr>
          <w:rFonts w:ascii="Verdana" w:hAnsi="Verdana"/>
          <w:sz w:val="20"/>
        </w:rPr>
        <w:t xml:space="preserve"> </w:t>
      </w:r>
      <w:r w:rsidRPr="00DF3B59">
        <w:rPr>
          <w:rFonts w:ascii="Verdana" w:hAnsi="Verdana"/>
          <w:i/>
          <w:sz w:val="20"/>
        </w:rPr>
        <w:t>(punto resolutivo séptimo de la Sentencia)</w:t>
      </w:r>
      <w:r w:rsidRPr="00E76D38">
        <w:rPr>
          <w:rFonts w:ascii="Verdana" w:hAnsi="Verdana"/>
          <w:sz w:val="20"/>
        </w:rPr>
        <w:t xml:space="preserve">. </w:t>
      </w:r>
    </w:p>
    <w:p w14:paraId="7B0B5BA0" w14:textId="7F6DA029" w:rsidR="004031A5" w:rsidRPr="004031A5" w:rsidRDefault="00E76D38" w:rsidP="00AE004E">
      <w:pPr>
        <w:pStyle w:val="Prrafodelista"/>
        <w:numPr>
          <w:ilvl w:val="0"/>
          <w:numId w:val="5"/>
        </w:numPr>
        <w:spacing w:before="120" w:after="120"/>
        <w:ind w:left="0" w:firstLine="0"/>
        <w:jc w:val="both"/>
        <w:rPr>
          <w:rFonts w:ascii="Verdana" w:hAnsi="Verdana"/>
          <w:sz w:val="16"/>
        </w:rPr>
      </w:pPr>
      <w:r w:rsidRPr="00E76D38">
        <w:rPr>
          <w:rFonts w:ascii="Verdana" w:hAnsi="Verdana"/>
          <w:sz w:val="20"/>
        </w:rPr>
        <w:t>Mantener abierto el procedimiento de supervisión de cumplimiento respecto de las siguientes medidas</w:t>
      </w:r>
      <w:r w:rsidR="00315D4C">
        <w:rPr>
          <w:rFonts w:ascii="Verdana" w:hAnsi="Verdana"/>
          <w:sz w:val="20"/>
        </w:rPr>
        <w:t xml:space="preserve"> de reparación</w:t>
      </w:r>
      <w:r w:rsidRPr="00E76D38">
        <w:rPr>
          <w:rFonts w:ascii="Verdana" w:hAnsi="Verdana"/>
          <w:sz w:val="20"/>
        </w:rPr>
        <w:t xml:space="preserve">: </w:t>
      </w:r>
    </w:p>
    <w:p w14:paraId="54B2B03C" w14:textId="581DB6D5" w:rsidR="004031A5" w:rsidRDefault="00E76D38" w:rsidP="00AE004E">
      <w:pPr>
        <w:pStyle w:val="Prrafodelista"/>
        <w:numPr>
          <w:ilvl w:val="0"/>
          <w:numId w:val="6"/>
        </w:numPr>
        <w:spacing w:before="120" w:after="120"/>
        <w:jc w:val="both"/>
        <w:rPr>
          <w:rFonts w:ascii="Verdana" w:hAnsi="Verdana"/>
          <w:sz w:val="20"/>
        </w:rPr>
      </w:pPr>
      <w:r w:rsidRPr="004031A5">
        <w:rPr>
          <w:rFonts w:ascii="Verdana" w:hAnsi="Verdana"/>
          <w:sz w:val="20"/>
          <w:szCs w:val="20"/>
        </w:rPr>
        <w:t>“</w:t>
      </w:r>
      <w:r w:rsidR="004031A5">
        <w:rPr>
          <w:rFonts w:ascii="Verdana" w:hAnsi="Verdana"/>
          <w:sz w:val="20"/>
          <w:szCs w:val="20"/>
        </w:rPr>
        <w:t>realizar</w:t>
      </w:r>
      <w:r w:rsidR="004031A5" w:rsidRPr="004031A5">
        <w:rPr>
          <w:rFonts w:ascii="Verdana" w:hAnsi="Verdana"/>
          <w:sz w:val="20"/>
          <w:szCs w:val="20"/>
        </w:rPr>
        <w:t xml:space="preserve"> la capacitación ordenada en el párrafo 163 de la </w:t>
      </w:r>
      <w:r w:rsidR="004031A5">
        <w:rPr>
          <w:rFonts w:ascii="Verdana" w:hAnsi="Verdana"/>
          <w:sz w:val="20"/>
          <w:szCs w:val="20"/>
        </w:rPr>
        <w:t>[Sentenci</w:t>
      </w:r>
      <w:r w:rsidR="004031A5" w:rsidRPr="004031A5">
        <w:rPr>
          <w:rFonts w:ascii="Verdana" w:hAnsi="Verdana"/>
          <w:sz w:val="20"/>
          <w:szCs w:val="20"/>
        </w:rPr>
        <w:t>a</w:t>
      </w:r>
      <w:r w:rsidR="004031A5">
        <w:rPr>
          <w:rFonts w:ascii="Verdana" w:hAnsi="Verdana"/>
          <w:sz w:val="20"/>
          <w:szCs w:val="20"/>
        </w:rPr>
        <w:t>]</w:t>
      </w:r>
      <w:r w:rsidRPr="00E76D38">
        <w:rPr>
          <w:rFonts w:ascii="Verdana" w:hAnsi="Verdana"/>
          <w:sz w:val="20"/>
        </w:rPr>
        <w:t xml:space="preserve">” </w:t>
      </w:r>
      <w:r w:rsidR="006D2C43">
        <w:rPr>
          <w:rFonts w:ascii="Verdana" w:hAnsi="Verdana"/>
          <w:sz w:val="20"/>
        </w:rPr>
        <w:t xml:space="preserve">consistente en “el diseño e implementación de un programa de capacitación para los funcionarios y servidores de los centros penitenciarios de la Provincia de Buenos </w:t>
      </w:r>
      <w:r w:rsidR="006D2C43">
        <w:rPr>
          <w:rFonts w:ascii="Verdana" w:hAnsi="Verdana"/>
          <w:sz w:val="20"/>
        </w:rPr>
        <w:lastRenderedPageBreak/>
        <w:t>Aires, mediante el cual personal médico especializado en el tratamiento de la tuberculosis les capacite sobre [determinados temas indicados en la Sentencia relativos a esa enfermedad]”</w:t>
      </w:r>
      <w:r w:rsidR="00653425">
        <w:rPr>
          <w:rFonts w:ascii="Verdana" w:hAnsi="Verdana"/>
          <w:sz w:val="20"/>
        </w:rPr>
        <w:t xml:space="preserve"> </w:t>
      </w:r>
      <w:r w:rsidRPr="00DF3B59">
        <w:rPr>
          <w:rFonts w:ascii="Verdana" w:hAnsi="Verdana"/>
          <w:i/>
          <w:sz w:val="20"/>
        </w:rPr>
        <w:t xml:space="preserve">(punto resolutivo </w:t>
      </w:r>
      <w:r w:rsidR="004031A5" w:rsidRPr="00DF3B59">
        <w:rPr>
          <w:rFonts w:ascii="Verdana" w:hAnsi="Verdana"/>
          <w:i/>
          <w:sz w:val="20"/>
        </w:rPr>
        <w:t>octavo de la Sentencia)</w:t>
      </w:r>
      <w:r w:rsidR="003E68B9">
        <w:rPr>
          <w:rFonts w:ascii="Verdana" w:hAnsi="Verdana"/>
          <w:i/>
          <w:sz w:val="20"/>
        </w:rPr>
        <w:t>;</w:t>
      </w:r>
      <w:r w:rsidR="004031A5">
        <w:rPr>
          <w:rFonts w:ascii="Verdana" w:hAnsi="Verdana"/>
          <w:sz w:val="20"/>
        </w:rPr>
        <w:t xml:space="preserve"> </w:t>
      </w:r>
    </w:p>
    <w:p w14:paraId="1AF5D397" w14:textId="06FBF581" w:rsidR="00653425" w:rsidRDefault="00653425" w:rsidP="00AE004E">
      <w:pPr>
        <w:pStyle w:val="Prrafodelista"/>
        <w:numPr>
          <w:ilvl w:val="0"/>
          <w:numId w:val="6"/>
        </w:numPr>
        <w:spacing w:before="120" w:after="120"/>
        <w:jc w:val="both"/>
        <w:rPr>
          <w:rFonts w:ascii="Verdana" w:hAnsi="Verdana"/>
          <w:sz w:val="20"/>
        </w:rPr>
      </w:pPr>
      <w:r>
        <w:rPr>
          <w:rFonts w:ascii="Verdana" w:hAnsi="Verdana"/>
          <w:sz w:val="20"/>
        </w:rPr>
        <w:t xml:space="preserve">presentar el informe requerido en el párrafo 164 de la Sentencia en cuanto a “las medidas adoptadas desde la fecha en que ocurrieron los hechos [de] este caso, para mejorar las condiciones de las unidades carcelarias del Sistema Penitenciario de la Provincia de Buenos Aires” y sobre “las providencias adoptadas encaminadas a prevenir la </w:t>
      </w:r>
      <w:r w:rsidR="00604A87">
        <w:rPr>
          <w:rFonts w:ascii="Verdana" w:hAnsi="Verdana"/>
          <w:sz w:val="20"/>
          <w:szCs w:val="20"/>
        </w:rPr>
        <w:t>tuberculosi</w:t>
      </w:r>
      <w:r w:rsidRPr="00653425">
        <w:rPr>
          <w:rFonts w:ascii="Verdana" w:hAnsi="Verdana"/>
          <w:sz w:val="20"/>
          <w:szCs w:val="20"/>
        </w:rPr>
        <w:t>s y afecciones de similar</w:t>
      </w:r>
      <w:r w:rsidRPr="00DF3B59">
        <w:rPr>
          <w:rFonts w:ascii="Verdana" w:hAnsi="Verdana"/>
          <w:sz w:val="20"/>
          <w:szCs w:val="20"/>
        </w:rPr>
        <w:t xml:space="preserve"> naturaleza en la población carcelaria, así como aquellas dirigidas a brindar un diagnóstico y tratamiento oportuno y adecuado a las personas que la padecen” </w:t>
      </w:r>
      <w:r w:rsidRPr="00653425">
        <w:rPr>
          <w:rFonts w:ascii="Verdana" w:hAnsi="Verdana"/>
          <w:i/>
          <w:sz w:val="20"/>
          <w:szCs w:val="20"/>
        </w:rPr>
        <w:t>(</w:t>
      </w:r>
      <w:r w:rsidRPr="00074BC0">
        <w:rPr>
          <w:rFonts w:ascii="Verdana" w:hAnsi="Verdana"/>
          <w:i/>
          <w:sz w:val="20"/>
        </w:rPr>
        <w:t>punto resolutivo octavo de la Sentencia)</w:t>
      </w:r>
      <w:r w:rsidR="003E68B9">
        <w:rPr>
          <w:rFonts w:ascii="Verdana" w:hAnsi="Verdana"/>
          <w:i/>
          <w:sz w:val="20"/>
        </w:rPr>
        <w:t>;</w:t>
      </w:r>
    </w:p>
    <w:p w14:paraId="5B316D86" w14:textId="0B060D77" w:rsidR="006D2C43" w:rsidRDefault="00E76D38" w:rsidP="00AE004E">
      <w:pPr>
        <w:pStyle w:val="Prrafodelista"/>
        <w:numPr>
          <w:ilvl w:val="0"/>
          <w:numId w:val="6"/>
        </w:numPr>
        <w:spacing w:before="120" w:after="120"/>
        <w:jc w:val="both"/>
        <w:rPr>
          <w:rFonts w:ascii="Verdana" w:hAnsi="Verdana"/>
          <w:sz w:val="20"/>
        </w:rPr>
      </w:pPr>
      <w:r w:rsidRPr="004031A5">
        <w:rPr>
          <w:rFonts w:ascii="Verdana" w:hAnsi="Verdana"/>
          <w:sz w:val="20"/>
        </w:rPr>
        <w:t xml:space="preserve">pagar las cantidades fijadas </w:t>
      </w:r>
      <w:r w:rsidR="006D2C43">
        <w:rPr>
          <w:rFonts w:ascii="Verdana" w:hAnsi="Verdana"/>
          <w:sz w:val="20"/>
        </w:rPr>
        <w:t>en los párrafos 170, 171 y 172 de</w:t>
      </w:r>
      <w:r w:rsidRPr="004031A5">
        <w:rPr>
          <w:rFonts w:ascii="Verdana" w:hAnsi="Verdana"/>
          <w:sz w:val="20"/>
        </w:rPr>
        <w:t xml:space="preserve"> la Sentencia por concepto de indemnizaci</w:t>
      </w:r>
      <w:r w:rsidR="00ED122A">
        <w:rPr>
          <w:rFonts w:ascii="Verdana" w:hAnsi="Verdana"/>
          <w:sz w:val="20"/>
        </w:rPr>
        <w:t>ones</w:t>
      </w:r>
      <w:r w:rsidRPr="004031A5">
        <w:rPr>
          <w:rFonts w:ascii="Verdana" w:hAnsi="Verdana"/>
          <w:sz w:val="20"/>
        </w:rPr>
        <w:t xml:space="preserve"> por daño</w:t>
      </w:r>
      <w:r w:rsidR="00ED122A">
        <w:rPr>
          <w:rFonts w:ascii="Verdana" w:hAnsi="Verdana"/>
          <w:sz w:val="20"/>
        </w:rPr>
        <w:t>s</w:t>
      </w:r>
      <w:r w:rsidRPr="004031A5">
        <w:rPr>
          <w:rFonts w:ascii="Verdana" w:hAnsi="Verdana"/>
          <w:sz w:val="20"/>
        </w:rPr>
        <w:t xml:space="preserve"> </w:t>
      </w:r>
      <w:r w:rsidR="006D2C43">
        <w:rPr>
          <w:rFonts w:ascii="Verdana" w:hAnsi="Verdana"/>
          <w:sz w:val="20"/>
        </w:rPr>
        <w:t xml:space="preserve">material e </w:t>
      </w:r>
      <w:r w:rsidRPr="004031A5">
        <w:rPr>
          <w:rFonts w:ascii="Verdana" w:hAnsi="Verdana"/>
          <w:sz w:val="20"/>
        </w:rPr>
        <w:t xml:space="preserve">inmaterial </w:t>
      </w:r>
      <w:r w:rsidR="006D2C43" w:rsidRPr="00DF3B59">
        <w:rPr>
          <w:rFonts w:ascii="Verdana" w:hAnsi="Verdana"/>
          <w:i/>
          <w:sz w:val="20"/>
        </w:rPr>
        <w:t>(punto resolutivo noveno de la Sentencia)</w:t>
      </w:r>
      <w:r w:rsidR="006D2C43">
        <w:rPr>
          <w:rFonts w:ascii="Verdana" w:hAnsi="Verdana"/>
          <w:sz w:val="20"/>
        </w:rPr>
        <w:t xml:space="preserve">, </w:t>
      </w:r>
      <w:r w:rsidRPr="004031A5">
        <w:rPr>
          <w:rFonts w:ascii="Verdana" w:hAnsi="Verdana"/>
          <w:sz w:val="20"/>
        </w:rPr>
        <w:t xml:space="preserve">y </w:t>
      </w:r>
    </w:p>
    <w:p w14:paraId="6CD00329" w14:textId="7C5B8DC4" w:rsidR="004031A5" w:rsidRPr="004031A5" w:rsidRDefault="006D2C43" w:rsidP="00AE004E">
      <w:pPr>
        <w:pStyle w:val="Prrafodelista"/>
        <w:numPr>
          <w:ilvl w:val="0"/>
          <w:numId w:val="6"/>
        </w:numPr>
        <w:spacing w:before="120" w:after="120"/>
        <w:jc w:val="both"/>
        <w:rPr>
          <w:rFonts w:ascii="Verdana" w:hAnsi="Verdana"/>
          <w:sz w:val="20"/>
        </w:rPr>
      </w:pPr>
      <w:r>
        <w:rPr>
          <w:rFonts w:ascii="Verdana" w:hAnsi="Verdana"/>
          <w:sz w:val="20"/>
        </w:rPr>
        <w:t xml:space="preserve">pagar la cantidad fijada en el párrafo 176 de la Sentencia por concepto de </w:t>
      </w:r>
      <w:r w:rsidR="00E76D38" w:rsidRPr="004031A5">
        <w:rPr>
          <w:rFonts w:ascii="Verdana" w:hAnsi="Verdana"/>
          <w:sz w:val="20"/>
        </w:rPr>
        <w:t xml:space="preserve">reintegro de costas y gastos </w:t>
      </w:r>
      <w:r w:rsidR="00E76D38" w:rsidRPr="00DF3B59">
        <w:rPr>
          <w:rFonts w:ascii="Verdana" w:hAnsi="Verdana"/>
          <w:i/>
          <w:sz w:val="20"/>
        </w:rPr>
        <w:t xml:space="preserve">(punto resolutivo </w:t>
      </w:r>
      <w:r w:rsidRPr="00DF3B59">
        <w:rPr>
          <w:rFonts w:ascii="Verdana" w:hAnsi="Verdana"/>
          <w:i/>
          <w:sz w:val="20"/>
        </w:rPr>
        <w:t xml:space="preserve">décimo </w:t>
      </w:r>
      <w:r w:rsidR="004031A5" w:rsidRPr="00DF3B59">
        <w:rPr>
          <w:rFonts w:ascii="Verdana" w:hAnsi="Verdana"/>
          <w:i/>
          <w:sz w:val="20"/>
        </w:rPr>
        <w:t>de la Sentencia)</w:t>
      </w:r>
      <w:r w:rsidR="004031A5" w:rsidRPr="004031A5">
        <w:rPr>
          <w:rFonts w:ascii="Verdana" w:hAnsi="Verdana"/>
          <w:sz w:val="20"/>
        </w:rPr>
        <w:t xml:space="preserve">. </w:t>
      </w:r>
    </w:p>
    <w:p w14:paraId="039CC468" w14:textId="77777777" w:rsidR="004031A5" w:rsidRPr="004031A5" w:rsidRDefault="00E76D38" w:rsidP="00AE004E">
      <w:pPr>
        <w:pStyle w:val="Prrafodelista"/>
        <w:numPr>
          <w:ilvl w:val="0"/>
          <w:numId w:val="5"/>
        </w:numPr>
        <w:spacing w:before="120" w:after="120"/>
        <w:ind w:left="0" w:firstLine="0"/>
        <w:jc w:val="both"/>
        <w:rPr>
          <w:rFonts w:ascii="Verdana" w:hAnsi="Verdana"/>
          <w:sz w:val="16"/>
        </w:rPr>
      </w:pPr>
      <w:r w:rsidRPr="00E76D38">
        <w:rPr>
          <w:rFonts w:ascii="Verdana" w:hAnsi="Verdana"/>
          <w:sz w:val="20"/>
        </w:rPr>
        <w:t>Disponer que el Estado adopte, en definitiva y a la mayor brevedad, las medidas que sean necesarias para dar efectivo y pronto cumplimiento a los puntos pendientes de la Sentencia de excepción preliminar, fondo, reparaciones y costas emitida en el presente caso, de acuerdo con lo considerado en la presente Resolución, y con lo estipulado en el artículo 68.1 de la Convención Americana sobre Derechos Humanos.</w:t>
      </w:r>
    </w:p>
    <w:p w14:paraId="763992EC" w14:textId="46B6ACF6" w:rsidR="004031A5" w:rsidRPr="004031A5" w:rsidRDefault="00E76D38" w:rsidP="00AE004E">
      <w:pPr>
        <w:pStyle w:val="Prrafodelista"/>
        <w:numPr>
          <w:ilvl w:val="0"/>
          <w:numId w:val="5"/>
        </w:numPr>
        <w:spacing w:before="120" w:after="120"/>
        <w:ind w:left="0" w:firstLine="0"/>
        <w:jc w:val="both"/>
        <w:rPr>
          <w:rFonts w:ascii="Verdana" w:hAnsi="Verdana"/>
          <w:sz w:val="16"/>
        </w:rPr>
      </w:pPr>
      <w:r w:rsidRPr="00E76D38">
        <w:rPr>
          <w:rFonts w:ascii="Verdana" w:hAnsi="Verdana"/>
          <w:sz w:val="20"/>
        </w:rPr>
        <w:t xml:space="preserve">Disponer </w:t>
      </w:r>
      <w:r w:rsidRPr="009E48D5">
        <w:rPr>
          <w:rFonts w:ascii="Verdana" w:hAnsi="Verdana"/>
          <w:sz w:val="20"/>
        </w:rPr>
        <w:t xml:space="preserve">que el Estado presente a la Corte Interamericana de Derechos Humanos, a más tardar el </w:t>
      </w:r>
      <w:r w:rsidR="009E48D5" w:rsidRPr="009E48D5">
        <w:rPr>
          <w:rFonts w:ascii="Verdana" w:hAnsi="Verdana"/>
          <w:sz w:val="20"/>
        </w:rPr>
        <w:t xml:space="preserve">31 </w:t>
      </w:r>
      <w:r w:rsidRPr="009E48D5">
        <w:rPr>
          <w:rFonts w:ascii="Verdana" w:hAnsi="Verdana"/>
          <w:sz w:val="20"/>
        </w:rPr>
        <w:t xml:space="preserve">de </w:t>
      </w:r>
      <w:r w:rsidR="009E48D5" w:rsidRPr="009E48D5">
        <w:rPr>
          <w:rFonts w:ascii="Verdana" w:hAnsi="Verdana"/>
          <w:sz w:val="20"/>
        </w:rPr>
        <w:t>agosto</w:t>
      </w:r>
      <w:r w:rsidRPr="009E48D5">
        <w:rPr>
          <w:rFonts w:ascii="Verdana" w:hAnsi="Verdana"/>
          <w:sz w:val="20"/>
        </w:rPr>
        <w:t xml:space="preserve"> de 2021</w:t>
      </w:r>
      <w:r w:rsidR="004031A5" w:rsidRPr="009E48D5">
        <w:rPr>
          <w:rFonts w:ascii="Verdana" w:hAnsi="Verdana"/>
          <w:sz w:val="20"/>
        </w:rPr>
        <w:t>, un</w:t>
      </w:r>
      <w:r w:rsidRPr="009E48D5">
        <w:rPr>
          <w:rFonts w:ascii="Verdana" w:hAnsi="Verdana"/>
          <w:sz w:val="20"/>
        </w:rPr>
        <w:t xml:space="preserve"> informe en cuanto al cumplimiento de las medidas</w:t>
      </w:r>
      <w:r w:rsidR="003E68B9" w:rsidRPr="009E48D5">
        <w:rPr>
          <w:rFonts w:ascii="Verdana" w:hAnsi="Verdana"/>
          <w:sz w:val="20"/>
        </w:rPr>
        <w:t xml:space="preserve"> indicadas en el punto resolutivo segundo</w:t>
      </w:r>
      <w:r w:rsidR="000F067F">
        <w:rPr>
          <w:rFonts w:ascii="Verdana" w:hAnsi="Verdana"/>
          <w:sz w:val="20"/>
        </w:rPr>
        <w:t xml:space="preserve"> de la presente Resolución</w:t>
      </w:r>
      <w:r w:rsidR="004031A5">
        <w:rPr>
          <w:rFonts w:ascii="Verdana" w:hAnsi="Verdana"/>
          <w:sz w:val="20"/>
        </w:rPr>
        <w:t xml:space="preserve">. </w:t>
      </w:r>
    </w:p>
    <w:p w14:paraId="6C1F5D5D" w14:textId="314530CA" w:rsidR="004031A5" w:rsidRPr="004031A5" w:rsidRDefault="00E76D38" w:rsidP="00AE004E">
      <w:pPr>
        <w:pStyle w:val="Prrafodelista"/>
        <w:numPr>
          <w:ilvl w:val="0"/>
          <w:numId w:val="5"/>
        </w:numPr>
        <w:spacing w:before="120" w:after="120"/>
        <w:ind w:left="0" w:firstLine="0"/>
        <w:jc w:val="both"/>
        <w:rPr>
          <w:rFonts w:ascii="Verdana" w:hAnsi="Verdana"/>
          <w:sz w:val="16"/>
        </w:rPr>
      </w:pPr>
      <w:r w:rsidRPr="00E76D38">
        <w:rPr>
          <w:rFonts w:ascii="Verdana" w:hAnsi="Verdana"/>
          <w:sz w:val="20"/>
        </w:rPr>
        <w:t xml:space="preserve">Disponer que los representantes de la víctima y la Comisión Interamericana de Derechos Humanos presenten observaciones al informe del Estado mencionado en el punto resolutivo anterior, en los plazos de </w:t>
      </w:r>
      <w:r w:rsidR="006D2C43">
        <w:rPr>
          <w:rFonts w:ascii="Verdana" w:hAnsi="Verdana"/>
          <w:sz w:val="20"/>
        </w:rPr>
        <w:t>cuatro</w:t>
      </w:r>
      <w:r w:rsidR="006D2C43" w:rsidRPr="00E76D38">
        <w:rPr>
          <w:rFonts w:ascii="Verdana" w:hAnsi="Verdana"/>
          <w:sz w:val="20"/>
        </w:rPr>
        <w:t xml:space="preserve"> </w:t>
      </w:r>
      <w:r w:rsidRPr="00E76D38">
        <w:rPr>
          <w:rFonts w:ascii="Verdana" w:hAnsi="Verdana"/>
          <w:sz w:val="20"/>
        </w:rPr>
        <w:t xml:space="preserve">y </w:t>
      </w:r>
      <w:r w:rsidR="006D2C43">
        <w:rPr>
          <w:rFonts w:ascii="Verdana" w:hAnsi="Verdana"/>
          <w:sz w:val="20"/>
        </w:rPr>
        <w:t>seis</w:t>
      </w:r>
      <w:r w:rsidR="006D2C43" w:rsidRPr="00E76D38">
        <w:rPr>
          <w:rFonts w:ascii="Verdana" w:hAnsi="Verdana"/>
          <w:sz w:val="20"/>
        </w:rPr>
        <w:t xml:space="preserve"> </w:t>
      </w:r>
      <w:r w:rsidRPr="00E76D38">
        <w:rPr>
          <w:rFonts w:ascii="Verdana" w:hAnsi="Verdana"/>
          <w:sz w:val="20"/>
        </w:rPr>
        <w:t>semanas, respectivamente, contados a parti</w:t>
      </w:r>
      <w:r w:rsidR="004031A5">
        <w:rPr>
          <w:rFonts w:ascii="Verdana" w:hAnsi="Verdana"/>
          <w:sz w:val="20"/>
        </w:rPr>
        <w:t xml:space="preserve">r de la recepción del informe. </w:t>
      </w:r>
    </w:p>
    <w:p w14:paraId="60C1CA9F" w14:textId="5AD6A07D" w:rsidR="005B4D07" w:rsidRDefault="00E76D38" w:rsidP="00AE004E">
      <w:pPr>
        <w:pStyle w:val="Prrafodelista"/>
        <w:numPr>
          <w:ilvl w:val="0"/>
          <w:numId w:val="5"/>
        </w:numPr>
        <w:spacing w:before="120" w:after="120"/>
        <w:ind w:left="0" w:firstLine="0"/>
        <w:jc w:val="both"/>
        <w:rPr>
          <w:rFonts w:ascii="Verdana" w:hAnsi="Verdana"/>
          <w:sz w:val="20"/>
        </w:rPr>
      </w:pPr>
      <w:r w:rsidRPr="00E76D38">
        <w:rPr>
          <w:rFonts w:ascii="Verdana" w:hAnsi="Verdana"/>
          <w:sz w:val="20"/>
        </w:rPr>
        <w:t>Disponer que la Secretaría de la Corte Interamericana de Derechos Humanos notifique la presente Resolución al Estado, a los representantes de la víctima y a la Comisión Interamericana de Derechos Humanos.</w:t>
      </w:r>
    </w:p>
    <w:p w14:paraId="3DEBB0B1" w14:textId="77777777" w:rsidR="005B4D07" w:rsidRPr="005B4D07" w:rsidRDefault="005B4D07" w:rsidP="005B4D07">
      <w:pPr>
        <w:spacing w:after="0" w:line="240" w:lineRule="auto"/>
        <w:jc w:val="both"/>
        <w:rPr>
          <w:rFonts w:ascii="Verdana" w:eastAsia="Times" w:hAnsi="Verdana" w:cs="Times New Roman"/>
          <w:sz w:val="20"/>
          <w:szCs w:val="20"/>
          <w:lang w:val="es-ES"/>
        </w:rPr>
      </w:pPr>
      <w:r>
        <w:rPr>
          <w:rFonts w:ascii="Verdana" w:hAnsi="Verdana"/>
          <w:sz w:val="20"/>
        </w:rPr>
        <w:br w:type="page"/>
      </w:r>
      <w:r w:rsidRPr="005B4D07">
        <w:rPr>
          <w:rFonts w:ascii="Verdana" w:eastAsia="Times" w:hAnsi="Verdana" w:cs="Times New Roman"/>
          <w:sz w:val="20"/>
          <w:szCs w:val="20"/>
          <w:lang w:val="es-ES"/>
        </w:rPr>
        <w:lastRenderedPageBreak/>
        <w:t xml:space="preserve">Corte IDH. </w:t>
      </w:r>
      <w:r w:rsidRPr="005B4D07">
        <w:rPr>
          <w:rFonts w:ascii="Verdana" w:eastAsia="Times" w:hAnsi="Verdana" w:cs="Times New Roman"/>
          <w:i/>
          <w:sz w:val="20"/>
          <w:szCs w:val="20"/>
          <w:lang w:val="es-ES"/>
        </w:rPr>
        <w:t xml:space="preserve">Caso </w:t>
      </w:r>
      <w:r w:rsidRPr="005B4D07">
        <w:rPr>
          <w:rFonts w:ascii="Verdana" w:eastAsia="Times" w:hAnsi="Verdana" w:cs="Times New Roman"/>
          <w:i/>
          <w:iCs/>
          <w:sz w:val="20"/>
          <w:szCs w:val="20"/>
        </w:rPr>
        <w:t>Hernández Vs. Argentina.</w:t>
      </w:r>
      <w:r w:rsidRPr="005B4D07">
        <w:rPr>
          <w:rFonts w:ascii="Verdana" w:eastAsia="Times" w:hAnsi="Verdana" w:cs="Times New Roman"/>
          <w:iCs/>
          <w:sz w:val="20"/>
          <w:szCs w:val="20"/>
        </w:rPr>
        <w:t xml:space="preserve"> </w:t>
      </w:r>
      <w:r w:rsidRPr="005B4D07">
        <w:rPr>
          <w:rFonts w:ascii="Verdana" w:eastAsia="Times" w:hAnsi="Verdana" w:cs="Arial"/>
          <w:sz w:val="20"/>
          <w:szCs w:val="20"/>
        </w:rPr>
        <w:t>Supervisión de Cumplimiento de Sentencia</w:t>
      </w:r>
      <w:r w:rsidRPr="005B4D07">
        <w:rPr>
          <w:rFonts w:ascii="Verdana" w:eastAsia="Times" w:hAnsi="Verdana" w:cs="Times New Roman"/>
          <w:iCs/>
          <w:sz w:val="20"/>
          <w:szCs w:val="20"/>
        </w:rPr>
        <w:t>. Resolución de la Corte Interamericana de Derechos Humanos de 27 de mayo de 2021.  Resolución adoptada en San José de Costa Rica por medio de sesión virtual.</w:t>
      </w:r>
    </w:p>
    <w:p w14:paraId="15E65098" w14:textId="77777777" w:rsidR="005B4D07" w:rsidRPr="005B4D07" w:rsidRDefault="005B4D07" w:rsidP="005B4D07">
      <w:pPr>
        <w:spacing w:after="0" w:line="240" w:lineRule="auto"/>
        <w:jc w:val="both"/>
        <w:rPr>
          <w:rFonts w:ascii="Verdana" w:eastAsia="Times" w:hAnsi="Verdana" w:cs="Times New Roman"/>
          <w:sz w:val="20"/>
          <w:szCs w:val="20"/>
          <w:lang w:val="es-ES"/>
        </w:rPr>
      </w:pPr>
    </w:p>
    <w:p w14:paraId="3FAE85F9" w14:textId="77777777" w:rsidR="005B4D07" w:rsidRPr="005B4D07" w:rsidRDefault="005B4D07" w:rsidP="005B4D07">
      <w:pPr>
        <w:spacing w:after="0" w:line="240" w:lineRule="auto"/>
        <w:jc w:val="both"/>
        <w:rPr>
          <w:rFonts w:ascii="Verdana" w:eastAsia="Times" w:hAnsi="Verdana" w:cs="Times New Roman"/>
          <w:strike/>
          <w:sz w:val="20"/>
          <w:szCs w:val="20"/>
          <w:lang w:val="es-ES"/>
        </w:rPr>
      </w:pPr>
    </w:p>
    <w:p w14:paraId="2556887C" w14:textId="5E3ED718" w:rsidR="005B4D07" w:rsidRPr="005B4D07" w:rsidRDefault="005B4D07" w:rsidP="005B4D07">
      <w:pPr>
        <w:spacing w:after="0" w:line="240" w:lineRule="auto"/>
        <w:jc w:val="center"/>
        <w:rPr>
          <w:rFonts w:ascii="Verdana" w:eastAsia="Times" w:hAnsi="Verdana" w:cs="Times New Roman"/>
          <w:sz w:val="20"/>
          <w:szCs w:val="20"/>
          <w:lang w:val="pt-BR"/>
        </w:rPr>
      </w:pPr>
    </w:p>
    <w:p w14:paraId="03BECD86" w14:textId="77777777" w:rsidR="005B4D07" w:rsidRPr="005B4D07" w:rsidRDefault="005B4D07" w:rsidP="005B4D07">
      <w:pPr>
        <w:spacing w:after="0" w:line="240" w:lineRule="auto"/>
        <w:jc w:val="center"/>
        <w:rPr>
          <w:rFonts w:ascii="Verdana" w:eastAsia="Times" w:hAnsi="Verdana" w:cs="Times New Roman"/>
          <w:sz w:val="20"/>
          <w:szCs w:val="20"/>
          <w:lang w:val="pt-BR"/>
        </w:rPr>
      </w:pPr>
    </w:p>
    <w:p w14:paraId="49DF444D" w14:textId="77777777" w:rsidR="005B4D07" w:rsidRPr="005B4D07" w:rsidRDefault="005B4D07" w:rsidP="005B4D07">
      <w:pPr>
        <w:spacing w:after="0" w:line="240" w:lineRule="auto"/>
        <w:jc w:val="center"/>
        <w:rPr>
          <w:rFonts w:ascii="Verdana" w:eastAsia="Times" w:hAnsi="Verdana" w:cs="Times New Roman"/>
          <w:sz w:val="20"/>
          <w:szCs w:val="20"/>
          <w:lang w:val="pt-BR"/>
        </w:rPr>
      </w:pPr>
    </w:p>
    <w:p w14:paraId="154C27C6" w14:textId="77777777" w:rsidR="005B4D07" w:rsidRPr="005B4D07" w:rsidRDefault="005B4D07" w:rsidP="005B4D07">
      <w:pPr>
        <w:spacing w:after="0" w:line="240" w:lineRule="auto"/>
        <w:jc w:val="center"/>
        <w:rPr>
          <w:rFonts w:ascii="Verdana" w:eastAsia="Times" w:hAnsi="Verdana" w:cs="Times New Roman"/>
          <w:sz w:val="20"/>
          <w:szCs w:val="20"/>
          <w:lang w:val="pt-BR"/>
        </w:rPr>
      </w:pPr>
    </w:p>
    <w:p w14:paraId="259E9CB1" w14:textId="77777777" w:rsidR="005B4D07" w:rsidRPr="005B4D07" w:rsidRDefault="005B4D07" w:rsidP="005B4D07">
      <w:pPr>
        <w:spacing w:after="0" w:line="240" w:lineRule="auto"/>
        <w:jc w:val="center"/>
        <w:rPr>
          <w:rFonts w:ascii="Verdana" w:eastAsia="Times" w:hAnsi="Verdana" w:cs="Times New Roman"/>
          <w:sz w:val="20"/>
          <w:szCs w:val="20"/>
          <w:lang w:val="pt-BR"/>
        </w:rPr>
      </w:pPr>
    </w:p>
    <w:p w14:paraId="50EDE9E6" w14:textId="2BCE91C1" w:rsidR="005B4D07" w:rsidRPr="005B4D07" w:rsidRDefault="005B4D07" w:rsidP="005B4D07">
      <w:pPr>
        <w:spacing w:after="0" w:line="240" w:lineRule="auto"/>
        <w:jc w:val="center"/>
        <w:rPr>
          <w:rFonts w:ascii="Verdana" w:eastAsia="Times" w:hAnsi="Verdana" w:cs="Times New Roman"/>
          <w:sz w:val="20"/>
          <w:szCs w:val="20"/>
          <w:lang w:val="pt-BR"/>
        </w:rPr>
      </w:pPr>
      <w:r w:rsidRPr="005B4D07">
        <w:rPr>
          <w:rFonts w:ascii="Verdana" w:eastAsia="Times" w:hAnsi="Verdana" w:cs="Times New Roman"/>
          <w:sz w:val="20"/>
          <w:szCs w:val="20"/>
          <w:lang w:val="pt-BR"/>
        </w:rPr>
        <w:t xml:space="preserve">Elizabeth </w:t>
      </w:r>
      <w:proofErr w:type="spellStart"/>
      <w:r w:rsidRPr="005B4D07">
        <w:rPr>
          <w:rFonts w:ascii="Verdana" w:eastAsia="Times" w:hAnsi="Verdana" w:cs="Times New Roman"/>
          <w:sz w:val="20"/>
          <w:szCs w:val="20"/>
          <w:lang w:val="pt-BR"/>
        </w:rPr>
        <w:t>Odio</w:t>
      </w:r>
      <w:proofErr w:type="spellEnd"/>
      <w:r w:rsidRPr="005B4D07">
        <w:rPr>
          <w:rFonts w:ascii="Verdana" w:eastAsia="Times" w:hAnsi="Verdana" w:cs="Times New Roman"/>
          <w:sz w:val="20"/>
          <w:szCs w:val="20"/>
          <w:lang w:val="pt-BR"/>
        </w:rPr>
        <w:t xml:space="preserve"> Benito</w:t>
      </w:r>
    </w:p>
    <w:p w14:paraId="5232EDDA" w14:textId="77777777" w:rsidR="005B4D07" w:rsidRPr="005B4D07" w:rsidRDefault="005B4D07" w:rsidP="005B4D07">
      <w:pPr>
        <w:spacing w:after="0" w:line="240" w:lineRule="auto"/>
        <w:jc w:val="center"/>
        <w:rPr>
          <w:rFonts w:ascii="Verdana" w:eastAsia="Times" w:hAnsi="Verdana" w:cs="Times New Roman"/>
          <w:sz w:val="20"/>
          <w:szCs w:val="20"/>
          <w:lang w:val="pt-BR"/>
        </w:rPr>
      </w:pPr>
      <w:r w:rsidRPr="005B4D07">
        <w:rPr>
          <w:rFonts w:ascii="Verdana" w:eastAsia="Times" w:hAnsi="Verdana" w:cs="Times New Roman"/>
          <w:sz w:val="20"/>
          <w:szCs w:val="20"/>
          <w:lang w:val="pt-BR"/>
        </w:rPr>
        <w:t>Presidenta</w:t>
      </w:r>
    </w:p>
    <w:p w14:paraId="06DBA11C" w14:textId="2EBA7161" w:rsidR="005B4D07" w:rsidRPr="005B4D07" w:rsidRDefault="005B4D07" w:rsidP="005B4D07">
      <w:pPr>
        <w:spacing w:after="0" w:line="240" w:lineRule="auto"/>
        <w:jc w:val="center"/>
        <w:rPr>
          <w:rFonts w:ascii="Verdana" w:eastAsia="Times" w:hAnsi="Verdana" w:cs="Times New Roman"/>
          <w:sz w:val="20"/>
          <w:szCs w:val="20"/>
          <w:lang w:val="pt-BR"/>
        </w:rPr>
      </w:pPr>
    </w:p>
    <w:p w14:paraId="32C06BA4" w14:textId="77777777" w:rsidR="005B4D07" w:rsidRPr="005B4D07" w:rsidRDefault="005B4D07" w:rsidP="005B4D07">
      <w:pPr>
        <w:spacing w:after="0" w:line="240" w:lineRule="auto"/>
        <w:jc w:val="center"/>
        <w:rPr>
          <w:rFonts w:ascii="Verdana" w:eastAsia="Times" w:hAnsi="Verdana" w:cs="Times New Roman"/>
          <w:sz w:val="20"/>
          <w:szCs w:val="20"/>
          <w:lang w:val="pt-BR"/>
        </w:rPr>
      </w:pPr>
    </w:p>
    <w:p w14:paraId="1AEE3C76" w14:textId="77777777" w:rsidR="005B4D07" w:rsidRPr="005B4D07" w:rsidRDefault="005B4D07" w:rsidP="005B4D07">
      <w:pPr>
        <w:spacing w:after="0" w:line="240" w:lineRule="auto"/>
        <w:jc w:val="center"/>
        <w:rPr>
          <w:rFonts w:ascii="Verdana" w:eastAsia="Times" w:hAnsi="Verdana" w:cs="Times New Roman"/>
          <w:sz w:val="20"/>
          <w:szCs w:val="20"/>
          <w:lang w:val="pt-BR"/>
        </w:rPr>
      </w:pPr>
    </w:p>
    <w:p w14:paraId="40923217" w14:textId="77777777" w:rsidR="005B4D07" w:rsidRPr="005B4D07" w:rsidRDefault="005B4D07" w:rsidP="005B4D07">
      <w:pPr>
        <w:spacing w:after="0" w:line="240" w:lineRule="auto"/>
        <w:rPr>
          <w:rFonts w:ascii="Verdana" w:eastAsia="Times" w:hAnsi="Verdana" w:cs="Times New Roman"/>
          <w:sz w:val="20"/>
          <w:szCs w:val="20"/>
          <w:lang w:val="pt-BR"/>
        </w:rPr>
      </w:pPr>
    </w:p>
    <w:p w14:paraId="4398712D" w14:textId="77777777" w:rsidR="005B4D07" w:rsidRPr="005B4D07" w:rsidRDefault="005B4D07" w:rsidP="005B4D07">
      <w:pPr>
        <w:spacing w:after="0" w:line="240" w:lineRule="auto"/>
        <w:rPr>
          <w:rFonts w:ascii="Verdana" w:eastAsia="Times" w:hAnsi="Verdana" w:cs="Times New Roman"/>
          <w:sz w:val="20"/>
          <w:szCs w:val="20"/>
          <w:lang w:val="pt-BR"/>
        </w:rPr>
      </w:pPr>
    </w:p>
    <w:p w14:paraId="4A3A9680" w14:textId="49A1C63C" w:rsidR="005B4D07" w:rsidRPr="005B4D07" w:rsidRDefault="005B4D07" w:rsidP="005B4D07">
      <w:pPr>
        <w:spacing w:after="0" w:line="240" w:lineRule="auto"/>
        <w:rPr>
          <w:rFonts w:ascii="Verdana" w:eastAsia="Times" w:hAnsi="Verdana" w:cs="Times New Roman"/>
          <w:sz w:val="20"/>
          <w:szCs w:val="20"/>
          <w:lang w:val="pt-BR"/>
        </w:rPr>
      </w:pPr>
      <w:r w:rsidRPr="005B4D07">
        <w:rPr>
          <w:rFonts w:ascii="Verdana" w:eastAsia="Times" w:hAnsi="Verdana" w:cs="Times New Roman"/>
          <w:sz w:val="20"/>
          <w:szCs w:val="20"/>
          <w:lang w:val="pt-BR"/>
        </w:rPr>
        <w:t xml:space="preserve">L. </w:t>
      </w:r>
      <w:proofErr w:type="spellStart"/>
      <w:r w:rsidRPr="005B4D07">
        <w:rPr>
          <w:rFonts w:ascii="Verdana" w:eastAsia="Times" w:hAnsi="Verdana" w:cs="Times New Roman"/>
          <w:sz w:val="20"/>
          <w:szCs w:val="20"/>
          <w:lang w:val="pt-BR"/>
        </w:rPr>
        <w:t>Patricio</w:t>
      </w:r>
      <w:proofErr w:type="spellEnd"/>
      <w:r w:rsidRPr="005B4D07">
        <w:rPr>
          <w:rFonts w:ascii="Verdana" w:eastAsia="Times" w:hAnsi="Verdana" w:cs="Times New Roman"/>
          <w:sz w:val="20"/>
          <w:szCs w:val="20"/>
          <w:lang w:val="pt-BR"/>
        </w:rPr>
        <w:t xml:space="preserve"> </w:t>
      </w:r>
      <w:proofErr w:type="spellStart"/>
      <w:r w:rsidRPr="005B4D07">
        <w:rPr>
          <w:rFonts w:ascii="Verdana" w:eastAsia="Times" w:hAnsi="Verdana" w:cs="Times New Roman"/>
          <w:sz w:val="20"/>
          <w:szCs w:val="20"/>
          <w:lang w:val="pt-BR"/>
        </w:rPr>
        <w:t>Pazmiño</w:t>
      </w:r>
      <w:proofErr w:type="spellEnd"/>
      <w:r w:rsidRPr="005B4D07">
        <w:rPr>
          <w:rFonts w:ascii="Verdana" w:eastAsia="Times" w:hAnsi="Verdana" w:cs="Times New Roman"/>
          <w:sz w:val="20"/>
          <w:szCs w:val="20"/>
          <w:lang w:val="pt-BR"/>
        </w:rPr>
        <w:t xml:space="preserve"> Freire</w:t>
      </w:r>
      <w:r w:rsidRPr="005B4D07">
        <w:rPr>
          <w:rFonts w:ascii="Verdana" w:eastAsia="Times" w:hAnsi="Verdana" w:cs="Times New Roman"/>
          <w:sz w:val="20"/>
          <w:szCs w:val="20"/>
          <w:lang w:val="pt-BR"/>
        </w:rPr>
        <w:tab/>
      </w:r>
      <w:r w:rsidRPr="005B4D07">
        <w:rPr>
          <w:rFonts w:ascii="Verdana" w:eastAsia="Times" w:hAnsi="Verdana" w:cs="Times New Roman"/>
          <w:sz w:val="20"/>
          <w:szCs w:val="20"/>
          <w:lang w:val="pt-BR"/>
        </w:rPr>
        <w:tab/>
      </w:r>
      <w:r w:rsidRPr="005B4D07">
        <w:rPr>
          <w:rFonts w:ascii="Verdana" w:eastAsia="Times" w:hAnsi="Verdana" w:cs="Times New Roman"/>
          <w:sz w:val="20"/>
          <w:szCs w:val="20"/>
          <w:lang w:val="pt-BR"/>
        </w:rPr>
        <w:tab/>
      </w:r>
      <w:r w:rsidRPr="005B4D07">
        <w:rPr>
          <w:rFonts w:ascii="Verdana" w:eastAsia="Times" w:hAnsi="Verdana" w:cs="Times New Roman"/>
          <w:sz w:val="20"/>
          <w:szCs w:val="20"/>
          <w:lang w:val="pt-BR"/>
        </w:rPr>
        <w:tab/>
      </w:r>
      <w:r w:rsidRPr="005B4D07">
        <w:rPr>
          <w:rFonts w:ascii="Verdana" w:eastAsia="Times" w:hAnsi="Verdana" w:cs="Times New Roman"/>
          <w:sz w:val="20"/>
          <w:szCs w:val="20"/>
          <w:lang w:val="pt-BR"/>
        </w:rPr>
        <w:tab/>
      </w:r>
      <w:r w:rsidRPr="005B4D07">
        <w:rPr>
          <w:rFonts w:ascii="Verdana" w:eastAsia="Times" w:hAnsi="Verdana" w:cs="Times New Roman"/>
          <w:sz w:val="20"/>
          <w:szCs w:val="20"/>
          <w:lang w:val="pt-BR"/>
        </w:rPr>
        <w:tab/>
        <w:t>Eduardo Vio Grossi</w:t>
      </w:r>
    </w:p>
    <w:p w14:paraId="44AC8D75" w14:textId="77777777" w:rsidR="005B4D07" w:rsidRPr="005B4D07" w:rsidRDefault="005B4D07" w:rsidP="005B4D07">
      <w:pPr>
        <w:spacing w:after="0" w:line="240" w:lineRule="auto"/>
        <w:rPr>
          <w:rFonts w:ascii="Verdana" w:eastAsia="Times" w:hAnsi="Verdana" w:cs="Times New Roman"/>
          <w:sz w:val="20"/>
          <w:szCs w:val="20"/>
          <w:lang w:val="pt-BR"/>
        </w:rPr>
      </w:pPr>
    </w:p>
    <w:p w14:paraId="2ABB9CFE" w14:textId="295C42C0" w:rsidR="005B4D07" w:rsidRPr="005B4D07" w:rsidRDefault="005B4D07" w:rsidP="005B4D07">
      <w:pPr>
        <w:spacing w:after="0" w:line="240" w:lineRule="auto"/>
        <w:rPr>
          <w:rFonts w:ascii="Verdana" w:eastAsia="Times" w:hAnsi="Verdana" w:cs="Times New Roman"/>
          <w:sz w:val="20"/>
          <w:szCs w:val="20"/>
          <w:lang w:val="pt-BR"/>
        </w:rPr>
      </w:pPr>
    </w:p>
    <w:p w14:paraId="7A828DCB" w14:textId="77777777" w:rsidR="005B4D07" w:rsidRPr="005B4D07" w:rsidRDefault="005B4D07" w:rsidP="005B4D07">
      <w:pPr>
        <w:spacing w:after="0" w:line="240" w:lineRule="auto"/>
        <w:rPr>
          <w:rFonts w:ascii="Verdana" w:eastAsia="Times" w:hAnsi="Verdana" w:cs="Times New Roman"/>
          <w:sz w:val="20"/>
          <w:szCs w:val="20"/>
          <w:lang w:val="pt-BR"/>
        </w:rPr>
      </w:pPr>
    </w:p>
    <w:p w14:paraId="7D86968F" w14:textId="77777777" w:rsidR="005B4D07" w:rsidRPr="005B4D07" w:rsidRDefault="005B4D07" w:rsidP="005B4D07">
      <w:pPr>
        <w:spacing w:after="0" w:line="240" w:lineRule="auto"/>
        <w:rPr>
          <w:rFonts w:ascii="Verdana" w:eastAsia="Times" w:hAnsi="Verdana" w:cs="Times New Roman"/>
          <w:sz w:val="20"/>
          <w:szCs w:val="20"/>
          <w:lang w:val="pt-BR"/>
        </w:rPr>
      </w:pPr>
    </w:p>
    <w:p w14:paraId="2F4AE8DB" w14:textId="77777777" w:rsidR="005B4D07" w:rsidRPr="005B4D07" w:rsidRDefault="005B4D07" w:rsidP="005B4D07">
      <w:pPr>
        <w:spacing w:after="0" w:line="240" w:lineRule="auto"/>
        <w:rPr>
          <w:rFonts w:ascii="Verdana" w:eastAsia="Times" w:hAnsi="Verdana" w:cs="Times New Roman"/>
          <w:sz w:val="20"/>
          <w:szCs w:val="20"/>
          <w:lang w:val="pt-BR"/>
        </w:rPr>
      </w:pPr>
    </w:p>
    <w:p w14:paraId="67D3EB9A" w14:textId="77777777" w:rsidR="005B4D07" w:rsidRPr="005B4D07" w:rsidRDefault="005B4D07" w:rsidP="005B4D07">
      <w:pPr>
        <w:spacing w:after="0" w:line="240" w:lineRule="auto"/>
        <w:rPr>
          <w:rFonts w:ascii="Verdana" w:eastAsia="Times" w:hAnsi="Verdana" w:cs="Times New Roman"/>
          <w:sz w:val="20"/>
          <w:szCs w:val="20"/>
          <w:lang w:val="pt-BR"/>
        </w:rPr>
      </w:pPr>
    </w:p>
    <w:p w14:paraId="48026F2D" w14:textId="22664CEC" w:rsidR="005B4D07" w:rsidRPr="005B4D07" w:rsidRDefault="005B4D07" w:rsidP="005B4D07">
      <w:pPr>
        <w:spacing w:after="0" w:line="240" w:lineRule="auto"/>
        <w:rPr>
          <w:rFonts w:ascii="Verdana" w:eastAsia="Times" w:hAnsi="Verdana" w:cs="Times New Roman"/>
          <w:sz w:val="20"/>
          <w:szCs w:val="20"/>
          <w:lang w:val="pt-BR"/>
        </w:rPr>
      </w:pPr>
      <w:r w:rsidRPr="005B4D07">
        <w:rPr>
          <w:rFonts w:ascii="Verdana" w:eastAsia="Times" w:hAnsi="Verdana" w:cs="Times New Roman"/>
          <w:sz w:val="20"/>
          <w:szCs w:val="20"/>
          <w:lang w:val="pt-BR"/>
        </w:rPr>
        <w:t xml:space="preserve">Eduardo Ferrer </w:t>
      </w:r>
      <w:proofErr w:type="spellStart"/>
      <w:r w:rsidRPr="005B4D07">
        <w:rPr>
          <w:rFonts w:ascii="Verdana" w:eastAsia="Times" w:hAnsi="Verdana" w:cs="Times New Roman"/>
          <w:sz w:val="20"/>
          <w:szCs w:val="20"/>
          <w:lang w:val="pt-BR"/>
        </w:rPr>
        <w:t>Mac-Gregor</w:t>
      </w:r>
      <w:proofErr w:type="spellEnd"/>
      <w:r w:rsidRPr="005B4D07">
        <w:rPr>
          <w:rFonts w:ascii="Verdana" w:eastAsia="Times" w:hAnsi="Verdana" w:cs="Times New Roman"/>
          <w:sz w:val="20"/>
          <w:szCs w:val="20"/>
          <w:lang w:val="pt-BR"/>
        </w:rPr>
        <w:t xml:space="preserve"> Poisot</w:t>
      </w:r>
      <w:r w:rsidRPr="005B4D07">
        <w:rPr>
          <w:rFonts w:ascii="Verdana" w:eastAsia="Times" w:hAnsi="Verdana" w:cs="Times New Roman"/>
          <w:sz w:val="20"/>
          <w:szCs w:val="20"/>
          <w:lang w:val="pt-BR"/>
        </w:rPr>
        <w:tab/>
        <w:t xml:space="preserve">                                     Ricardo C. Pérez </w:t>
      </w:r>
      <w:proofErr w:type="spellStart"/>
      <w:r w:rsidRPr="005B4D07">
        <w:rPr>
          <w:rFonts w:ascii="Verdana" w:eastAsia="Times" w:hAnsi="Verdana" w:cs="Times New Roman"/>
          <w:sz w:val="20"/>
          <w:szCs w:val="20"/>
          <w:lang w:val="pt-BR"/>
        </w:rPr>
        <w:t>Manrique</w:t>
      </w:r>
      <w:proofErr w:type="spellEnd"/>
    </w:p>
    <w:p w14:paraId="206FF155" w14:textId="5379861B" w:rsidR="005B4D07" w:rsidRPr="005B4D07" w:rsidRDefault="005B4D07" w:rsidP="005B4D07">
      <w:pPr>
        <w:spacing w:after="0" w:line="240" w:lineRule="auto"/>
        <w:jc w:val="both"/>
        <w:rPr>
          <w:rFonts w:ascii="Verdana" w:eastAsia="Times" w:hAnsi="Verdana" w:cs="Times New Roman"/>
          <w:sz w:val="20"/>
          <w:szCs w:val="20"/>
          <w:lang w:val="pt-BR"/>
        </w:rPr>
      </w:pPr>
    </w:p>
    <w:p w14:paraId="018A1782" w14:textId="77777777" w:rsidR="005B4D07" w:rsidRPr="005B4D07" w:rsidRDefault="005B4D07" w:rsidP="005B4D07">
      <w:pPr>
        <w:spacing w:after="0" w:line="240" w:lineRule="auto"/>
        <w:jc w:val="both"/>
        <w:rPr>
          <w:rFonts w:ascii="Verdana" w:eastAsia="Times" w:hAnsi="Verdana" w:cs="Times New Roman"/>
          <w:sz w:val="20"/>
          <w:szCs w:val="20"/>
          <w:lang w:val="pt-BR"/>
        </w:rPr>
      </w:pPr>
    </w:p>
    <w:p w14:paraId="29B49099" w14:textId="77777777" w:rsidR="005B4D07" w:rsidRPr="005B4D07" w:rsidRDefault="005B4D07" w:rsidP="005B4D07">
      <w:pPr>
        <w:spacing w:after="0" w:line="240" w:lineRule="auto"/>
        <w:jc w:val="both"/>
        <w:rPr>
          <w:rFonts w:ascii="Verdana" w:eastAsia="Times" w:hAnsi="Verdana" w:cs="Times New Roman"/>
          <w:sz w:val="20"/>
          <w:szCs w:val="20"/>
          <w:lang w:val="pt-BR"/>
        </w:rPr>
      </w:pPr>
    </w:p>
    <w:p w14:paraId="0F1C042B" w14:textId="77777777" w:rsidR="005B4D07" w:rsidRPr="005B4D07" w:rsidRDefault="005B4D07" w:rsidP="005B4D07">
      <w:pPr>
        <w:spacing w:after="0" w:line="240" w:lineRule="auto"/>
        <w:jc w:val="both"/>
        <w:rPr>
          <w:rFonts w:ascii="Verdana" w:eastAsia="Times" w:hAnsi="Verdana" w:cs="Times New Roman"/>
          <w:sz w:val="20"/>
          <w:szCs w:val="20"/>
          <w:lang w:val="pt-BR"/>
        </w:rPr>
      </w:pPr>
    </w:p>
    <w:p w14:paraId="40D8A8A5" w14:textId="77777777" w:rsidR="005B4D07" w:rsidRPr="005B4D07" w:rsidRDefault="005B4D07" w:rsidP="005B4D07">
      <w:pPr>
        <w:spacing w:after="0" w:line="240" w:lineRule="auto"/>
        <w:jc w:val="both"/>
        <w:rPr>
          <w:rFonts w:ascii="Verdana" w:eastAsia="Times" w:hAnsi="Verdana" w:cs="Times New Roman"/>
          <w:sz w:val="20"/>
          <w:szCs w:val="20"/>
          <w:lang w:val="pt-BR"/>
        </w:rPr>
      </w:pPr>
    </w:p>
    <w:p w14:paraId="52CA9AEB" w14:textId="77777777" w:rsidR="005B4D07" w:rsidRPr="005B4D07" w:rsidRDefault="005B4D07" w:rsidP="005B4D07">
      <w:pPr>
        <w:spacing w:after="0" w:line="240" w:lineRule="auto"/>
        <w:jc w:val="both"/>
        <w:rPr>
          <w:rFonts w:ascii="Verdana" w:eastAsia="Times" w:hAnsi="Verdana" w:cs="Times New Roman"/>
          <w:sz w:val="20"/>
          <w:szCs w:val="20"/>
          <w:lang w:val="pt-BR"/>
        </w:rPr>
      </w:pPr>
    </w:p>
    <w:p w14:paraId="41A60AC7" w14:textId="77777777" w:rsidR="005B4D07" w:rsidRPr="005B4D07" w:rsidRDefault="005B4D07" w:rsidP="005B4D07">
      <w:pPr>
        <w:spacing w:after="0" w:line="240" w:lineRule="auto"/>
        <w:jc w:val="center"/>
        <w:rPr>
          <w:rFonts w:ascii="Verdana" w:eastAsia="Times" w:hAnsi="Verdana" w:cs="Times New Roman"/>
          <w:sz w:val="20"/>
          <w:szCs w:val="20"/>
          <w:lang w:val="pt-BR"/>
        </w:rPr>
      </w:pPr>
      <w:r w:rsidRPr="005B4D07">
        <w:rPr>
          <w:rFonts w:ascii="Verdana" w:eastAsia="Times" w:hAnsi="Verdana" w:cs="Times New Roman"/>
          <w:sz w:val="20"/>
          <w:szCs w:val="20"/>
          <w:lang w:val="pt-BR"/>
        </w:rPr>
        <w:t>Pablo Saavedra Alessandri</w:t>
      </w:r>
    </w:p>
    <w:p w14:paraId="19F8533B" w14:textId="77777777" w:rsidR="005B4D07" w:rsidRPr="005B4D07" w:rsidRDefault="005B4D07" w:rsidP="005B4D07">
      <w:pPr>
        <w:spacing w:after="0" w:line="240" w:lineRule="auto"/>
        <w:jc w:val="center"/>
        <w:rPr>
          <w:rFonts w:ascii="Verdana" w:eastAsia="Times" w:hAnsi="Verdana" w:cs="Times New Roman"/>
          <w:sz w:val="20"/>
          <w:szCs w:val="20"/>
          <w:lang w:val="pt-BR"/>
        </w:rPr>
      </w:pPr>
      <w:r w:rsidRPr="005B4D07">
        <w:rPr>
          <w:rFonts w:ascii="Verdana" w:eastAsia="Times" w:hAnsi="Verdana" w:cs="Times New Roman"/>
          <w:sz w:val="20"/>
          <w:szCs w:val="20"/>
          <w:lang w:val="pt-BR"/>
        </w:rPr>
        <w:t>Secretario</w:t>
      </w:r>
    </w:p>
    <w:p w14:paraId="669DB73A" w14:textId="77777777" w:rsidR="005B4D07" w:rsidRPr="005B4D07" w:rsidRDefault="005B4D07" w:rsidP="005B4D07">
      <w:pPr>
        <w:spacing w:after="0" w:line="240" w:lineRule="auto"/>
        <w:jc w:val="both"/>
        <w:rPr>
          <w:rFonts w:ascii="Verdana" w:eastAsia="Times" w:hAnsi="Verdana" w:cs="Times New Roman"/>
          <w:sz w:val="20"/>
          <w:szCs w:val="20"/>
          <w:lang w:val="pt-BR"/>
        </w:rPr>
      </w:pPr>
    </w:p>
    <w:p w14:paraId="4B8B2022" w14:textId="77777777" w:rsidR="005B4D07" w:rsidRPr="005B4D07" w:rsidRDefault="005B4D07" w:rsidP="005B4D07">
      <w:pPr>
        <w:spacing w:after="0" w:line="240" w:lineRule="auto"/>
        <w:jc w:val="both"/>
        <w:rPr>
          <w:rFonts w:ascii="Verdana" w:eastAsia="Times" w:hAnsi="Verdana" w:cs="Times New Roman"/>
          <w:sz w:val="20"/>
          <w:szCs w:val="20"/>
          <w:lang w:val="pt-BR"/>
        </w:rPr>
      </w:pPr>
    </w:p>
    <w:p w14:paraId="335CA00E" w14:textId="781AA926" w:rsidR="005B4D07" w:rsidRPr="005B4D07" w:rsidRDefault="005B4D07" w:rsidP="005B4D07">
      <w:pPr>
        <w:spacing w:after="0" w:line="240" w:lineRule="auto"/>
        <w:jc w:val="both"/>
        <w:rPr>
          <w:rFonts w:ascii="Verdana" w:eastAsia="Times" w:hAnsi="Verdana" w:cs="Times New Roman"/>
          <w:sz w:val="20"/>
          <w:szCs w:val="20"/>
          <w:lang w:val="pt-BR"/>
        </w:rPr>
      </w:pPr>
      <w:proofErr w:type="spellStart"/>
      <w:r w:rsidRPr="005B4D07">
        <w:rPr>
          <w:rFonts w:ascii="Verdana" w:eastAsia="Times" w:hAnsi="Verdana" w:cs="Times New Roman"/>
          <w:sz w:val="20"/>
          <w:szCs w:val="20"/>
          <w:lang w:val="pt-BR"/>
        </w:rPr>
        <w:t>Comuníquese</w:t>
      </w:r>
      <w:proofErr w:type="spellEnd"/>
      <w:r w:rsidRPr="005B4D07">
        <w:rPr>
          <w:rFonts w:ascii="Verdana" w:eastAsia="Times" w:hAnsi="Verdana" w:cs="Times New Roman"/>
          <w:sz w:val="20"/>
          <w:szCs w:val="20"/>
          <w:lang w:val="pt-BR"/>
        </w:rPr>
        <w:t xml:space="preserve"> y </w:t>
      </w:r>
      <w:proofErr w:type="spellStart"/>
      <w:r w:rsidRPr="005B4D07">
        <w:rPr>
          <w:rFonts w:ascii="Verdana" w:eastAsia="Times" w:hAnsi="Verdana" w:cs="Times New Roman"/>
          <w:sz w:val="20"/>
          <w:szCs w:val="20"/>
          <w:lang w:val="pt-BR"/>
        </w:rPr>
        <w:t>ejecútese</w:t>
      </w:r>
      <w:proofErr w:type="spellEnd"/>
      <w:r w:rsidRPr="005B4D07">
        <w:rPr>
          <w:rFonts w:ascii="Verdana" w:eastAsia="Times" w:hAnsi="Verdana" w:cs="Times New Roman"/>
          <w:sz w:val="20"/>
          <w:szCs w:val="20"/>
          <w:lang w:val="pt-BR"/>
        </w:rPr>
        <w:t>,</w:t>
      </w:r>
    </w:p>
    <w:p w14:paraId="0374FB8D" w14:textId="77777777" w:rsidR="005B4D07" w:rsidRPr="005B4D07" w:rsidRDefault="005B4D07" w:rsidP="005B4D07">
      <w:pPr>
        <w:spacing w:after="0" w:line="240" w:lineRule="auto"/>
        <w:rPr>
          <w:rFonts w:ascii="Verdana" w:eastAsia="Times" w:hAnsi="Verdana" w:cs="Times New Roman"/>
          <w:sz w:val="20"/>
          <w:szCs w:val="20"/>
          <w:lang w:val="pt-BR"/>
        </w:rPr>
      </w:pPr>
    </w:p>
    <w:p w14:paraId="39E3081F" w14:textId="77777777" w:rsidR="005B4D07" w:rsidRPr="005B4D07" w:rsidRDefault="005B4D07" w:rsidP="005B4D07">
      <w:pPr>
        <w:spacing w:after="0" w:line="240" w:lineRule="auto"/>
        <w:jc w:val="center"/>
        <w:rPr>
          <w:rFonts w:ascii="Verdana" w:eastAsia="Times" w:hAnsi="Verdana" w:cs="Times New Roman"/>
          <w:sz w:val="20"/>
          <w:szCs w:val="20"/>
          <w:lang w:val="pt-BR"/>
        </w:rPr>
      </w:pPr>
    </w:p>
    <w:p w14:paraId="55BB5411" w14:textId="77777777" w:rsidR="005B4D07" w:rsidRPr="005B4D07" w:rsidRDefault="005B4D07" w:rsidP="005B4D07">
      <w:pPr>
        <w:spacing w:after="0" w:line="240" w:lineRule="auto"/>
        <w:jc w:val="center"/>
        <w:rPr>
          <w:rFonts w:ascii="Verdana" w:eastAsia="Times" w:hAnsi="Verdana" w:cs="Times New Roman"/>
          <w:sz w:val="20"/>
          <w:szCs w:val="20"/>
          <w:lang w:val="pt-BR"/>
        </w:rPr>
      </w:pPr>
    </w:p>
    <w:p w14:paraId="0E9502F8" w14:textId="77777777" w:rsidR="005B4D07" w:rsidRPr="005B4D07" w:rsidRDefault="005B4D07" w:rsidP="005B4D07">
      <w:pPr>
        <w:spacing w:after="0" w:line="240" w:lineRule="auto"/>
        <w:jc w:val="right"/>
        <w:rPr>
          <w:rFonts w:ascii="Verdana" w:eastAsia="Times" w:hAnsi="Verdana" w:cs="Times New Roman"/>
          <w:sz w:val="20"/>
          <w:szCs w:val="20"/>
          <w:lang w:val="pt-BR"/>
        </w:rPr>
      </w:pPr>
    </w:p>
    <w:p w14:paraId="059FA210" w14:textId="31D813DC" w:rsidR="005B4D07" w:rsidRPr="005B4D07" w:rsidRDefault="005B4D07" w:rsidP="005B4D07">
      <w:pPr>
        <w:spacing w:after="0" w:line="240" w:lineRule="auto"/>
        <w:jc w:val="center"/>
        <w:rPr>
          <w:rFonts w:ascii="Verdana" w:eastAsia="Times" w:hAnsi="Verdana" w:cs="Times New Roman"/>
          <w:sz w:val="20"/>
          <w:szCs w:val="20"/>
          <w:lang w:val="pt-BR"/>
        </w:rPr>
      </w:pPr>
      <w:r w:rsidRPr="005B4D07">
        <w:rPr>
          <w:rFonts w:ascii="Verdana" w:eastAsia="Times" w:hAnsi="Verdana" w:cs="Times New Roman"/>
          <w:sz w:val="20"/>
          <w:szCs w:val="20"/>
          <w:lang w:val="pt-BR"/>
        </w:rPr>
        <w:t xml:space="preserve">                                                                                               Elizabeth </w:t>
      </w:r>
      <w:proofErr w:type="spellStart"/>
      <w:r w:rsidRPr="005B4D07">
        <w:rPr>
          <w:rFonts w:ascii="Verdana" w:eastAsia="Times" w:hAnsi="Verdana" w:cs="Times New Roman"/>
          <w:sz w:val="20"/>
          <w:szCs w:val="20"/>
          <w:lang w:val="pt-BR"/>
        </w:rPr>
        <w:t>Odio</w:t>
      </w:r>
      <w:proofErr w:type="spellEnd"/>
      <w:r w:rsidRPr="005B4D07">
        <w:rPr>
          <w:rFonts w:ascii="Verdana" w:eastAsia="Times" w:hAnsi="Verdana" w:cs="Times New Roman"/>
          <w:sz w:val="20"/>
          <w:szCs w:val="20"/>
          <w:lang w:val="pt-BR"/>
        </w:rPr>
        <w:t xml:space="preserve"> Benito</w:t>
      </w:r>
    </w:p>
    <w:p w14:paraId="5818FB9B" w14:textId="5DA3CFF4" w:rsidR="005B4D07" w:rsidRPr="005B4D07" w:rsidRDefault="005B4D07" w:rsidP="005B4D07">
      <w:pPr>
        <w:spacing w:after="0" w:line="240" w:lineRule="auto"/>
        <w:ind w:left="6480" w:firstLine="720"/>
        <w:rPr>
          <w:rFonts w:ascii="Verdana" w:eastAsia="Times" w:hAnsi="Verdana" w:cs="Times New Roman"/>
          <w:sz w:val="20"/>
          <w:szCs w:val="20"/>
          <w:lang w:val="pt-BR"/>
        </w:rPr>
      </w:pPr>
      <w:r w:rsidRPr="005B4D07">
        <w:rPr>
          <w:rFonts w:ascii="Verdana" w:eastAsia="Times" w:hAnsi="Verdana" w:cs="Times New Roman"/>
          <w:sz w:val="20"/>
          <w:szCs w:val="20"/>
          <w:lang w:val="pt-BR"/>
        </w:rPr>
        <w:t xml:space="preserve">  Presidenta</w:t>
      </w:r>
    </w:p>
    <w:p w14:paraId="51794133" w14:textId="77777777" w:rsidR="005B4D07" w:rsidRPr="005B4D07" w:rsidRDefault="005B4D07" w:rsidP="005B4D07">
      <w:pPr>
        <w:spacing w:after="0" w:line="240" w:lineRule="auto"/>
        <w:jc w:val="both"/>
        <w:rPr>
          <w:rFonts w:ascii="Verdana" w:eastAsia="Times" w:hAnsi="Verdana" w:cs="Times New Roman"/>
          <w:sz w:val="20"/>
          <w:szCs w:val="20"/>
          <w:lang w:val="pt-BR"/>
        </w:rPr>
      </w:pPr>
    </w:p>
    <w:p w14:paraId="33C71DD7" w14:textId="77777777" w:rsidR="005B4D07" w:rsidRPr="005B4D07" w:rsidRDefault="005B4D07" w:rsidP="005B4D07">
      <w:pPr>
        <w:spacing w:after="0" w:line="240" w:lineRule="auto"/>
        <w:jc w:val="both"/>
        <w:rPr>
          <w:rFonts w:ascii="Verdana" w:eastAsia="Times" w:hAnsi="Verdana" w:cs="Times New Roman"/>
          <w:sz w:val="20"/>
          <w:szCs w:val="20"/>
          <w:lang w:val="pt-BR"/>
        </w:rPr>
      </w:pPr>
    </w:p>
    <w:p w14:paraId="78D0928D" w14:textId="77777777" w:rsidR="005B4D07" w:rsidRPr="005B4D07" w:rsidRDefault="005B4D07" w:rsidP="005B4D07">
      <w:pPr>
        <w:spacing w:after="0" w:line="240" w:lineRule="auto"/>
        <w:jc w:val="both"/>
        <w:rPr>
          <w:rFonts w:ascii="Verdana" w:eastAsia="Times" w:hAnsi="Verdana" w:cs="Times New Roman"/>
          <w:sz w:val="20"/>
          <w:szCs w:val="20"/>
          <w:lang w:val="pt-BR"/>
        </w:rPr>
      </w:pPr>
    </w:p>
    <w:p w14:paraId="74931611" w14:textId="77777777" w:rsidR="005B4D07" w:rsidRPr="005B4D07" w:rsidRDefault="005B4D07" w:rsidP="005B4D07">
      <w:pPr>
        <w:spacing w:after="0" w:line="240" w:lineRule="auto"/>
        <w:jc w:val="both"/>
        <w:rPr>
          <w:rFonts w:ascii="Verdana" w:eastAsia="Times" w:hAnsi="Verdana" w:cs="Times New Roman"/>
          <w:sz w:val="20"/>
          <w:szCs w:val="20"/>
          <w:lang w:val="pt-BR"/>
        </w:rPr>
      </w:pPr>
    </w:p>
    <w:p w14:paraId="49C28B47" w14:textId="77777777" w:rsidR="005B4D07" w:rsidRPr="005B4D07" w:rsidRDefault="005B4D07" w:rsidP="005B4D07">
      <w:pPr>
        <w:spacing w:after="0" w:line="240" w:lineRule="auto"/>
        <w:jc w:val="both"/>
        <w:rPr>
          <w:rFonts w:ascii="Verdana" w:eastAsia="Times" w:hAnsi="Verdana" w:cs="Times New Roman"/>
          <w:sz w:val="20"/>
          <w:szCs w:val="20"/>
          <w:lang w:val="pt-BR"/>
        </w:rPr>
      </w:pPr>
    </w:p>
    <w:p w14:paraId="4765FB6F" w14:textId="77777777" w:rsidR="005B4D07" w:rsidRPr="005B4D07" w:rsidRDefault="005B4D07" w:rsidP="005B4D07">
      <w:pPr>
        <w:spacing w:after="0" w:line="240" w:lineRule="auto"/>
        <w:jc w:val="both"/>
        <w:rPr>
          <w:rFonts w:ascii="Verdana" w:eastAsia="Times" w:hAnsi="Verdana" w:cs="Times New Roman"/>
          <w:sz w:val="20"/>
          <w:szCs w:val="20"/>
          <w:lang w:val="pt-BR"/>
        </w:rPr>
      </w:pPr>
      <w:r w:rsidRPr="005B4D07">
        <w:rPr>
          <w:rFonts w:ascii="Verdana" w:eastAsia="Times" w:hAnsi="Verdana" w:cs="Times New Roman"/>
          <w:sz w:val="20"/>
          <w:szCs w:val="20"/>
          <w:lang w:val="pt-BR"/>
        </w:rPr>
        <w:t>Pablo Saavedra Alessandri</w:t>
      </w:r>
    </w:p>
    <w:p w14:paraId="31851DD7" w14:textId="5AAECF85" w:rsidR="00E76D38" w:rsidRPr="005B4D07" w:rsidRDefault="005B4D07" w:rsidP="005B4D07">
      <w:pPr>
        <w:spacing w:after="0" w:line="240" w:lineRule="auto"/>
        <w:rPr>
          <w:rFonts w:ascii="Times" w:eastAsia="Times" w:hAnsi="Times" w:cs="Times New Roman"/>
          <w:sz w:val="24"/>
          <w:szCs w:val="20"/>
          <w:lang w:val="es-ES"/>
        </w:rPr>
      </w:pPr>
      <w:r w:rsidRPr="005B4D07">
        <w:rPr>
          <w:rFonts w:ascii="Verdana" w:eastAsia="Times" w:hAnsi="Verdana" w:cs="Times New Roman"/>
          <w:sz w:val="20"/>
          <w:szCs w:val="20"/>
          <w:lang w:val="pt-BR"/>
        </w:rPr>
        <w:t xml:space="preserve">          </w:t>
      </w:r>
      <w:r w:rsidRPr="005B4D07">
        <w:rPr>
          <w:rFonts w:ascii="Verdana" w:eastAsia="Times" w:hAnsi="Verdana" w:cs="Times New Roman"/>
          <w:sz w:val="20"/>
          <w:szCs w:val="20"/>
          <w:lang w:val="es-ES"/>
        </w:rPr>
        <w:t>Secretario</w:t>
      </w:r>
    </w:p>
    <w:sectPr w:rsidR="00E76D38" w:rsidRPr="005B4D07" w:rsidSect="00281DA7">
      <w:footerReference w:type="default" r:id="rId8"/>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1E76EF" w14:textId="77777777" w:rsidR="002235F9" w:rsidRDefault="002235F9" w:rsidP="004D4BE7">
      <w:pPr>
        <w:spacing w:after="0" w:line="240" w:lineRule="auto"/>
      </w:pPr>
      <w:r>
        <w:separator/>
      </w:r>
    </w:p>
  </w:endnote>
  <w:endnote w:type="continuationSeparator" w:id="0">
    <w:p w14:paraId="0FD66AE6" w14:textId="77777777" w:rsidR="002235F9" w:rsidRDefault="002235F9" w:rsidP="004D4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08BAD" w14:textId="45C094F0" w:rsidR="004D4BE7" w:rsidRPr="004D4BE7" w:rsidRDefault="004D4BE7" w:rsidP="004D4BE7">
    <w:pPr>
      <w:pStyle w:val="Piedepgina"/>
      <w:jc w:val="center"/>
      <w:rPr>
        <w:rFonts w:ascii="Verdana" w:hAnsi="Verdana"/>
        <w:sz w:val="20"/>
        <w:szCs w:val="20"/>
      </w:rPr>
    </w:pPr>
    <w:r>
      <w:rPr>
        <w:rFonts w:ascii="Verdana" w:hAnsi="Verdana"/>
        <w:sz w:val="20"/>
        <w:szCs w:val="20"/>
      </w:rPr>
      <w:t>-</w:t>
    </w:r>
    <w:r w:rsidRPr="004D4BE7">
      <w:rPr>
        <w:rFonts w:ascii="Verdana" w:hAnsi="Verdana"/>
        <w:sz w:val="20"/>
        <w:szCs w:val="20"/>
      </w:rPr>
      <w:fldChar w:fldCharType="begin"/>
    </w:r>
    <w:r w:rsidRPr="004D4BE7">
      <w:rPr>
        <w:rFonts w:ascii="Verdana" w:hAnsi="Verdana"/>
        <w:sz w:val="20"/>
        <w:szCs w:val="20"/>
      </w:rPr>
      <w:instrText>PAGE   \* MERGEFORMAT</w:instrText>
    </w:r>
    <w:r w:rsidRPr="004D4BE7">
      <w:rPr>
        <w:rFonts w:ascii="Verdana" w:hAnsi="Verdana"/>
        <w:sz w:val="20"/>
        <w:szCs w:val="20"/>
      </w:rPr>
      <w:fldChar w:fldCharType="separate"/>
    </w:r>
    <w:r w:rsidR="00023180">
      <w:rPr>
        <w:rFonts w:ascii="Verdana" w:hAnsi="Verdana"/>
        <w:noProof/>
        <w:sz w:val="20"/>
        <w:szCs w:val="20"/>
      </w:rPr>
      <w:t>5</w:t>
    </w:r>
    <w:r w:rsidRPr="004D4BE7">
      <w:rPr>
        <w:rFonts w:ascii="Verdana" w:hAnsi="Verdana"/>
        <w:sz w:val="20"/>
        <w:szCs w:val="20"/>
      </w:rPr>
      <w:fldChar w:fldCharType="end"/>
    </w:r>
    <w:r>
      <w:rPr>
        <w:rFonts w:ascii="Verdana" w:hAnsi="Verdana"/>
        <w:sz w:val="20"/>
        <w:szCs w:val="20"/>
      </w:rPr>
      <w:t>-</w:t>
    </w:r>
  </w:p>
  <w:p w14:paraId="6C5B3C78" w14:textId="77777777" w:rsidR="004D4BE7" w:rsidRDefault="004D4BE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BC4253" w14:textId="77777777" w:rsidR="002235F9" w:rsidRDefault="002235F9" w:rsidP="004D4BE7">
      <w:pPr>
        <w:spacing w:after="0" w:line="240" w:lineRule="auto"/>
      </w:pPr>
      <w:r>
        <w:separator/>
      </w:r>
    </w:p>
  </w:footnote>
  <w:footnote w:type="continuationSeparator" w:id="0">
    <w:p w14:paraId="682C9428" w14:textId="77777777" w:rsidR="002235F9" w:rsidRDefault="002235F9" w:rsidP="004D4BE7">
      <w:pPr>
        <w:spacing w:after="0" w:line="240" w:lineRule="auto"/>
      </w:pPr>
      <w:r>
        <w:continuationSeparator/>
      </w:r>
    </w:p>
  </w:footnote>
  <w:footnote w:id="1">
    <w:p w14:paraId="5CCF6EF8" w14:textId="1E8D4BD3" w:rsidR="00DA4805" w:rsidRPr="00DF3B59" w:rsidRDefault="004D4BE7" w:rsidP="004D4BE7">
      <w:pPr>
        <w:pStyle w:val="Textonotapie"/>
        <w:jc w:val="both"/>
        <w:rPr>
          <w:rFonts w:ascii="Verdana" w:hAnsi="Verdana"/>
          <w:sz w:val="16"/>
          <w:szCs w:val="16"/>
        </w:rPr>
      </w:pPr>
      <w:r w:rsidRPr="00DF3B59">
        <w:rPr>
          <w:rFonts w:ascii="Verdana" w:hAnsi="Verdana"/>
          <w:sz w:val="16"/>
          <w:szCs w:val="16"/>
          <w:vertAlign w:val="superscript"/>
        </w:rPr>
        <w:t>*</w:t>
      </w:r>
      <w:r w:rsidRPr="00DF3B59">
        <w:rPr>
          <w:rFonts w:ascii="Verdana" w:hAnsi="Verdana"/>
          <w:sz w:val="16"/>
          <w:szCs w:val="16"/>
        </w:rPr>
        <w:tab/>
        <w:t xml:space="preserve">El Juez Eugenio Raúl Zaffaroni, de nacionalidad argentina, no participó en la deliberación y firma de la Sentencia de este caso, ni en el conocimiento y deliberación de la presente Resolución, de conformidad con lo dispuesto en el artículo 19.1 del Reglamento de la Corte. </w:t>
      </w:r>
      <w:r w:rsidR="00E05F9A">
        <w:rPr>
          <w:rFonts w:ascii="Verdana" w:hAnsi="Verdana"/>
          <w:sz w:val="16"/>
          <w:szCs w:val="16"/>
        </w:rPr>
        <w:t xml:space="preserve">El Juez Humberto A. Sierra Porto no participó en la deliberación y firma de la presente Resolución por razones de fuerza mayor. </w:t>
      </w:r>
      <w:r w:rsidRPr="00DF3B59">
        <w:rPr>
          <w:rFonts w:ascii="Verdana" w:hAnsi="Verdana"/>
          <w:sz w:val="16"/>
          <w:szCs w:val="16"/>
        </w:rPr>
        <w:t xml:space="preserve">Debido a las circunstancias </w:t>
      </w:r>
      <w:r w:rsidRPr="00E05F9A">
        <w:rPr>
          <w:rFonts w:ascii="Verdana" w:hAnsi="Verdana"/>
          <w:sz w:val="16"/>
          <w:szCs w:val="16"/>
        </w:rPr>
        <w:t>excepcionales ocasionadas por la pandemia COVID-19, esta Resolución fue deliberada y aprobada durante el 14</w:t>
      </w:r>
      <w:r w:rsidR="00E46611" w:rsidRPr="00E05F9A">
        <w:rPr>
          <w:rFonts w:ascii="Verdana" w:hAnsi="Verdana"/>
          <w:sz w:val="16"/>
          <w:szCs w:val="16"/>
        </w:rPr>
        <w:t>2</w:t>
      </w:r>
      <w:r w:rsidRPr="00E05F9A">
        <w:rPr>
          <w:rFonts w:ascii="Verdana" w:hAnsi="Verdana"/>
          <w:sz w:val="16"/>
          <w:szCs w:val="16"/>
        </w:rPr>
        <w:t xml:space="preserve"> Período Ordinario de Sesiones, el cual se llevó a cabo de forma no presencial utilizando medios tecnológicos de conformidad con lo establecido en el Reglamento de la Corte.</w:t>
      </w:r>
    </w:p>
    <w:p w14:paraId="1CE109E5" w14:textId="77777777" w:rsidR="00DA4805" w:rsidRPr="00DF3B59" w:rsidRDefault="004D4BE7" w:rsidP="004D4BE7">
      <w:pPr>
        <w:pStyle w:val="Textonotapie"/>
        <w:jc w:val="both"/>
        <w:rPr>
          <w:rFonts w:ascii="Verdana" w:hAnsi="Verdana"/>
          <w:sz w:val="16"/>
          <w:szCs w:val="16"/>
        </w:rPr>
      </w:pPr>
      <w:r w:rsidRPr="00DF3B59">
        <w:rPr>
          <w:rStyle w:val="Refdenotaalpie"/>
          <w:rFonts w:ascii="Verdana" w:hAnsi="Verdana"/>
          <w:sz w:val="16"/>
          <w:szCs w:val="16"/>
        </w:rPr>
        <w:footnoteRef/>
      </w:r>
      <w:r w:rsidRPr="00DF3B59">
        <w:rPr>
          <w:rFonts w:ascii="Verdana" w:hAnsi="Verdana"/>
          <w:sz w:val="16"/>
          <w:szCs w:val="16"/>
        </w:rPr>
        <w:t xml:space="preserve"> </w:t>
      </w:r>
      <w:r w:rsidRPr="00DF3B59">
        <w:rPr>
          <w:rFonts w:ascii="Verdana" w:hAnsi="Verdana"/>
          <w:sz w:val="16"/>
          <w:szCs w:val="16"/>
        </w:rPr>
        <w:tab/>
      </w:r>
      <w:r w:rsidRPr="00DF3B59">
        <w:rPr>
          <w:rFonts w:ascii="Verdana" w:hAnsi="Verdana"/>
          <w:i/>
          <w:sz w:val="16"/>
          <w:szCs w:val="16"/>
        </w:rPr>
        <w:t xml:space="preserve">Cfr. </w:t>
      </w:r>
      <w:r w:rsidR="00066A96" w:rsidRPr="00DF3B59">
        <w:rPr>
          <w:rFonts w:ascii="Verdana" w:hAnsi="Verdana"/>
          <w:i/>
          <w:sz w:val="16"/>
          <w:szCs w:val="16"/>
        </w:rPr>
        <w:t xml:space="preserve">Caso Hernández Vs. Argentina. Excepción Preliminar, Fondo, Reparaciones y Costas. </w:t>
      </w:r>
      <w:r w:rsidR="00066A96" w:rsidRPr="00DF3B59">
        <w:rPr>
          <w:rFonts w:ascii="Verdana" w:hAnsi="Verdana"/>
          <w:sz w:val="16"/>
          <w:szCs w:val="16"/>
        </w:rPr>
        <w:t xml:space="preserve">Sentencia de 22 de noviembre de 2019. Serie C No. 395. </w:t>
      </w:r>
      <w:r w:rsidRPr="00DF3B59">
        <w:rPr>
          <w:rFonts w:ascii="Verdana" w:hAnsi="Verdana"/>
          <w:sz w:val="16"/>
          <w:szCs w:val="16"/>
        </w:rPr>
        <w:t xml:space="preserve">El texto íntegro de la Sentencia se encuentra disponible en: </w:t>
      </w:r>
      <w:hyperlink r:id="rId1" w:history="1">
        <w:r w:rsidR="00066A96" w:rsidRPr="00DF3B59">
          <w:rPr>
            <w:rStyle w:val="Hipervnculo"/>
            <w:rFonts w:ascii="Verdana" w:hAnsi="Verdana"/>
            <w:sz w:val="16"/>
            <w:szCs w:val="16"/>
          </w:rPr>
          <w:t>http://www.corteidh.or.cr/docs/casos/articulos/seriec_395_esp.pdf</w:t>
        </w:r>
      </w:hyperlink>
      <w:r w:rsidR="00066A96" w:rsidRPr="00DF3B59">
        <w:rPr>
          <w:rFonts w:ascii="Verdana" w:hAnsi="Verdana"/>
          <w:sz w:val="16"/>
          <w:szCs w:val="16"/>
        </w:rPr>
        <w:t>.</w:t>
      </w:r>
      <w:r w:rsidRPr="00DF3B59">
        <w:rPr>
          <w:rFonts w:ascii="Verdana" w:hAnsi="Verdana"/>
          <w:sz w:val="16"/>
          <w:szCs w:val="16"/>
        </w:rPr>
        <w:t xml:space="preserve"> La Sentencia se notificó el </w:t>
      </w:r>
      <w:r w:rsidR="00DA4805" w:rsidRPr="00DF3B59">
        <w:rPr>
          <w:rFonts w:ascii="Verdana" w:hAnsi="Verdana"/>
          <w:sz w:val="16"/>
          <w:szCs w:val="16"/>
        </w:rPr>
        <w:t>20 de diciembre de 2019</w:t>
      </w:r>
      <w:r w:rsidRPr="00DF3B59">
        <w:rPr>
          <w:rFonts w:ascii="Verdana" w:hAnsi="Verdana"/>
          <w:sz w:val="16"/>
          <w:szCs w:val="16"/>
        </w:rPr>
        <w:t xml:space="preserve">. </w:t>
      </w:r>
    </w:p>
  </w:footnote>
  <w:footnote w:id="2">
    <w:p w14:paraId="53C3BAB5" w14:textId="5D27B84A" w:rsidR="00774626" w:rsidRPr="00DF3B59" w:rsidRDefault="00774626">
      <w:pPr>
        <w:pStyle w:val="Textonotapie"/>
        <w:rPr>
          <w:rFonts w:ascii="Verdana" w:hAnsi="Verdana"/>
          <w:sz w:val="16"/>
          <w:szCs w:val="16"/>
        </w:rPr>
      </w:pPr>
      <w:r w:rsidRPr="00DF3B59">
        <w:rPr>
          <w:rStyle w:val="Refdenotaalpie"/>
          <w:rFonts w:ascii="Verdana" w:hAnsi="Verdana"/>
          <w:sz w:val="16"/>
          <w:szCs w:val="16"/>
        </w:rPr>
        <w:footnoteRef/>
      </w:r>
      <w:r w:rsidRPr="00DF3B59">
        <w:rPr>
          <w:rFonts w:ascii="Verdana" w:hAnsi="Verdana"/>
          <w:sz w:val="16"/>
          <w:szCs w:val="16"/>
        </w:rPr>
        <w:t xml:space="preserve"> </w:t>
      </w:r>
      <w:r w:rsidRPr="00DF3B59">
        <w:rPr>
          <w:rFonts w:ascii="Verdana" w:hAnsi="Verdana"/>
          <w:sz w:val="16"/>
          <w:szCs w:val="16"/>
        </w:rPr>
        <w:tab/>
        <w:t>El señor Hernández falleció en el año 2015.</w:t>
      </w:r>
    </w:p>
  </w:footnote>
  <w:footnote w:id="3">
    <w:p w14:paraId="0F5C94C9" w14:textId="5C194FDE" w:rsidR="00447674" w:rsidRPr="00DF3B59" w:rsidRDefault="00447674">
      <w:pPr>
        <w:pStyle w:val="Textonotapie"/>
        <w:rPr>
          <w:rFonts w:ascii="Verdana" w:hAnsi="Verdana"/>
          <w:sz w:val="16"/>
          <w:szCs w:val="16"/>
        </w:rPr>
      </w:pPr>
      <w:r w:rsidRPr="00DF3B59">
        <w:rPr>
          <w:rStyle w:val="Refdenotaalpie"/>
          <w:rFonts w:ascii="Verdana" w:hAnsi="Verdana"/>
          <w:sz w:val="16"/>
          <w:szCs w:val="16"/>
        </w:rPr>
        <w:footnoteRef/>
      </w:r>
      <w:r w:rsidRPr="00DF3B59">
        <w:rPr>
          <w:rFonts w:ascii="Verdana" w:hAnsi="Verdana"/>
          <w:sz w:val="16"/>
          <w:szCs w:val="16"/>
        </w:rPr>
        <w:t xml:space="preserve"> </w:t>
      </w:r>
      <w:r w:rsidRPr="00DF3B59">
        <w:rPr>
          <w:rFonts w:ascii="Verdana" w:hAnsi="Verdana"/>
          <w:sz w:val="16"/>
          <w:szCs w:val="16"/>
        </w:rPr>
        <w:tab/>
      </w:r>
      <w:r w:rsidR="000F067F">
        <w:rPr>
          <w:rFonts w:ascii="Verdana" w:hAnsi="Verdana"/>
          <w:sz w:val="16"/>
          <w:szCs w:val="16"/>
        </w:rPr>
        <w:t>La corrección de e</w:t>
      </w:r>
      <w:r w:rsidRPr="00DF3B59">
        <w:rPr>
          <w:rFonts w:ascii="Verdana" w:hAnsi="Verdana"/>
          <w:sz w:val="16"/>
          <w:szCs w:val="16"/>
        </w:rPr>
        <w:t xml:space="preserve">ste error material fue </w:t>
      </w:r>
      <w:r w:rsidR="000F067F">
        <w:rPr>
          <w:rFonts w:ascii="Verdana" w:hAnsi="Verdana"/>
          <w:sz w:val="16"/>
          <w:szCs w:val="16"/>
        </w:rPr>
        <w:t xml:space="preserve">solicitada </w:t>
      </w:r>
      <w:r w:rsidRPr="00DF3B59">
        <w:rPr>
          <w:rFonts w:ascii="Verdana" w:hAnsi="Verdana"/>
          <w:sz w:val="16"/>
          <w:szCs w:val="16"/>
        </w:rPr>
        <w:t>por el Estado mediante escrito de 29 de junio de 2020.</w:t>
      </w:r>
    </w:p>
  </w:footnote>
  <w:footnote w:id="4">
    <w:p w14:paraId="1C509076" w14:textId="77777777" w:rsidR="00DA4805" w:rsidRPr="00EC2886" w:rsidRDefault="004D4BE7" w:rsidP="004D4BE7">
      <w:pPr>
        <w:pStyle w:val="Textonotapie"/>
        <w:jc w:val="both"/>
        <w:rPr>
          <w:rFonts w:ascii="Verdana" w:hAnsi="Verdana"/>
          <w:sz w:val="16"/>
          <w:szCs w:val="16"/>
        </w:rPr>
      </w:pPr>
      <w:r w:rsidRPr="00EC2886">
        <w:rPr>
          <w:rStyle w:val="Refdenotaalpie"/>
          <w:rFonts w:ascii="Verdana" w:hAnsi="Verdana"/>
          <w:sz w:val="16"/>
          <w:szCs w:val="16"/>
        </w:rPr>
        <w:footnoteRef/>
      </w:r>
      <w:r w:rsidRPr="00EC2886">
        <w:rPr>
          <w:rFonts w:ascii="Verdana" w:hAnsi="Verdana"/>
          <w:sz w:val="16"/>
          <w:szCs w:val="16"/>
        </w:rPr>
        <w:t xml:space="preserve"> </w:t>
      </w:r>
      <w:r w:rsidRPr="00EC2886">
        <w:rPr>
          <w:rFonts w:ascii="Verdana" w:hAnsi="Verdana"/>
          <w:sz w:val="16"/>
          <w:szCs w:val="16"/>
        </w:rPr>
        <w:tab/>
        <w:t>Los representantes son lo</w:t>
      </w:r>
      <w:r>
        <w:rPr>
          <w:rFonts w:ascii="Verdana" w:hAnsi="Verdana"/>
          <w:sz w:val="16"/>
          <w:szCs w:val="16"/>
        </w:rPr>
        <w:t>s</w:t>
      </w:r>
      <w:r w:rsidRPr="00EC2886">
        <w:rPr>
          <w:rFonts w:ascii="Verdana" w:hAnsi="Verdana"/>
          <w:sz w:val="16"/>
          <w:szCs w:val="16"/>
        </w:rPr>
        <w:t xml:space="preserve"> señores </w:t>
      </w:r>
      <w:r w:rsidR="00FE1006">
        <w:rPr>
          <w:rFonts w:ascii="Verdana" w:hAnsi="Verdana"/>
          <w:sz w:val="16"/>
          <w:szCs w:val="16"/>
        </w:rPr>
        <w:t>Rodolfo Ojea Quintana y Tomás Ojea Quintana</w:t>
      </w:r>
      <w:r>
        <w:rPr>
          <w:rFonts w:ascii="Verdana" w:hAnsi="Verdana"/>
          <w:sz w:val="16"/>
          <w:szCs w:val="16"/>
        </w:rPr>
        <w:t>.</w:t>
      </w:r>
    </w:p>
  </w:footnote>
  <w:footnote w:id="5">
    <w:p w14:paraId="59C2C3E0" w14:textId="77777777" w:rsidR="00DA4805" w:rsidRPr="00EF2CD2" w:rsidRDefault="004D4BE7" w:rsidP="004D4BE7">
      <w:pPr>
        <w:pStyle w:val="Textonotapie"/>
        <w:jc w:val="both"/>
        <w:rPr>
          <w:rFonts w:ascii="Verdana" w:hAnsi="Verdana"/>
          <w:sz w:val="16"/>
        </w:rPr>
      </w:pPr>
      <w:r w:rsidRPr="00596ECD">
        <w:rPr>
          <w:rStyle w:val="Refdenotaalpie"/>
          <w:rFonts w:ascii="Verdana" w:hAnsi="Verdana"/>
          <w:sz w:val="16"/>
        </w:rPr>
        <w:footnoteRef/>
      </w:r>
      <w:r w:rsidRPr="00596ECD">
        <w:rPr>
          <w:rFonts w:ascii="Verdana" w:hAnsi="Verdana"/>
          <w:sz w:val="16"/>
        </w:rPr>
        <w:t xml:space="preserve"> </w:t>
      </w:r>
      <w:r>
        <w:rPr>
          <w:rFonts w:ascii="Verdana" w:hAnsi="Verdana"/>
          <w:sz w:val="16"/>
        </w:rPr>
        <w:tab/>
      </w:r>
      <w:r w:rsidRPr="00596ECD">
        <w:rPr>
          <w:rFonts w:ascii="Verdana" w:hAnsi="Verdana"/>
          <w:sz w:val="16"/>
        </w:rPr>
        <w:t>Facultad que además se desprende de lo dispuesto en los artículos 33, 62.1, 62.3 y 65 de la Convención Americana sobre Derechos Humanos y 30 de su Estatuto y se encuentra regulada en el artículo 69 de su Reglamento.</w:t>
      </w:r>
    </w:p>
  </w:footnote>
  <w:footnote w:id="6">
    <w:p w14:paraId="1FE14D61" w14:textId="77777777" w:rsidR="00DA4805" w:rsidRPr="00EF2CD2" w:rsidRDefault="004D4BE7" w:rsidP="004D4BE7">
      <w:pPr>
        <w:pStyle w:val="Textonotapie"/>
        <w:jc w:val="both"/>
        <w:rPr>
          <w:rFonts w:ascii="Verdana" w:hAnsi="Verdana"/>
          <w:sz w:val="16"/>
        </w:rPr>
      </w:pPr>
      <w:r w:rsidRPr="00BF41E1">
        <w:rPr>
          <w:rStyle w:val="Refdenotaalpie"/>
          <w:rFonts w:ascii="Verdana" w:hAnsi="Verdana"/>
          <w:sz w:val="16"/>
        </w:rPr>
        <w:footnoteRef/>
      </w:r>
      <w:r w:rsidRPr="00BF41E1">
        <w:rPr>
          <w:rFonts w:ascii="Verdana" w:hAnsi="Verdana"/>
          <w:sz w:val="16"/>
        </w:rPr>
        <w:t xml:space="preserve"> </w:t>
      </w:r>
      <w:r>
        <w:rPr>
          <w:rFonts w:ascii="Verdana" w:hAnsi="Verdana"/>
          <w:sz w:val="16"/>
        </w:rPr>
        <w:tab/>
      </w:r>
      <w:r w:rsidRPr="00BF41E1">
        <w:rPr>
          <w:rFonts w:ascii="Verdana" w:hAnsi="Verdana"/>
          <w:i/>
          <w:sz w:val="16"/>
        </w:rPr>
        <w:t>Cfr. Caso Cinco Pensionistas Vs. Perú. Supervisión de cumplimiento de Sentencia.</w:t>
      </w:r>
      <w:r w:rsidRPr="00BF41E1">
        <w:rPr>
          <w:rFonts w:ascii="Verdana" w:hAnsi="Verdana"/>
          <w:sz w:val="16"/>
        </w:rPr>
        <w:t xml:space="preserve"> Resolución de la Corte Interamericana de Derechos Humanos de 17 de noviembre de 2004, Considerando 5,</w:t>
      </w:r>
      <w:r>
        <w:rPr>
          <w:rFonts w:ascii="Verdana" w:hAnsi="Verdana"/>
          <w:sz w:val="16"/>
        </w:rPr>
        <w:t xml:space="preserve"> y </w:t>
      </w:r>
      <w:r w:rsidR="00EF2CD2" w:rsidRPr="00EF2CD2">
        <w:rPr>
          <w:rFonts w:ascii="Verdana" w:hAnsi="Verdana"/>
          <w:i/>
          <w:sz w:val="16"/>
        </w:rPr>
        <w:t xml:space="preserve">Caso </w:t>
      </w:r>
      <w:proofErr w:type="spellStart"/>
      <w:r w:rsidR="00EF2CD2" w:rsidRPr="00EF2CD2">
        <w:rPr>
          <w:rFonts w:ascii="Verdana" w:hAnsi="Verdana"/>
          <w:i/>
          <w:sz w:val="16"/>
        </w:rPr>
        <w:t>Gorigoitía</w:t>
      </w:r>
      <w:proofErr w:type="spellEnd"/>
      <w:r w:rsidR="00EF2CD2" w:rsidRPr="00EF2CD2">
        <w:rPr>
          <w:rFonts w:ascii="Verdana" w:hAnsi="Verdana"/>
          <w:i/>
          <w:sz w:val="16"/>
        </w:rPr>
        <w:t xml:space="preserve"> Vs. Argentina. Supervisión de Cumplimiento de Sentencia</w:t>
      </w:r>
      <w:r w:rsidR="00EF2CD2" w:rsidRPr="00EF2CD2">
        <w:rPr>
          <w:rFonts w:ascii="Verdana" w:hAnsi="Verdana"/>
          <w:sz w:val="16"/>
        </w:rPr>
        <w:t>. Resolución de la Corte Interamericana de Derechos</w:t>
      </w:r>
      <w:r w:rsidR="00EF2CD2">
        <w:rPr>
          <w:rFonts w:ascii="Verdana" w:hAnsi="Verdana"/>
          <w:sz w:val="16"/>
        </w:rPr>
        <w:t xml:space="preserve"> Humanos de 22 de abril de 2021</w:t>
      </w:r>
      <w:r>
        <w:rPr>
          <w:rFonts w:ascii="Verdana" w:hAnsi="Verdana"/>
          <w:sz w:val="16"/>
        </w:rPr>
        <w:t xml:space="preserve">, Considerando 2. </w:t>
      </w:r>
    </w:p>
  </w:footnote>
  <w:footnote w:id="7">
    <w:p w14:paraId="21625663" w14:textId="78605D8D" w:rsidR="004D4BE7" w:rsidRPr="00FB4489" w:rsidRDefault="004D4BE7" w:rsidP="004D4BE7">
      <w:pPr>
        <w:pStyle w:val="Textonotapie"/>
        <w:jc w:val="both"/>
        <w:rPr>
          <w:rFonts w:ascii="Verdana" w:hAnsi="Verdana"/>
        </w:rPr>
      </w:pPr>
      <w:r w:rsidRPr="00FB4489">
        <w:rPr>
          <w:rStyle w:val="Refdenotaalpie"/>
          <w:rFonts w:ascii="Verdana" w:hAnsi="Verdana"/>
          <w:sz w:val="16"/>
        </w:rPr>
        <w:footnoteRef/>
      </w:r>
      <w:r w:rsidRPr="00FB4489">
        <w:rPr>
          <w:rFonts w:ascii="Verdana" w:hAnsi="Verdana"/>
          <w:sz w:val="16"/>
        </w:rPr>
        <w:t xml:space="preserve"> </w:t>
      </w:r>
      <w:r>
        <w:rPr>
          <w:rFonts w:ascii="Verdana" w:hAnsi="Verdana"/>
          <w:sz w:val="16"/>
        </w:rPr>
        <w:tab/>
      </w:r>
      <w:r w:rsidRPr="00FB4489">
        <w:rPr>
          <w:rFonts w:ascii="Verdana" w:hAnsi="Verdana"/>
          <w:i/>
          <w:sz w:val="16"/>
        </w:rPr>
        <w:t xml:space="preserve">Cfr. Caso </w:t>
      </w:r>
      <w:proofErr w:type="spellStart"/>
      <w:r w:rsidRPr="00FB4489">
        <w:rPr>
          <w:rFonts w:ascii="Verdana" w:hAnsi="Verdana"/>
          <w:i/>
          <w:sz w:val="16"/>
        </w:rPr>
        <w:t>Ivcher</w:t>
      </w:r>
      <w:proofErr w:type="spellEnd"/>
      <w:r w:rsidRPr="00FB4489">
        <w:rPr>
          <w:rFonts w:ascii="Verdana" w:hAnsi="Verdana"/>
          <w:i/>
          <w:sz w:val="16"/>
        </w:rPr>
        <w:t xml:space="preserve"> </w:t>
      </w:r>
      <w:proofErr w:type="spellStart"/>
      <w:r w:rsidRPr="00FB4489">
        <w:rPr>
          <w:rFonts w:ascii="Verdana" w:hAnsi="Verdana"/>
          <w:i/>
          <w:sz w:val="16"/>
        </w:rPr>
        <w:t>Bronstein</w:t>
      </w:r>
      <w:proofErr w:type="spellEnd"/>
      <w:r w:rsidRPr="00FB4489">
        <w:rPr>
          <w:rFonts w:ascii="Verdana" w:hAnsi="Verdana"/>
          <w:i/>
          <w:sz w:val="16"/>
        </w:rPr>
        <w:t xml:space="preserve"> Vs. Perú. Competencia.</w:t>
      </w:r>
      <w:r w:rsidRPr="00FB4489">
        <w:rPr>
          <w:rFonts w:ascii="Verdana" w:hAnsi="Verdana"/>
          <w:sz w:val="16"/>
        </w:rPr>
        <w:t xml:space="preserve"> Sentencia de la Corte Interamericana de Derechos Humanos de 24 de septiembre de 1999. Serie C No. 54, párr. 37</w:t>
      </w:r>
      <w:r>
        <w:rPr>
          <w:rFonts w:ascii="Verdana" w:hAnsi="Verdana"/>
          <w:sz w:val="16"/>
        </w:rPr>
        <w:t xml:space="preserve">, y </w:t>
      </w:r>
      <w:r w:rsidR="00EF2CD2" w:rsidRPr="00EF2CD2">
        <w:rPr>
          <w:rFonts w:ascii="Verdana" w:hAnsi="Verdana"/>
          <w:i/>
          <w:sz w:val="16"/>
        </w:rPr>
        <w:t xml:space="preserve">Caso </w:t>
      </w:r>
      <w:proofErr w:type="spellStart"/>
      <w:r w:rsidR="00EF2CD2" w:rsidRPr="00EF2CD2">
        <w:rPr>
          <w:rFonts w:ascii="Verdana" w:hAnsi="Verdana"/>
          <w:i/>
          <w:sz w:val="16"/>
        </w:rPr>
        <w:t>Gorigoitía</w:t>
      </w:r>
      <w:proofErr w:type="spellEnd"/>
      <w:r w:rsidR="00EF2CD2" w:rsidRPr="00EF2CD2">
        <w:rPr>
          <w:rFonts w:ascii="Verdana" w:hAnsi="Verdana"/>
          <w:i/>
          <w:sz w:val="16"/>
        </w:rPr>
        <w:t xml:space="preserve"> Vs. Argentina</w:t>
      </w:r>
      <w:r w:rsidR="00EF2CD2">
        <w:rPr>
          <w:rFonts w:ascii="Verdana" w:hAnsi="Verdana"/>
          <w:sz w:val="16"/>
        </w:rPr>
        <w:t xml:space="preserve">, </w:t>
      </w:r>
      <w:r w:rsidR="00DB1900">
        <w:rPr>
          <w:rFonts w:ascii="Verdana" w:hAnsi="Verdana"/>
          <w:i/>
          <w:sz w:val="16"/>
        </w:rPr>
        <w:t xml:space="preserve">supra </w:t>
      </w:r>
      <w:r w:rsidR="00DB1900" w:rsidRPr="00DB1900">
        <w:rPr>
          <w:rFonts w:ascii="Verdana" w:hAnsi="Verdana"/>
          <w:sz w:val="16"/>
        </w:rPr>
        <w:t xml:space="preserve">nota </w:t>
      </w:r>
      <w:r w:rsidR="009E51A5">
        <w:rPr>
          <w:rFonts w:ascii="Verdana" w:hAnsi="Verdana"/>
          <w:sz w:val="16"/>
        </w:rPr>
        <w:t>6</w:t>
      </w:r>
      <w:r w:rsidR="00DB1900" w:rsidRPr="00DB1900">
        <w:rPr>
          <w:rFonts w:ascii="Verdana" w:hAnsi="Verdana"/>
          <w:sz w:val="16"/>
        </w:rPr>
        <w:t>,</w:t>
      </w:r>
      <w:r w:rsidR="00DB1900">
        <w:rPr>
          <w:rFonts w:ascii="Verdana" w:hAnsi="Verdana"/>
          <w:i/>
          <w:sz w:val="16"/>
        </w:rPr>
        <w:t xml:space="preserve"> </w:t>
      </w:r>
      <w:r w:rsidR="00EF2CD2">
        <w:rPr>
          <w:rFonts w:ascii="Verdana" w:hAnsi="Verdana"/>
          <w:sz w:val="16"/>
        </w:rPr>
        <w:t xml:space="preserve">Considerando 2. </w:t>
      </w:r>
    </w:p>
  </w:footnote>
  <w:footnote w:id="8">
    <w:p w14:paraId="5498C6C4" w14:textId="03017E0B" w:rsidR="008E247C" w:rsidRPr="007143B6" w:rsidRDefault="008E247C" w:rsidP="008E247C">
      <w:pPr>
        <w:pStyle w:val="Textonotapie"/>
        <w:jc w:val="both"/>
        <w:rPr>
          <w:rFonts w:ascii="Verdana" w:hAnsi="Verdana"/>
        </w:rPr>
      </w:pPr>
      <w:r w:rsidRPr="007143B6">
        <w:rPr>
          <w:rStyle w:val="Refdenotaalpie"/>
          <w:rFonts w:ascii="Verdana" w:hAnsi="Verdana"/>
          <w:sz w:val="16"/>
        </w:rPr>
        <w:footnoteRef/>
      </w:r>
      <w:r w:rsidRPr="007143B6">
        <w:rPr>
          <w:rFonts w:ascii="Verdana" w:hAnsi="Verdana"/>
          <w:sz w:val="16"/>
        </w:rPr>
        <w:t xml:space="preserve"> </w:t>
      </w:r>
      <w:r w:rsidRPr="007143B6">
        <w:rPr>
          <w:rFonts w:ascii="Verdana" w:hAnsi="Verdana"/>
          <w:sz w:val="16"/>
        </w:rPr>
        <w:tab/>
        <w:t xml:space="preserve">En su escrito de </w:t>
      </w:r>
      <w:r>
        <w:rPr>
          <w:rFonts w:ascii="Verdana" w:hAnsi="Verdana"/>
          <w:sz w:val="16"/>
        </w:rPr>
        <w:t>julio</w:t>
      </w:r>
      <w:r w:rsidRPr="007143B6">
        <w:rPr>
          <w:rFonts w:ascii="Verdana" w:hAnsi="Verdana"/>
          <w:sz w:val="16"/>
        </w:rPr>
        <w:t xml:space="preserve"> de 2020, los</w:t>
      </w:r>
      <w:r w:rsidR="009A16DD">
        <w:rPr>
          <w:rFonts w:ascii="Verdana" w:hAnsi="Verdana"/>
          <w:sz w:val="16"/>
        </w:rPr>
        <w:t xml:space="preserve"> representantes expresaron que “</w:t>
      </w:r>
      <w:r>
        <w:rPr>
          <w:rFonts w:ascii="Verdana" w:hAnsi="Verdana"/>
          <w:sz w:val="16"/>
        </w:rPr>
        <w:t xml:space="preserve">la madre </w:t>
      </w:r>
      <w:r w:rsidR="009A16DD">
        <w:rPr>
          <w:rFonts w:ascii="Verdana" w:hAnsi="Verdana"/>
          <w:sz w:val="16"/>
        </w:rPr>
        <w:t>[de la víctima]</w:t>
      </w:r>
      <w:r>
        <w:rPr>
          <w:rFonts w:ascii="Verdana" w:hAnsi="Verdana"/>
          <w:sz w:val="16"/>
        </w:rPr>
        <w:t xml:space="preserve"> encuentra adecuadas</w:t>
      </w:r>
      <w:r w:rsidRPr="007143B6">
        <w:rPr>
          <w:rFonts w:ascii="Verdana" w:hAnsi="Verdana"/>
          <w:sz w:val="16"/>
        </w:rPr>
        <w:t>”</w:t>
      </w:r>
      <w:r w:rsidR="009A16DD">
        <w:rPr>
          <w:rFonts w:ascii="Verdana" w:hAnsi="Verdana"/>
          <w:sz w:val="16"/>
        </w:rPr>
        <w:t xml:space="preserve"> las medidas de publicación y difusión de la Sentencia</w:t>
      </w:r>
      <w:r>
        <w:rPr>
          <w:rFonts w:ascii="Verdana" w:hAnsi="Verdana"/>
          <w:sz w:val="16"/>
        </w:rPr>
        <w:t xml:space="preserve">. </w:t>
      </w:r>
    </w:p>
  </w:footnote>
  <w:footnote w:id="9">
    <w:p w14:paraId="040E2CE4" w14:textId="500AA24D" w:rsidR="008E247C" w:rsidRPr="008E247C" w:rsidRDefault="008E247C" w:rsidP="008E247C">
      <w:pPr>
        <w:pStyle w:val="Textonotapie"/>
        <w:jc w:val="both"/>
        <w:rPr>
          <w:rFonts w:ascii="Verdana" w:hAnsi="Verdana"/>
          <w:sz w:val="16"/>
          <w:szCs w:val="16"/>
        </w:rPr>
      </w:pPr>
      <w:r w:rsidRPr="008E247C">
        <w:rPr>
          <w:rStyle w:val="Refdenotaalpie"/>
          <w:rFonts w:ascii="Verdana" w:hAnsi="Verdana"/>
          <w:sz w:val="16"/>
          <w:szCs w:val="16"/>
        </w:rPr>
        <w:footnoteRef/>
      </w:r>
      <w:r w:rsidRPr="008E247C">
        <w:rPr>
          <w:rFonts w:ascii="Verdana" w:hAnsi="Verdana"/>
          <w:sz w:val="16"/>
          <w:szCs w:val="16"/>
        </w:rPr>
        <w:t xml:space="preserve"> </w:t>
      </w:r>
      <w:r w:rsidRPr="008E247C">
        <w:rPr>
          <w:rFonts w:ascii="Verdana" w:hAnsi="Verdana"/>
          <w:sz w:val="16"/>
          <w:szCs w:val="16"/>
        </w:rPr>
        <w:tab/>
        <w:t xml:space="preserve">La Comisión consideró que “con las </w:t>
      </w:r>
      <w:r w:rsidR="009A16DD">
        <w:rPr>
          <w:rFonts w:ascii="Verdana" w:hAnsi="Verdana"/>
          <w:sz w:val="16"/>
          <w:szCs w:val="16"/>
        </w:rPr>
        <w:t xml:space="preserve">[…] </w:t>
      </w:r>
      <w:r w:rsidRPr="008E247C">
        <w:rPr>
          <w:rFonts w:ascii="Verdana" w:hAnsi="Verdana"/>
          <w:sz w:val="16"/>
          <w:szCs w:val="16"/>
        </w:rPr>
        <w:t xml:space="preserve">publicaciones </w:t>
      </w:r>
      <w:r w:rsidR="009A16DD">
        <w:rPr>
          <w:rFonts w:ascii="Verdana" w:hAnsi="Verdana"/>
          <w:sz w:val="16"/>
          <w:szCs w:val="16"/>
        </w:rPr>
        <w:t xml:space="preserve">[realizadas por el Estado] </w:t>
      </w:r>
      <w:r w:rsidRPr="008E247C">
        <w:rPr>
          <w:rFonts w:ascii="Verdana" w:hAnsi="Verdana"/>
          <w:sz w:val="16"/>
          <w:szCs w:val="16"/>
        </w:rPr>
        <w:t xml:space="preserve">se da cumplimiento </w:t>
      </w:r>
      <w:proofErr w:type="gramStart"/>
      <w:r w:rsidRPr="008E247C">
        <w:rPr>
          <w:rFonts w:ascii="Verdana" w:hAnsi="Verdana"/>
          <w:sz w:val="16"/>
          <w:szCs w:val="16"/>
        </w:rPr>
        <w:t>a[</w:t>
      </w:r>
      <w:proofErr w:type="gramEnd"/>
      <w:r w:rsidR="009A16DD">
        <w:rPr>
          <w:rFonts w:ascii="Verdana" w:hAnsi="Verdana"/>
          <w:sz w:val="16"/>
          <w:szCs w:val="16"/>
        </w:rPr>
        <w:t xml:space="preserve"> este</w:t>
      </w:r>
      <w:r w:rsidRPr="008E247C">
        <w:rPr>
          <w:rFonts w:ascii="Verdana" w:hAnsi="Verdana"/>
          <w:sz w:val="16"/>
          <w:szCs w:val="16"/>
        </w:rPr>
        <w:t>] punto resolutivo”.</w:t>
      </w:r>
    </w:p>
  </w:footnote>
  <w:footnote w:id="10">
    <w:p w14:paraId="2EDCD895" w14:textId="2FC26994" w:rsidR="007143B6" w:rsidRPr="007143B6" w:rsidRDefault="007143B6" w:rsidP="007143B6">
      <w:pPr>
        <w:pStyle w:val="Textonotapie"/>
        <w:jc w:val="both"/>
        <w:rPr>
          <w:rFonts w:ascii="Verdana" w:hAnsi="Verdana"/>
        </w:rPr>
      </w:pPr>
      <w:r w:rsidRPr="007143B6">
        <w:rPr>
          <w:rStyle w:val="Refdenotaalpie"/>
          <w:rFonts w:ascii="Verdana" w:hAnsi="Verdana"/>
          <w:sz w:val="16"/>
        </w:rPr>
        <w:footnoteRef/>
      </w:r>
      <w:r w:rsidRPr="007143B6">
        <w:rPr>
          <w:rFonts w:ascii="Verdana" w:hAnsi="Verdana"/>
          <w:sz w:val="16"/>
        </w:rPr>
        <w:t xml:space="preserve"> </w:t>
      </w:r>
      <w:r w:rsidRPr="007143B6">
        <w:rPr>
          <w:rFonts w:ascii="Verdana" w:hAnsi="Verdana"/>
          <w:sz w:val="16"/>
        </w:rPr>
        <w:tab/>
      </w:r>
      <w:r w:rsidRPr="007143B6">
        <w:rPr>
          <w:rFonts w:ascii="Verdana" w:hAnsi="Verdana"/>
          <w:i/>
          <w:sz w:val="16"/>
        </w:rPr>
        <w:t>Cfr.</w:t>
      </w:r>
      <w:r w:rsidRPr="007143B6">
        <w:rPr>
          <w:rFonts w:ascii="Verdana" w:hAnsi="Verdana"/>
          <w:sz w:val="16"/>
        </w:rPr>
        <w:t xml:space="preserve"> Copia de la publicación del resumen oficial de la Sentencia en el Boletín Oficial de la República Argentina No.</w:t>
      </w:r>
      <w:r>
        <w:rPr>
          <w:rFonts w:ascii="Verdana" w:hAnsi="Verdana"/>
          <w:sz w:val="16"/>
        </w:rPr>
        <w:t xml:space="preserve"> </w:t>
      </w:r>
      <w:r w:rsidR="008A1D93" w:rsidRPr="008A1D93">
        <w:rPr>
          <w:rFonts w:ascii="Verdana" w:hAnsi="Verdana"/>
          <w:sz w:val="16"/>
        </w:rPr>
        <w:t>22309/20</w:t>
      </w:r>
      <w:r w:rsidRPr="007143B6">
        <w:rPr>
          <w:rFonts w:ascii="Verdana" w:hAnsi="Verdana"/>
          <w:sz w:val="16"/>
        </w:rPr>
        <w:t xml:space="preserve"> de 8 de junio de 2020, disponible en: </w:t>
      </w:r>
      <w:hyperlink r:id="rId2" w:history="1">
        <w:r w:rsidR="009A16DD" w:rsidRPr="00F3711D">
          <w:rPr>
            <w:rStyle w:val="Hipervnculo"/>
            <w:rFonts w:ascii="Verdana" w:hAnsi="Verdana"/>
            <w:sz w:val="16"/>
          </w:rPr>
          <w:t>https://www.boletinoficial.gob.ar/detalleAviso/primera/230322/20200608</w:t>
        </w:r>
      </w:hyperlink>
      <w:r w:rsidR="009A16DD">
        <w:rPr>
          <w:rFonts w:ascii="Verdana" w:hAnsi="Verdana"/>
          <w:sz w:val="16"/>
        </w:rPr>
        <w:t xml:space="preserve"> </w:t>
      </w:r>
      <w:r w:rsidRPr="007143B6">
        <w:rPr>
          <w:rFonts w:ascii="Verdana" w:hAnsi="Verdana"/>
          <w:sz w:val="16"/>
        </w:rPr>
        <w:t>(anexo al informe estatal de junio de 2020).</w:t>
      </w:r>
      <w:r w:rsidR="008A1D93">
        <w:rPr>
          <w:rFonts w:ascii="Verdana" w:hAnsi="Verdana"/>
          <w:sz w:val="16"/>
        </w:rPr>
        <w:t xml:space="preserve"> </w:t>
      </w:r>
    </w:p>
  </w:footnote>
  <w:footnote w:id="11">
    <w:p w14:paraId="696D96FB" w14:textId="77777777" w:rsidR="008A1D93" w:rsidRPr="008A1D93" w:rsidRDefault="008A1D93" w:rsidP="008A1D93">
      <w:pPr>
        <w:pStyle w:val="Textonotapie"/>
        <w:jc w:val="both"/>
        <w:rPr>
          <w:rFonts w:ascii="Verdana" w:hAnsi="Verdana"/>
        </w:rPr>
      </w:pPr>
      <w:r w:rsidRPr="008A1D93">
        <w:rPr>
          <w:rStyle w:val="Refdenotaalpie"/>
          <w:rFonts w:ascii="Verdana" w:hAnsi="Verdana"/>
          <w:sz w:val="16"/>
        </w:rPr>
        <w:footnoteRef/>
      </w:r>
      <w:r w:rsidRPr="008A1D93">
        <w:rPr>
          <w:rFonts w:ascii="Verdana" w:hAnsi="Verdana"/>
          <w:sz w:val="16"/>
        </w:rPr>
        <w:t xml:space="preserve"> </w:t>
      </w:r>
      <w:r w:rsidRPr="008A1D93">
        <w:rPr>
          <w:rFonts w:ascii="Verdana" w:hAnsi="Verdana"/>
          <w:sz w:val="16"/>
        </w:rPr>
        <w:tab/>
      </w:r>
      <w:r w:rsidRPr="008A1D93">
        <w:rPr>
          <w:rFonts w:ascii="Verdana" w:hAnsi="Verdana"/>
          <w:i/>
          <w:sz w:val="16"/>
        </w:rPr>
        <w:t>Cfr.</w:t>
      </w:r>
      <w:r w:rsidRPr="008A1D93">
        <w:rPr>
          <w:rFonts w:ascii="Verdana" w:hAnsi="Verdana"/>
          <w:sz w:val="16"/>
        </w:rPr>
        <w:t xml:space="preserve"> Copia de la publicación del resumen oficial de la Sentencia en diario “</w:t>
      </w:r>
      <w:r>
        <w:rPr>
          <w:rFonts w:ascii="Verdana" w:hAnsi="Verdana"/>
          <w:sz w:val="16"/>
        </w:rPr>
        <w:t>Ámbito F</w:t>
      </w:r>
      <w:r w:rsidR="00E76D38">
        <w:rPr>
          <w:rFonts w:ascii="Verdana" w:hAnsi="Verdana"/>
          <w:sz w:val="16"/>
        </w:rPr>
        <w:t>i</w:t>
      </w:r>
      <w:r>
        <w:rPr>
          <w:rFonts w:ascii="Verdana" w:hAnsi="Verdana"/>
          <w:sz w:val="16"/>
        </w:rPr>
        <w:t>nanciero</w:t>
      </w:r>
      <w:r w:rsidRPr="008A1D93">
        <w:rPr>
          <w:rFonts w:ascii="Verdana" w:hAnsi="Verdana"/>
          <w:sz w:val="16"/>
        </w:rPr>
        <w:t>” de 8 de junio de 2020 (anexo al informe estatal de junio de 2020).</w:t>
      </w:r>
    </w:p>
  </w:footnote>
  <w:footnote w:id="12">
    <w:p w14:paraId="2C4606A2" w14:textId="360FF790" w:rsidR="00E76D38" w:rsidRPr="00E76D38" w:rsidRDefault="00E76D38" w:rsidP="00E76D38">
      <w:pPr>
        <w:pStyle w:val="Textonotapie"/>
        <w:jc w:val="both"/>
        <w:rPr>
          <w:rFonts w:ascii="Verdana" w:hAnsi="Verdana"/>
          <w:sz w:val="16"/>
        </w:rPr>
      </w:pPr>
      <w:r w:rsidRPr="00E76D38">
        <w:rPr>
          <w:rStyle w:val="Refdenotaalpie"/>
          <w:rFonts w:ascii="Verdana" w:hAnsi="Verdana"/>
          <w:sz w:val="16"/>
        </w:rPr>
        <w:footnoteRef/>
      </w:r>
      <w:r w:rsidRPr="00E76D38">
        <w:rPr>
          <w:rFonts w:ascii="Verdana" w:hAnsi="Verdana"/>
          <w:sz w:val="16"/>
        </w:rPr>
        <w:t xml:space="preserve"> </w:t>
      </w:r>
      <w:r w:rsidRPr="00E76D38">
        <w:rPr>
          <w:rFonts w:ascii="Verdana" w:hAnsi="Verdana"/>
          <w:sz w:val="16"/>
        </w:rPr>
        <w:tab/>
        <w:t xml:space="preserve">En el informe </w:t>
      </w:r>
      <w:r>
        <w:rPr>
          <w:rFonts w:ascii="Verdana" w:hAnsi="Verdana"/>
          <w:sz w:val="16"/>
        </w:rPr>
        <w:t>de junio</w:t>
      </w:r>
      <w:r w:rsidRPr="00E76D38">
        <w:rPr>
          <w:rFonts w:ascii="Verdana" w:hAnsi="Verdana"/>
          <w:sz w:val="16"/>
        </w:rPr>
        <w:t xml:space="preserve"> de 2020, el Estado indicó que</w:t>
      </w:r>
      <w:r w:rsidR="00240383">
        <w:rPr>
          <w:rFonts w:ascii="Verdana" w:hAnsi="Verdana"/>
          <w:sz w:val="16"/>
        </w:rPr>
        <w:t xml:space="preserve"> la publicación de la Sentencia</w:t>
      </w:r>
      <w:r w:rsidRPr="00E76D38">
        <w:rPr>
          <w:rFonts w:ascii="Verdana" w:hAnsi="Verdana"/>
          <w:sz w:val="16"/>
        </w:rPr>
        <w:t xml:space="preserve"> en el siti</w:t>
      </w:r>
      <w:r>
        <w:rPr>
          <w:rFonts w:ascii="Verdana" w:hAnsi="Verdana"/>
          <w:sz w:val="16"/>
        </w:rPr>
        <w:t xml:space="preserve">o </w:t>
      </w:r>
      <w:r w:rsidRPr="00240383">
        <w:rPr>
          <w:rFonts w:ascii="Verdana" w:hAnsi="Verdana"/>
          <w:i/>
          <w:sz w:val="16"/>
        </w:rPr>
        <w:t>web</w:t>
      </w:r>
      <w:r>
        <w:rPr>
          <w:rFonts w:ascii="Verdana" w:hAnsi="Verdana"/>
          <w:sz w:val="16"/>
        </w:rPr>
        <w:t xml:space="preserve"> oficial del Ministerio de </w:t>
      </w:r>
      <w:r w:rsidRPr="00E76D38">
        <w:rPr>
          <w:rFonts w:ascii="Verdana" w:hAnsi="Verdana"/>
          <w:sz w:val="16"/>
        </w:rPr>
        <w:t>Justicia y Derechos Humanos de la Nación</w:t>
      </w:r>
      <w:r>
        <w:rPr>
          <w:rFonts w:ascii="Verdana" w:hAnsi="Verdana"/>
          <w:sz w:val="16"/>
        </w:rPr>
        <w:t xml:space="preserve"> </w:t>
      </w:r>
      <w:r w:rsidRPr="00E76D38">
        <w:rPr>
          <w:rFonts w:ascii="Verdana" w:hAnsi="Verdana"/>
          <w:sz w:val="16"/>
        </w:rPr>
        <w:t xml:space="preserve">se encuentra disponible en el siguiente enlace: </w:t>
      </w:r>
      <w:hyperlink r:id="rId3" w:history="1">
        <w:r w:rsidR="009A16DD" w:rsidRPr="00F3711D">
          <w:rPr>
            <w:rStyle w:val="Hipervnculo"/>
            <w:rFonts w:ascii="Verdana" w:hAnsi="Verdana"/>
            <w:sz w:val="16"/>
          </w:rPr>
          <w:t>https://www.argentina.gob.ar/justicia/Publicaciones-CIDH</w:t>
        </w:r>
      </w:hyperlink>
      <w:r w:rsidR="009A16DD">
        <w:rPr>
          <w:rFonts w:ascii="Verdana" w:hAnsi="Verdana"/>
          <w:sz w:val="16"/>
        </w:rPr>
        <w:t xml:space="preserve">. La Corte constata que tal publicación se encuentra disponible hasta la fecha en el referido enlace </w:t>
      </w:r>
      <w:r w:rsidRPr="00E76D38">
        <w:rPr>
          <w:rFonts w:ascii="Verdana" w:hAnsi="Verdana"/>
          <w:sz w:val="16"/>
        </w:rPr>
        <w:t xml:space="preserve">(última consulta: </w:t>
      </w:r>
      <w:r w:rsidR="00E05F9A">
        <w:rPr>
          <w:rFonts w:ascii="Verdana" w:hAnsi="Verdana"/>
          <w:sz w:val="16"/>
        </w:rPr>
        <w:t>27</w:t>
      </w:r>
      <w:r w:rsidR="009A16DD">
        <w:rPr>
          <w:rFonts w:ascii="Verdana" w:hAnsi="Verdana"/>
          <w:sz w:val="16"/>
        </w:rPr>
        <w:t xml:space="preserve"> </w:t>
      </w:r>
      <w:r>
        <w:rPr>
          <w:rFonts w:ascii="Verdana" w:hAnsi="Verdana"/>
          <w:sz w:val="16"/>
        </w:rPr>
        <w:t xml:space="preserve">de </w:t>
      </w:r>
      <w:r w:rsidR="00E05F9A">
        <w:rPr>
          <w:rFonts w:ascii="Verdana" w:hAnsi="Verdana"/>
          <w:sz w:val="16"/>
        </w:rPr>
        <w:t>mayo</w:t>
      </w:r>
      <w:r w:rsidR="009A16DD" w:rsidRPr="00E76D38">
        <w:rPr>
          <w:rFonts w:ascii="Verdana" w:hAnsi="Verdana"/>
          <w:sz w:val="16"/>
        </w:rPr>
        <w:t xml:space="preserve"> </w:t>
      </w:r>
      <w:r w:rsidRPr="00E76D38">
        <w:rPr>
          <w:rFonts w:ascii="Verdana" w:hAnsi="Verdana"/>
          <w:sz w:val="16"/>
        </w:rPr>
        <w:t>de 2021).</w:t>
      </w:r>
      <w:r>
        <w:rPr>
          <w:rFonts w:ascii="Verdana" w:hAnsi="Verdana"/>
          <w:sz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9225B6"/>
    <w:multiLevelType w:val="hybridMultilevel"/>
    <w:tmpl w:val="9620B0DE"/>
    <w:lvl w:ilvl="0" w:tplc="5DAE6F50">
      <w:start w:val="1"/>
      <w:numFmt w:val="decimal"/>
      <w:lvlText w:val="%1."/>
      <w:lvlJc w:val="left"/>
      <w:pPr>
        <w:ind w:left="720" w:hanging="360"/>
      </w:pPr>
      <w:rPr>
        <w:rFonts w:ascii="Verdana" w:hAnsi="Verdana" w:hint="default"/>
        <w:b w:val="0"/>
        <w:i w:val="0"/>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88D2ED1"/>
    <w:multiLevelType w:val="hybridMultilevel"/>
    <w:tmpl w:val="993287E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0792C8D"/>
    <w:multiLevelType w:val="hybridMultilevel"/>
    <w:tmpl w:val="C68470F4"/>
    <w:lvl w:ilvl="0" w:tplc="5DAE6F50">
      <w:start w:val="1"/>
      <w:numFmt w:val="decimal"/>
      <w:lvlText w:val="%1."/>
      <w:lvlJc w:val="left"/>
      <w:pPr>
        <w:ind w:left="720" w:hanging="360"/>
      </w:pPr>
      <w:rPr>
        <w:rFonts w:ascii="Verdana" w:hAnsi="Verdana" w:hint="default"/>
        <w:b w:val="0"/>
        <w:i w:val="0"/>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1C868A7"/>
    <w:multiLevelType w:val="hybridMultilevel"/>
    <w:tmpl w:val="CE321372"/>
    <w:lvl w:ilvl="0" w:tplc="FFEA5628">
      <w:start w:val="1"/>
      <w:numFmt w:val="decimal"/>
      <w:lvlText w:val="%1."/>
      <w:lvlJc w:val="left"/>
      <w:pPr>
        <w:ind w:left="3621" w:hanging="360"/>
      </w:pPr>
      <w:rPr>
        <w:rFonts w:ascii="Verdana" w:hAnsi="Verdana" w:hint="default"/>
        <w:b w:val="0"/>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489E14D7"/>
    <w:multiLevelType w:val="hybridMultilevel"/>
    <w:tmpl w:val="CC6248DA"/>
    <w:lvl w:ilvl="0" w:tplc="46324B64">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54575BCA"/>
    <w:multiLevelType w:val="hybridMultilevel"/>
    <w:tmpl w:val="3636140E"/>
    <w:lvl w:ilvl="0" w:tplc="140A000F">
      <w:start w:val="1"/>
      <w:numFmt w:val="decimal"/>
      <w:lvlText w:val="%1."/>
      <w:lvlJc w:val="left"/>
      <w:pPr>
        <w:ind w:left="720" w:hanging="360"/>
      </w:pPr>
      <w:rPr>
        <w:rFonts w:hint="default"/>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6AAE5C8A"/>
    <w:multiLevelType w:val="hybridMultilevel"/>
    <w:tmpl w:val="8A149C66"/>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num w:numId="1">
    <w:abstractNumId w:val="3"/>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BE7"/>
    <w:rsid w:val="00023180"/>
    <w:rsid w:val="0006579F"/>
    <w:rsid w:val="00066A96"/>
    <w:rsid w:val="00080CA5"/>
    <w:rsid w:val="000B2D4B"/>
    <w:rsid w:val="000C0780"/>
    <w:rsid w:val="000D28D5"/>
    <w:rsid w:val="000F067F"/>
    <w:rsid w:val="00107A05"/>
    <w:rsid w:val="00122A26"/>
    <w:rsid w:val="00141AD2"/>
    <w:rsid w:val="00177AF0"/>
    <w:rsid w:val="00181E0D"/>
    <w:rsid w:val="001956A4"/>
    <w:rsid w:val="001E5BA4"/>
    <w:rsid w:val="001F0479"/>
    <w:rsid w:val="00203590"/>
    <w:rsid w:val="002235F9"/>
    <w:rsid w:val="00225F5B"/>
    <w:rsid w:val="00240383"/>
    <w:rsid w:val="00281DA7"/>
    <w:rsid w:val="002A7815"/>
    <w:rsid w:val="002D38BA"/>
    <w:rsid w:val="003123D8"/>
    <w:rsid w:val="00315D4C"/>
    <w:rsid w:val="003E68B9"/>
    <w:rsid w:val="003F6C96"/>
    <w:rsid w:val="004031A5"/>
    <w:rsid w:val="00432EC0"/>
    <w:rsid w:val="00447674"/>
    <w:rsid w:val="004C0C59"/>
    <w:rsid w:val="004C5462"/>
    <w:rsid w:val="004D4BE7"/>
    <w:rsid w:val="004E17F4"/>
    <w:rsid w:val="00544904"/>
    <w:rsid w:val="005B4D07"/>
    <w:rsid w:val="005F3A0F"/>
    <w:rsid w:val="00604A87"/>
    <w:rsid w:val="006171D9"/>
    <w:rsid w:val="00625930"/>
    <w:rsid w:val="00653425"/>
    <w:rsid w:val="006D2C43"/>
    <w:rsid w:val="007143B6"/>
    <w:rsid w:val="00721317"/>
    <w:rsid w:val="00742BD2"/>
    <w:rsid w:val="00774626"/>
    <w:rsid w:val="007B3D61"/>
    <w:rsid w:val="008A1D93"/>
    <w:rsid w:val="008A45FF"/>
    <w:rsid w:val="008E247C"/>
    <w:rsid w:val="00974AA5"/>
    <w:rsid w:val="00981E4D"/>
    <w:rsid w:val="009A16DD"/>
    <w:rsid w:val="009C3B92"/>
    <w:rsid w:val="009E48D5"/>
    <w:rsid w:val="009E51A5"/>
    <w:rsid w:val="009F1ED0"/>
    <w:rsid w:val="00A15D29"/>
    <w:rsid w:val="00A232C6"/>
    <w:rsid w:val="00A85FFA"/>
    <w:rsid w:val="00AA3565"/>
    <w:rsid w:val="00AB2C00"/>
    <w:rsid w:val="00AD14C5"/>
    <w:rsid w:val="00AE004E"/>
    <w:rsid w:val="00AF14C6"/>
    <w:rsid w:val="00B15EEC"/>
    <w:rsid w:val="00B44797"/>
    <w:rsid w:val="00B811D7"/>
    <w:rsid w:val="00BC024D"/>
    <w:rsid w:val="00BC6AF4"/>
    <w:rsid w:val="00C4671E"/>
    <w:rsid w:val="00CE13C3"/>
    <w:rsid w:val="00DA4805"/>
    <w:rsid w:val="00DB1900"/>
    <w:rsid w:val="00DE3516"/>
    <w:rsid w:val="00DF3B59"/>
    <w:rsid w:val="00E05F9A"/>
    <w:rsid w:val="00E46611"/>
    <w:rsid w:val="00E76D38"/>
    <w:rsid w:val="00ED122A"/>
    <w:rsid w:val="00EF2CD2"/>
    <w:rsid w:val="00F0063F"/>
    <w:rsid w:val="00F04645"/>
    <w:rsid w:val="00F113D8"/>
    <w:rsid w:val="00FE1006"/>
    <w:rsid w:val="00FF34D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94CBCC"/>
  <w15:chartTrackingRefBased/>
  <w15:docId w15:val="{1B77111F-9526-4848-97B3-8EBD41914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D4BE7"/>
    <w:pPr>
      <w:spacing w:after="0" w:line="240" w:lineRule="auto"/>
      <w:ind w:left="720"/>
    </w:pPr>
    <w:rPr>
      <w:rFonts w:ascii="Calibri" w:hAnsi="Calibri" w:cs="Calibri"/>
    </w:rPr>
  </w:style>
  <w:style w:type="paragraph" w:styleId="NormalWeb">
    <w:name w:val="Normal (Web)"/>
    <w:basedOn w:val="Normal"/>
    <w:uiPriority w:val="99"/>
    <w:unhideWhenUsed/>
    <w:rsid w:val="004D4BE7"/>
    <w:pPr>
      <w:spacing w:after="0" w:line="240" w:lineRule="auto"/>
    </w:pPr>
    <w:rPr>
      <w:rFonts w:ascii="Times New Roman" w:hAnsi="Times New Roman" w:cs="Times New Roman"/>
      <w:sz w:val="24"/>
      <w:szCs w:val="24"/>
      <w:lang w:eastAsia="es-CR"/>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
    <w:basedOn w:val="Normal"/>
    <w:link w:val="TextonotapieCar"/>
    <w:unhideWhenUsed/>
    <w:qFormat/>
    <w:rsid w:val="004D4BE7"/>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rsid w:val="004D4BE7"/>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unhideWhenUsed/>
    <w:qFormat/>
    <w:rsid w:val="004D4BE7"/>
    <w:rPr>
      <w:vertAlign w:val="superscript"/>
    </w:rPr>
  </w:style>
  <w:style w:type="character" w:styleId="Hipervnculo">
    <w:name w:val="Hyperlink"/>
    <w:basedOn w:val="Fuentedeprrafopredeter"/>
    <w:uiPriority w:val="99"/>
    <w:unhideWhenUsed/>
    <w:rsid w:val="004D4BE7"/>
    <w:rPr>
      <w:color w:val="0563C1" w:themeColor="hyperlink"/>
      <w:u w:val="single"/>
    </w:rPr>
  </w:style>
  <w:style w:type="character" w:styleId="Refdecomentario">
    <w:name w:val="annotation reference"/>
    <w:basedOn w:val="Fuentedeprrafopredeter"/>
    <w:uiPriority w:val="99"/>
    <w:semiHidden/>
    <w:unhideWhenUsed/>
    <w:rsid w:val="004D4BE7"/>
    <w:rPr>
      <w:sz w:val="16"/>
      <w:szCs w:val="16"/>
    </w:rPr>
  </w:style>
  <w:style w:type="paragraph" w:styleId="Textocomentario">
    <w:name w:val="annotation text"/>
    <w:basedOn w:val="Normal"/>
    <w:link w:val="TextocomentarioCar"/>
    <w:uiPriority w:val="99"/>
    <w:semiHidden/>
    <w:unhideWhenUsed/>
    <w:rsid w:val="004D4BE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D4BE7"/>
    <w:rPr>
      <w:sz w:val="20"/>
      <w:szCs w:val="20"/>
    </w:rPr>
  </w:style>
  <w:style w:type="paragraph" w:styleId="Textodeglobo">
    <w:name w:val="Balloon Text"/>
    <w:basedOn w:val="Normal"/>
    <w:link w:val="TextodegloboCar"/>
    <w:uiPriority w:val="99"/>
    <w:semiHidden/>
    <w:unhideWhenUsed/>
    <w:rsid w:val="004D4B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D4BE7"/>
    <w:rPr>
      <w:rFonts w:ascii="Segoe UI" w:hAnsi="Segoe UI" w:cs="Segoe UI"/>
      <w:sz w:val="18"/>
      <w:szCs w:val="18"/>
    </w:rPr>
  </w:style>
  <w:style w:type="paragraph" w:styleId="Encabezado">
    <w:name w:val="header"/>
    <w:basedOn w:val="Normal"/>
    <w:link w:val="EncabezadoCar"/>
    <w:uiPriority w:val="99"/>
    <w:unhideWhenUsed/>
    <w:rsid w:val="004D4B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D4BE7"/>
  </w:style>
  <w:style w:type="paragraph" w:styleId="Piedepgina">
    <w:name w:val="footer"/>
    <w:basedOn w:val="Normal"/>
    <w:link w:val="PiedepginaCar"/>
    <w:uiPriority w:val="99"/>
    <w:unhideWhenUsed/>
    <w:rsid w:val="004D4B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D4BE7"/>
  </w:style>
  <w:style w:type="paragraph" w:styleId="Asuntodelcomentario">
    <w:name w:val="annotation subject"/>
    <w:basedOn w:val="Textocomentario"/>
    <w:next w:val="Textocomentario"/>
    <w:link w:val="AsuntodelcomentarioCar"/>
    <w:uiPriority w:val="99"/>
    <w:semiHidden/>
    <w:unhideWhenUsed/>
    <w:rsid w:val="00177AF0"/>
    <w:rPr>
      <w:b/>
      <w:bCs/>
    </w:rPr>
  </w:style>
  <w:style w:type="character" w:customStyle="1" w:styleId="AsuntodelcomentarioCar">
    <w:name w:val="Asunto del comentario Car"/>
    <w:basedOn w:val="TextocomentarioCar"/>
    <w:link w:val="Asuntodelcomentario"/>
    <w:uiPriority w:val="99"/>
    <w:semiHidden/>
    <w:rsid w:val="00177AF0"/>
    <w:rPr>
      <w:b/>
      <w:bCs/>
      <w:sz w:val="20"/>
      <w:szCs w:val="20"/>
    </w:rPr>
  </w:style>
  <w:style w:type="character" w:styleId="Nmerodelnea">
    <w:name w:val="line number"/>
    <w:basedOn w:val="Fuentedeprrafopredeter"/>
    <w:uiPriority w:val="99"/>
    <w:semiHidden/>
    <w:unhideWhenUsed/>
    <w:rsid w:val="000F06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argentina.gob.ar/justicia/Publicaciones-CIDH" TargetMode="External"/><Relationship Id="rId2" Type="http://schemas.openxmlformats.org/officeDocument/2006/relationships/hyperlink" Target="https://www.boletinoficial.gob.ar/detalleAviso/primera/230322/20200608" TargetMode="External"/><Relationship Id="rId1" Type="http://schemas.openxmlformats.org/officeDocument/2006/relationships/hyperlink" Target="http://www.corteidh.or.cr/docs/casos/articulos/seriec_395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0A91C-7656-4DF2-8704-1F2A7FF14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1527</Words>
  <Characters>8403</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2021-06-24T14:35:00Z</cp:lastPrinted>
  <dcterms:created xsi:type="dcterms:W3CDTF">2021-07-07T20:35:00Z</dcterms:created>
  <dcterms:modified xsi:type="dcterms:W3CDTF">2021-07-07T20:35:00Z</dcterms:modified>
</cp:coreProperties>
</file>