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B83E6" w14:textId="5FAC786F" w:rsidR="00AF321C" w:rsidRPr="006A6FEB" w:rsidRDefault="00AF321C" w:rsidP="00AF321C">
      <w:pPr>
        <w:pStyle w:val="NormalWeb"/>
        <w:jc w:val="both"/>
        <w:rPr>
          <w:rFonts w:ascii="Verdana" w:hAnsi="Verdana" w:cs="Calibri"/>
          <w:b/>
          <w:sz w:val="20"/>
          <w:szCs w:val="20"/>
        </w:rPr>
      </w:pPr>
    </w:p>
    <w:p w14:paraId="76952625" w14:textId="53E26E35" w:rsidR="009F3542" w:rsidRPr="006A6FEB" w:rsidRDefault="009F3542" w:rsidP="00AF321C">
      <w:pPr>
        <w:pStyle w:val="NormalWeb"/>
        <w:jc w:val="both"/>
        <w:rPr>
          <w:rFonts w:ascii="Verdana" w:hAnsi="Verdana" w:cs="Calibri"/>
          <w:b/>
          <w:sz w:val="20"/>
          <w:szCs w:val="20"/>
        </w:rPr>
      </w:pPr>
    </w:p>
    <w:p w14:paraId="30AAD2A1" w14:textId="7EBB86AC" w:rsidR="009F3542" w:rsidRPr="006A6FEB" w:rsidRDefault="009F3542" w:rsidP="00AF321C">
      <w:pPr>
        <w:pStyle w:val="NormalWeb"/>
        <w:jc w:val="both"/>
        <w:rPr>
          <w:rFonts w:ascii="Verdana" w:hAnsi="Verdana" w:cs="Calibri"/>
          <w:b/>
          <w:sz w:val="20"/>
          <w:szCs w:val="20"/>
        </w:rPr>
      </w:pPr>
    </w:p>
    <w:p w14:paraId="7B2A8039" w14:textId="2C8F0C1F" w:rsidR="009F3542" w:rsidRPr="006A6FEB" w:rsidRDefault="009F3542" w:rsidP="00AF321C">
      <w:pPr>
        <w:pStyle w:val="NormalWeb"/>
        <w:jc w:val="both"/>
        <w:rPr>
          <w:rFonts w:ascii="Verdana" w:hAnsi="Verdana" w:cs="Calibri"/>
          <w:b/>
          <w:sz w:val="20"/>
          <w:szCs w:val="20"/>
        </w:rPr>
      </w:pPr>
    </w:p>
    <w:p w14:paraId="06D0D5A3" w14:textId="1B03B491" w:rsidR="006A6FEB" w:rsidRPr="006A6FEB" w:rsidRDefault="006A6FEB" w:rsidP="00AF321C">
      <w:pPr>
        <w:pStyle w:val="NormalWeb"/>
        <w:jc w:val="both"/>
        <w:rPr>
          <w:rFonts w:ascii="Verdana" w:hAnsi="Verdana" w:cs="Calibri"/>
          <w:b/>
          <w:sz w:val="20"/>
          <w:szCs w:val="20"/>
        </w:rPr>
      </w:pPr>
    </w:p>
    <w:p w14:paraId="7832D299" w14:textId="03FD64A5" w:rsidR="006A6FEB" w:rsidRPr="006A6FEB" w:rsidRDefault="006A6FEB" w:rsidP="00AF321C">
      <w:pPr>
        <w:pStyle w:val="NormalWeb"/>
        <w:jc w:val="both"/>
        <w:rPr>
          <w:rFonts w:ascii="Verdana" w:hAnsi="Verdana" w:cs="Calibri"/>
          <w:b/>
          <w:sz w:val="20"/>
          <w:szCs w:val="20"/>
        </w:rPr>
      </w:pPr>
    </w:p>
    <w:p w14:paraId="2B0AADDD" w14:textId="77777777" w:rsidR="006A6FEB" w:rsidRPr="006A6FEB" w:rsidRDefault="006A6FEB" w:rsidP="00AF321C">
      <w:pPr>
        <w:pStyle w:val="NormalWeb"/>
        <w:jc w:val="both"/>
        <w:rPr>
          <w:rFonts w:ascii="Verdana" w:hAnsi="Verdana" w:cs="Calibri"/>
          <w:b/>
          <w:sz w:val="20"/>
          <w:szCs w:val="20"/>
        </w:rPr>
      </w:pPr>
    </w:p>
    <w:p w14:paraId="7E8FD416" w14:textId="77777777" w:rsidR="00E46F9E" w:rsidRPr="00716618" w:rsidRDefault="00E46F9E" w:rsidP="00E46F9E">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RESOLUCIÓN DE LA </w:t>
      </w:r>
    </w:p>
    <w:p w14:paraId="6EC83F68" w14:textId="77777777" w:rsidR="00E46F9E" w:rsidRPr="00716618" w:rsidRDefault="00E46F9E" w:rsidP="00E46F9E">
      <w:pPr>
        <w:pStyle w:val="NormalWeb"/>
        <w:jc w:val="center"/>
        <w:rPr>
          <w:rFonts w:ascii="Verdana" w:hAnsi="Verdana" w:cs="Calibri"/>
          <w:b/>
          <w:color w:val="000000"/>
          <w:sz w:val="20"/>
          <w:szCs w:val="20"/>
        </w:rPr>
      </w:pPr>
      <w:r w:rsidRPr="00716618">
        <w:rPr>
          <w:rFonts w:ascii="Verdana" w:hAnsi="Verdana" w:cs="Calibri"/>
          <w:b/>
          <w:color w:val="000000"/>
          <w:sz w:val="20"/>
          <w:szCs w:val="20"/>
        </w:rPr>
        <w:t>CORTE INTERAMERICANA DE DERECHOS HUMANOS</w:t>
      </w:r>
      <w:r w:rsidRPr="005E7788">
        <w:rPr>
          <w:rFonts w:ascii="Verdana" w:hAnsi="Verdana" w:cs="Calibri"/>
          <w:b/>
          <w:color w:val="000000"/>
          <w:sz w:val="20"/>
          <w:szCs w:val="20"/>
          <w:vertAlign w:val="superscript"/>
        </w:rPr>
        <w:t>*</w:t>
      </w:r>
    </w:p>
    <w:p w14:paraId="13357CE2" w14:textId="77777777" w:rsidR="00E46F9E" w:rsidRDefault="00E46F9E" w:rsidP="00E46F9E">
      <w:pPr>
        <w:pStyle w:val="NormalWeb"/>
        <w:jc w:val="center"/>
        <w:rPr>
          <w:rFonts w:ascii="Verdana" w:hAnsi="Verdana" w:cs="Calibri"/>
          <w:b/>
          <w:color w:val="000000"/>
          <w:sz w:val="20"/>
          <w:szCs w:val="20"/>
        </w:rPr>
      </w:pPr>
    </w:p>
    <w:p w14:paraId="0604A693" w14:textId="0BF65FF3" w:rsidR="00E46F9E" w:rsidRPr="00716618" w:rsidRDefault="00E46F9E" w:rsidP="00E46F9E">
      <w:pPr>
        <w:pStyle w:val="NormalWeb"/>
        <w:jc w:val="center"/>
        <w:rPr>
          <w:rFonts w:ascii="Verdana" w:hAnsi="Verdana" w:cs="Calibri"/>
          <w:b/>
          <w:color w:val="000000"/>
          <w:sz w:val="20"/>
          <w:szCs w:val="20"/>
        </w:rPr>
      </w:pPr>
      <w:r w:rsidRPr="00716618">
        <w:rPr>
          <w:rFonts w:ascii="Verdana" w:hAnsi="Verdana" w:cs="Calibri"/>
          <w:b/>
          <w:color w:val="000000"/>
          <w:sz w:val="20"/>
          <w:szCs w:val="20"/>
        </w:rPr>
        <w:t xml:space="preserve">DE </w:t>
      </w:r>
      <w:r w:rsidR="006A6FEB">
        <w:rPr>
          <w:rFonts w:ascii="Verdana" w:hAnsi="Verdana" w:cs="Calibri"/>
          <w:b/>
          <w:color w:val="000000"/>
          <w:sz w:val="20"/>
          <w:szCs w:val="20"/>
        </w:rPr>
        <w:t>27</w:t>
      </w:r>
      <w:r w:rsidRPr="00716618">
        <w:rPr>
          <w:rFonts w:ascii="Verdana" w:hAnsi="Verdana" w:cs="Calibri"/>
          <w:b/>
          <w:color w:val="000000"/>
          <w:sz w:val="20"/>
          <w:szCs w:val="20"/>
        </w:rPr>
        <w:t xml:space="preserve"> DE </w:t>
      </w:r>
      <w:r w:rsidR="006A6FEB">
        <w:rPr>
          <w:rFonts w:ascii="Verdana" w:hAnsi="Verdana" w:cs="Calibri"/>
          <w:b/>
          <w:color w:val="000000"/>
          <w:sz w:val="20"/>
          <w:szCs w:val="20"/>
        </w:rPr>
        <w:t>MAYO</w:t>
      </w:r>
      <w:r w:rsidRPr="00716618">
        <w:rPr>
          <w:rFonts w:ascii="Verdana" w:hAnsi="Verdana" w:cs="Calibri"/>
          <w:b/>
          <w:color w:val="000000"/>
          <w:sz w:val="20"/>
          <w:szCs w:val="20"/>
        </w:rPr>
        <w:t xml:space="preserve"> DE 20</w:t>
      </w:r>
      <w:r>
        <w:rPr>
          <w:rFonts w:ascii="Verdana" w:hAnsi="Verdana" w:cs="Calibri"/>
          <w:b/>
          <w:color w:val="000000"/>
          <w:sz w:val="20"/>
          <w:szCs w:val="20"/>
        </w:rPr>
        <w:t>21</w:t>
      </w:r>
    </w:p>
    <w:p w14:paraId="7B76F8EA" w14:textId="77777777" w:rsidR="00E46F9E" w:rsidRPr="00716618" w:rsidRDefault="00E46F9E" w:rsidP="00E46F9E">
      <w:pPr>
        <w:pStyle w:val="NormalWeb"/>
        <w:jc w:val="center"/>
        <w:rPr>
          <w:rFonts w:ascii="Verdana" w:hAnsi="Verdana" w:cs="Calibri"/>
          <w:b/>
          <w:color w:val="000000"/>
          <w:sz w:val="20"/>
          <w:szCs w:val="20"/>
        </w:rPr>
      </w:pPr>
    </w:p>
    <w:p w14:paraId="1E382CF5" w14:textId="77777777" w:rsidR="00E46F9E" w:rsidRPr="005E7788" w:rsidRDefault="00E46F9E" w:rsidP="00E46F9E">
      <w:pPr>
        <w:pStyle w:val="NormalWeb"/>
        <w:jc w:val="center"/>
        <w:rPr>
          <w:rFonts w:ascii="Verdana" w:hAnsi="Verdana" w:cs="Calibri"/>
          <w:b/>
          <w:i/>
          <w:color w:val="000000"/>
          <w:sz w:val="20"/>
          <w:szCs w:val="20"/>
        </w:rPr>
      </w:pPr>
      <w:r w:rsidRPr="005E7788">
        <w:rPr>
          <w:rFonts w:ascii="Verdana" w:hAnsi="Verdana" w:cs="Calibri"/>
          <w:b/>
          <w:i/>
          <w:color w:val="000000"/>
          <w:sz w:val="20"/>
          <w:szCs w:val="20"/>
        </w:rPr>
        <w:t xml:space="preserve">CASO </w:t>
      </w:r>
      <w:r>
        <w:rPr>
          <w:rFonts w:ascii="Verdana" w:hAnsi="Verdana" w:cs="Calibri"/>
          <w:b/>
          <w:i/>
          <w:color w:val="000000"/>
          <w:sz w:val="20"/>
          <w:szCs w:val="20"/>
        </w:rPr>
        <w:t>SPOLTORE</w:t>
      </w:r>
      <w:r w:rsidRPr="005E7788">
        <w:rPr>
          <w:rFonts w:ascii="Verdana" w:hAnsi="Verdana" w:cs="Calibri"/>
          <w:b/>
          <w:i/>
          <w:color w:val="000000"/>
          <w:sz w:val="20"/>
          <w:szCs w:val="20"/>
        </w:rPr>
        <w:t xml:space="preserve"> VS. ARGENTINA</w:t>
      </w:r>
    </w:p>
    <w:p w14:paraId="6C2187E5" w14:textId="77777777" w:rsidR="00E46F9E" w:rsidRPr="00716618" w:rsidRDefault="00E46F9E" w:rsidP="00E46F9E">
      <w:pPr>
        <w:pStyle w:val="NormalWeb"/>
        <w:jc w:val="center"/>
        <w:rPr>
          <w:rFonts w:ascii="Verdana" w:hAnsi="Verdana" w:cs="Calibri"/>
          <w:b/>
          <w:color w:val="000000"/>
          <w:sz w:val="20"/>
          <w:szCs w:val="20"/>
        </w:rPr>
      </w:pPr>
    </w:p>
    <w:p w14:paraId="5D6754AD" w14:textId="77777777" w:rsidR="00E46F9E" w:rsidRPr="00716618" w:rsidRDefault="00E46F9E" w:rsidP="00E46F9E">
      <w:pPr>
        <w:pStyle w:val="NormalWeb"/>
        <w:jc w:val="center"/>
        <w:rPr>
          <w:rFonts w:ascii="Verdana" w:hAnsi="Verdana" w:cs="Calibri"/>
          <w:b/>
          <w:color w:val="000000"/>
          <w:sz w:val="20"/>
          <w:szCs w:val="20"/>
        </w:rPr>
      </w:pPr>
      <w:r w:rsidRPr="00716618">
        <w:rPr>
          <w:rFonts w:ascii="Verdana" w:hAnsi="Verdana" w:cs="Calibri"/>
          <w:b/>
          <w:color w:val="000000"/>
          <w:sz w:val="20"/>
          <w:szCs w:val="20"/>
        </w:rPr>
        <w:t>SUPERVISIÓN DE CUMPLIMIENTO DE SENTENCIA</w:t>
      </w:r>
    </w:p>
    <w:p w14:paraId="60284DAF" w14:textId="77777777" w:rsidR="00E46F9E" w:rsidRPr="00716618" w:rsidRDefault="00E46F9E" w:rsidP="00D52D86">
      <w:pPr>
        <w:pStyle w:val="NormalWeb"/>
        <w:spacing w:before="120" w:after="120"/>
        <w:jc w:val="center"/>
        <w:rPr>
          <w:rFonts w:ascii="Verdana" w:hAnsi="Verdana" w:cs="Calibri"/>
          <w:color w:val="000000"/>
          <w:sz w:val="20"/>
          <w:szCs w:val="20"/>
        </w:rPr>
      </w:pPr>
    </w:p>
    <w:p w14:paraId="05390E71" w14:textId="77777777" w:rsidR="00E46F9E" w:rsidRPr="005E7788" w:rsidRDefault="00E46F9E" w:rsidP="00D52D86">
      <w:pPr>
        <w:pStyle w:val="NormalWeb"/>
        <w:spacing w:before="120" w:after="120"/>
        <w:rPr>
          <w:rFonts w:ascii="Verdana" w:hAnsi="Verdana" w:cs="Calibri"/>
          <w:b/>
          <w:color w:val="000000"/>
          <w:sz w:val="20"/>
          <w:szCs w:val="20"/>
        </w:rPr>
      </w:pPr>
      <w:r w:rsidRPr="00716618">
        <w:rPr>
          <w:rFonts w:ascii="Verdana" w:hAnsi="Verdana" w:cs="Calibri"/>
          <w:b/>
          <w:color w:val="000000"/>
          <w:sz w:val="20"/>
          <w:szCs w:val="20"/>
        </w:rPr>
        <w:t xml:space="preserve">VISTO: </w:t>
      </w:r>
    </w:p>
    <w:p w14:paraId="78EBACAF" w14:textId="482516F6" w:rsidR="00E46F9E" w:rsidRPr="00FE69B8" w:rsidRDefault="00E46F9E" w:rsidP="00D52D86">
      <w:pPr>
        <w:pStyle w:val="Prrafodelista"/>
        <w:numPr>
          <w:ilvl w:val="0"/>
          <w:numId w:val="1"/>
        </w:numPr>
        <w:spacing w:before="120" w:after="120"/>
        <w:ind w:left="0" w:firstLine="0"/>
        <w:jc w:val="both"/>
        <w:rPr>
          <w:rFonts w:ascii="Verdana" w:hAnsi="Verdana"/>
          <w:b/>
          <w:bCs/>
          <w:sz w:val="20"/>
          <w:szCs w:val="20"/>
        </w:rPr>
      </w:pPr>
      <w:r w:rsidRPr="004F6001">
        <w:rPr>
          <w:rFonts w:ascii="Verdana" w:hAnsi="Verdana"/>
          <w:sz w:val="20"/>
        </w:rPr>
        <w:t xml:space="preserve">La Sentencia de excepción preliminar, fondo, reparaciones y costas dictada por la Corte Interamericana de Derechos Humanos (en adelante “la Corte”, “la Corte Interamericana” o “el Tribunal”) el </w:t>
      </w:r>
      <w:r>
        <w:rPr>
          <w:rFonts w:ascii="Verdana" w:hAnsi="Verdana"/>
          <w:sz w:val="20"/>
        </w:rPr>
        <w:t>9 de junio de 2020</w:t>
      </w:r>
      <w:r>
        <w:rPr>
          <w:rStyle w:val="Refdenotaalpie"/>
          <w:rFonts w:ascii="Verdana" w:hAnsi="Verdana"/>
          <w:sz w:val="20"/>
        </w:rPr>
        <w:footnoteReference w:id="1"/>
      </w:r>
      <w:r w:rsidRPr="004F6001">
        <w:rPr>
          <w:rFonts w:ascii="Verdana" w:hAnsi="Verdana"/>
          <w:sz w:val="20"/>
        </w:rPr>
        <w:t>.</w:t>
      </w:r>
      <w:r w:rsidRPr="004F6001">
        <w:rPr>
          <w:rFonts w:ascii="Verdana" w:hAnsi="Verdana"/>
          <w:color w:val="000000"/>
          <w:sz w:val="18"/>
          <w:szCs w:val="20"/>
        </w:rPr>
        <w:t xml:space="preserve"> </w:t>
      </w:r>
      <w:r w:rsidRPr="00624685">
        <w:rPr>
          <w:rFonts w:ascii="Verdana" w:hAnsi="Verdana"/>
          <w:color w:val="000000"/>
          <w:sz w:val="20"/>
          <w:szCs w:val="20"/>
        </w:rPr>
        <w:t>La Corte</w:t>
      </w:r>
      <w:r w:rsidR="009A664A">
        <w:rPr>
          <w:rFonts w:ascii="Verdana" w:hAnsi="Verdana"/>
          <w:color w:val="000000"/>
          <w:sz w:val="20"/>
          <w:szCs w:val="20"/>
        </w:rPr>
        <w:t xml:space="preserve"> aceptó el </w:t>
      </w:r>
      <w:r w:rsidR="009A664A" w:rsidRPr="00FE69B8">
        <w:rPr>
          <w:rFonts w:ascii="Verdana" w:hAnsi="Verdana"/>
          <w:color w:val="000000"/>
          <w:sz w:val="20"/>
          <w:szCs w:val="20"/>
        </w:rPr>
        <w:t xml:space="preserve">reconocimiento parcial de responsabilidad realizado por </w:t>
      </w:r>
      <w:r w:rsidR="002A7F44" w:rsidRPr="00FE69B8">
        <w:rPr>
          <w:rFonts w:ascii="Verdana" w:hAnsi="Verdana"/>
          <w:color w:val="000000"/>
          <w:sz w:val="20"/>
          <w:szCs w:val="20"/>
        </w:rPr>
        <w:t>la República Argentina (en ade</w:t>
      </w:r>
      <w:r w:rsidR="002A7F44">
        <w:rPr>
          <w:rFonts w:ascii="Verdana" w:hAnsi="Verdana"/>
          <w:color w:val="000000"/>
          <w:sz w:val="20"/>
          <w:szCs w:val="20"/>
        </w:rPr>
        <w:t xml:space="preserve">lante “el Estado” o “Argentina”) </w:t>
      </w:r>
      <w:r w:rsidR="009A664A" w:rsidRPr="00FE69B8">
        <w:rPr>
          <w:rFonts w:ascii="Verdana" w:hAnsi="Verdana"/>
          <w:color w:val="000000"/>
          <w:sz w:val="20"/>
          <w:szCs w:val="20"/>
        </w:rPr>
        <w:t>y lo</w:t>
      </w:r>
      <w:r w:rsidRPr="00FE69B8">
        <w:rPr>
          <w:rFonts w:ascii="Verdana" w:hAnsi="Verdana"/>
          <w:color w:val="000000"/>
          <w:sz w:val="20"/>
          <w:szCs w:val="20"/>
        </w:rPr>
        <w:t xml:space="preserve"> declaró responsable internacionalmente </w:t>
      </w:r>
      <w:r w:rsidRPr="00FE69B8">
        <w:rPr>
          <w:rFonts w:ascii="Verdana" w:hAnsi="Verdana"/>
          <w:sz w:val="20"/>
          <w:szCs w:val="20"/>
        </w:rPr>
        <w:t>por</w:t>
      </w:r>
      <w:r w:rsidR="009A664A" w:rsidRPr="00FE69B8">
        <w:rPr>
          <w:rFonts w:ascii="Verdana" w:hAnsi="Verdana"/>
          <w:sz w:val="20"/>
          <w:szCs w:val="20"/>
        </w:rPr>
        <w:t xml:space="preserve"> la violación de los derechos a las garantías judiciales, protección judicial y el derecho a condiciones de trabajo equitativas y satisfactorias que aseguren la salud del trabajador, en relación con el acceso a la justicia, en perjuicio del señor Victorio </w:t>
      </w:r>
      <w:proofErr w:type="spellStart"/>
      <w:r w:rsidR="009A664A" w:rsidRPr="00FE69B8">
        <w:rPr>
          <w:rFonts w:ascii="Verdana" w:hAnsi="Verdana"/>
          <w:sz w:val="20"/>
          <w:szCs w:val="20"/>
        </w:rPr>
        <w:t>Spoltore</w:t>
      </w:r>
      <w:proofErr w:type="spellEnd"/>
      <w:r w:rsidR="009A664A" w:rsidRPr="00FE69B8">
        <w:rPr>
          <w:rFonts w:ascii="Verdana" w:hAnsi="Verdana"/>
          <w:sz w:val="20"/>
          <w:szCs w:val="20"/>
        </w:rPr>
        <w:t xml:space="preserve">. Dichas violaciones ocurrieron </w:t>
      </w:r>
      <w:r w:rsidR="00FE69B8" w:rsidRPr="00FE69B8">
        <w:rPr>
          <w:rFonts w:ascii="Verdana" w:hAnsi="Verdana"/>
          <w:sz w:val="20"/>
          <w:szCs w:val="20"/>
        </w:rPr>
        <w:t>por la duración excesiva y violatoria del plazo razonable del procedimiento laboral de</w:t>
      </w:r>
      <w:r w:rsidR="009A664A" w:rsidRPr="00FE69B8">
        <w:rPr>
          <w:rFonts w:ascii="Verdana" w:hAnsi="Verdana"/>
          <w:sz w:val="20"/>
          <w:szCs w:val="20"/>
        </w:rPr>
        <w:t xml:space="preserve"> indemnización emergente de enfermedad profesional que interpuso el señor </w:t>
      </w:r>
      <w:proofErr w:type="spellStart"/>
      <w:r w:rsidR="009A664A" w:rsidRPr="00FE69B8">
        <w:rPr>
          <w:rFonts w:ascii="Verdana" w:hAnsi="Verdana"/>
          <w:sz w:val="20"/>
          <w:szCs w:val="20"/>
        </w:rPr>
        <w:t>S</w:t>
      </w:r>
      <w:r w:rsidR="00FE69B8">
        <w:rPr>
          <w:rFonts w:ascii="Verdana" w:hAnsi="Verdana"/>
          <w:sz w:val="20"/>
          <w:szCs w:val="20"/>
        </w:rPr>
        <w:t>poltore</w:t>
      </w:r>
      <w:proofErr w:type="spellEnd"/>
      <w:r w:rsidR="00FE69B8">
        <w:rPr>
          <w:rFonts w:ascii="Verdana" w:hAnsi="Verdana"/>
          <w:sz w:val="20"/>
          <w:szCs w:val="20"/>
        </w:rPr>
        <w:t xml:space="preserve">, </w:t>
      </w:r>
      <w:r w:rsidR="009A664A" w:rsidRPr="00FE69B8">
        <w:rPr>
          <w:rFonts w:ascii="Verdana" w:hAnsi="Verdana"/>
          <w:sz w:val="20"/>
          <w:szCs w:val="20"/>
        </w:rPr>
        <w:t xml:space="preserve">contra la empresa privada </w:t>
      </w:r>
      <w:r w:rsidR="00FE69B8" w:rsidRPr="00FE69B8">
        <w:rPr>
          <w:rFonts w:ascii="Verdana" w:hAnsi="Verdana"/>
          <w:sz w:val="20"/>
          <w:szCs w:val="20"/>
        </w:rPr>
        <w:t xml:space="preserve">en la </w:t>
      </w:r>
      <w:r w:rsidR="009A664A" w:rsidRPr="00FE69B8">
        <w:rPr>
          <w:rFonts w:ascii="Verdana" w:hAnsi="Verdana"/>
          <w:sz w:val="20"/>
          <w:szCs w:val="20"/>
        </w:rPr>
        <w:t>que trabajaba</w:t>
      </w:r>
      <w:r w:rsidR="00FE69B8">
        <w:rPr>
          <w:rFonts w:ascii="Verdana" w:hAnsi="Verdana"/>
          <w:sz w:val="20"/>
          <w:szCs w:val="20"/>
        </w:rPr>
        <w:t>,</w:t>
      </w:r>
      <w:r w:rsidR="009A664A" w:rsidRPr="00FE69B8">
        <w:rPr>
          <w:rFonts w:ascii="Verdana" w:hAnsi="Verdana"/>
          <w:sz w:val="20"/>
          <w:szCs w:val="20"/>
        </w:rPr>
        <w:t xml:space="preserve"> </w:t>
      </w:r>
      <w:r w:rsidR="00FE69B8" w:rsidRPr="00FE69B8">
        <w:rPr>
          <w:rFonts w:ascii="Verdana" w:hAnsi="Verdana"/>
          <w:sz w:val="20"/>
          <w:szCs w:val="20"/>
        </w:rPr>
        <w:t>luego de pensionarse tras haber sufrido dos infartos</w:t>
      </w:r>
      <w:r w:rsidR="009A664A" w:rsidRPr="00FE69B8">
        <w:rPr>
          <w:rFonts w:ascii="Verdana" w:hAnsi="Verdana"/>
          <w:sz w:val="20"/>
          <w:szCs w:val="20"/>
        </w:rPr>
        <w:t>.</w:t>
      </w:r>
      <w:r w:rsidR="00FE69B8" w:rsidRPr="00FE69B8">
        <w:rPr>
          <w:rFonts w:ascii="Verdana" w:hAnsi="Verdana"/>
          <w:b/>
          <w:bCs/>
          <w:sz w:val="20"/>
          <w:szCs w:val="20"/>
        </w:rPr>
        <w:t xml:space="preserve"> </w:t>
      </w:r>
      <w:r w:rsidRPr="00FE69B8">
        <w:rPr>
          <w:rFonts w:ascii="Verdana" w:hAnsi="Verdana"/>
          <w:sz w:val="20"/>
          <w:szCs w:val="20"/>
        </w:rPr>
        <w:t>La Corte estableció que su Sentencia constituye por sí misma una forma de reparación y ordenó al Estado determinadas medidas de reparación adicionales (</w:t>
      </w:r>
      <w:r w:rsidRPr="00FE69B8">
        <w:rPr>
          <w:rFonts w:ascii="Verdana" w:hAnsi="Verdana"/>
          <w:i/>
          <w:sz w:val="20"/>
          <w:szCs w:val="20"/>
        </w:rPr>
        <w:t>infra</w:t>
      </w:r>
      <w:r w:rsidRPr="00FE69B8">
        <w:rPr>
          <w:rFonts w:ascii="Verdana" w:hAnsi="Verdana"/>
          <w:sz w:val="20"/>
          <w:szCs w:val="20"/>
        </w:rPr>
        <w:t xml:space="preserve"> Considerando 1). </w:t>
      </w:r>
      <w:r w:rsidR="00AE519B" w:rsidRPr="00FE69B8">
        <w:rPr>
          <w:rFonts w:ascii="Verdana" w:hAnsi="Verdana"/>
          <w:sz w:val="20"/>
          <w:szCs w:val="20"/>
        </w:rPr>
        <w:t>Asimismo, dispuso el reintegro al Fondo de Asistencia Legal de Víctimas de la Corte (en adelante también “el Fondo de Asistencia”).</w:t>
      </w:r>
    </w:p>
    <w:p w14:paraId="044CB927" w14:textId="591DE306" w:rsidR="00E46F9E" w:rsidRPr="004F6001" w:rsidRDefault="00E46F9E" w:rsidP="00D52D86">
      <w:pPr>
        <w:pStyle w:val="Prrafodelista"/>
        <w:numPr>
          <w:ilvl w:val="0"/>
          <w:numId w:val="1"/>
        </w:numPr>
        <w:spacing w:before="120" w:after="120"/>
        <w:ind w:left="0" w:firstLine="0"/>
        <w:jc w:val="both"/>
        <w:rPr>
          <w:rFonts w:ascii="Verdana" w:hAnsi="Verdana"/>
          <w:b/>
          <w:bCs/>
          <w:sz w:val="20"/>
        </w:rPr>
      </w:pPr>
      <w:r w:rsidRPr="004F6001">
        <w:rPr>
          <w:rFonts w:ascii="Verdana" w:hAnsi="Verdana"/>
          <w:sz w:val="20"/>
        </w:rPr>
        <w:t xml:space="preserve">Los informes presentados por el Estado </w:t>
      </w:r>
      <w:r w:rsidR="00FE69B8">
        <w:rPr>
          <w:rFonts w:ascii="Verdana" w:hAnsi="Verdana"/>
          <w:sz w:val="20"/>
        </w:rPr>
        <w:t>el 20 de</w:t>
      </w:r>
      <w:r w:rsidR="00D5362A">
        <w:rPr>
          <w:rFonts w:ascii="Verdana" w:hAnsi="Verdana"/>
          <w:sz w:val="20"/>
        </w:rPr>
        <w:t xml:space="preserve"> febrero y </w:t>
      </w:r>
      <w:r w:rsidR="00FE69B8">
        <w:rPr>
          <w:rFonts w:ascii="Verdana" w:hAnsi="Verdana"/>
          <w:sz w:val="20"/>
        </w:rPr>
        <w:t xml:space="preserve">el 9 de </w:t>
      </w:r>
      <w:r w:rsidR="00D5362A">
        <w:rPr>
          <w:rFonts w:ascii="Verdana" w:hAnsi="Verdana"/>
          <w:sz w:val="20"/>
        </w:rPr>
        <w:t>marzo de</w:t>
      </w:r>
      <w:r>
        <w:rPr>
          <w:rFonts w:ascii="Verdana" w:hAnsi="Verdana"/>
          <w:sz w:val="20"/>
        </w:rPr>
        <w:t xml:space="preserve"> 2021</w:t>
      </w:r>
      <w:r w:rsidRPr="004F6001">
        <w:rPr>
          <w:rFonts w:ascii="Verdana" w:hAnsi="Verdana"/>
          <w:sz w:val="20"/>
        </w:rPr>
        <w:t xml:space="preserve">. </w:t>
      </w:r>
    </w:p>
    <w:p w14:paraId="0E67BF26" w14:textId="1030AD4A" w:rsidR="00E46F9E" w:rsidRPr="003A0D24" w:rsidRDefault="00D5362A" w:rsidP="00D52D86">
      <w:pPr>
        <w:pStyle w:val="Prrafodelista"/>
        <w:numPr>
          <w:ilvl w:val="0"/>
          <w:numId w:val="1"/>
        </w:numPr>
        <w:spacing w:before="120" w:after="120"/>
        <w:ind w:left="0" w:firstLine="0"/>
        <w:jc w:val="both"/>
        <w:rPr>
          <w:rFonts w:ascii="Verdana" w:hAnsi="Verdana"/>
          <w:b/>
          <w:bCs/>
          <w:sz w:val="20"/>
        </w:rPr>
      </w:pPr>
      <w:r>
        <w:rPr>
          <w:rFonts w:ascii="Verdana" w:hAnsi="Verdana"/>
          <w:sz w:val="20"/>
        </w:rPr>
        <w:t>El escrito</w:t>
      </w:r>
      <w:r w:rsidR="00E46F9E" w:rsidRPr="004F6001">
        <w:rPr>
          <w:rFonts w:ascii="Verdana" w:hAnsi="Verdana"/>
          <w:sz w:val="20"/>
        </w:rPr>
        <w:t xml:space="preserve"> de </w:t>
      </w:r>
      <w:r>
        <w:rPr>
          <w:rFonts w:ascii="Verdana" w:hAnsi="Verdana"/>
          <w:sz w:val="20"/>
        </w:rPr>
        <w:t>observaciones presentado</w:t>
      </w:r>
      <w:r w:rsidR="00E46F9E">
        <w:rPr>
          <w:rFonts w:ascii="Verdana" w:hAnsi="Verdana"/>
          <w:sz w:val="20"/>
        </w:rPr>
        <w:t xml:space="preserve"> por lo</w:t>
      </w:r>
      <w:r>
        <w:rPr>
          <w:rFonts w:ascii="Verdana" w:hAnsi="Verdana"/>
          <w:sz w:val="20"/>
        </w:rPr>
        <w:t>s representantes de la víctima</w:t>
      </w:r>
      <w:r w:rsidR="00E46F9E" w:rsidRPr="004F6001">
        <w:rPr>
          <w:rFonts w:ascii="Verdana" w:hAnsi="Verdana"/>
          <w:sz w:val="20"/>
        </w:rPr>
        <w:t xml:space="preserve"> (en ade</w:t>
      </w:r>
      <w:r w:rsidR="00E46F9E">
        <w:rPr>
          <w:rFonts w:ascii="Verdana" w:hAnsi="Verdana"/>
          <w:sz w:val="20"/>
        </w:rPr>
        <w:t>lante “lo</w:t>
      </w:r>
      <w:r w:rsidR="00E46F9E" w:rsidRPr="004F6001">
        <w:rPr>
          <w:rFonts w:ascii="Verdana" w:hAnsi="Verdana"/>
          <w:sz w:val="20"/>
        </w:rPr>
        <w:t>s representantes”)</w:t>
      </w:r>
      <w:r w:rsidR="00E46F9E">
        <w:rPr>
          <w:rStyle w:val="Refdenotaalpie"/>
          <w:rFonts w:ascii="Verdana" w:hAnsi="Verdana"/>
          <w:sz w:val="20"/>
        </w:rPr>
        <w:footnoteReference w:id="2"/>
      </w:r>
      <w:r w:rsidR="00E46F9E">
        <w:rPr>
          <w:rFonts w:ascii="Verdana" w:hAnsi="Verdana"/>
          <w:sz w:val="20"/>
        </w:rPr>
        <w:t xml:space="preserve"> </w:t>
      </w:r>
      <w:r>
        <w:rPr>
          <w:rFonts w:ascii="Verdana" w:hAnsi="Verdana"/>
          <w:sz w:val="20"/>
        </w:rPr>
        <w:t>el 5 de abril de 2021</w:t>
      </w:r>
      <w:r w:rsidR="00E46F9E" w:rsidRPr="00725C04">
        <w:rPr>
          <w:rFonts w:ascii="Verdana" w:hAnsi="Verdana"/>
          <w:sz w:val="20"/>
        </w:rPr>
        <w:t>.</w:t>
      </w:r>
      <w:r w:rsidR="00E46F9E" w:rsidRPr="004F6001">
        <w:rPr>
          <w:rFonts w:ascii="Verdana" w:hAnsi="Verdana"/>
          <w:sz w:val="20"/>
        </w:rPr>
        <w:t xml:space="preserve"> </w:t>
      </w:r>
    </w:p>
    <w:p w14:paraId="3D1CCE33" w14:textId="61DC2762" w:rsidR="00FE69B8" w:rsidRDefault="00FE69B8" w:rsidP="00D52D86">
      <w:pPr>
        <w:pStyle w:val="Prrafodelista"/>
        <w:spacing w:before="120" w:after="120"/>
        <w:ind w:left="0"/>
        <w:jc w:val="both"/>
        <w:rPr>
          <w:rFonts w:ascii="Verdana" w:hAnsi="Verdana"/>
          <w:b/>
          <w:sz w:val="20"/>
        </w:rPr>
      </w:pPr>
    </w:p>
    <w:p w14:paraId="55DFCF44" w14:textId="77777777" w:rsidR="009F3542" w:rsidRDefault="009F3542" w:rsidP="00D52D86">
      <w:pPr>
        <w:pStyle w:val="Prrafodelista"/>
        <w:spacing w:before="120" w:after="120"/>
        <w:ind w:left="0"/>
        <w:jc w:val="both"/>
        <w:rPr>
          <w:rFonts w:ascii="Verdana" w:hAnsi="Verdana"/>
          <w:b/>
          <w:sz w:val="20"/>
        </w:rPr>
      </w:pPr>
    </w:p>
    <w:p w14:paraId="151F599D" w14:textId="77777777" w:rsidR="00E46F9E" w:rsidRPr="00596ECD" w:rsidRDefault="00E46F9E" w:rsidP="00D52D86">
      <w:pPr>
        <w:pStyle w:val="Prrafodelista"/>
        <w:spacing w:before="120" w:after="120"/>
        <w:ind w:left="0"/>
        <w:jc w:val="both"/>
        <w:rPr>
          <w:rFonts w:ascii="Verdana" w:hAnsi="Verdana"/>
          <w:b/>
          <w:sz w:val="20"/>
        </w:rPr>
      </w:pPr>
      <w:r w:rsidRPr="00596ECD">
        <w:rPr>
          <w:rFonts w:ascii="Verdana" w:hAnsi="Verdana"/>
          <w:b/>
          <w:sz w:val="20"/>
        </w:rPr>
        <w:lastRenderedPageBreak/>
        <w:t xml:space="preserve">CONSIDERANDO QUE: </w:t>
      </w:r>
    </w:p>
    <w:p w14:paraId="6EBDA2C4" w14:textId="3FDED1ED" w:rsidR="00E46F9E" w:rsidRPr="00993169" w:rsidRDefault="00E46F9E" w:rsidP="00D52D86">
      <w:pPr>
        <w:pStyle w:val="Prrafodelista"/>
        <w:numPr>
          <w:ilvl w:val="0"/>
          <w:numId w:val="2"/>
        </w:numPr>
        <w:spacing w:before="120" w:after="120"/>
        <w:ind w:left="0" w:firstLine="0"/>
        <w:jc w:val="both"/>
        <w:rPr>
          <w:rFonts w:ascii="Verdana" w:hAnsi="Verdana"/>
          <w:b/>
          <w:sz w:val="14"/>
          <w:szCs w:val="20"/>
        </w:rPr>
      </w:pPr>
      <w:r w:rsidRPr="00596ECD">
        <w:rPr>
          <w:rFonts w:ascii="Verdana" w:hAnsi="Verdana"/>
          <w:sz w:val="20"/>
        </w:rPr>
        <w:t>En el ejercicio de su función jurisdiccional de supervisar el cumplimiento de sus decisiones</w:t>
      </w:r>
      <w:r>
        <w:rPr>
          <w:rStyle w:val="Refdenotaalpie"/>
          <w:rFonts w:ascii="Verdana" w:hAnsi="Verdana"/>
          <w:sz w:val="20"/>
        </w:rPr>
        <w:footnoteReference w:id="3"/>
      </w:r>
      <w:r w:rsidRPr="00596ECD">
        <w:rPr>
          <w:rFonts w:ascii="Verdana" w:hAnsi="Verdana"/>
          <w:sz w:val="20"/>
        </w:rPr>
        <w:t>, la Corte ha venido supervisando la ejecución de la Sentencia emitida en el presente caso en el 20</w:t>
      </w:r>
      <w:r w:rsidR="00AE519B">
        <w:rPr>
          <w:rFonts w:ascii="Verdana" w:hAnsi="Verdana"/>
          <w:sz w:val="20"/>
        </w:rPr>
        <w:t>20</w:t>
      </w:r>
      <w:r w:rsidRPr="00596ECD">
        <w:rPr>
          <w:rFonts w:ascii="Verdana" w:hAnsi="Verdana"/>
          <w:sz w:val="20"/>
        </w:rPr>
        <w:t xml:space="preserve"> (</w:t>
      </w:r>
      <w:r w:rsidRPr="00813791">
        <w:rPr>
          <w:rFonts w:ascii="Verdana" w:hAnsi="Verdana"/>
          <w:i/>
          <w:sz w:val="20"/>
        </w:rPr>
        <w:t>supra</w:t>
      </w:r>
      <w:r w:rsidRPr="00596ECD">
        <w:rPr>
          <w:rFonts w:ascii="Verdana" w:hAnsi="Verdana"/>
          <w:sz w:val="20"/>
        </w:rPr>
        <w:t xml:space="preserve"> Visto 1). En la Sentencia, el Tribunal dispuso</w:t>
      </w:r>
      <w:r>
        <w:rPr>
          <w:rFonts w:ascii="Verdana" w:hAnsi="Verdana"/>
          <w:sz w:val="20"/>
        </w:rPr>
        <w:t xml:space="preserve"> </w:t>
      </w:r>
      <w:r w:rsidR="00811CD6">
        <w:rPr>
          <w:rFonts w:ascii="Verdana" w:hAnsi="Verdana"/>
          <w:sz w:val="20"/>
        </w:rPr>
        <w:t>tres</w:t>
      </w:r>
      <w:r w:rsidRPr="00596ECD">
        <w:rPr>
          <w:rFonts w:ascii="Verdana" w:hAnsi="Verdana"/>
          <w:sz w:val="20"/>
        </w:rPr>
        <w:t xml:space="preserve"> </w:t>
      </w:r>
      <w:r w:rsidRPr="00AE519B">
        <w:rPr>
          <w:rFonts w:ascii="Verdana" w:hAnsi="Verdana"/>
          <w:sz w:val="20"/>
          <w:szCs w:val="20"/>
        </w:rPr>
        <w:t>medidas de reparación</w:t>
      </w:r>
      <w:r w:rsidR="007D7451">
        <w:rPr>
          <w:rFonts w:ascii="Verdana" w:hAnsi="Verdana"/>
          <w:sz w:val="20"/>
          <w:szCs w:val="20"/>
        </w:rPr>
        <w:t xml:space="preserve"> </w:t>
      </w:r>
      <w:r w:rsidR="002A7F44">
        <w:rPr>
          <w:rFonts w:ascii="Verdana" w:hAnsi="Verdana"/>
          <w:sz w:val="20"/>
          <w:szCs w:val="20"/>
        </w:rPr>
        <w:t xml:space="preserve">y </w:t>
      </w:r>
      <w:r w:rsidR="007D7451">
        <w:rPr>
          <w:rFonts w:ascii="Verdana" w:hAnsi="Verdana"/>
          <w:sz w:val="20"/>
          <w:szCs w:val="20"/>
        </w:rPr>
        <w:t xml:space="preserve">el reintegro </w:t>
      </w:r>
      <w:r w:rsidR="00AE519B" w:rsidRPr="00AE519B">
        <w:rPr>
          <w:rFonts w:ascii="Verdana" w:hAnsi="Verdana"/>
          <w:sz w:val="20"/>
          <w:szCs w:val="20"/>
        </w:rPr>
        <w:t>al Fondo de Asistencia Legal de Víctimas de la Corte</w:t>
      </w:r>
      <w:r w:rsidR="00AE519B">
        <w:rPr>
          <w:rStyle w:val="Refdenotaalpie"/>
          <w:rFonts w:ascii="Verdana" w:hAnsi="Verdana"/>
          <w:sz w:val="20"/>
          <w:szCs w:val="20"/>
        </w:rPr>
        <w:footnoteReference w:id="4"/>
      </w:r>
      <w:r w:rsidR="00AE519B" w:rsidRPr="00AE519B">
        <w:rPr>
          <w:rFonts w:ascii="Verdana" w:hAnsi="Verdana"/>
          <w:sz w:val="20"/>
          <w:szCs w:val="20"/>
        </w:rPr>
        <w:t>.</w:t>
      </w:r>
    </w:p>
    <w:p w14:paraId="7C1A2506" w14:textId="77777777" w:rsidR="00E46F9E" w:rsidRDefault="00E46F9E" w:rsidP="00D52D86">
      <w:pPr>
        <w:pStyle w:val="Prrafodelista"/>
        <w:numPr>
          <w:ilvl w:val="0"/>
          <w:numId w:val="2"/>
        </w:numPr>
        <w:spacing w:before="120" w:after="120"/>
        <w:ind w:left="0" w:firstLine="0"/>
        <w:jc w:val="both"/>
        <w:rPr>
          <w:rFonts w:ascii="Verdana" w:hAnsi="Verdana"/>
          <w:b/>
          <w:sz w:val="12"/>
          <w:szCs w:val="20"/>
        </w:rPr>
      </w:pPr>
      <w:r w:rsidRPr="00BF41E1">
        <w:rPr>
          <w:rFonts w:ascii="Verdana" w:hAnsi="Verdana"/>
          <w:sz w:val="20"/>
        </w:rPr>
        <w:t xml:space="preserve">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w:t>
      </w:r>
      <w:r>
        <w:rPr>
          <w:rFonts w:ascii="Verdana" w:hAnsi="Verdana"/>
          <w:sz w:val="20"/>
        </w:rPr>
        <w:t>de la Sentencia en su conjunto</w:t>
      </w:r>
      <w:r>
        <w:rPr>
          <w:rStyle w:val="Refdenotaalpie"/>
          <w:rFonts w:ascii="Verdana" w:hAnsi="Verdana"/>
          <w:sz w:val="20"/>
        </w:rPr>
        <w:footnoteReference w:id="5"/>
      </w:r>
      <w:r w:rsidRPr="00BF41E1">
        <w:rPr>
          <w:rFonts w:ascii="Verdana" w:hAnsi="Verdana"/>
          <w:sz w:val="20"/>
        </w:rPr>
        <w:t>. Los Estados Parte en la Convención deben garantizar el cumplimiento de las disposiciones convencionales y sus efectos propios (</w:t>
      </w:r>
      <w:proofErr w:type="spellStart"/>
      <w:r w:rsidRPr="00FB4489">
        <w:rPr>
          <w:rFonts w:ascii="Verdana" w:hAnsi="Verdana"/>
          <w:i/>
          <w:sz w:val="20"/>
        </w:rPr>
        <w:t>effet</w:t>
      </w:r>
      <w:proofErr w:type="spellEnd"/>
      <w:r w:rsidRPr="00FB4489">
        <w:rPr>
          <w:rFonts w:ascii="Verdana" w:hAnsi="Verdana"/>
          <w:i/>
          <w:sz w:val="20"/>
        </w:rPr>
        <w:t xml:space="preserve"> </w:t>
      </w:r>
      <w:proofErr w:type="spellStart"/>
      <w:r w:rsidRPr="00FB4489">
        <w:rPr>
          <w:rFonts w:ascii="Verdana" w:hAnsi="Verdana"/>
          <w:i/>
          <w:sz w:val="20"/>
        </w:rPr>
        <w:t>utile</w:t>
      </w:r>
      <w:proofErr w:type="spellEnd"/>
      <w:r w:rsidRPr="00BF41E1">
        <w:rPr>
          <w:rFonts w:ascii="Verdana" w:hAnsi="Verdana"/>
          <w:sz w:val="20"/>
        </w:rPr>
        <w:t>) en el plano de sus respectivos derechos internos. Estas obligaciones deben ser interpretadas y aplicadas de manera que la garantía protegida sea verdaderamente práctica y eficaz, teniendo presente la naturaleza especial de l</w:t>
      </w:r>
      <w:r>
        <w:rPr>
          <w:rFonts w:ascii="Verdana" w:hAnsi="Verdana"/>
          <w:sz w:val="20"/>
        </w:rPr>
        <w:t>os tratados de derechos humanos</w:t>
      </w:r>
      <w:r>
        <w:rPr>
          <w:rStyle w:val="Refdenotaalpie"/>
          <w:rFonts w:ascii="Verdana" w:hAnsi="Verdana"/>
          <w:sz w:val="20"/>
        </w:rPr>
        <w:footnoteReference w:id="6"/>
      </w:r>
      <w:r>
        <w:rPr>
          <w:rFonts w:ascii="Verdana" w:hAnsi="Verdana"/>
          <w:sz w:val="20"/>
        </w:rPr>
        <w:t>.</w:t>
      </w:r>
    </w:p>
    <w:p w14:paraId="120B3FB5" w14:textId="322D39CB" w:rsidR="00E46F9E" w:rsidRPr="0055537D" w:rsidRDefault="00D52D86" w:rsidP="00D52D86">
      <w:pPr>
        <w:pStyle w:val="Prrafodelista"/>
        <w:numPr>
          <w:ilvl w:val="0"/>
          <w:numId w:val="2"/>
        </w:numPr>
        <w:spacing w:before="120" w:after="120"/>
        <w:ind w:left="0" w:firstLine="0"/>
        <w:jc w:val="both"/>
        <w:rPr>
          <w:rFonts w:ascii="Verdana" w:hAnsi="Verdana"/>
          <w:b/>
          <w:sz w:val="12"/>
          <w:szCs w:val="20"/>
        </w:rPr>
      </w:pPr>
      <w:r>
        <w:rPr>
          <w:rFonts w:ascii="Verdana" w:hAnsi="Verdana"/>
          <w:sz w:val="20"/>
          <w:szCs w:val="20"/>
        </w:rPr>
        <w:t xml:space="preserve">La Corte se pronunciará sobre </w:t>
      </w:r>
      <w:r w:rsidR="00E46F9E">
        <w:rPr>
          <w:rFonts w:ascii="Verdana" w:hAnsi="Verdana"/>
          <w:sz w:val="20"/>
          <w:szCs w:val="20"/>
        </w:rPr>
        <w:t>la medida</w:t>
      </w:r>
      <w:r>
        <w:rPr>
          <w:rFonts w:ascii="Verdana" w:hAnsi="Verdana"/>
          <w:sz w:val="20"/>
          <w:szCs w:val="20"/>
        </w:rPr>
        <w:t xml:space="preserve"> relativa a la </w:t>
      </w:r>
      <w:r w:rsidR="00E46F9E">
        <w:rPr>
          <w:rFonts w:ascii="Verdana" w:hAnsi="Verdana"/>
          <w:sz w:val="20"/>
          <w:szCs w:val="20"/>
        </w:rPr>
        <w:t xml:space="preserve">publicación </w:t>
      </w:r>
      <w:r>
        <w:rPr>
          <w:rFonts w:ascii="Verdana" w:hAnsi="Verdana"/>
          <w:sz w:val="20"/>
          <w:szCs w:val="20"/>
        </w:rPr>
        <w:t>del resumen oficial de la Sentencia</w:t>
      </w:r>
      <w:r w:rsidR="00E46F9E" w:rsidRPr="001956A4">
        <w:rPr>
          <w:rFonts w:ascii="Verdana" w:hAnsi="Verdana"/>
          <w:sz w:val="20"/>
          <w:szCs w:val="20"/>
        </w:rPr>
        <w:t>,</w:t>
      </w:r>
      <w:r w:rsidR="00E46F9E" w:rsidRPr="001956A4">
        <w:rPr>
          <w:rFonts w:ascii="Verdana" w:hAnsi="Verdana"/>
          <w:sz w:val="20"/>
        </w:rPr>
        <w:t xml:space="preserve"> respecto de la cual se ha aportado suficiente información que permite valorar su cumplimiento</w:t>
      </w:r>
      <w:r>
        <w:rPr>
          <w:rFonts w:ascii="Verdana" w:hAnsi="Verdana"/>
          <w:sz w:val="20"/>
        </w:rPr>
        <w:t xml:space="preserve"> total (</w:t>
      </w:r>
      <w:r w:rsidRPr="00D52D86">
        <w:rPr>
          <w:rFonts w:ascii="Verdana" w:hAnsi="Verdana"/>
          <w:i/>
          <w:sz w:val="20"/>
        </w:rPr>
        <w:t xml:space="preserve">infra </w:t>
      </w:r>
      <w:r>
        <w:rPr>
          <w:rFonts w:ascii="Verdana" w:hAnsi="Verdana"/>
          <w:sz w:val="20"/>
        </w:rPr>
        <w:t xml:space="preserve">Considerados </w:t>
      </w:r>
      <w:r w:rsidR="006E33E3">
        <w:rPr>
          <w:rFonts w:ascii="Verdana" w:hAnsi="Verdana"/>
          <w:sz w:val="20"/>
        </w:rPr>
        <w:t xml:space="preserve">4 </w:t>
      </w:r>
      <w:r w:rsidR="001F1F5F">
        <w:rPr>
          <w:rFonts w:ascii="Verdana" w:hAnsi="Verdana"/>
          <w:sz w:val="20"/>
        </w:rPr>
        <w:t>a</w:t>
      </w:r>
      <w:r w:rsidR="006E33E3">
        <w:rPr>
          <w:rFonts w:ascii="Verdana" w:hAnsi="Verdana"/>
          <w:sz w:val="20"/>
        </w:rPr>
        <w:t xml:space="preserve"> </w:t>
      </w:r>
      <w:r w:rsidR="001F1F5F">
        <w:rPr>
          <w:rFonts w:ascii="Verdana" w:hAnsi="Verdana"/>
          <w:sz w:val="20"/>
        </w:rPr>
        <w:t>6</w:t>
      </w:r>
      <w:r>
        <w:rPr>
          <w:rFonts w:ascii="Verdana" w:hAnsi="Verdana"/>
          <w:sz w:val="20"/>
        </w:rPr>
        <w:t>)</w:t>
      </w:r>
      <w:r w:rsidR="00E46F9E" w:rsidRPr="001956A4">
        <w:rPr>
          <w:rFonts w:ascii="Verdana" w:hAnsi="Verdana"/>
          <w:sz w:val="20"/>
        </w:rPr>
        <w:t>.</w:t>
      </w:r>
      <w:r w:rsidR="00E46F9E" w:rsidRPr="001956A4">
        <w:rPr>
          <w:rFonts w:ascii="Verdana" w:hAnsi="Verdana"/>
          <w:sz w:val="20"/>
          <w:szCs w:val="20"/>
        </w:rPr>
        <w:t xml:space="preserve"> </w:t>
      </w:r>
      <w:r w:rsidR="00340EBF" w:rsidRPr="009F3542">
        <w:rPr>
          <w:rFonts w:ascii="Verdana" w:hAnsi="Verdana"/>
          <w:sz w:val="20"/>
          <w:szCs w:val="20"/>
        </w:rPr>
        <w:t xml:space="preserve">Debido a que aún no ha vencido el plazo de un año dispuesto en el punto resolutivo </w:t>
      </w:r>
      <w:r w:rsidR="009F3542" w:rsidRPr="009F3542">
        <w:rPr>
          <w:rFonts w:ascii="Verdana" w:hAnsi="Verdana"/>
          <w:sz w:val="20"/>
          <w:szCs w:val="20"/>
        </w:rPr>
        <w:t>décimo</w:t>
      </w:r>
      <w:r w:rsidR="00340EBF" w:rsidRPr="009F3542">
        <w:rPr>
          <w:rFonts w:ascii="Verdana" w:hAnsi="Verdana"/>
          <w:sz w:val="20"/>
          <w:szCs w:val="20"/>
        </w:rPr>
        <w:t xml:space="preserve"> de la Sentencia</w:t>
      </w:r>
      <w:r w:rsidR="00340EBF" w:rsidRPr="009F3542">
        <w:rPr>
          <w:rStyle w:val="Refdenotaalpie"/>
          <w:rFonts w:ascii="Verdana" w:hAnsi="Verdana"/>
          <w:sz w:val="20"/>
          <w:szCs w:val="20"/>
        </w:rPr>
        <w:footnoteReference w:id="7"/>
      </w:r>
      <w:r w:rsidR="00340EBF" w:rsidRPr="009F3542">
        <w:rPr>
          <w:rFonts w:ascii="Verdana" w:hAnsi="Verdana"/>
          <w:sz w:val="20"/>
          <w:szCs w:val="20"/>
        </w:rPr>
        <w:t xml:space="preserve">, para que el Estado presente su primer informe sobre el cumplimiento de las otras medidas dispuestas en la misma, </w:t>
      </w:r>
      <w:r w:rsidR="00340EBF">
        <w:rPr>
          <w:rFonts w:ascii="Verdana" w:hAnsi="Verdana"/>
          <w:sz w:val="20"/>
          <w:szCs w:val="20"/>
        </w:rPr>
        <w:t xml:space="preserve">en una posterior resolución </w:t>
      </w:r>
      <w:r w:rsidR="00340EBF" w:rsidRPr="009F3542">
        <w:rPr>
          <w:rFonts w:ascii="Verdana" w:hAnsi="Verdana"/>
          <w:sz w:val="20"/>
          <w:szCs w:val="20"/>
        </w:rPr>
        <w:t xml:space="preserve">el Tribunal se pronunciará sobre </w:t>
      </w:r>
      <w:r w:rsidR="002A7F44">
        <w:rPr>
          <w:rFonts w:ascii="Verdana" w:hAnsi="Verdana"/>
          <w:sz w:val="20"/>
          <w:szCs w:val="20"/>
        </w:rPr>
        <w:t xml:space="preserve">las restantes reparaciones </w:t>
      </w:r>
      <w:r w:rsidR="00340EBF">
        <w:rPr>
          <w:rFonts w:ascii="Verdana" w:hAnsi="Verdana"/>
          <w:sz w:val="20"/>
          <w:szCs w:val="20"/>
        </w:rPr>
        <w:t xml:space="preserve">y el reintegro al Fondo de Asistencia </w:t>
      </w:r>
      <w:r w:rsidR="002A7F44">
        <w:rPr>
          <w:rFonts w:ascii="Verdana" w:hAnsi="Verdana"/>
          <w:sz w:val="20"/>
          <w:szCs w:val="20"/>
        </w:rPr>
        <w:t>(</w:t>
      </w:r>
      <w:r w:rsidR="002A7F44" w:rsidRPr="002A7F44">
        <w:rPr>
          <w:rFonts w:ascii="Verdana" w:hAnsi="Verdana"/>
          <w:i/>
          <w:sz w:val="20"/>
          <w:szCs w:val="20"/>
        </w:rPr>
        <w:t>infra</w:t>
      </w:r>
      <w:r w:rsidR="002A7F44">
        <w:rPr>
          <w:rFonts w:ascii="Verdana" w:hAnsi="Verdana"/>
          <w:sz w:val="20"/>
          <w:szCs w:val="20"/>
        </w:rPr>
        <w:t xml:space="preserve"> punto resolutivo segundo). </w:t>
      </w:r>
    </w:p>
    <w:p w14:paraId="5497C537" w14:textId="41A9BD60" w:rsidR="00AE519B" w:rsidRDefault="002A7F44" w:rsidP="00D52D86">
      <w:pPr>
        <w:pStyle w:val="Prrafodelista"/>
        <w:spacing w:before="120" w:after="120"/>
        <w:ind w:firstLine="696"/>
        <w:jc w:val="both"/>
        <w:rPr>
          <w:rFonts w:ascii="Verdana" w:hAnsi="Verdana"/>
          <w:i/>
          <w:sz w:val="20"/>
        </w:rPr>
      </w:pPr>
      <w:r>
        <w:rPr>
          <w:rFonts w:ascii="Verdana" w:hAnsi="Verdana"/>
          <w:i/>
          <w:sz w:val="20"/>
        </w:rPr>
        <w:t>A</w:t>
      </w:r>
      <w:r w:rsidR="00E46F9E" w:rsidRPr="001956A4">
        <w:rPr>
          <w:rFonts w:ascii="Verdana" w:hAnsi="Verdana"/>
          <w:i/>
          <w:sz w:val="20"/>
        </w:rPr>
        <w:t xml:space="preserve">. Medida ordenada por la Corte </w:t>
      </w:r>
    </w:p>
    <w:p w14:paraId="5D75AD3D" w14:textId="77777777" w:rsidR="00E46F9E" w:rsidRPr="0055537D" w:rsidRDefault="00E46F9E" w:rsidP="00D52D86">
      <w:pPr>
        <w:pStyle w:val="Prrafodelista"/>
        <w:numPr>
          <w:ilvl w:val="0"/>
          <w:numId w:val="2"/>
        </w:numPr>
        <w:ind w:left="0" w:firstLine="0"/>
        <w:jc w:val="both"/>
        <w:rPr>
          <w:rFonts w:ascii="Verdana" w:hAnsi="Verdana"/>
          <w:sz w:val="20"/>
        </w:rPr>
      </w:pPr>
      <w:r w:rsidRPr="00E76D38">
        <w:rPr>
          <w:rFonts w:ascii="Verdana" w:hAnsi="Verdana"/>
          <w:sz w:val="20"/>
        </w:rPr>
        <w:t>En el punto resolutivo séptimo</w:t>
      </w:r>
      <w:r w:rsidR="008B1B3D">
        <w:rPr>
          <w:rFonts w:ascii="Verdana" w:hAnsi="Verdana"/>
          <w:sz w:val="20"/>
        </w:rPr>
        <w:t xml:space="preserve"> y en el párrafo 110</w:t>
      </w:r>
      <w:r w:rsidRPr="00E76D38">
        <w:rPr>
          <w:rFonts w:ascii="Verdana" w:hAnsi="Verdana"/>
          <w:sz w:val="20"/>
        </w:rPr>
        <w:t xml:space="preserve"> de la Sentencia, se ordenó</w:t>
      </w:r>
      <w:r w:rsidR="00D52D86">
        <w:rPr>
          <w:rFonts w:ascii="Verdana" w:hAnsi="Verdana"/>
          <w:sz w:val="20"/>
        </w:rPr>
        <w:t xml:space="preserve"> “que el Estado publique, en el plazo de </w:t>
      </w:r>
      <w:r w:rsidRPr="00D52D86">
        <w:rPr>
          <w:rFonts w:ascii="Verdana" w:hAnsi="Verdana"/>
          <w:sz w:val="20"/>
        </w:rPr>
        <w:t xml:space="preserve">seis meses, contado a partir de la notificación de la </w:t>
      </w:r>
      <w:r w:rsidR="0055537D">
        <w:rPr>
          <w:rFonts w:ascii="Verdana" w:hAnsi="Verdana"/>
          <w:sz w:val="20"/>
        </w:rPr>
        <w:t>[misma]</w:t>
      </w:r>
      <w:r w:rsidR="00D52D86">
        <w:rPr>
          <w:rFonts w:ascii="Verdana" w:hAnsi="Verdana"/>
          <w:sz w:val="20"/>
        </w:rPr>
        <w:t xml:space="preserve">, en un tamaño de letra legible y adecuado el resumen oficial de la </w:t>
      </w:r>
      <w:r w:rsidR="0055537D">
        <w:rPr>
          <w:rFonts w:ascii="Verdana" w:hAnsi="Verdana"/>
          <w:sz w:val="20"/>
        </w:rPr>
        <w:t xml:space="preserve">[…] Sentencia, </w:t>
      </w:r>
      <w:r w:rsidR="008B1B3D" w:rsidRPr="0055537D">
        <w:rPr>
          <w:rFonts w:ascii="Verdana" w:hAnsi="Verdana"/>
          <w:sz w:val="20"/>
          <w:szCs w:val="20"/>
        </w:rPr>
        <w:t>elaborado por la Corte, por una sola vez, en un diario de amplia circulación nacional”</w:t>
      </w:r>
      <w:r w:rsidR="0055537D">
        <w:rPr>
          <w:rStyle w:val="Refdenotaalpie"/>
          <w:rFonts w:ascii="Verdana" w:hAnsi="Verdana"/>
          <w:sz w:val="20"/>
          <w:szCs w:val="20"/>
        </w:rPr>
        <w:footnoteReference w:id="8"/>
      </w:r>
      <w:r w:rsidR="008B1B3D" w:rsidRPr="0055537D">
        <w:rPr>
          <w:rFonts w:ascii="Verdana" w:hAnsi="Verdana"/>
          <w:sz w:val="20"/>
          <w:szCs w:val="20"/>
        </w:rPr>
        <w:t>.</w:t>
      </w:r>
      <w:r w:rsidR="0055537D">
        <w:rPr>
          <w:rFonts w:ascii="Verdana" w:hAnsi="Verdana"/>
          <w:sz w:val="20"/>
          <w:szCs w:val="20"/>
        </w:rPr>
        <w:t xml:space="preserve"> </w:t>
      </w:r>
    </w:p>
    <w:p w14:paraId="0683EA56" w14:textId="27D2DB87" w:rsidR="00E46F9E" w:rsidRPr="001956A4" w:rsidRDefault="00E46F9E" w:rsidP="00E46F9E">
      <w:pPr>
        <w:ind w:left="1418"/>
        <w:jc w:val="both"/>
        <w:rPr>
          <w:rFonts w:ascii="Verdana" w:hAnsi="Verdana"/>
          <w:i/>
          <w:sz w:val="20"/>
        </w:rPr>
      </w:pPr>
      <w:r w:rsidRPr="001956A4">
        <w:rPr>
          <w:rFonts w:ascii="Verdana" w:hAnsi="Verdana"/>
          <w:i/>
          <w:sz w:val="20"/>
        </w:rPr>
        <w:t xml:space="preserve">B. Consideraciones de la Corte </w:t>
      </w:r>
    </w:p>
    <w:p w14:paraId="3DDBD7F1" w14:textId="21D6761C" w:rsidR="001F1F5F" w:rsidRPr="001F1F5F" w:rsidRDefault="00E46F9E" w:rsidP="00D61506">
      <w:pPr>
        <w:pStyle w:val="Prrafodelista"/>
        <w:numPr>
          <w:ilvl w:val="0"/>
          <w:numId w:val="2"/>
        </w:numPr>
        <w:ind w:left="0" w:firstLine="0"/>
        <w:jc w:val="both"/>
        <w:rPr>
          <w:rFonts w:ascii="Verdana" w:hAnsi="Verdana"/>
          <w:sz w:val="18"/>
        </w:rPr>
      </w:pPr>
      <w:r w:rsidRPr="0055537D">
        <w:rPr>
          <w:rFonts w:ascii="Verdana" w:hAnsi="Verdana"/>
          <w:sz w:val="20"/>
        </w:rPr>
        <w:t>Con base en la información y los comprobantes aportados por Argentina y las observaciones de los representantes</w:t>
      </w:r>
      <w:r>
        <w:rPr>
          <w:rStyle w:val="Refdenotaalpie"/>
          <w:rFonts w:ascii="Verdana" w:hAnsi="Verdana"/>
          <w:sz w:val="20"/>
        </w:rPr>
        <w:footnoteReference w:id="9"/>
      </w:r>
      <w:r w:rsidRPr="0055537D">
        <w:rPr>
          <w:rFonts w:ascii="Verdana" w:hAnsi="Verdana"/>
          <w:sz w:val="20"/>
        </w:rPr>
        <w:t>, la Corte constata que se realiz</w:t>
      </w:r>
      <w:r w:rsidR="008B1B3D" w:rsidRPr="0055537D">
        <w:rPr>
          <w:rFonts w:ascii="Verdana" w:hAnsi="Verdana"/>
          <w:sz w:val="20"/>
        </w:rPr>
        <w:t>ó la referida publicación</w:t>
      </w:r>
      <w:r w:rsidRPr="0055537D">
        <w:rPr>
          <w:rFonts w:ascii="Verdana" w:hAnsi="Verdana"/>
          <w:sz w:val="20"/>
        </w:rPr>
        <w:t xml:space="preserve">, ya que </w:t>
      </w:r>
      <w:r w:rsidR="006609EC" w:rsidRPr="0055537D">
        <w:rPr>
          <w:rFonts w:ascii="Verdana" w:hAnsi="Verdana"/>
          <w:sz w:val="20"/>
        </w:rPr>
        <w:t xml:space="preserve">Argentina </w:t>
      </w:r>
      <w:r w:rsidRPr="001F1F5F">
        <w:rPr>
          <w:rFonts w:ascii="Verdana" w:hAnsi="Verdana"/>
          <w:sz w:val="20"/>
          <w:szCs w:val="20"/>
        </w:rPr>
        <w:t xml:space="preserve">publicó el resumen </w:t>
      </w:r>
      <w:r w:rsidR="009F112F" w:rsidRPr="001F1F5F">
        <w:rPr>
          <w:rFonts w:ascii="Verdana" w:hAnsi="Verdana"/>
          <w:sz w:val="20"/>
          <w:szCs w:val="20"/>
        </w:rPr>
        <w:t>oficial</w:t>
      </w:r>
      <w:r w:rsidR="0055537D" w:rsidRPr="001F1F5F">
        <w:rPr>
          <w:rFonts w:ascii="Verdana" w:hAnsi="Verdana"/>
          <w:sz w:val="20"/>
          <w:szCs w:val="20"/>
        </w:rPr>
        <w:t xml:space="preserve"> de la Sentencia </w:t>
      </w:r>
      <w:r w:rsidR="00D900CB" w:rsidRPr="001F1F5F">
        <w:rPr>
          <w:rFonts w:ascii="Verdana" w:hAnsi="Verdana"/>
          <w:sz w:val="20"/>
          <w:szCs w:val="20"/>
        </w:rPr>
        <w:t xml:space="preserve">en </w:t>
      </w:r>
      <w:r w:rsidR="0055537D" w:rsidRPr="001F1F5F">
        <w:rPr>
          <w:rFonts w:ascii="Verdana" w:hAnsi="Verdana"/>
          <w:sz w:val="20"/>
          <w:szCs w:val="20"/>
        </w:rPr>
        <w:t xml:space="preserve">el </w:t>
      </w:r>
      <w:r w:rsidR="009F112F" w:rsidRPr="001F1F5F">
        <w:rPr>
          <w:rFonts w:ascii="Verdana" w:hAnsi="Verdana"/>
          <w:sz w:val="20"/>
          <w:szCs w:val="20"/>
        </w:rPr>
        <w:t xml:space="preserve">“diario de </w:t>
      </w:r>
      <w:r w:rsidR="009F112F" w:rsidRPr="001F1F5F">
        <w:rPr>
          <w:rFonts w:ascii="Verdana" w:hAnsi="Verdana"/>
          <w:sz w:val="20"/>
          <w:szCs w:val="20"/>
        </w:rPr>
        <w:lastRenderedPageBreak/>
        <w:t>amplia circulación nacional”</w:t>
      </w:r>
      <w:r w:rsidR="0055537D" w:rsidRPr="001F1F5F">
        <w:rPr>
          <w:rFonts w:ascii="Verdana" w:hAnsi="Verdana"/>
          <w:sz w:val="20"/>
          <w:szCs w:val="20"/>
        </w:rPr>
        <w:t xml:space="preserve"> “Página 12”</w:t>
      </w:r>
      <w:r w:rsidR="009F112F" w:rsidRPr="001F1F5F">
        <w:rPr>
          <w:rStyle w:val="Refdenotaalpie"/>
          <w:rFonts w:ascii="Verdana" w:hAnsi="Verdana"/>
          <w:sz w:val="20"/>
          <w:szCs w:val="20"/>
        </w:rPr>
        <w:footnoteReference w:id="10"/>
      </w:r>
      <w:r w:rsidR="001F1F5F" w:rsidRPr="001F1F5F">
        <w:rPr>
          <w:rFonts w:ascii="Verdana" w:hAnsi="Verdana"/>
          <w:sz w:val="20"/>
          <w:szCs w:val="20"/>
        </w:rPr>
        <w:t>. L</w:t>
      </w:r>
      <w:r w:rsidR="001F1F5F">
        <w:rPr>
          <w:rFonts w:ascii="Verdana" w:hAnsi="Verdana"/>
          <w:sz w:val="20"/>
          <w:szCs w:val="20"/>
        </w:rPr>
        <w:t>a Corte valora positivamente que la referida publicación haya sido realizada dentro del plazo otorgado</w:t>
      </w:r>
      <w:r w:rsidR="00285D35">
        <w:rPr>
          <w:rFonts w:ascii="Verdana" w:hAnsi="Verdana"/>
          <w:sz w:val="20"/>
          <w:szCs w:val="20"/>
        </w:rPr>
        <w:t xml:space="preserve"> en la Sentencia</w:t>
      </w:r>
      <w:r w:rsidR="001F1F5F">
        <w:rPr>
          <w:rFonts w:ascii="Verdana" w:hAnsi="Verdana"/>
          <w:sz w:val="20"/>
          <w:szCs w:val="20"/>
        </w:rPr>
        <w:t>.</w:t>
      </w:r>
    </w:p>
    <w:p w14:paraId="0AD368F0" w14:textId="77777777" w:rsidR="001F1F5F" w:rsidRPr="001F1F5F" w:rsidRDefault="001F1F5F" w:rsidP="001F1F5F">
      <w:pPr>
        <w:pStyle w:val="Prrafodelista"/>
        <w:ind w:left="0"/>
        <w:jc w:val="both"/>
        <w:rPr>
          <w:rFonts w:ascii="Verdana" w:hAnsi="Verdana"/>
          <w:sz w:val="18"/>
        </w:rPr>
      </w:pPr>
    </w:p>
    <w:p w14:paraId="0DC18B4F" w14:textId="79BC0A16" w:rsidR="00E46F9E" w:rsidRPr="0055537D" w:rsidRDefault="0055537D" w:rsidP="00D61506">
      <w:pPr>
        <w:pStyle w:val="Prrafodelista"/>
        <w:numPr>
          <w:ilvl w:val="0"/>
          <w:numId w:val="2"/>
        </w:numPr>
        <w:ind w:left="0" w:firstLine="0"/>
        <w:jc w:val="both"/>
        <w:rPr>
          <w:rFonts w:ascii="Verdana" w:hAnsi="Verdana"/>
          <w:sz w:val="18"/>
        </w:rPr>
      </w:pPr>
      <w:r w:rsidRPr="0055537D">
        <w:rPr>
          <w:rFonts w:ascii="Verdana" w:hAnsi="Verdana"/>
          <w:sz w:val="20"/>
        </w:rPr>
        <w:t xml:space="preserve">En consecuencia, </w:t>
      </w:r>
      <w:r w:rsidR="00E46F9E" w:rsidRPr="0055537D">
        <w:rPr>
          <w:rFonts w:ascii="Verdana" w:hAnsi="Verdana"/>
          <w:sz w:val="20"/>
        </w:rPr>
        <w:t xml:space="preserve">la Corte declara que el Estado ha dado cumplimiento total </w:t>
      </w:r>
      <w:r>
        <w:rPr>
          <w:rFonts w:ascii="Verdana" w:hAnsi="Verdana"/>
          <w:sz w:val="20"/>
        </w:rPr>
        <w:t xml:space="preserve">al referido punto resolutivo séptimo de la Sentencia. </w:t>
      </w:r>
    </w:p>
    <w:p w14:paraId="33DF458D" w14:textId="77777777" w:rsidR="009F3542" w:rsidRDefault="009F3542" w:rsidP="0055537D">
      <w:pPr>
        <w:pStyle w:val="Prrafodelista"/>
        <w:spacing w:before="120" w:after="120"/>
        <w:ind w:left="0"/>
        <w:jc w:val="both"/>
        <w:rPr>
          <w:rFonts w:ascii="Verdana" w:hAnsi="Verdana"/>
          <w:b/>
          <w:sz w:val="20"/>
          <w:szCs w:val="20"/>
        </w:rPr>
      </w:pPr>
    </w:p>
    <w:p w14:paraId="550A13AA" w14:textId="2BD56061" w:rsidR="00E46F9E" w:rsidRPr="0055537D" w:rsidRDefault="00E46F9E" w:rsidP="0055537D">
      <w:pPr>
        <w:pStyle w:val="Prrafodelista"/>
        <w:spacing w:before="120" w:after="120"/>
        <w:ind w:left="0"/>
        <w:jc w:val="both"/>
        <w:rPr>
          <w:rFonts w:ascii="Verdana" w:hAnsi="Verdana"/>
          <w:b/>
          <w:sz w:val="20"/>
          <w:szCs w:val="20"/>
        </w:rPr>
      </w:pPr>
      <w:r w:rsidRPr="0055537D">
        <w:rPr>
          <w:rFonts w:ascii="Verdana" w:hAnsi="Verdana"/>
          <w:b/>
          <w:sz w:val="20"/>
          <w:szCs w:val="20"/>
        </w:rPr>
        <w:t xml:space="preserve">POR TANTO: </w:t>
      </w:r>
    </w:p>
    <w:p w14:paraId="7EA142E9" w14:textId="77777777" w:rsidR="00E46F9E" w:rsidRPr="0055537D" w:rsidRDefault="00E46F9E" w:rsidP="0055537D">
      <w:pPr>
        <w:pStyle w:val="Prrafodelista"/>
        <w:spacing w:before="120" w:after="120"/>
        <w:ind w:left="0"/>
        <w:jc w:val="both"/>
        <w:rPr>
          <w:rFonts w:ascii="Verdana" w:hAnsi="Verdana"/>
          <w:b/>
          <w:sz w:val="20"/>
          <w:szCs w:val="20"/>
        </w:rPr>
      </w:pPr>
      <w:r w:rsidRPr="0055537D">
        <w:rPr>
          <w:rFonts w:ascii="Verdana" w:hAnsi="Verdana"/>
          <w:b/>
          <w:sz w:val="20"/>
          <w:szCs w:val="20"/>
        </w:rPr>
        <w:t xml:space="preserve">LA CORTE INTERAMERICANA DE DERECHOS HUMANOS, </w:t>
      </w:r>
    </w:p>
    <w:p w14:paraId="0B90E2E7" w14:textId="77777777" w:rsidR="00E46F9E" w:rsidRPr="0055537D" w:rsidRDefault="00E46F9E" w:rsidP="0055537D">
      <w:pPr>
        <w:pStyle w:val="Prrafodelista"/>
        <w:spacing w:before="120" w:after="120"/>
        <w:ind w:left="0"/>
        <w:jc w:val="both"/>
        <w:rPr>
          <w:rFonts w:ascii="Verdana" w:hAnsi="Verdana"/>
          <w:sz w:val="20"/>
          <w:szCs w:val="20"/>
        </w:rPr>
      </w:pPr>
      <w:r w:rsidRPr="0055537D">
        <w:rPr>
          <w:rFonts w:ascii="Verdana" w:hAnsi="Verdana"/>
          <w:sz w:val="20"/>
          <w:szCs w:val="20"/>
        </w:rPr>
        <w:t xml:space="preserve">en el ejercicio de sus atribuciones de supervisión del cumplimiento de sus decisiones y de conformidad con los artículos 33, 62.1, 62.3, 65, 67 y 68.1 de la Convención Americana sobre Derechos Humanos, 24, 25 y 30 del Estatuto, y 31.2 y 69 de su Reglamento, </w:t>
      </w:r>
    </w:p>
    <w:p w14:paraId="505D6DF1" w14:textId="77777777" w:rsidR="00E46F9E" w:rsidRPr="0055537D" w:rsidRDefault="00E46F9E" w:rsidP="0055537D">
      <w:pPr>
        <w:pStyle w:val="Prrafodelista"/>
        <w:spacing w:before="120" w:after="120"/>
        <w:ind w:left="0"/>
        <w:jc w:val="both"/>
        <w:rPr>
          <w:rFonts w:ascii="Verdana" w:hAnsi="Verdana"/>
          <w:sz w:val="20"/>
          <w:szCs w:val="20"/>
        </w:rPr>
      </w:pPr>
    </w:p>
    <w:p w14:paraId="2B4F8EF8" w14:textId="77777777" w:rsidR="00E46F9E" w:rsidRPr="0055537D" w:rsidRDefault="00E46F9E" w:rsidP="0055537D">
      <w:pPr>
        <w:pStyle w:val="Prrafodelista"/>
        <w:spacing w:before="120" w:after="120"/>
        <w:ind w:left="0"/>
        <w:jc w:val="both"/>
        <w:rPr>
          <w:rFonts w:ascii="Verdana" w:hAnsi="Verdana"/>
          <w:b/>
          <w:sz w:val="20"/>
          <w:szCs w:val="20"/>
        </w:rPr>
      </w:pPr>
      <w:r w:rsidRPr="0055537D">
        <w:rPr>
          <w:rFonts w:ascii="Verdana" w:hAnsi="Verdana"/>
          <w:b/>
          <w:sz w:val="20"/>
          <w:szCs w:val="20"/>
        </w:rPr>
        <w:t xml:space="preserve">RESUELVE: </w:t>
      </w:r>
    </w:p>
    <w:p w14:paraId="262C8076" w14:textId="34FBE199" w:rsidR="006609EC" w:rsidRPr="0055537D" w:rsidRDefault="00E46F9E" w:rsidP="0055537D">
      <w:pPr>
        <w:pStyle w:val="Prrafodelista"/>
        <w:numPr>
          <w:ilvl w:val="0"/>
          <w:numId w:val="3"/>
        </w:numPr>
        <w:spacing w:before="120" w:after="120"/>
        <w:ind w:left="0" w:firstLine="0"/>
        <w:jc w:val="both"/>
        <w:rPr>
          <w:rFonts w:ascii="Verdana" w:hAnsi="Verdana"/>
          <w:sz w:val="20"/>
          <w:szCs w:val="20"/>
        </w:rPr>
      </w:pPr>
      <w:r w:rsidRPr="0055537D">
        <w:rPr>
          <w:rFonts w:ascii="Verdana" w:hAnsi="Verdana"/>
          <w:sz w:val="20"/>
          <w:szCs w:val="20"/>
        </w:rPr>
        <w:t xml:space="preserve">Declarar, de conformidad con lo señalado en </w:t>
      </w:r>
      <w:r w:rsidR="00722525">
        <w:rPr>
          <w:rFonts w:ascii="Verdana" w:hAnsi="Verdana"/>
          <w:sz w:val="20"/>
          <w:szCs w:val="20"/>
        </w:rPr>
        <w:t>los</w:t>
      </w:r>
      <w:r w:rsidRPr="0055537D">
        <w:rPr>
          <w:rFonts w:ascii="Verdana" w:hAnsi="Verdana"/>
          <w:sz w:val="20"/>
          <w:szCs w:val="20"/>
        </w:rPr>
        <w:t xml:space="preserve"> Considerando</w:t>
      </w:r>
      <w:r w:rsidR="00722525">
        <w:rPr>
          <w:rFonts w:ascii="Verdana" w:hAnsi="Verdana"/>
          <w:sz w:val="20"/>
          <w:szCs w:val="20"/>
        </w:rPr>
        <w:t>s</w:t>
      </w:r>
      <w:r w:rsidR="0055537D">
        <w:rPr>
          <w:rFonts w:ascii="Verdana" w:hAnsi="Verdana"/>
          <w:sz w:val="20"/>
          <w:szCs w:val="20"/>
        </w:rPr>
        <w:t xml:space="preserve"> </w:t>
      </w:r>
      <w:r w:rsidR="00BD28D4">
        <w:rPr>
          <w:rFonts w:ascii="Verdana" w:hAnsi="Verdana"/>
          <w:sz w:val="20"/>
          <w:szCs w:val="20"/>
        </w:rPr>
        <w:t>5</w:t>
      </w:r>
      <w:r w:rsidR="0055537D">
        <w:rPr>
          <w:rFonts w:ascii="Verdana" w:hAnsi="Verdana"/>
          <w:sz w:val="20"/>
          <w:szCs w:val="20"/>
        </w:rPr>
        <w:t xml:space="preserve"> </w:t>
      </w:r>
      <w:r w:rsidR="00722525">
        <w:rPr>
          <w:rFonts w:ascii="Verdana" w:hAnsi="Verdana"/>
          <w:sz w:val="20"/>
          <w:szCs w:val="20"/>
        </w:rPr>
        <w:t xml:space="preserve">y 6 </w:t>
      </w:r>
      <w:r w:rsidRPr="0055537D">
        <w:rPr>
          <w:rFonts w:ascii="Verdana" w:hAnsi="Verdana"/>
          <w:sz w:val="20"/>
          <w:szCs w:val="20"/>
        </w:rPr>
        <w:t xml:space="preserve">de la presente Resolución, que el Estado ha dado cumplimiento total </w:t>
      </w:r>
      <w:r w:rsidR="0055537D">
        <w:rPr>
          <w:rFonts w:ascii="Verdana" w:hAnsi="Verdana"/>
          <w:sz w:val="20"/>
          <w:szCs w:val="20"/>
        </w:rPr>
        <w:t>a la medida relativa a la publicación del resumen oficial de la Sentencia en un diario de amplia circulación nacional</w:t>
      </w:r>
      <w:r w:rsidRPr="0055537D">
        <w:rPr>
          <w:rFonts w:ascii="Verdana" w:hAnsi="Verdana"/>
          <w:sz w:val="20"/>
          <w:szCs w:val="20"/>
        </w:rPr>
        <w:t xml:space="preserve"> </w:t>
      </w:r>
      <w:r w:rsidRPr="0055537D">
        <w:rPr>
          <w:rFonts w:ascii="Verdana" w:hAnsi="Verdana"/>
          <w:i/>
          <w:sz w:val="20"/>
          <w:szCs w:val="20"/>
        </w:rPr>
        <w:t>(punto resolutivo séptimo de la Sentencia)</w:t>
      </w:r>
      <w:r w:rsidRPr="0055537D">
        <w:rPr>
          <w:rFonts w:ascii="Verdana" w:hAnsi="Verdana"/>
          <w:sz w:val="20"/>
          <w:szCs w:val="20"/>
        </w:rPr>
        <w:t xml:space="preserve">. </w:t>
      </w:r>
    </w:p>
    <w:p w14:paraId="1448E378" w14:textId="7DA45FDD" w:rsidR="0055537D" w:rsidRDefault="00E46F9E" w:rsidP="0055537D">
      <w:pPr>
        <w:pStyle w:val="Prrafodelista"/>
        <w:numPr>
          <w:ilvl w:val="0"/>
          <w:numId w:val="3"/>
        </w:numPr>
        <w:spacing w:before="120" w:after="120"/>
        <w:ind w:left="0" w:firstLine="0"/>
        <w:jc w:val="both"/>
        <w:rPr>
          <w:rFonts w:ascii="Verdana" w:hAnsi="Verdana"/>
          <w:sz w:val="20"/>
          <w:szCs w:val="20"/>
        </w:rPr>
      </w:pPr>
      <w:r w:rsidRPr="0055537D">
        <w:rPr>
          <w:rFonts w:ascii="Verdana" w:hAnsi="Verdana"/>
          <w:sz w:val="20"/>
          <w:szCs w:val="20"/>
        </w:rPr>
        <w:t xml:space="preserve">Mantener abierto el procedimiento de supervisión de cumplimiento respecto de </w:t>
      </w:r>
      <w:r w:rsidR="0055537D">
        <w:rPr>
          <w:rFonts w:ascii="Verdana" w:hAnsi="Verdana"/>
          <w:sz w:val="20"/>
          <w:szCs w:val="20"/>
        </w:rPr>
        <w:t xml:space="preserve">las siguientes </w:t>
      </w:r>
      <w:r w:rsidR="006609EC" w:rsidRPr="0055537D">
        <w:rPr>
          <w:rFonts w:ascii="Verdana" w:hAnsi="Verdana"/>
          <w:sz w:val="20"/>
          <w:szCs w:val="20"/>
        </w:rPr>
        <w:t>medida</w:t>
      </w:r>
      <w:r w:rsidR="0055537D">
        <w:rPr>
          <w:rFonts w:ascii="Verdana" w:hAnsi="Verdana"/>
          <w:sz w:val="20"/>
          <w:szCs w:val="20"/>
        </w:rPr>
        <w:t>s</w:t>
      </w:r>
      <w:r w:rsidR="00340EBF" w:rsidRPr="00340EBF">
        <w:t xml:space="preserve"> </w:t>
      </w:r>
      <w:r w:rsidR="00340EBF" w:rsidRPr="00340EBF">
        <w:rPr>
          <w:rFonts w:ascii="Verdana" w:hAnsi="Verdana"/>
          <w:sz w:val="20"/>
          <w:szCs w:val="20"/>
        </w:rPr>
        <w:t>que, conforme a lo indicado en el Considerando 3 de la presente Resolución, serán valoradas en una posterior Resolución</w:t>
      </w:r>
      <w:r w:rsidR="0055537D">
        <w:rPr>
          <w:rFonts w:ascii="Verdana" w:hAnsi="Verdana"/>
          <w:sz w:val="20"/>
          <w:szCs w:val="20"/>
        </w:rPr>
        <w:t>:</w:t>
      </w:r>
    </w:p>
    <w:p w14:paraId="4B4B39B3" w14:textId="2F23C36E" w:rsidR="00E46F9E" w:rsidRDefault="00E46F9E" w:rsidP="0055537D">
      <w:pPr>
        <w:pStyle w:val="Prrafodelista"/>
        <w:numPr>
          <w:ilvl w:val="0"/>
          <w:numId w:val="5"/>
        </w:numPr>
        <w:spacing w:before="120" w:after="120"/>
        <w:jc w:val="both"/>
        <w:rPr>
          <w:rFonts w:ascii="Verdana" w:hAnsi="Verdana"/>
          <w:sz w:val="20"/>
          <w:szCs w:val="20"/>
        </w:rPr>
      </w:pPr>
      <w:r w:rsidRPr="0055537D">
        <w:rPr>
          <w:rFonts w:ascii="Verdana" w:hAnsi="Verdana"/>
          <w:sz w:val="20"/>
          <w:szCs w:val="20"/>
        </w:rPr>
        <w:t>pagar la cantidad</w:t>
      </w:r>
      <w:r w:rsidR="00C321A7">
        <w:rPr>
          <w:rFonts w:ascii="Verdana" w:hAnsi="Verdana"/>
          <w:sz w:val="20"/>
          <w:szCs w:val="20"/>
        </w:rPr>
        <w:t xml:space="preserve"> fijada</w:t>
      </w:r>
      <w:r w:rsidRPr="0055537D">
        <w:rPr>
          <w:rFonts w:ascii="Verdana" w:hAnsi="Verdana"/>
          <w:sz w:val="20"/>
          <w:szCs w:val="20"/>
        </w:rPr>
        <w:t xml:space="preserve"> </w:t>
      </w:r>
      <w:r w:rsidR="00811CD6">
        <w:rPr>
          <w:rFonts w:ascii="Verdana" w:hAnsi="Verdana"/>
          <w:sz w:val="20"/>
          <w:szCs w:val="20"/>
        </w:rPr>
        <w:t xml:space="preserve">en </w:t>
      </w:r>
      <w:r w:rsidR="00C321A7">
        <w:rPr>
          <w:rFonts w:ascii="Verdana" w:hAnsi="Verdana"/>
          <w:sz w:val="20"/>
          <w:szCs w:val="20"/>
        </w:rPr>
        <w:t>el</w:t>
      </w:r>
      <w:r w:rsidR="00811CD6">
        <w:rPr>
          <w:rFonts w:ascii="Verdana" w:hAnsi="Verdana"/>
          <w:sz w:val="20"/>
          <w:szCs w:val="20"/>
        </w:rPr>
        <w:t xml:space="preserve"> párrafo 120 de la Sentencia</w:t>
      </w:r>
      <w:r w:rsidRPr="0055537D">
        <w:rPr>
          <w:rFonts w:ascii="Verdana" w:hAnsi="Verdana"/>
          <w:sz w:val="20"/>
          <w:szCs w:val="20"/>
        </w:rPr>
        <w:t xml:space="preserve"> por concepto de indemnización por daño inmaterial </w:t>
      </w:r>
      <w:r w:rsidRPr="00C321A7">
        <w:rPr>
          <w:rFonts w:ascii="Verdana" w:hAnsi="Verdana"/>
          <w:i/>
          <w:sz w:val="20"/>
          <w:szCs w:val="20"/>
        </w:rPr>
        <w:t xml:space="preserve">(punto resolutivo </w:t>
      </w:r>
      <w:r w:rsidR="00C321A7">
        <w:rPr>
          <w:rFonts w:ascii="Verdana" w:hAnsi="Verdana"/>
          <w:i/>
          <w:sz w:val="20"/>
          <w:szCs w:val="20"/>
        </w:rPr>
        <w:t>octavo</w:t>
      </w:r>
      <w:r w:rsidRPr="00C321A7">
        <w:rPr>
          <w:rFonts w:ascii="Verdana" w:hAnsi="Verdana"/>
          <w:i/>
          <w:sz w:val="20"/>
          <w:szCs w:val="20"/>
        </w:rPr>
        <w:t xml:space="preserve"> de la Sentencia)</w:t>
      </w:r>
      <w:r w:rsidR="00C321A7">
        <w:rPr>
          <w:rFonts w:ascii="Verdana" w:hAnsi="Verdana"/>
          <w:sz w:val="20"/>
          <w:szCs w:val="20"/>
        </w:rPr>
        <w:t>;</w:t>
      </w:r>
    </w:p>
    <w:p w14:paraId="1FF17054" w14:textId="77777777" w:rsidR="00C321A7" w:rsidRDefault="00C321A7" w:rsidP="00C321A7">
      <w:pPr>
        <w:pStyle w:val="Prrafodelista"/>
        <w:numPr>
          <w:ilvl w:val="0"/>
          <w:numId w:val="5"/>
        </w:numPr>
        <w:spacing w:before="120" w:after="120"/>
        <w:jc w:val="both"/>
        <w:rPr>
          <w:rFonts w:ascii="Verdana" w:hAnsi="Verdana"/>
          <w:sz w:val="20"/>
          <w:szCs w:val="20"/>
        </w:rPr>
      </w:pPr>
      <w:r w:rsidRPr="0055537D">
        <w:rPr>
          <w:rFonts w:ascii="Verdana" w:hAnsi="Verdana"/>
          <w:sz w:val="20"/>
          <w:szCs w:val="20"/>
        </w:rPr>
        <w:t>pagar la cantidad</w:t>
      </w:r>
      <w:r>
        <w:rPr>
          <w:rFonts w:ascii="Verdana" w:hAnsi="Verdana"/>
          <w:sz w:val="20"/>
          <w:szCs w:val="20"/>
        </w:rPr>
        <w:t xml:space="preserve"> fijada</w:t>
      </w:r>
      <w:r w:rsidRPr="0055537D">
        <w:rPr>
          <w:rFonts w:ascii="Verdana" w:hAnsi="Verdana"/>
          <w:sz w:val="20"/>
          <w:szCs w:val="20"/>
        </w:rPr>
        <w:t xml:space="preserve"> </w:t>
      </w:r>
      <w:r>
        <w:rPr>
          <w:rFonts w:ascii="Verdana" w:hAnsi="Verdana"/>
          <w:sz w:val="20"/>
          <w:szCs w:val="20"/>
        </w:rPr>
        <w:t>en el párrafo 124 de la Sentencia</w:t>
      </w:r>
      <w:r w:rsidRPr="0055537D">
        <w:rPr>
          <w:rFonts w:ascii="Verdana" w:hAnsi="Verdana"/>
          <w:sz w:val="20"/>
          <w:szCs w:val="20"/>
        </w:rPr>
        <w:t xml:space="preserve"> por concepto de reintegro de costas y gastos </w:t>
      </w:r>
      <w:r w:rsidRPr="00C321A7">
        <w:rPr>
          <w:rFonts w:ascii="Verdana" w:hAnsi="Verdana"/>
          <w:i/>
          <w:sz w:val="20"/>
          <w:szCs w:val="20"/>
        </w:rPr>
        <w:t>(punto resolut</w:t>
      </w:r>
      <w:r>
        <w:rPr>
          <w:rFonts w:ascii="Verdana" w:hAnsi="Verdana"/>
          <w:i/>
          <w:sz w:val="20"/>
          <w:szCs w:val="20"/>
        </w:rPr>
        <w:t xml:space="preserve">ivo octavo </w:t>
      </w:r>
      <w:r w:rsidRPr="00C321A7">
        <w:rPr>
          <w:rFonts w:ascii="Verdana" w:hAnsi="Verdana"/>
          <w:i/>
          <w:sz w:val="20"/>
          <w:szCs w:val="20"/>
        </w:rPr>
        <w:t>de la Sentencia)</w:t>
      </w:r>
      <w:r>
        <w:rPr>
          <w:rFonts w:ascii="Verdana" w:hAnsi="Verdana"/>
          <w:sz w:val="20"/>
          <w:szCs w:val="20"/>
        </w:rPr>
        <w:t>, y</w:t>
      </w:r>
    </w:p>
    <w:p w14:paraId="0C6F1A5D" w14:textId="77777777" w:rsidR="00C321A7" w:rsidRPr="0055537D" w:rsidRDefault="00C321A7" w:rsidP="0055537D">
      <w:pPr>
        <w:pStyle w:val="Prrafodelista"/>
        <w:numPr>
          <w:ilvl w:val="0"/>
          <w:numId w:val="5"/>
        </w:numPr>
        <w:spacing w:before="120" w:after="120"/>
        <w:jc w:val="both"/>
        <w:rPr>
          <w:rFonts w:ascii="Verdana" w:hAnsi="Verdana"/>
          <w:sz w:val="20"/>
          <w:szCs w:val="20"/>
        </w:rPr>
      </w:pPr>
      <w:r>
        <w:rPr>
          <w:rFonts w:ascii="Verdana" w:hAnsi="Verdana"/>
          <w:sz w:val="20"/>
          <w:szCs w:val="20"/>
        </w:rPr>
        <w:t xml:space="preserve">reintegrar al Fondo de Asistencia Legal de Víctimas de la Corte la cantidad indicada en el párrafo 128 de la Sentencia y los correspondientes intereses moratorios </w:t>
      </w:r>
      <w:r w:rsidRPr="00C321A7">
        <w:rPr>
          <w:rFonts w:ascii="Verdana" w:hAnsi="Verdana"/>
          <w:i/>
          <w:sz w:val="20"/>
          <w:szCs w:val="20"/>
        </w:rPr>
        <w:t>(punto resolutivo noveno de la Sentencia)</w:t>
      </w:r>
      <w:r>
        <w:rPr>
          <w:rFonts w:ascii="Verdana" w:hAnsi="Verdana"/>
          <w:sz w:val="20"/>
          <w:szCs w:val="20"/>
        </w:rPr>
        <w:t xml:space="preserve">. </w:t>
      </w:r>
    </w:p>
    <w:p w14:paraId="1D531F14" w14:textId="77777777" w:rsidR="00E46F9E" w:rsidRDefault="00E46F9E" w:rsidP="0055537D">
      <w:pPr>
        <w:pStyle w:val="Prrafodelista"/>
        <w:numPr>
          <w:ilvl w:val="0"/>
          <w:numId w:val="3"/>
        </w:numPr>
        <w:spacing w:before="120" w:after="120"/>
        <w:ind w:left="0" w:firstLine="0"/>
        <w:jc w:val="both"/>
        <w:rPr>
          <w:rFonts w:ascii="Verdana" w:hAnsi="Verdana"/>
          <w:sz w:val="20"/>
          <w:szCs w:val="20"/>
        </w:rPr>
      </w:pPr>
      <w:r w:rsidRPr="0055537D">
        <w:rPr>
          <w:rFonts w:ascii="Verdana" w:hAnsi="Verdana"/>
          <w:sz w:val="20"/>
          <w:szCs w:val="20"/>
        </w:rPr>
        <w:t>Disponer que el Estado adopte, en definitiva y a la mayor brevedad, las medidas que sean necesarias para dar e</w:t>
      </w:r>
      <w:r w:rsidR="006609EC" w:rsidRPr="0055537D">
        <w:rPr>
          <w:rFonts w:ascii="Verdana" w:hAnsi="Verdana"/>
          <w:sz w:val="20"/>
          <w:szCs w:val="20"/>
        </w:rPr>
        <w:t>fectivo y pronto cumplimiento a</w:t>
      </w:r>
      <w:r w:rsidR="002A7F44">
        <w:rPr>
          <w:rFonts w:ascii="Verdana" w:hAnsi="Verdana"/>
          <w:sz w:val="20"/>
          <w:szCs w:val="20"/>
        </w:rPr>
        <w:t xml:space="preserve"> </w:t>
      </w:r>
      <w:r w:rsidR="006609EC" w:rsidRPr="0055537D">
        <w:rPr>
          <w:rFonts w:ascii="Verdana" w:hAnsi="Verdana"/>
          <w:sz w:val="20"/>
          <w:szCs w:val="20"/>
        </w:rPr>
        <w:t>l</w:t>
      </w:r>
      <w:r w:rsidR="002A7F44">
        <w:rPr>
          <w:rFonts w:ascii="Verdana" w:hAnsi="Verdana"/>
          <w:sz w:val="20"/>
          <w:szCs w:val="20"/>
        </w:rPr>
        <w:t>os</w:t>
      </w:r>
      <w:r w:rsidR="006609EC" w:rsidRPr="0055537D">
        <w:rPr>
          <w:rFonts w:ascii="Verdana" w:hAnsi="Verdana"/>
          <w:sz w:val="20"/>
          <w:szCs w:val="20"/>
        </w:rPr>
        <w:t xml:space="preserve"> punto</w:t>
      </w:r>
      <w:r w:rsidR="002A7F44">
        <w:rPr>
          <w:rFonts w:ascii="Verdana" w:hAnsi="Verdana"/>
          <w:sz w:val="20"/>
          <w:szCs w:val="20"/>
        </w:rPr>
        <w:t>s</w:t>
      </w:r>
      <w:r w:rsidRPr="0055537D">
        <w:rPr>
          <w:rFonts w:ascii="Verdana" w:hAnsi="Verdana"/>
          <w:sz w:val="20"/>
          <w:szCs w:val="20"/>
        </w:rPr>
        <w:t xml:space="preserve"> pendiente</w:t>
      </w:r>
      <w:r w:rsidR="002A7F44">
        <w:rPr>
          <w:rFonts w:ascii="Verdana" w:hAnsi="Verdana"/>
          <w:sz w:val="20"/>
          <w:szCs w:val="20"/>
        </w:rPr>
        <w:t>s</w:t>
      </w:r>
      <w:r w:rsidRPr="0055537D">
        <w:rPr>
          <w:rFonts w:ascii="Verdana" w:hAnsi="Verdana"/>
          <w:sz w:val="20"/>
          <w:szCs w:val="20"/>
        </w:rPr>
        <w:t xml:space="preserve"> de la Sentencia de excepción preliminar, fondo, reparaciones y costas emitida en el presente caso, de acuerdo con lo considerado en la presente Resolución, y con lo estipulado en el artículo 68.1 de la Convención Americana sobre Derechos Humanos.</w:t>
      </w:r>
    </w:p>
    <w:p w14:paraId="4CC7E528" w14:textId="77777777" w:rsidR="00E46F9E" w:rsidRPr="0055537D" w:rsidRDefault="00E46F9E" w:rsidP="0055537D">
      <w:pPr>
        <w:pStyle w:val="Prrafodelista"/>
        <w:numPr>
          <w:ilvl w:val="0"/>
          <w:numId w:val="3"/>
        </w:numPr>
        <w:spacing w:before="120" w:after="120"/>
        <w:ind w:left="0" w:firstLine="0"/>
        <w:jc w:val="both"/>
        <w:rPr>
          <w:rFonts w:ascii="Verdana" w:hAnsi="Verdana"/>
          <w:sz w:val="20"/>
          <w:szCs w:val="20"/>
        </w:rPr>
      </w:pPr>
      <w:r w:rsidRPr="0055537D">
        <w:rPr>
          <w:rFonts w:ascii="Verdana" w:hAnsi="Verdana"/>
          <w:sz w:val="20"/>
          <w:szCs w:val="20"/>
        </w:rPr>
        <w:t>Disponer que la Secretaría de la Corte Interamericana de Derechos Humanos notifique la presente Resolución al Estado, a los representantes de la víctima y a la Comisión Interamericana de Derechos Humanos.</w:t>
      </w:r>
    </w:p>
    <w:p w14:paraId="2BAF0879" w14:textId="3A35FF5E" w:rsidR="00553B6F" w:rsidRDefault="00553B6F">
      <w:pPr>
        <w:rPr>
          <w:rFonts w:ascii="Times New Roman" w:hAnsi="Times New Roman" w:cs="Times New Roman"/>
          <w:sz w:val="24"/>
          <w:szCs w:val="24"/>
          <w:lang w:eastAsia="es-CR"/>
        </w:rPr>
      </w:pPr>
      <w:r>
        <w:br w:type="page"/>
      </w:r>
    </w:p>
    <w:p w14:paraId="5A9ABCE2" w14:textId="77777777" w:rsidR="00553B6F" w:rsidRPr="00553B6F" w:rsidRDefault="00553B6F" w:rsidP="00553B6F">
      <w:pPr>
        <w:spacing w:after="0" w:line="240" w:lineRule="auto"/>
        <w:jc w:val="both"/>
        <w:rPr>
          <w:rFonts w:ascii="Verdana" w:eastAsia="Times" w:hAnsi="Verdana" w:cs="Times New Roman"/>
          <w:sz w:val="20"/>
          <w:szCs w:val="20"/>
          <w:lang w:val="es-ES"/>
        </w:rPr>
      </w:pPr>
      <w:r w:rsidRPr="00553B6F">
        <w:rPr>
          <w:rFonts w:ascii="Verdana" w:eastAsia="Times" w:hAnsi="Verdana" w:cs="Times New Roman"/>
          <w:sz w:val="20"/>
          <w:szCs w:val="20"/>
          <w:lang w:val="es-ES"/>
        </w:rPr>
        <w:lastRenderedPageBreak/>
        <w:t xml:space="preserve">Corte IDH. </w:t>
      </w:r>
      <w:r w:rsidRPr="00553B6F">
        <w:rPr>
          <w:rFonts w:ascii="Verdana" w:eastAsia="Times" w:hAnsi="Verdana" w:cs="Times New Roman"/>
          <w:i/>
          <w:sz w:val="20"/>
          <w:szCs w:val="20"/>
          <w:lang w:val="es-ES"/>
        </w:rPr>
        <w:t xml:space="preserve">Caso </w:t>
      </w:r>
      <w:proofErr w:type="spellStart"/>
      <w:r w:rsidRPr="00553B6F">
        <w:rPr>
          <w:rFonts w:ascii="Verdana" w:eastAsia="Times" w:hAnsi="Verdana" w:cs="Times New Roman"/>
          <w:i/>
          <w:iCs/>
          <w:sz w:val="20"/>
          <w:szCs w:val="20"/>
        </w:rPr>
        <w:t>Spoltore</w:t>
      </w:r>
      <w:proofErr w:type="spellEnd"/>
      <w:r w:rsidRPr="00553B6F">
        <w:rPr>
          <w:rFonts w:ascii="Verdana" w:eastAsia="Times" w:hAnsi="Verdana" w:cs="Times New Roman"/>
          <w:i/>
          <w:iCs/>
          <w:sz w:val="20"/>
          <w:szCs w:val="20"/>
        </w:rPr>
        <w:t xml:space="preserve"> Vs. Argentina.</w:t>
      </w:r>
      <w:r w:rsidRPr="00553B6F">
        <w:rPr>
          <w:rFonts w:ascii="Verdana" w:eastAsia="Times" w:hAnsi="Verdana" w:cs="Times New Roman"/>
          <w:iCs/>
          <w:sz w:val="20"/>
          <w:szCs w:val="20"/>
        </w:rPr>
        <w:t xml:space="preserve"> </w:t>
      </w:r>
      <w:r w:rsidRPr="00553B6F">
        <w:rPr>
          <w:rFonts w:ascii="Verdana" w:eastAsia="Times" w:hAnsi="Verdana" w:cs="Arial"/>
          <w:sz w:val="20"/>
          <w:szCs w:val="20"/>
        </w:rPr>
        <w:t>Supervisión de Cumplimiento de Sentencia</w:t>
      </w:r>
      <w:r w:rsidRPr="00553B6F">
        <w:rPr>
          <w:rFonts w:ascii="Verdana" w:eastAsia="Times" w:hAnsi="Verdana" w:cs="Times New Roman"/>
          <w:iCs/>
          <w:sz w:val="20"/>
          <w:szCs w:val="20"/>
        </w:rPr>
        <w:t>. Resolución de la Corte Interamericana de Derechos Humanos de 27 de mayo de 2021.  Resolución adoptada en San José de Costa Rica por medio de sesión virtual.</w:t>
      </w:r>
    </w:p>
    <w:p w14:paraId="7D4D0224" w14:textId="77777777" w:rsidR="00553B6F" w:rsidRPr="00553B6F" w:rsidRDefault="00553B6F" w:rsidP="00553B6F">
      <w:pPr>
        <w:spacing w:after="0" w:line="240" w:lineRule="auto"/>
        <w:jc w:val="both"/>
        <w:rPr>
          <w:rFonts w:ascii="Verdana" w:eastAsia="Times" w:hAnsi="Verdana" w:cs="Times New Roman"/>
          <w:sz w:val="20"/>
          <w:szCs w:val="20"/>
          <w:lang w:val="es-ES"/>
        </w:rPr>
      </w:pPr>
    </w:p>
    <w:p w14:paraId="0E580954" w14:textId="77777777" w:rsidR="00553B6F" w:rsidRPr="00553B6F" w:rsidRDefault="00553B6F" w:rsidP="00553B6F">
      <w:pPr>
        <w:spacing w:after="0" w:line="240" w:lineRule="auto"/>
        <w:jc w:val="both"/>
        <w:rPr>
          <w:rFonts w:ascii="Verdana" w:eastAsia="Times" w:hAnsi="Verdana" w:cs="Times New Roman"/>
          <w:strike/>
          <w:sz w:val="20"/>
          <w:szCs w:val="20"/>
          <w:lang w:val="es-ES"/>
        </w:rPr>
      </w:pPr>
    </w:p>
    <w:p w14:paraId="626AA4DE" w14:textId="4B077B9E" w:rsidR="00553B6F" w:rsidRPr="00553B6F" w:rsidRDefault="00553B6F" w:rsidP="00553B6F">
      <w:pPr>
        <w:spacing w:after="0" w:line="240" w:lineRule="auto"/>
        <w:jc w:val="center"/>
        <w:rPr>
          <w:rFonts w:ascii="Verdana" w:eastAsia="Times" w:hAnsi="Verdana" w:cs="Times New Roman"/>
          <w:sz w:val="20"/>
          <w:szCs w:val="20"/>
          <w:lang w:val="pt-BR"/>
        </w:rPr>
      </w:pPr>
    </w:p>
    <w:p w14:paraId="3043D22F" w14:textId="77777777" w:rsidR="00553B6F" w:rsidRPr="00553B6F" w:rsidRDefault="00553B6F" w:rsidP="00553B6F">
      <w:pPr>
        <w:spacing w:after="0" w:line="240" w:lineRule="auto"/>
        <w:jc w:val="center"/>
        <w:rPr>
          <w:rFonts w:ascii="Verdana" w:eastAsia="Times" w:hAnsi="Verdana" w:cs="Times New Roman"/>
          <w:sz w:val="20"/>
          <w:szCs w:val="20"/>
          <w:lang w:val="pt-BR"/>
        </w:rPr>
      </w:pPr>
    </w:p>
    <w:p w14:paraId="34E32061" w14:textId="77777777" w:rsidR="00553B6F" w:rsidRPr="00553B6F" w:rsidRDefault="00553B6F" w:rsidP="00553B6F">
      <w:pPr>
        <w:spacing w:after="0" w:line="240" w:lineRule="auto"/>
        <w:jc w:val="center"/>
        <w:rPr>
          <w:rFonts w:ascii="Verdana" w:eastAsia="Times" w:hAnsi="Verdana" w:cs="Times New Roman"/>
          <w:sz w:val="20"/>
          <w:szCs w:val="20"/>
          <w:lang w:val="pt-BR"/>
        </w:rPr>
      </w:pPr>
    </w:p>
    <w:p w14:paraId="085DF1C6" w14:textId="77777777" w:rsidR="00553B6F" w:rsidRPr="00553B6F" w:rsidRDefault="00553B6F" w:rsidP="00553B6F">
      <w:pPr>
        <w:spacing w:after="0" w:line="240" w:lineRule="auto"/>
        <w:jc w:val="center"/>
        <w:rPr>
          <w:rFonts w:ascii="Verdana" w:eastAsia="Times" w:hAnsi="Verdana" w:cs="Times New Roman"/>
          <w:sz w:val="20"/>
          <w:szCs w:val="20"/>
          <w:lang w:val="pt-BR"/>
        </w:rPr>
      </w:pPr>
    </w:p>
    <w:p w14:paraId="1710E5D1" w14:textId="77777777" w:rsidR="00553B6F" w:rsidRPr="00553B6F" w:rsidRDefault="00553B6F" w:rsidP="00553B6F">
      <w:pPr>
        <w:spacing w:after="0" w:line="240" w:lineRule="auto"/>
        <w:jc w:val="center"/>
        <w:rPr>
          <w:rFonts w:ascii="Verdana" w:eastAsia="Times" w:hAnsi="Verdana" w:cs="Times New Roman"/>
          <w:sz w:val="20"/>
          <w:szCs w:val="20"/>
          <w:lang w:val="pt-BR"/>
        </w:rPr>
      </w:pPr>
    </w:p>
    <w:p w14:paraId="7E4D2ED5" w14:textId="791E2E71" w:rsidR="00553B6F" w:rsidRPr="00553B6F" w:rsidRDefault="00553B6F" w:rsidP="00553B6F">
      <w:pPr>
        <w:spacing w:after="0" w:line="240" w:lineRule="auto"/>
        <w:jc w:val="center"/>
        <w:rPr>
          <w:rFonts w:ascii="Verdana" w:eastAsia="Times" w:hAnsi="Verdana" w:cs="Times New Roman"/>
          <w:sz w:val="20"/>
          <w:szCs w:val="20"/>
          <w:lang w:val="pt-BR"/>
        </w:rPr>
      </w:pPr>
      <w:r w:rsidRPr="00553B6F">
        <w:rPr>
          <w:rFonts w:ascii="Verdana" w:eastAsia="Times" w:hAnsi="Verdana" w:cs="Times New Roman"/>
          <w:sz w:val="20"/>
          <w:szCs w:val="20"/>
          <w:lang w:val="pt-BR"/>
        </w:rPr>
        <w:t xml:space="preserve">Elizabeth </w:t>
      </w:r>
      <w:proofErr w:type="spellStart"/>
      <w:r w:rsidRPr="00553B6F">
        <w:rPr>
          <w:rFonts w:ascii="Verdana" w:eastAsia="Times" w:hAnsi="Verdana" w:cs="Times New Roman"/>
          <w:sz w:val="20"/>
          <w:szCs w:val="20"/>
          <w:lang w:val="pt-BR"/>
        </w:rPr>
        <w:t>Odio</w:t>
      </w:r>
      <w:proofErr w:type="spellEnd"/>
      <w:r w:rsidRPr="00553B6F">
        <w:rPr>
          <w:rFonts w:ascii="Verdana" w:eastAsia="Times" w:hAnsi="Verdana" w:cs="Times New Roman"/>
          <w:sz w:val="20"/>
          <w:szCs w:val="20"/>
          <w:lang w:val="pt-BR"/>
        </w:rPr>
        <w:t xml:space="preserve"> Benito</w:t>
      </w:r>
    </w:p>
    <w:p w14:paraId="720A8C26" w14:textId="77777777" w:rsidR="00553B6F" w:rsidRPr="00553B6F" w:rsidRDefault="00553B6F" w:rsidP="00553B6F">
      <w:pPr>
        <w:spacing w:after="0" w:line="240" w:lineRule="auto"/>
        <w:jc w:val="center"/>
        <w:rPr>
          <w:rFonts w:ascii="Verdana" w:eastAsia="Times" w:hAnsi="Verdana" w:cs="Times New Roman"/>
          <w:sz w:val="20"/>
          <w:szCs w:val="20"/>
          <w:lang w:val="pt-BR"/>
        </w:rPr>
      </w:pPr>
      <w:r w:rsidRPr="00553B6F">
        <w:rPr>
          <w:rFonts w:ascii="Verdana" w:eastAsia="Times" w:hAnsi="Verdana" w:cs="Times New Roman"/>
          <w:sz w:val="20"/>
          <w:szCs w:val="20"/>
          <w:lang w:val="pt-BR"/>
        </w:rPr>
        <w:t>Presidenta</w:t>
      </w:r>
    </w:p>
    <w:p w14:paraId="19AF87DE" w14:textId="15E8A149" w:rsidR="00553B6F" w:rsidRPr="00553B6F" w:rsidRDefault="00553B6F" w:rsidP="00553B6F">
      <w:pPr>
        <w:spacing w:after="0" w:line="240" w:lineRule="auto"/>
        <w:jc w:val="center"/>
        <w:rPr>
          <w:rFonts w:ascii="Verdana" w:eastAsia="Times" w:hAnsi="Verdana" w:cs="Times New Roman"/>
          <w:sz w:val="20"/>
          <w:szCs w:val="20"/>
          <w:lang w:val="pt-BR"/>
        </w:rPr>
      </w:pPr>
    </w:p>
    <w:p w14:paraId="7DFBFF13" w14:textId="77777777" w:rsidR="00553B6F" w:rsidRPr="00553B6F" w:rsidRDefault="00553B6F" w:rsidP="00553B6F">
      <w:pPr>
        <w:spacing w:after="0" w:line="240" w:lineRule="auto"/>
        <w:jc w:val="center"/>
        <w:rPr>
          <w:rFonts w:ascii="Verdana" w:eastAsia="Times" w:hAnsi="Verdana" w:cs="Times New Roman"/>
          <w:sz w:val="20"/>
          <w:szCs w:val="20"/>
          <w:lang w:val="pt-BR"/>
        </w:rPr>
      </w:pPr>
    </w:p>
    <w:p w14:paraId="47757B48" w14:textId="77777777" w:rsidR="00553B6F" w:rsidRPr="00553B6F" w:rsidRDefault="00553B6F" w:rsidP="00553B6F">
      <w:pPr>
        <w:spacing w:after="0" w:line="240" w:lineRule="auto"/>
        <w:jc w:val="center"/>
        <w:rPr>
          <w:rFonts w:ascii="Verdana" w:eastAsia="Times" w:hAnsi="Verdana" w:cs="Times New Roman"/>
          <w:sz w:val="20"/>
          <w:szCs w:val="20"/>
          <w:lang w:val="pt-BR"/>
        </w:rPr>
      </w:pPr>
    </w:p>
    <w:p w14:paraId="01074AE8" w14:textId="77777777" w:rsidR="00553B6F" w:rsidRPr="00553B6F" w:rsidRDefault="00553B6F" w:rsidP="00553B6F">
      <w:pPr>
        <w:spacing w:after="0" w:line="240" w:lineRule="auto"/>
        <w:rPr>
          <w:rFonts w:ascii="Verdana" w:eastAsia="Times" w:hAnsi="Verdana" w:cs="Times New Roman"/>
          <w:sz w:val="20"/>
          <w:szCs w:val="20"/>
          <w:lang w:val="pt-BR"/>
        </w:rPr>
      </w:pPr>
    </w:p>
    <w:p w14:paraId="0FD16047" w14:textId="77777777" w:rsidR="00553B6F" w:rsidRPr="00553B6F" w:rsidRDefault="00553B6F" w:rsidP="00553B6F">
      <w:pPr>
        <w:spacing w:after="0" w:line="240" w:lineRule="auto"/>
        <w:rPr>
          <w:rFonts w:ascii="Verdana" w:eastAsia="Times" w:hAnsi="Verdana" w:cs="Times New Roman"/>
          <w:sz w:val="20"/>
          <w:szCs w:val="20"/>
          <w:lang w:val="pt-BR"/>
        </w:rPr>
      </w:pPr>
    </w:p>
    <w:p w14:paraId="6E674DE5" w14:textId="1215B939" w:rsidR="00553B6F" w:rsidRPr="00553B6F" w:rsidRDefault="00553B6F" w:rsidP="00553B6F">
      <w:pPr>
        <w:spacing w:after="0" w:line="240" w:lineRule="auto"/>
        <w:rPr>
          <w:rFonts w:ascii="Verdana" w:eastAsia="Times" w:hAnsi="Verdana" w:cs="Times New Roman"/>
          <w:sz w:val="20"/>
          <w:szCs w:val="20"/>
          <w:lang w:val="pt-BR"/>
        </w:rPr>
      </w:pPr>
      <w:r w:rsidRPr="00553B6F">
        <w:rPr>
          <w:rFonts w:ascii="Verdana" w:eastAsia="Times" w:hAnsi="Verdana" w:cs="Times New Roman"/>
          <w:sz w:val="20"/>
          <w:szCs w:val="20"/>
          <w:lang w:val="pt-BR"/>
        </w:rPr>
        <w:t xml:space="preserve">L. </w:t>
      </w:r>
      <w:proofErr w:type="spellStart"/>
      <w:r w:rsidRPr="00553B6F">
        <w:rPr>
          <w:rFonts w:ascii="Verdana" w:eastAsia="Times" w:hAnsi="Verdana" w:cs="Times New Roman"/>
          <w:sz w:val="20"/>
          <w:szCs w:val="20"/>
          <w:lang w:val="pt-BR"/>
        </w:rPr>
        <w:t>Patricio</w:t>
      </w:r>
      <w:proofErr w:type="spellEnd"/>
      <w:r w:rsidRPr="00553B6F">
        <w:rPr>
          <w:rFonts w:ascii="Verdana" w:eastAsia="Times" w:hAnsi="Verdana" w:cs="Times New Roman"/>
          <w:sz w:val="20"/>
          <w:szCs w:val="20"/>
          <w:lang w:val="pt-BR"/>
        </w:rPr>
        <w:t xml:space="preserve"> </w:t>
      </w:r>
      <w:proofErr w:type="spellStart"/>
      <w:r w:rsidRPr="00553B6F">
        <w:rPr>
          <w:rFonts w:ascii="Verdana" w:eastAsia="Times" w:hAnsi="Verdana" w:cs="Times New Roman"/>
          <w:sz w:val="20"/>
          <w:szCs w:val="20"/>
          <w:lang w:val="pt-BR"/>
        </w:rPr>
        <w:t>Pazmiño</w:t>
      </w:r>
      <w:proofErr w:type="spellEnd"/>
      <w:r w:rsidRPr="00553B6F">
        <w:rPr>
          <w:rFonts w:ascii="Verdana" w:eastAsia="Times" w:hAnsi="Verdana" w:cs="Times New Roman"/>
          <w:sz w:val="20"/>
          <w:szCs w:val="20"/>
          <w:lang w:val="pt-BR"/>
        </w:rPr>
        <w:t xml:space="preserve"> Freire</w:t>
      </w:r>
      <w:r w:rsidRPr="00553B6F">
        <w:rPr>
          <w:rFonts w:ascii="Verdana" w:eastAsia="Times" w:hAnsi="Verdana" w:cs="Times New Roman"/>
          <w:sz w:val="20"/>
          <w:szCs w:val="20"/>
          <w:lang w:val="pt-BR"/>
        </w:rPr>
        <w:tab/>
      </w:r>
      <w:r w:rsidRPr="00553B6F">
        <w:rPr>
          <w:rFonts w:ascii="Verdana" w:eastAsia="Times" w:hAnsi="Verdana" w:cs="Times New Roman"/>
          <w:sz w:val="20"/>
          <w:szCs w:val="20"/>
          <w:lang w:val="pt-BR"/>
        </w:rPr>
        <w:tab/>
      </w:r>
      <w:r w:rsidRPr="00553B6F">
        <w:rPr>
          <w:rFonts w:ascii="Verdana" w:eastAsia="Times" w:hAnsi="Verdana" w:cs="Times New Roman"/>
          <w:sz w:val="20"/>
          <w:szCs w:val="20"/>
          <w:lang w:val="pt-BR"/>
        </w:rPr>
        <w:tab/>
      </w:r>
      <w:r w:rsidRPr="00553B6F">
        <w:rPr>
          <w:rFonts w:ascii="Verdana" w:eastAsia="Times" w:hAnsi="Verdana" w:cs="Times New Roman"/>
          <w:sz w:val="20"/>
          <w:szCs w:val="20"/>
          <w:lang w:val="pt-BR"/>
        </w:rPr>
        <w:tab/>
      </w:r>
      <w:r w:rsidRPr="00553B6F">
        <w:rPr>
          <w:rFonts w:ascii="Verdana" w:eastAsia="Times" w:hAnsi="Verdana" w:cs="Times New Roman"/>
          <w:sz w:val="20"/>
          <w:szCs w:val="20"/>
          <w:lang w:val="pt-BR"/>
        </w:rPr>
        <w:tab/>
      </w:r>
      <w:r w:rsidRPr="00553B6F">
        <w:rPr>
          <w:rFonts w:ascii="Verdana" w:eastAsia="Times" w:hAnsi="Verdana" w:cs="Times New Roman"/>
          <w:sz w:val="20"/>
          <w:szCs w:val="20"/>
          <w:lang w:val="pt-BR"/>
        </w:rPr>
        <w:tab/>
        <w:t>Eduardo Vio Grossi</w:t>
      </w:r>
    </w:p>
    <w:p w14:paraId="0C244830" w14:textId="77777777" w:rsidR="00553B6F" w:rsidRPr="00553B6F" w:rsidRDefault="00553B6F" w:rsidP="00553B6F">
      <w:pPr>
        <w:spacing w:after="0" w:line="240" w:lineRule="auto"/>
        <w:rPr>
          <w:rFonts w:ascii="Verdana" w:eastAsia="Times" w:hAnsi="Verdana" w:cs="Times New Roman"/>
          <w:sz w:val="20"/>
          <w:szCs w:val="20"/>
          <w:lang w:val="pt-BR"/>
        </w:rPr>
      </w:pPr>
    </w:p>
    <w:p w14:paraId="66F20A37" w14:textId="07701D73" w:rsidR="00553B6F" w:rsidRPr="00553B6F" w:rsidRDefault="00553B6F" w:rsidP="00553B6F">
      <w:pPr>
        <w:spacing w:after="0" w:line="240" w:lineRule="auto"/>
        <w:rPr>
          <w:rFonts w:ascii="Verdana" w:eastAsia="Times" w:hAnsi="Verdana" w:cs="Times New Roman"/>
          <w:sz w:val="20"/>
          <w:szCs w:val="20"/>
          <w:lang w:val="pt-BR"/>
        </w:rPr>
      </w:pPr>
    </w:p>
    <w:p w14:paraId="6E7EC355" w14:textId="77777777" w:rsidR="00553B6F" w:rsidRPr="00553B6F" w:rsidRDefault="00553B6F" w:rsidP="00553B6F">
      <w:pPr>
        <w:spacing w:after="0" w:line="240" w:lineRule="auto"/>
        <w:rPr>
          <w:rFonts w:ascii="Verdana" w:eastAsia="Times" w:hAnsi="Verdana" w:cs="Times New Roman"/>
          <w:sz w:val="20"/>
          <w:szCs w:val="20"/>
          <w:lang w:val="pt-BR"/>
        </w:rPr>
      </w:pPr>
    </w:p>
    <w:p w14:paraId="10188E8A" w14:textId="77777777" w:rsidR="00553B6F" w:rsidRPr="00553B6F" w:rsidRDefault="00553B6F" w:rsidP="00553B6F">
      <w:pPr>
        <w:spacing w:after="0" w:line="240" w:lineRule="auto"/>
        <w:rPr>
          <w:rFonts w:ascii="Verdana" w:eastAsia="Times" w:hAnsi="Verdana" w:cs="Times New Roman"/>
          <w:sz w:val="20"/>
          <w:szCs w:val="20"/>
          <w:lang w:val="pt-BR"/>
        </w:rPr>
      </w:pPr>
    </w:p>
    <w:p w14:paraId="192104F3" w14:textId="77777777" w:rsidR="00553B6F" w:rsidRPr="00553B6F" w:rsidRDefault="00553B6F" w:rsidP="00553B6F">
      <w:pPr>
        <w:spacing w:after="0" w:line="240" w:lineRule="auto"/>
        <w:rPr>
          <w:rFonts w:ascii="Verdana" w:eastAsia="Times" w:hAnsi="Verdana" w:cs="Times New Roman"/>
          <w:sz w:val="20"/>
          <w:szCs w:val="20"/>
          <w:lang w:val="pt-BR"/>
        </w:rPr>
      </w:pPr>
    </w:p>
    <w:p w14:paraId="22C79653" w14:textId="77777777" w:rsidR="00553B6F" w:rsidRPr="00553B6F" w:rsidRDefault="00553B6F" w:rsidP="00553B6F">
      <w:pPr>
        <w:spacing w:after="0" w:line="240" w:lineRule="auto"/>
        <w:rPr>
          <w:rFonts w:ascii="Verdana" w:eastAsia="Times" w:hAnsi="Verdana" w:cs="Times New Roman"/>
          <w:sz w:val="20"/>
          <w:szCs w:val="20"/>
          <w:lang w:val="pt-BR"/>
        </w:rPr>
      </w:pPr>
    </w:p>
    <w:p w14:paraId="5DDEC2E5" w14:textId="378EEE42" w:rsidR="00553B6F" w:rsidRPr="00553B6F" w:rsidRDefault="00553B6F" w:rsidP="00553B6F">
      <w:pPr>
        <w:spacing w:after="0" w:line="240" w:lineRule="auto"/>
        <w:rPr>
          <w:rFonts w:ascii="Verdana" w:eastAsia="Times" w:hAnsi="Verdana" w:cs="Times New Roman"/>
          <w:sz w:val="20"/>
          <w:szCs w:val="20"/>
          <w:lang w:val="pt-BR"/>
        </w:rPr>
      </w:pPr>
      <w:r w:rsidRPr="00553B6F">
        <w:rPr>
          <w:rFonts w:ascii="Verdana" w:eastAsia="Times" w:hAnsi="Verdana" w:cs="Times New Roman"/>
          <w:sz w:val="20"/>
          <w:szCs w:val="20"/>
          <w:lang w:val="pt-BR"/>
        </w:rPr>
        <w:t xml:space="preserve">Eduardo Ferrer </w:t>
      </w:r>
      <w:proofErr w:type="spellStart"/>
      <w:r w:rsidRPr="00553B6F">
        <w:rPr>
          <w:rFonts w:ascii="Verdana" w:eastAsia="Times" w:hAnsi="Verdana" w:cs="Times New Roman"/>
          <w:sz w:val="20"/>
          <w:szCs w:val="20"/>
          <w:lang w:val="pt-BR"/>
        </w:rPr>
        <w:t>Mac-Gregor</w:t>
      </w:r>
      <w:proofErr w:type="spellEnd"/>
      <w:r w:rsidRPr="00553B6F">
        <w:rPr>
          <w:rFonts w:ascii="Verdana" w:eastAsia="Times" w:hAnsi="Verdana" w:cs="Times New Roman"/>
          <w:sz w:val="20"/>
          <w:szCs w:val="20"/>
          <w:lang w:val="pt-BR"/>
        </w:rPr>
        <w:t xml:space="preserve"> Poisot</w:t>
      </w:r>
      <w:r w:rsidRPr="00553B6F">
        <w:rPr>
          <w:rFonts w:ascii="Verdana" w:eastAsia="Times" w:hAnsi="Verdana" w:cs="Times New Roman"/>
          <w:sz w:val="20"/>
          <w:szCs w:val="20"/>
          <w:lang w:val="pt-BR"/>
        </w:rPr>
        <w:tab/>
        <w:t xml:space="preserve">                                     Ricardo C. Pérez </w:t>
      </w:r>
      <w:proofErr w:type="spellStart"/>
      <w:r w:rsidRPr="00553B6F">
        <w:rPr>
          <w:rFonts w:ascii="Verdana" w:eastAsia="Times" w:hAnsi="Verdana" w:cs="Times New Roman"/>
          <w:sz w:val="20"/>
          <w:szCs w:val="20"/>
          <w:lang w:val="pt-BR"/>
        </w:rPr>
        <w:t>Manrique</w:t>
      </w:r>
      <w:proofErr w:type="spellEnd"/>
    </w:p>
    <w:p w14:paraId="45E7B5BD" w14:textId="732676E7" w:rsidR="00553B6F" w:rsidRPr="00553B6F" w:rsidRDefault="00553B6F" w:rsidP="00553B6F">
      <w:pPr>
        <w:spacing w:after="0" w:line="240" w:lineRule="auto"/>
        <w:jc w:val="both"/>
        <w:rPr>
          <w:rFonts w:ascii="Verdana" w:eastAsia="Times" w:hAnsi="Verdana" w:cs="Times New Roman"/>
          <w:sz w:val="20"/>
          <w:szCs w:val="20"/>
          <w:lang w:val="pt-BR"/>
        </w:rPr>
      </w:pPr>
    </w:p>
    <w:p w14:paraId="6533F8BD"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15DA45C7"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71B391F8"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10F3DD85"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7685E5B2"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09C9C837" w14:textId="77777777" w:rsidR="00553B6F" w:rsidRPr="00553B6F" w:rsidRDefault="00553B6F" w:rsidP="00553B6F">
      <w:pPr>
        <w:spacing w:after="0" w:line="240" w:lineRule="auto"/>
        <w:jc w:val="center"/>
        <w:rPr>
          <w:rFonts w:ascii="Verdana" w:eastAsia="Times" w:hAnsi="Verdana" w:cs="Times New Roman"/>
          <w:sz w:val="20"/>
          <w:szCs w:val="20"/>
          <w:lang w:val="pt-BR"/>
        </w:rPr>
      </w:pPr>
      <w:r w:rsidRPr="00553B6F">
        <w:rPr>
          <w:rFonts w:ascii="Verdana" w:eastAsia="Times" w:hAnsi="Verdana" w:cs="Times New Roman"/>
          <w:sz w:val="20"/>
          <w:szCs w:val="20"/>
          <w:lang w:val="pt-BR"/>
        </w:rPr>
        <w:t>Pablo Saavedra Alessandri</w:t>
      </w:r>
    </w:p>
    <w:p w14:paraId="1D12A4D9" w14:textId="77777777" w:rsidR="00553B6F" w:rsidRPr="00553B6F" w:rsidRDefault="00553B6F" w:rsidP="00553B6F">
      <w:pPr>
        <w:spacing w:after="0" w:line="240" w:lineRule="auto"/>
        <w:jc w:val="center"/>
        <w:rPr>
          <w:rFonts w:ascii="Verdana" w:eastAsia="Times" w:hAnsi="Verdana" w:cs="Times New Roman"/>
          <w:sz w:val="20"/>
          <w:szCs w:val="20"/>
          <w:lang w:val="pt-BR"/>
        </w:rPr>
      </w:pPr>
      <w:r w:rsidRPr="00553B6F">
        <w:rPr>
          <w:rFonts w:ascii="Verdana" w:eastAsia="Times" w:hAnsi="Verdana" w:cs="Times New Roman"/>
          <w:sz w:val="20"/>
          <w:szCs w:val="20"/>
          <w:lang w:val="pt-BR"/>
        </w:rPr>
        <w:t>Secretario</w:t>
      </w:r>
    </w:p>
    <w:p w14:paraId="6F4ADB84"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25D44A1F"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5C2C41C8" w14:textId="25AC699D" w:rsidR="00553B6F" w:rsidRPr="00553B6F" w:rsidRDefault="00553B6F" w:rsidP="00553B6F">
      <w:pPr>
        <w:spacing w:after="0" w:line="240" w:lineRule="auto"/>
        <w:jc w:val="both"/>
        <w:rPr>
          <w:rFonts w:ascii="Verdana" w:eastAsia="Times" w:hAnsi="Verdana" w:cs="Times New Roman"/>
          <w:sz w:val="20"/>
          <w:szCs w:val="20"/>
          <w:lang w:val="pt-BR"/>
        </w:rPr>
      </w:pPr>
      <w:proofErr w:type="spellStart"/>
      <w:r w:rsidRPr="00553B6F">
        <w:rPr>
          <w:rFonts w:ascii="Verdana" w:eastAsia="Times" w:hAnsi="Verdana" w:cs="Times New Roman"/>
          <w:sz w:val="20"/>
          <w:szCs w:val="20"/>
          <w:lang w:val="pt-BR"/>
        </w:rPr>
        <w:t>Comuníquese</w:t>
      </w:r>
      <w:proofErr w:type="spellEnd"/>
      <w:r w:rsidRPr="00553B6F">
        <w:rPr>
          <w:rFonts w:ascii="Verdana" w:eastAsia="Times" w:hAnsi="Verdana" w:cs="Times New Roman"/>
          <w:sz w:val="20"/>
          <w:szCs w:val="20"/>
          <w:lang w:val="pt-BR"/>
        </w:rPr>
        <w:t xml:space="preserve"> y </w:t>
      </w:r>
      <w:proofErr w:type="spellStart"/>
      <w:r w:rsidRPr="00553B6F">
        <w:rPr>
          <w:rFonts w:ascii="Verdana" w:eastAsia="Times" w:hAnsi="Verdana" w:cs="Times New Roman"/>
          <w:sz w:val="20"/>
          <w:szCs w:val="20"/>
          <w:lang w:val="pt-BR"/>
        </w:rPr>
        <w:t>ejecútese</w:t>
      </w:r>
      <w:proofErr w:type="spellEnd"/>
      <w:r w:rsidRPr="00553B6F">
        <w:rPr>
          <w:rFonts w:ascii="Verdana" w:eastAsia="Times" w:hAnsi="Verdana" w:cs="Times New Roman"/>
          <w:sz w:val="20"/>
          <w:szCs w:val="20"/>
          <w:lang w:val="pt-BR"/>
        </w:rPr>
        <w:t>,</w:t>
      </w:r>
    </w:p>
    <w:p w14:paraId="28E46A2D" w14:textId="77777777" w:rsidR="00553B6F" w:rsidRPr="00553B6F" w:rsidRDefault="00553B6F" w:rsidP="00553B6F">
      <w:pPr>
        <w:spacing w:after="0" w:line="240" w:lineRule="auto"/>
        <w:rPr>
          <w:rFonts w:ascii="Verdana" w:eastAsia="Times" w:hAnsi="Verdana" w:cs="Times New Roman"/>
          <w:sz w:val="20"/>
          <w:szCs w:val="20"/>
          <w:lang w:val="pt-BR"/>
        </w:rPr>
      </w:pPr>
    </w:p>
    <w:p w14:paraId="5DCA15FD" w14:textId="77777777" w:rsidR="00553B6F" w:rsidRPr="00553B6F" w:rsidRDefault="00553B6F" w:rsidP="00553B6F">
      <w:pPr>
        <w:spacing w:after="0" w:line="240" w:lineRule="auto"/>
        <w:jc w:val="center"/>
        <w:rPr>
          <w:rFonts w:ascii="Verdana" w:eastAsia="Times" w:hAnsi="Verdana" w:cs="Times New Roman"/>
          <w:sz w:val="20"/>
          <w:szCs w:val="20"/>
          <w:lang w:val="pt-BR"/>
        </w:rPr>
      </w:pPr>
    </w:p>
    <w:p w14:paraId="2CBA7C5A" w14:textId="77777777" w:rsidR="00553B6F" w:rsidRPr="00553B6F" w:rsidRDefault="00553B6F" w:rsidP="00553B6F">
      <w:pPr>
        <w:spacing w:after="0" w:line="240" w:lineRule="auto"/>
        <w:jc w:val="center"/>
        <w:rPr>
          <w:rFonts w:ascii="Verdana" w:eastAsia="Times" w:hAnsi="Verdana" w:cs="Times New Roman"/>
          <w:sz w:val="20"/>
          <w:szCs w:val="20"/>
          <w:lang w:val="pt-BR"/>
        </w:rPr>
      </w:pPr>
    </w:p>
    <w:p w14:paraId="094162B0" w14:textId="77777777" w:rsidR="00553B6F" w:rsidRPr="00553B6F" w:rsidRDefault="00553B6F" w:rsidP="00553B6F">
      <w:pPr>
        <w:spacing w:after="0" w:line="240" w:lineRule="auto"/>
        <w:jc w:val="right"/>
        <w:rPr>
          <w:rFonts w:ascii="Verdana" w:eastAsia="Times" w:hAnsi="Verdana" w:cs="Times New Roman"/>
          <w:sz w:val="20"/>
          <w:szCs w:val="20"/>
          <w:lang w:val="pt-BR"/>
        </w:rPr>
      </w:pPr>
    </w:p>
    <w:p w14:paraId="2C73B32F" w14:textId="015729EE" w:rsidR="00553B6F" w:rsidRPr="00553B6F" w:rsidRDefault="00553B6F" w:rsidP="00553B6F">
      <w:pPr>
        <w:spacing w:after="0" w:line="240" w:lineRule="auto"/>
        <w:jc w:val="center"/>
        <w:rPr>
          <w:rFonts w:ascii="Verdana" w:eastAsia="Times" w:hAnsi="Verdana" w:cs="Times New Roman"/>
          <w:sz w:val="20"/>
          <w:szCs w:val="20"/>
          <w:lang w:val="pt-BR"/>
        </w:rPr>
      </w:pPr>
      <w:r w:rsidRPr="00553B6F">
        <w:rPr>
          <w:rFonts w:ascii="Verdana" w:eastAsia="Times" w:hAnsi="Verdana" w:cs="Times New Roman"/>
          <w:sz w:val="20"/>
          <w:szCs w:val="20"/>
          <w:lang w:val="pt-BR"/>
        </w:rPr>
        <w:t xml:space="preserve">                                                                                               Elizabeth </w:t>
      </w:r>
      <w:proofErr w:type="spellStart"/>
      <w:r w:rsidRPr="00553B6F">
        <w:rPr>
          <w:rFonts w:ascii="Verdana" w:eastAsia="Times" w:hAnsi="Verdana" w:cs="Times New Roman"/>
          <w:sz w:val="20"/>
          <w:szCs w:val="20"/>
          <w:lang w:val="pt-BR"/>
        </w:rPr>
        <w:t>Odio</w:t>
      </w:r>
      <w:proofErr w:type="spellEnd"/>
      <w:r w:rsidRPr="00553B6F">
        <w:rPr>
          <w:rFonts w:ascii="Verdana" w:eastAsia="Times" w:hAnsi="Verdana" w:cs="Times New Roman"/>
          <w:sz w:val="20"/>
          <w:szCs w:val="20"/>
          <w:lang w:val="pt-BR"/>
        </w:rPr>
        <w:t xml:space="preserve"> Benito</w:t>
      </w:r>
    </w:p>
    <w:p w14:paraId="6DADE338" w14:textId="4B46376B" w:rsidR="00553B6F" w:rsidRPr="00553B6F" w:rsidRDefault="00553B6F" w:rsidP="00553B6F">
      <w:pPr>
        <w:spacing w:after="0" w:line="240" w:lineRule="auto"/>
        <w:ind w:left="6480" w:firstLine="720"/>
        <w:rPr>
          <w:rFonts w:ascii="Verdana" w:eastAsia="Times" w:hAnsi="Verdana" w:cs="Times New Roman"/>
          <w:sz w:val="20"/>
          <w:szCs w:val="20"/>
          <w:lang w:val="pt-BR"/>
        </w:rPr>
      </w:pPr>
      <w:r w:rsidRPr="00553B6F">
        <w:rPr>
          <w:rFonts w:ascii="Verdana" w:eastAsia="Times" w:hAnsi="Verdana" w:cs="Times New Roman"/>
          <w:sz w:val="20"/>
          <w:szCs w:val="20"/>
          <w:lang w:val="pt-BR"/>
        </w:rPr>
        <w:t xml:space="preserve">  Presidenta</w:t>
      </w:r>
    </w:p>
    <w:p w14:paraId="42F2D0AE"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783C8E6E"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46310F64"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63284BDD"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1BF343A4" w14:textId="77777777" w:rsidR="00553B6F" w:rsidRPr="00553B6F" w:rsidRDefault="00553B6F" w:rsidP="00553B6F">
      <w:pPr>
        <w:spacing w:after="0" w:line="240" w:lineRule="auto"/>
        <w:jc w:val="both"/>
        <w:rPr>
          <w:rFonts w:ascii="Verdana" w:eastAsia="Times" w:hAnsi="Verdana" w:cs="Times New Roman"/>
          <w:sz w:val="20"/>
          <w:szCs w:val="20"/>
          <w:lang w:val="pt-BR"/>
        </w:rPr>
      </w:pPr>
    </w:p>
    <w:p w14:paraId="5E76A2B3" w14:textId="77777777" w:rsidR="00553B6F" w:rsidRPr="00553B6F" w:rsidRDefault="00553B6F" w:rsidP="00553B6F">
      <w:pPr>
        <w:spacing w:after="0" w:line="240" w:lineRule="auto"/>
        <w:jc w:val="both"/>
        <w:rPr>
          <w:rFonts w:ascii="Verdana" w:eastAsia="Times" w:hAnsi="Verdana" w:cs="Times New Roman"/>
          <w:sz w:val="20"/>
          <w:szCs w:val="20"/>
          <w:lang w:val="pt-BR"/>
        </w:rPr>
      </w:pPr>
      <w:r w:rsidRPr="00553B6F">
        <w:rPr>
          <w:rFonts w:ascii="Verdana" w:eastAsia="Times" w:hAnsi="Verdana" w:cs="Times New Roman"/>
          <w:sz w:val="20"/>
          <w:szCs w:val="20"/>
          <w:lang w:val="pt-BR"/>
        </w:rPr>
        <w:t>Pablo Saavedra Alessandri</w:t>
      </w:r>
    </w:p>
    <w:p w14:paraId="084C88BE" w14:textId="77777777" w:rsidR="00553B6F" w:rsidRPr="00553B6F" w:rsidRDefault="00553B6F" w:rsidP="00553B6F">
      <w:pPr>
        <w:spacing w:after="0" w:line="240" w:lineRule="auto"/>
        <w:rPr>
          <w:rFonts w:ascii="Times" w:eastAsia="Times" w:hAnsi="Times" w:cs="Times New Roman"/>
          <w:sz w:val="24"/>
          <w:szCs w:val="20"/>
          <w:lang w:val="es-ES"/>
        </w:rPr>
      </w:pPr>
      <w:r w:rsidRPr="00553B6F">
        <w:rPr>
          <w:rFonts w:ascii="Verdana" w:eastAsia="Times" w:hAnsi="Verdana" w:cs="Times New Roman"/>
          <w:sz w:val="20"/>
          <w:szCs w:val="20"/>
          <w:lang w:val="pt-BR"/>
        </w:rPr>
        <w:t xml:space="preserve">          </w:t>
      </w:r>
      <w:r w:rsidRPr="00553B6F">
        <w:rPr>
          <w:rFonts w:ascii="Verdana" w:eastAsia="Times" w:hAnsi="Verdana" w:cs="Times New Roman"/>
          <w:sz w:val="20"/>
          <w:szCs w:val="20"/>
          <w:lang w:val="es-ES"/>
        </w:rPr>
        <w:t>Secretario</w:t>
      </w:r>
    </w:p>
    <w:p w14:paraId="449296CF" w14:textId="77777777" w:rsidR="00086934" w:rsidRDefault="007E2EE7" w:rsidP="00E46F9E">
      <w:pPr>
        <w:pStyle w:val="NormalWeb"/>
        <w:jc w:val="center"/>
      </w:pPr>
    </w:p>
    <w:sectPr w:rsidR="00086934" w:rsidSect="006A6FEB">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2599D" w14:textId="77777777" w:rsidR="007E2EE7" w:rsidRDefault="007E2EE7" w:rsidP="00AF321C">
      <w:pPr>
        <w:spacing w:after="0" w:line="240" w:lineRule="auto"/>
      </w:pPr>
      <w:r>
        <w:separator/>
      </w:r>
    </w:p>
  </w:endnote>
  <w:endnote w:type="continuationSeparator" w:id="0">
    <w:p w14:paraId="50116133" w14:textId="77777777" w:rsidR="007E2EE7" w:rsidRDefault="007E2EE7" w:rsidP="00AF3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45E85" w14:textId="690A7BCE" w:rsidR="004D4BE7" w:rsidRPr="004D4BE7" w:rsidRDefault="007F7E08" w:rsidP="004D4BE7">
    <w:pPr>
      <w:pStyle w:val="Piedepgina"/>
      <w:jc w:val="center"/>
      <w:rPr>
        <w:rFonts w:ascii="Verdana" w:hAnsi="Verdana"/>
        <w:sz w:val="20"/>
        <w:szCs w:val="20"/>
      </w:rPr>
    </w:pPr>
    <w:r>
      <w:rPr>
        <w:rFonts w:ascii="Verdana" w:hAnsi="Verdana"/>
        <w:sz w:val="20"/>
        <w:szCs w:val="20"/>
      </w:rPr>
      <w:t>-</w:t>
    </w:r>
    <w:r w:rsidRPr="004D4BE7">
      <w:rPr>
        <w:rFonts w:ascii="Verdana" w:hAnsi="Verdana"/>
        <w:sz w:val="20"/>
        <w:szCs w:val="20"/>
      </w:rPr>
      <w:fldChar w:fldCharType="begin"/>
    </w:r>
    <w:r w:rsidRPr="004D4BE7">
      <w:rPr>
        <w:rFonts w:ascii="Verdana" w:hAnsi="Verdana"/>
        <w:sz w:val="20"/>
        <w:szCs w:val="20"/>
      </w:rPr>
      <w:instrText>PAGE   \* MERGEFORMAT</w:instrText>
    </w:r>
    <w:r w:rsidRPr="004D4BE7">
      <w:rPr>
        <w:rFonts w:ascii="Verdana" w:hAnsi="Verdana"/>
        <w:sz w:val="20"/>
        <w:szCs w:val="20"/>
      </w:rPr>
      <w:fldChar w:fldCharType="separate"/>
    </w:r>
    <w:r w:rsidR="00932F30">
      <w:rPr>
        <w:rFonts w:ascii="Verdana" w:hAnsi="Verdana"/>
        <w:noProof/>
        <w:sz w:val="20"/>
        <w:szCs w:val="20"/>
      </w:rPr>
      <w:t>1</w:t>
    </w:r>
    <w:r w:rsidRPr="004D4BE7">
      <w:rPr>
        <w:rFonts w:ascii="Verdana" w:hAnsi="Verdana"/>
        <w:sz w:val="20"/>
        <w:szCs w:val="20"/>
      </w:rPr>
      <w:fldChar w:fldCharType="end"/>
    </w:r>
    <w:r>
      <w:rPr>
        <w:rFonts w:ascii="Verdana" w:hAnsi="Verdana"/>
        <w:sz w:val="20"/>
        <w:szCs w:val="20"/>
      </w:rPr>
      <w:t>-</w:t>
    </w:r>
  </w:p>
  <w:p w14:paraId="74DAF93E" w14:textId="77777777" w:rsidR="004D4BE7" w:rsidRDefault="007E2E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AF81E" w14:textId="77777777" w:rsidR="007E2EE7" w:rsidRDefault="007E2EE7" w:rsidP="00AF321C">
      <w:pPr>
        <w:spacing w:after="0" w:line="240" w:lineRule="auto"/>
      </w:pPr>
      <w:r>
        <w:separator/>
      </w:r>
    </w:p>
  </w:footnote>
  <w:footnote w:type="continuationSeparator" w:id="0">
    <w:p w14:paraId="370AD015" w14:textId="77777777" w:rsidR="007E2EE7" w:rsidRDefault="007E2EE7" w:rsidP="00AF321C">
      <w:pPr>
        <w:spacing w:after="0" w:line="240" w:lineRule="auto"/>
      </w:pPr>
      <w:r>
        <w:continuationSeparator/>
      </w:r>
    </w:p>
  </w:footnote>
  <w:footnote w:id="1">
    <w:p w14:paraId="29E2CA27" w14:textId="7FCA47CC" w:rsidR="00E46F9E" w:rsidRPr="001956A4" w:rsidRDefault="00E46F9E" w:rsidP="00E46F9E">
      <w:pPr>
        <w:pStyle w:val="Textonotapie"/>
        <w:jc w:val="both"/>
        <w:rPr>
          <w:rFonts w:ascii="Verdana" w:hAnsi="Verdana"/>
          <w:sz w:val="16"/>
          <w:szCs w:val="16"/>
        </w:rPr>
      </w:pPr>
      <w:r w:rsidRPr="00234DEC">
        <w:rPr>
          <w:rFonts w:ascii="Verdana" w:hAnsi="Verdana"/>
          <w:sz w:val="16"/>
          <w:vertAlign w:val="superscript"/>
        </w:rPr>
        <w:t>*</w:t>
      </w:r>
      <w:r>
        <w:rPr>
          <w:rFonts w:ascii="Verdana" w:hAnsi="Verdana"/>
          <w:sz w:val="16"/>
        </w:rPr>
        <w:tab/>
      </w:r>
      <w:r w:rsidRPr="00813791">
        <w:rPr>
          <w:rFonts w:ascii="Verdana" w:hAnsi="Verdana"/>
          <w:sz w:val="16"/>
        </w:rPr>
        <w:t xml:space="preserve">El Juez Eugenio Raúl </w:t>
      </w:r>
      <w:r w:rsidRPr="0016448A">
        <w:rPr>
          <w:rFonts w:ascii="Verdana" w:hAnsi="Verdana"/>
          <w:sz w:val="16"/>
          <w:szCs w:val="16"/>
        </w:rPr>
        <w:t xml:space="preserve">Zaffaroni, de nacionalidad argentina, no participó </w:t>
      </w:r>
      <w:r w:rsidRPr="00B64E77">
        <w:rPr>
          <w:rFonts w:ascii="Verdana" w:hAnsi="Verdana"/>
          <w:sz w:val="16"/>
          <w:szCs w:val="16"/>
        </w:rPr>
        <w:t xml:space="preserve">en la deliberación y firma de </w:t>
      </w:r>
      <w:r>
        <w:rPr>
          <w:rFonts w:ascii="Verdana" w:hAnsi="Verdana"/>
          <w:sz w:val="16"/>
          <w:szCs w:val="16"/>
        </w:rPr>
        <w:t>l</w:t>
      </w:r>
      <w:r w:rsidRPr="00B64E77">
        <w:rPr>
          <w:rFonts w:ascii="Verdana" w:hAnsi="Verdana"/>
          <w:sz w:val="16"/>
          <w:szCs w:val="16"/>
        </w:rPr>
        <w:t>a Sentencia</w:t>
      </w:r>
      <w:r>
        <w:rPr>
          <w:rFonts w:ascii="Verdana" w:hAnsi="Verdana"/>
          <w:sz w:val="16"/>
          <w:szCs w:val="16"/>
        </w:rPr>
        <w:t xml:space="preserve"> de este caso</w:t>
      </w:r>
      <w:r w:rsidRPr="00B64E77">
        <w:rPr>
          <w:rFonts w:ascii="Verdana" w:hAnsi="Verdana"/>
          <w:sz w:val="16"/>
          <w:szCs w:val="16"/>
        </w:rPr>
        <w:t>, ni</w:t>
      </w:r>
      <w:r>
        <w:t xml:space="preserve"> </w:t>
      </w:r>
      <w:r w:rsidRPr="0016448A">
        <w:rPr>
          <w:rFonts w:ascii="Verdana" w:hAnsi="Verdana"/>
          <w:sz w:val="16"/>
          <w:szCs w:val="16"/>
        </w:rPr>
        <w:t xml:space="preserve">en el conocimiento y deliberación de la presente Resolución, de conformidad con lo dispuesto en el artículo 19.1 del Reglamento de la Corte. </w:t>
      </w:r>
      <w:r w:rsidR="00567B3B">
        <w:rPr>
          <w:rFonts w:ascii="Verdana" w:hAnsi="Verdana"/>
          <w:sz w:val="16"/>
          <w:szCs w:val="16"/>
        </w:rPr>
        <w:t xml:space="preserve">El Juez Humberto A. Sierra Porto no participó en la deliberación y firma de la presente Resolución por razones de fuerza mayor. </w:t>
      </w:r>
      <w:r w:rsidRPr="0016448A">
        <w:rPr>
          <w:rFonts w:ascii="Verdana" w:hAnsi="Verdana"/>
          <w:sz w:val="16"/>
          <w:szCs w:val="16"/>
        </w:rPr>
        <w:t xml:space="preserve">Debido a las circunstancias excepcionales ocasionadas por la pandemia COVID-19, esta Resolución fue deliberada y aprobada durante el </w:t>
      </w:r>
      <w:r>
        <w:rPr>
          <w:rFonts w:ascii="Verdana" w:hAnsi="Verdana"/>
          <w:sz w:val="16"/>
          <w:szCs w:val="16"/>
        </w:rPr>
        <w:t>14</w:t>
      </w:r>
      <w:r w:rsidR="009A664A">
        <w:rPr>
          <w:rFonts w:ascii="Verdana" w:hAnsi="Verdana"/>
          <w:sz w:val="16"/>
          <w:szCs w:val="16"/>
        </w:rPr>
        <w:t>2</w:t>
      </w:r>
      <w:r w:rsidRPr="0016448A">
        <w:rPr>
          <w:rFonts w:ascii="Verdana" w:hAnsi="Verdana"/>
          <w:sz w:val="16"/>
          <w:szCs w:val="16"/>
        </w:rPr>
        <w:t xml:space="preserve"> Período Ordinario de Sesiones, el cual se llevó a cabo de forma no presencial utilizando medios tecnológicos de </w:t>
      </w:r>
      <w:r w:rsidRPr="001956A4">
        <w:rPr>
          <w:rFonts w:ascii="Verdana" w:hAnsi="Verdana"/>
          <w:sz w:val="16"/>
          <w:szCs w:val="16"/>
        </w:rPr>
        <w:t>conformidad con lo establecido en el Reglamento de la Corte.</w:t>
      </w:r>
    </w:p>
    <w:p w14:paraId="7C721235" w14:textId="569120D3" w:rsidR="00E46F9E" w:rsidRPr="00066A96" w:rsidRDefault="00E46F9E" w:rsidP="00E46F9E">
      <w:pPr>
        <w:pStyle w:val="Textonotapie"/>
        <w:jc w:val="both"/>
        <w:rPr>
          <w:rFonts w:ascii="Verdana" w:hAnsi="Verdana"/>
          <w:sz w:val="16"/>
          <w:szCs w:val="16"/>
        </w:rPr>
      </w:pPr>
      <w:r w:rsidRPr="001956A4">
        <w:rPr>
          <w:rStyle w:val="Refdenotaalpie"/>
          <w:rFonts w:ascii="Verdana" w:hAnsi="Verdana"/>
          <w:sz w:val="16"/>
          <w:szCs w:val="16"/>
        </w:rPr>
        <w:footnoteRef/>
      </w:r>
      <w:r w:rsidRPr="001956A4">
        <w:rPr>
          <w:rFonts w:ascii="Verdana" w:hAnsi="Verdana"/>
          <w:sz w:val="16"/>
          <w:szCs w:val="16"/>
        </w:rPr>
        <w:t xml:space="preserve"> </w:t>
      </w:r>
      <w:r w:rsidRPr="001956A4">
        <w:rPr>
          <w:rFonts w:ascii="Verdana" w:hAnsi="Verdana"/>
          <w:sz w:val="16"/>
          <w:szCs w:val="16"/>
        </w:rPr>
        <w:tab/>
      </w:r>
      <w:r w:rsidRPr="001956A4">
        <w:rPr>
          <w:rFonts w:ascii="Verdana" w:hAnsi="Verdana"/>
          <w:i/>
          <w:sz w:val="16"/>
          <w:szCs w:val="16"/>
        </w:rPr>
        <w:t xml:space="preserve">Cfr. </w:t>
      </w:r>
      <w:r w:rsidRPr="00E46F9E">
        <w:rPr>
          <w:rFonts w:ascii="Verdana" w:hAnsi="Verdana"/>
          <w:i/>
          <w:sz w:val="16"/>
          <w:szCs w:val="16"/>
        </w:rPr>
        <w:t xml:space="preserve">Caso </w:t>
      </w:r>
      <w:proofErr w:type="spellStart"/>
      <w:r w:rsidRPr="00E46F9E">
        <w:rPr>
          <w:rFonts w:ascii="Verdana" w:hAnsi="Verdana"/>
          <w:i/>
          <w:sz w:val="16"/>
          <w:szCs w:val="16"/>
        </w:rPr>
        <w:t>Spoltore</w:t>
      </w:r>
      <w:proofErr w:type="spellEnd"/>
      <w:r w:rsidRPr="00E46F9E">
        <w:rPr>
          <w:rFonts w:ascii="Verdana" w:hAnsi="Verdana"/>
          <w:i/>
          <w:sz w:val="16"/>
          <w:szCs w:val="16"/>
        </w:rPr>
        <w:t xml:space="preserve"> Vs. Argentina. Excepción Preliminar, Fondo, Reparaciones y Costas. </w:t>
      </w:r>
      <w:r w:rsidRPr="00E46F9E">
        <w:rPr>
          <w:rFonts w:ascii="Verdana" w:hAnsi="Verdana"/>
          <w:sz w:val="16"/>
          <w:szCs w:val="16"/>
        </w:rPr>
        <w:t>Sentencia de 9 de junio de 2020. Serie C No. 404</w:t>
      </w:r>
      <w:r>
        <w:rPr>
          <w:rFonts w:ascii="Verdana" w:hAnsi="Verdana"/>
          <w:i/>
          <w:sz w:val="16"/>
          <w:szCs w:val="16"/>
        </w:rPr>
        <w:t xml:space="preserve">. </w:t>
      </w:r>
      <w:r w:rsidRPr="001956A4">
        <w:rPr>
          <w:rFonts w:ascii="Verdana" w:hAnsi="Verdana"/>
          <w:sz w:val="16"/>
          <w:szCs w:val="16"/>
        </w:rPr>
        <w:t xml:space="preserve">El texto íntegro de la Sentencia se encuentra disponible en: </w:t>
      </w:r>
      <w:hyperlink r:id="rId1" w:history="1">
        <w:r w:rsidRPr="00BF52D3">
          <w:rPr>
            <w:rStyle w:val="Hipervnculo"/>
            <w:rFonts w:ascii="Verdana" w:hAnsi="Verdana"/>
            <w:sz w:val="16"/>
            <w:szCs w:val="16"/>
          </w:rPr>
          <w:t>http://www.corteidh.or.cr/docs/casos/articulos/seriec_404_esp.pdf</w:t>
        </w:r>
      </w:hyperlink>
      <w:r>
        <w:rPr>
          <w:rFonts w:ascii="Verdana" w:hAnsi="Verdana"/>
          <w:sz w:val="16"/>
          <w:szCs w:val="16"/>
        </w:rPr>
        <w:t>.</w:t>
      </w:r>
      <w:r w:rsidRPr="001956A4">
        <w:rPr>
          <w:rFonts w:ascii="Verdana" w:hAnsi="Verdana"/>
          <w:sz w:val="16"/>
          <w:szCs w:val="16"/>
        </w:rPr>
        <w:t xml:space="preserve"> La Sentencia se notificó el 2</w:t>
      </w:r>
      <w:r>
        <w:rPr>
          <w:rFonts w:ascii="Verdana" w:hAnsi="Verdana"/>
          <w:sz w:val="16"/>
          <w:szCs w:val="16"/>
        </w:rPr>
        <w:t>8 de agosto de 2020</w:t>
      </w:r>
      <w:r w:rsidRPr="001956A4">
        <w:rPr>
          <w:rFonts w:ascii="Verdana" w:hAnsi="Verdana"/>
          <w:sz w:val="16"/>
          <w:szCs w:val="16"/>
        </w:rPr>
        <w:t>.</w:t>
      </w:r>
      <w:r w:rsidRPr="00066A96">
        <w:rPr>
          <w:rFonts w:ascii="Verdana" w:hAnsi="Verdana"/>
          <w:sz w:val="16"/>
          <w:szCs w:val="16"/>
        </w:rPr>
        <w:t xml:space="preserve"> </w:t>
      </w:r>
    </w:p>
  </w:footnote>
  <w:footnote w:id="2">
    <w:p w14:paraId="3F316581" w14:textId="543DE07B" w:rsidR="00E46F9E" w:rsidRPr="00EC2886" w:rsidRDefault="00E46F9E" w:rsidP="00A77ED5">
      <w:pPr>
        <w:pStyle w:val="Textonotapie"/>
        <w:jc w:val="both"/>
        <w:rPr>
          <w:rFonts w:ascii="Verdana" w:hAnsi="Verdana"/>
          <w:sz w:val="16"/>
          <w:szCs w:val="16"/>
        </w:rPr>
      </w:pPr>
      <w:r w:rsidRPr="00EC2886">
        <w:rPr>
          <w:rStyle w:val="Refdenotaalpie"/>
          <w:rFonts w:ascii="Verdana" w:hAnsi="Verdana"/>
          <w:sz w:val="16"/>
          <w:szCs w:val="16"/>
        </w:rPr>
        <w:footnoteRef/>
      </w:r>
      <w:r w:rsidRPr="00EC2886">
        <w:rPr>
          <w:rFonts w:ascii="Verdana" w:hAnsi="Verdana"/>
          <w:sz w:val="16"/>
          <w:szCs w:val="16"/>
        </w:rPr>
        <w:t xml:space="preserve"> </w:t>
      </w:r>
      <w:r w:rsidRPr="00EC2886">
        <w:rPr>
          <w:rFonts w:ascii="Verdana" w:hAnsi="Verdana"/>
          <w:sz w:val="16"/>
          <w:szCs w:val="16"/>
        </w:rPr>
        <w:tab/>
        <w:t>Los representantes son lo</w:t>
      </w:r>
      <w:r>
        <w:rPr>
          <w:rFonts w:ascii="Verdana" w:hAnsi="Verdana"/>
          <w:sz w:val="16"/>
          <w:szCs w:val="16"/>
        </w:rPr>
        <w:t>s</w:t>
      </w:r>
      <w:r w:rsidRPr="00EC2886">
        <w:rPr>
          <w:rFonts w:ascii="Verdana" w:hAnsi="Verdana"/>
          <w:sz w:val="16"/>
          <w:szCs w:val="16"/>
        </w:rPr>
        <w:t xml:space="preserve"> señores </w:t>
      </w:r>
      <w:r w:rsidR="00A77ED5" w:rsidRPr="00A77ED5">
        <w:rPr>
          <w:rFonts w:ascii="Verdana" w:hAnsi="Verdana"/>
          <w:sz w:val="16"/>
          <w:szCs w:val="16"/>
        </w:rPr>
        <w:t xml:space="preserve">Marcos Ezequiel </w:t>
      </w:r>
      <w:proofErr w:type="spellStart"/>
      <w:r w:rsidR="00A77ED5" w:rsidRPr="00A77ED5">
        <w:rPr>
          <w:rFonts w:ascii="Verdana" w:hAnsi="Verdana"/>
          <w:sz w:val="16"/>
          <w:szCs w:val="16"/>
        </w:rPr>
        <w:t>Filardi</w:t>
      </w:r>
      <w:proofErr w:type="spellEnd"/>
      <w:r w:rsidR="00A77ED5" w:rsidRPr="00A77ED5">
        <w:rPr>
          <w:rFonts w:ascii="Verdana" w:hAnsi="Verdana"/>
          <w:sz w:val="16"/>
          <w:szCs w:val="16"/>
        </w:rPr>
        <w:t xml:space="preserve">, Juan Pablo </w:t>
      </w:r>
      <w:proofErr w:type="spellStart"/>
      <w:r w:rsidR="00A77ED5" w:rsidRPr="00A77ED5">
        <w:rPr>
          <w:rFonts w:ascii="Verdana" w:hAnsi="Verdana"/>
          <w:sz w:val="16"/>
          <w:szCs w:val="16"/>
        </w:rPr>
        <w:t>Vismar</w:t>
      </w:r>
      <w:r w:rsidR="00FE69B8">
        <w:rPr>
          <w:rFonts w:ascii="Verdana" w:hAnsi="Verdana"/>
          <w:sz w:val="16"/>
          <w:szCs w:val="16"/>
        </w:rPr>
        <w:t>a</w:t>
      </w:r>
      <w:proofErr w:type="spellEnd"/>
      <w:r w:rsidR="00FE69B8">
        <w:rPr>
          <w:rFonts w:ascii="Verdana" w:hAnsi="Verdana"/>
          <w:sz w:val="16"/>
          <w:szCs w:val="16"/>
        </w:rPr>
        <w:t xml:space="preserve"> y Gabriel Fernando </w:t>
      </w:r>
      <w:proofErr w:type="spellStart"/>
      <w:r w:rsidR="00FE69B8">
        <w:rPr>
          <w:rFonts w:ascii="Verdana" w:hAnsi="Verdana"/>
          <w:sz w:val="16"/>
          <w:szCs w:val="16"/>
        </w:rPr>
        <w:t>Bicinskas</w:t>
      </w:r>
      <w:proofErr w:type="spellEnd"/>
      <w:r>
        <w:rPr>
          <w:rFonts w:ascii="Verdana" w:hAnsi="Verdana"/>
          <w:sz w:val="16"/>
          <w:szCs w:val="16"/>
        </w:rPr>
        <w:t>.</w:t>
      </w:r>
      <w:r w:rsidR="00A77ED5">
        <w:rPr>
          <w:rFonts w:ascii="Verdana" w:hAnsi="Verdana"/>
          <w:sz w:val="16"/>
          <w:szCs w:val="16"/>
        </w:rPr>
        <w:t xml:space="preserve"> </w:t>
      </w:r>
    </w:p>
  </w:footnote>
  <w:footnote w:id="3">
    <w:p w14:paraId="650FCF37" w14:textId="77777777" w:rsidR="00E46F9E" w:rsidRPr="00AE519B" w:rsidRDefault="00E46F9E" w:rsidP="00E46F9E">
      <w:pPr>
        <w:pStyle w:val="Textonotapie"/>
        <w:jc w:val="both"/>
        <w:rPr>
          <w:rFonts w:ascii="Verdana" w:hAnsi="Verdana"/>
          <w:sz w:val="16"/>
          <w:szCs w:val="16"/>
        </w:rPr>
      </w:pPr>
      <w:r w:rsidRPr="00596ECD">
        <w:rPr>
          <w:rStyle w:val="Refdenotaalpie"/>
          <w:rFonts w:ascii="Verdana" w:hAnsi="Verdana"/>
          <w:sz w:val="16"/>
        </w:rPr>
        <w:footnoteRef/>
      </w:r>
      <w:r w:rsidRPr="00596ECD">
        <w:rPr>
          <w:rFonts w:ascii="Verdana" w:hAnsi="Verdana"/>
          <w:sz w:val="16"/>
        </w:rPr>
        <w:t xml:space="preserve"> </w:t>
      </w:r>
      <w:r>
        <w:rPr>
          <w:rFonts w:ascii="Verdana" w:hAnsi="Verdana"/>
          <w:sz w:val="16"/>
        </w:rPr>
        <w:tab/>
      </w:r>
      <w:r w:rsidRPr="00596ECD">
        <w:rPr>
          <w:rFonts w:ascii="Verdana" w:hAnsi="Verdana"/>
          <w:sz w:val="16"/>
        </w:rPr>
        <w:t xml:space="preserve">Facultad que además se desprende de lo dispuesto en los artículos 33, 62.1, 62.3 y 65 de la Convención Americana sobre Derechos Humanos y 30 de su Estatuto y se encuentra regulada en el artículo </w:t>
      </w:r>
      <w:r w:rsidRPr="00AE519B">
        <w:rPr>
          <w:rFonts w:ascii="Verdana" w:hAnsi="Verdana"/>
          <w:sz w:val="16"/>
          <w:szCs w:val="16"/>
        </w:rPr>
        <w:t>69 de su Reglamento.</w:t>
      </w:r>
    </w:p>
  </w:footnote>
  <w:footnote w:id="4">
    <w:p w14:paraId="2A8D6A84" w14:textId="77777777" w:rsidR="00AE519B" w:rsidRDefault="00AE519B">
      <w:pPr>
        <w:pStyle w:val="Textonotapie"/>
      </w:pPr>
      <w:r w:rsidRPr="00AE519B">
        <w:rPr>
          <w:rStyle w:val="Refdenotaalpie"/>
          <w:rFonts w:ascii="Verdana" w:hAnsi="Verdana"/>
          <w:sz w:val="16"/>
          <w:szCs w:val="16"/>
        </w:rPr>
        <w:footnoteRef/>
      </w:r>
      <w:r w:rsidRPr="00AE519B">
        <w:rPr>
          <w:rFonts w:ascii="Verdana" w:hAnsi="Verdana"/>
          <w:sz w:val="16"/>
          <w:szCs w:val="16"/>
        </w:rPr>
        <w:t xml:space="preserve"> </w:t>
      </w:r>
      <w:r w:rsidRPr="00AE519B">
        <w:rPr>
          <w:rFonts w:ascii="Verdana" w:hAnsi="Verdana"/>
          <w:sz w:val="16"/>
          <w:szCs w:val="16"/>
        </w:rPr>
        <w:tab/>
      </w:r>
      <w:r w:rsidRPr="00AE519B">
        <w:rPr>
          <w:rFonts w:ascii="Verdana" w:hAnsi="Verdana"/>
          <w:i/>
          <w:sz w:val="16"/>
          <w:szCs w:val="16"/>
        </w:rPr>
        <w:t>Cfr.</w:t>
      </w:r>
      <w:r w:rsidRPr="00AE519B">
        <w:rPr>
          <w:rFonts w:ascii="Verdana" w:hAnsi="Verdana"/>
          <w:sz w:val="16"/>
          <w:szCs w:val="16"/>
        </w:rPr>
        <w:t xml:space="preserve"> </w:t>
      </w:r>
      <w:r w:rsidRPr="00E46F9E">
        <w:rPr>
          <w:rFonts w:ascii="Verdana" w:hAnsi="Verdana"/>
          <w:i/>
          <w:sz w:val="16"/>
          <w:szCs w:val="16"/>
        </w:rPr>
        <w:t xml:space="preserve">Caso </w:t>
      </w:r>
      <w:proofErr w:type="spellStart"/>
      <w:r w:rsidRPr="00E46F9E">
        <w:rPr>
          <w:rFonts w:ascii="Verdana" w:hAnsi="Verdana"/>
          <w:i/>
          <w:sz w:val="16"/>
          <w:szCs w:val="16"/>
        </w:rPr>
        <w:t>Spoltore</w:t>
      </w:r>
      <w:proofErr w:type="spellEnd"/>
      <w:r w:rsidRPr="00E46F9E">
        <w:rPr>
          <w:rFonts w:ascii="Verdana" w:hAnsi="Verdana"/>
          <w:i/>
          <w:sz w:val="16"/>
          <w:szCs w:val="16"/>
        </w:rPr>
        <w:t xml:space="preserve"> Vs. Argentina</w:t>
      </w:r>
      <w:r w:rsidRPr="00AE519B">
        <w:rPr>
          <w:rFonts w:ascii="Verdana" w:hAnsi="Verdana"/>
          <w:i/>
          <w:sz w:val="16"/>
          <w:szCs w:val="16"/>
        </w:rPr>
        <w:t>, supra</w:t>
      </w:r>
      <w:r>
        <w:rPr>
          <w:rFonts w:ascii="Verdana" w:hAnsi="Verdana"/>
          <w:sz w:val="16"/>
          <w:szCs w:val="16"/>
        </w:rPr>
        <w:t xml:space="preserve"> nota 1, </w:t>
      </w:r>
      <w:proofErr w:type="spellStart"/>
      <w:r>
        <w:rPr>
          <w:rFonts w:ascii="Verdana" w:hAnsi="Verdana"/>
          <w:sz w:val="16"/>
          <w:szCs w:val="16"/>
        </w:rPr>
        <w:t>párrs</w:t>
      </w:r>
      <w:proofErr w:type="spellEnd"/>
      <w:r>
        <w:rPr>
          <w:rFonts w:ascii="Verdana" w:hAnsi="Verdana"/>
          <w:sz w:val="16"/>
          <w:szCs w:val="16"/>
        </w:rPr>
        <w:t>. 128 y 134 y punto resolutivo 9</w:t>
      </w:r>
      <w:r w:rsidRPr="00AE519B">
        <w:rPr>
          <w:rFonts w:ascii="Verdana" w:hAnsi="Verdana"/>
          <w:sz w:val="16"/>
          <w:szCs w:val="16"/>
        </w:rPr>
        <w:t>.</w:t>
      </w:r>
    </w:p>
  </w:footnote>
  <w:footnote w:id="5">
    <w:p w14:paraId="0E3C1542" w14:textId="77777777" w:rsidR="00E46F9E" w:rsidRPr="00EF2CD2" w:rsidRDefault="00E46F9E" w:rsidP="00E46F9E">
      <w:pPr>
        <w:pStyle w:val="Textonotapie"/>
        <w:jc w:val="both"/>
        <w:rPr>
          <w:rFonts w:ascii="Verdana" w:hAnsi="Verdana"/>
          <w:sz w:val="16"/>
        </w:rPr>
      </w:pPr>
      <w:r w:rsidRPr="00BF41E1">
        <w:rPr>
          <w:rStyle w:val="Refdenotaalpie"/>
          <w:rFonts w:ascii="Verdana" w:hAnsi="Verdana"/>
          <w:sz w:val="16"/>
        </w:rPr>
        <w:footnoteRef/>
      </w:r>
      <w:r w:rsidRPr="00BF41E1">
        <w:rPr>
          <w:rFonts w:ascii="Verdana" w:hAnsi="Verdana"/>
          <w:sz w:val="16"/>
        </w:rPr>
        <w:t xml:space="preserve"> </w:t>
      </w:r>
      <w:r>
        <w:rPr>
          <w:rFonts w:ascii="Verdana" w:hAnsi="Verdana"/>
          <w:sz w:val="16"/>
        </w:rPr>
        <w:tab/>
      </w:r>
      <w:r w:rsidRPr="00BF41E1">
        <w:rPr>
          <w:rFonts w:ascii="Verdana" w:hAnsi="Verdana"/>
          <w:i/>
          <w:sz w:val="16"/>
        </w:rPr>
        <w:t>Cfr. Caso Cinco Pensionistas Vs. Perú. Supervisión de cumplimiento de Sentencia.</w:t>
      </w:r>
      <w:r w:rsidRPr="00BF41E1">
        <w:rPr>
          <w:rFonts w:ascii="Verdana" w:hAnsi="Verdana"/>
          <w:sz w:val="16"/>
        </w:rPr>
        <w:t xml:space="preserve"> Resolución de la Corte Interamericana de Derechos Humanos de 17 de noviembre de 2004, Considerando 5,</w:t>
      </w:r>
      <w:r>
        <w:rPr>
          <w:rFonts w:ascii="Verdana" w:hAnsi="Verdana"/>
          <w:sz w:val="16"/>
        </w:rPr>
        <w:t xml:space="preserve"> y </w:t>
      </w:r>
      <w:r w:rsidRPr="00EF2CD2">
        <w:rPr>
          <w:rFonts w:ascii="Verdana" w:hAnsi="Verdana"/>
          <w:i/>
          <w:sz w:val="16"/>
        </w:rPr>
        <w:t xml:space="preserve">Caso </w:t>
      </w:r>
      <w:proofErr w:type="spellStart"/>
      <w:r w:rsidRPr="00EF2CD2">
        <w:rPr>
          <w:rFonts w:ascii="Verdana" w:hAnsi="Verdana"/>
          <w:i/>
          <w:sz w:val="16"/>
        </w:rPr>
        <w:t>Gorigoitía</w:t>
      </w:r>
      <w:proofErr w:type="spellEnd"/>
      <w:r w:rsidRPr="00EF2CD2">
        <w:rPr>
          <w:rFonts w:ascii="Verdana" w:hAnsi="Verdana"/>
          <w:i/>
          <w:sz w:val="16"/>
        </w:rPr>
        <w:t xml:space="preserve"> Vs. Argentina. Supervisión de Cumplimiento de Sentencia</w:t>
      </w:r>
      <w:r w:rsidRPr="00EF2CD2">
        <w:rPr>
          <w:rFonts w:ascii="Verdana" w:hAnsi="Verdana"/>
          <w:sz w:val="16"/>
        </w:rPr>
        <w:t>. Resolución de la Corte Interamericana de Derechos</w:t>
      </w:r>
      <w:r>
        <w:rPr>
          <w:rFonts w:ascii="Verdana" w:hAnsi="Verdana"/>
          <w:sz w:val="16"/>
        </w:rPr>
        <w:t xml:space="preserve"> Humanos de 22 de abril de 2021, Considerando 2. </w:t>
      </w:r>
    </w:p>
  </w:footnote>
  <w:footnote w:id="6">
    <w:p w14:paraId="32084D82" w14:textId="0FA15038" w:rsidR="00E46F9E" w:rsidRPr="00FB4489" w:rsidRDefault="00E46F9E" w:rsidP="00E46F9E">
      <w:pPr>
        <w:pStyle w:val="Textonotapie"/>
        <w:jc w:val="both"/>
        <w:rPr>
          <w:rFonts w:ascii="Verdana" w:hAnsi="Verdana"/>
        </w:rPr>
      </w:pPr>
      <w:r w:rsidRPr="00FB4489">
        <w:rPr>
          <w:rStyle w:val="Refdenotaalpie"/>
          <w:rFonts w:ascii="Verdana" w:hAnsi="Verdana"/>
          <w:sz w:val="16"/>
        </w:rPr>
        <w:footnoteRef/>
      </w:r>
      <w:r w:rsidRPr="00FB4489">
        <w:rPr>
          <w:rFonts w:ascii="Verdana" w:hAnsi="Verdana"/>
          <w:sz w:val="16"/>
        </w:rPr>
        <w:t xml:space="preserve"> </w:t>
      </w:r>
      <w:r>
        <w:rPr>
          <w:rFonts w:ascii="Verdana" w:hAnsi="Verdana"/>
          <w:sz w:val="16"/>
        </w:rPr>
        <w:tab/>
      </w:r>
      <w:r w:rsidRPr="00FB4489">
        <w:rPr>
          <w:rFonts w:ascii="Verdana" w:hAnsi="Verdana"/>
          <w:i/>
          <w:sz w:val="16"/>
        </w:rPr>
        <w:t xml:space="preserve">Cfr. Caso </w:t>
      </w:r>
      <w:proofErr w:type="spellStart"/>
      <w:r w:rsidRPr="00FB4489">
        <w:rPr>
          <w:rFonts w:ascii="Verdana" w:hAnsi="Verdana"/>
          <w:i/>
          <w:sz w:val="16"/>
        </w:rPr>
        <w:t>Ivcher</w:t>
      </w:r>
      <w:proofErr w:type="spellEnd"/>
      <w:r w:rsidRPr="00FB4489">
        <w:rPr>
          <w:rFonts w:ascii="Verdana" w:hAnsi="Verdana"/>
          <w:i/>
          <w:sz w:val="16"/>
        </w:rPr>
        <w:t xml:space="preserve"> </w:t>
      </w:r>
      <w:proofErr w:type="spellStart"/>
      <w:r w:rsidRPr="00FB4489">
        <w:rPr>
          <w:rFonts w:ascii="Verdana" w:hAnsi="Verdana"/>
          <w:i/>
          <w:sz w:val="16"/>
        </w:rPr>
        <w:t>Bronstein</w:t>
      </w:r>
      <w:proofErr w:type="spellEnd"/>
      <w:r w:rsidRPr="00FB4489">
        <w:rPr>
          <w:rFonts w:ascii="Verdana" w:hAnsi="Verdana"/>
          <w:i/>
          <w:sz w:val="16"/>
        </w:rPr>
        <w:t xml:space="preserve"> Vs. Perú. Competencia.</w:t>
      </w:r>
      <w:r w:rsidRPr="00FB4489">
        <w:rPr>
          <w:rFonts w:ascii="Verdana" w:hAnsi="Verdana"/>
          <w:sz w:val="16"/>
        </w:rPr>
        <w:t xml:space="preserve"> Sentencia de la Corte Interamericana de Derechos Humanos de 24 de septiembre de 1999. Serie C No. 54, párr. 37</w:t>
      </w:r>
      <w:r>
        <w:rPr>
          <w:rFonts w:ascii="Verdana" w:hAnsi="Verdana"/>
          <w:sz w:val="16"/>
        </w:rPr>
        <w:t xml:space="preserve">, y </w:t>
      </w:r>
      <w:r w:rsidRPr="00EF2CD2">
        <w:rPr>
          <w:rFonts w:ascii="Verdana" w:hAnsi="Verdana"/>
          <w:i/>
          <w:sz w:val="16"/>
        </w:rPr>
        <w:t xml:space="preserve">Caso </w:t>
      </w:r>
      <w:proofErr w:type="spellStart"/>
      <w:r w:rsidRPr="00EF2CD2">
        <w:rPr>
          <w:rFonts w:ascii="Verdana" w:hAnsi="Verdana"/>
          <w:i/>
          <w:sz w:val="16"/>
        </w:rPr>
        <w:t>Gorigoitía</w:t>
      </w:r>
      <w:proofErr w:type="spellEnd"/>
      <w:r w:rsidRPr="00EF2CD2">
        <w:rPr>
          <w:rFonts w:ascii="Verdana" w:hAnsi="Verdana"/>
          <w:i/>
          <w:sz w:val="16"/>
        </w:rPr>
        <w:t xml:space="preserve"> Vs. Argentina</w:t>
      </w:r>
      <w:r>
        <w:rPr>
          <w:rFonts w:ascii="Verdana" w:hAnsi="Verdana"/>
          <w:sz w:val="16"/>
        </w:rPr>
        <w:t xml:space="preserve">, </w:t>
      </w:r>
      <w:r w:rsidR="007D7451" w:rsidRPr="00D52D86">
        <w:rPr>
          <w:rFonts w:ascii="Verdana" w:hAnsi="Verdana"/>
          <w:i/>
          <w:sz w:val="16"/>
        </w:rPr>
        <w:t>supra</w:t>
      </w:r>
      <w:r w:rsidR="007D7451">
        <w:rPr>
          <w:rFonts w:ascii="Verdana" w:hAnsi="Verdana"/>
          <w:sz w:val="16"/>
        </w:rPr>
        <w:t xml:space="preserve"> nota </w:t>
      </w:r>
      <w:r w:rsidR="006E33E3">
        <w:rPr>
          <w:rFonts w:ascii="Verdana" w:hAnsi="Verdana"/>
          <w:sz w:val="16"/>
        </w:rPr>
        <w:t>5</w:t>
      </w:r>
      <w:r w:rsidR="007D7451">
        <w:rPr>
          <w:rFonts w:ascii="Verdana" w:hAnsi="Verdana"/>
          <w:sz w:val="16"/>
        </w:rPr>
        <w:t xml:space="preserve">, </w:t>
      </w:r>
      <w:r>
        <w:rPr>
          <w:rFonts w:ascii="Verdana" w:hAnsi="Verdana"/>
          <w:sz w:val="16"/>
        </w:rPr>
        <w:t xml:space="preserve">Considerando 2. </w:t>
      </w:r>
    </w:p>
  </w:footnote>
  <w:footnote w:id="7">
    <w:p w14:paraId="4536C9F8" w14:textId="22E72B13" w:rsidR="00340EBF" w:rsidRPr="009F3542" w:rsidRDefault="00340EBF">
      <w:pPr>
        <w:pStyle w:val="Textonotapie"/>
        <w:rPr>
          <w:rFonts w:ascii="Verdana" w:hAnsi="Verdana"/>
          <w:sz w:val="16"/>
          <w:szCs w:val="16"/>
        </w:rPr>
      </w:pPr>
      <w:r w:rsidRPr="009F3542">
        <w:rPr>
          <w:rStyle w:val="Refdenotaalpie"/>
          <w:rFonts w:ascii="Verdana" w:hAnsi="Verdana"/>
          <w:sz w:val="16"/>
          <w:szCs w:val="16"/>
        </w:rPr>
        <w:footnoteRef/>
      </w:r>
      <w:r w:rsidRPr="009F3542">
        <w:rPr>
          <w:rFonts w:ascii="Verdana" w:hAnsi="Verdana"/>
          <w:sz w:val="16"/>
          <w:szCs w:val="16"/>
        </w:rPr>
        <w:t xml:space="preserve"> </w:t>
      </w:r>
      <w:r w:rsidRPr="009F3542">
        <w:rPr>
          <w:rFonts w:ascii="Verdana" w:hAnsi="Verdana"/>
          <w:sz w:val="16"/>
          <w:szCs w:val="16"/>
        </w:rPr>
        <w:tab/>
        <w:t xml:space="preserve">El Estado debe presentar el informe a más tardar el </w:t>
      </w:r>
      <w:r w:rsidR="009F3542">
        <w:rPr>
          <w:rFonts w:ascii="Verdana" w:hAnsi="Verdana"/>
          <w:sz w:val="16"/>
          <w:szCs w:val="16"/>
        </w:rPr>
        <w:t>31 de agosto de 2021.</w:t>
      </w:r>
      <w:r w:rsidRPr="009F3542">
        <w:rPr>
          <w:rFonts w:ascii="Verdana" w:hAnsi="Verdana"/>
          <w:sz w:val="16"/>
          <w:szCs w:val="16"/>
        </w:rPr>
        <w:t xml:space="preserve"> </w:t>
      </w:r>
    </w:p>
  </w:footnote>
  <w:footnote w:id="8">
    <w:p w14:paraId="0392477A" w14:textId="77777777" w:rsidR="0055537D" w:rsidRPr="0055537D" w:rsidRDefault="0055537D" w:rsidP="0055537D">
      <w:pPr>
        <w:pStyle w:val="Textonotapie"/>
        <w:jc w:val="both"/>
        <w:rPr>
          <w:rFonts w:ascii="Verdana" w:hAnsi="Verdana"/>
          <w:sz w:val="16"/>
          <w:szCs w:val="16"/>
        </w:rPr>
      </w:pPr>
      <w:r w:rsidRPr="0055537D">
        <w:rPr>
          <w:rStyle w:val="Refdenotaalpie"/>
          <w:rFonts w:ascii="Verdana" w:hAnsi="Verdana"/>
          <w:sz w:val="16"/>
          <w:szCs w:val="16"/>
        </w:rPr>
        <w:footnoteRef/>
      </w:r>
      <w:r w:rsidRPr="0055537D">
        <w:rPr>
          <w:rFonts w:ascii="Verdana" w:hAnsi="Verdana"/>
          <w:sz w:val="16"/>
          <w:szCs w:val="16"/>
        </w:rPr>
        <w:t xml:space="preserve"> </w:t>
      </w:r>
      <w:r w:rsidRPr="0055537D">
        <w:rPr>
          <w:rFonts w:ascii="Verdana" w:hAnsi="Verdana"/>
          <w:sz w:val="16"/>
          <w:szCs w:val="16"/>
        </w:rPr>
        <w:tab/>
        <w:t xml:space="preserve">Se indicó que “[e]l Estado debía informar de forma inmediata a este Tribunal una vez que </w:t>
      </w:r>
      <w:proofErr w:type="spellStart"/>
      <w:r w:rsidRPr="0055537D">
        <w:rPr>
          <w:rFonts w:ascii="Verdana" w:hAnsi="Verdana"/>
          <w:sz w:val="16"/>
          <w:szCs w:val="16"/>
        </w:rPr>
        <w:t>proced</w:t>
      </w:r>
      <w:proofErr w:type="spellEnd"/>
      <w:r w:rsidRPr="0055537D">
        <w:rPr>
          <w:rFonts w:ascii="Verdana" w:hAnsi="Verdana"/>
          <w:sz w:val="16"/>
          <w:szCs w:val="16"/>
        </w:rPr>
        <w:t>[</w:t>
      </w:r>
      <w:proofErr w:type="spellStart"/>
      <w:r w:rsidRPr="0055537D">
        <w:rPr>
          <w:rFonts w:ascii="Verdana" w:hAnsi="Verdana"/>
          <w:sz w:val="16"/>
          <w:szCs w:val="16"/>
        </w:rPr>
        <w:t>iera</w:t>
      </w:r>
      <w:proofErr w:type="spellEnd"/>
      <w:r w:rsidRPr="0055537D">
        <w:rPr>
          <w:rFonts w:ascii="Verdana" w:hAnsi="Verdana"/>
          <w:sz w:val="16"/>
          <w:szCs w:val="16"/>
        </w:rPr>
        <w:t>] a realizar la publicación dispuesta, independientemente del plazo de un año para presentar su primer informe dispuesto en el punto resolutivo 10 de la […] Sentencia”.</w:t>
      </w:r>
    </w:p>
  </w:footnote>
  <w:footnote w:id="9">
    <w:p w14:paraId="1DCCBF3B" w14:textId="5CCD11AB" w:rsidR="00E46F9E" w:rsidRPr="009F112F" w:rsidRDefault="00E46F9E" w:rsidP="00E46F9E">
      <w:pPr>
        <w:pStyle w:val="Textonotapie"/>
        <w:jc w:val="both"/>
        <w:rPr>
          <w:rFonts w:ascii="Verdana" w:hAnsi="Verdana"/>
        </w:rPr>
      </w:pPr>
      <w:r w:rsidRPr="009F112F">
        <w:rPr>
          <w:rStyle w:val="Refdenotaalpie"/>
          <w:rFonts w:ascii="Verdana" w:hAnsi="Verdana"/>
          <w:sz w:val="16"/>
        </w:rPr>
        <w:footnoteRef/>
      </w:r>
      <w:r w:rsidRPr="009F112F">
        <w:rPr>
          <w:rFonts w:ascii="Verdana" w:hAnsi="Verdana"/>
          <w:sz w:val="16"/>
        </w:rPr>
        <w:t xml:space="preserve"> </w:t>
      </w:r>
      <w:r w:rsidRPr="009F112F">
        <w:rPr>
          <w:rFonts w:ascii="Verdana" w:hAnsi="Verdana"/>
          <w:sz w:val="16"/>
        </w:rPr>
        <w:tab/>
        <w:t xml:space="preserve">En su escrito de </w:t>
      </w:r>
      <w:r w:rsidR="009F112F" w:rsidRPr="009F112F">
        <w:rPr>
          <w:rFonts w:ascii="Verdana" w:hAnsi="Verdana"/>
          <w:sz w:val="16"/>
        </w:rPr>
        <w:t xml:space="preserve">abril de 2021, los representantes </w:t>
      </w:r>
      <w:r w:rsidR="006E33E3">
        <w:rPr>
          <w:rFonts w:ascii="Verdana" w:hAnsi="Verdana"/>
          <w:sz w:val="16"/>
        </w:rPr>
        <w:t>consideraron</w:t>
      </w:r>
      <w:r w:rsidR="009F112F" w:rsidRPr="009F112F">
        <w:rPr>
          <w:rFonts w:ascii="Verdana" w:hAnsi="Verdana"/>
          <w:sz w:val="16"/>
        </w:rPr>
        <w:t xml:space="preserve"> “cumplida esta medida de reparación”. </w:t>
      </w:r>
    </w:p>
  </w:footnote>
  <w:footnote w:id="10">
    <w:p w14:paraId="52D0FED8" w14:textId="2686962B" w:rsidR="009F112F" w:rsidRPr="009F112F" w:rsidRDefault="009F112F" w:rsidP="009F112F">
      <w:pPr>
        <w:pStyle w:val="Textonotapie"/>
        <w:jc w:val="both"/>
        <w:rPr>
          <w:rFonts w:ascii="Verdana" w:hAnsi="Verdana"/>
        </w:rPr>
      </w:pPr>
      <w:r w:rsidRPr="009F112F">
        <w:rPr>
          <w:rStyle w:val="Refdenotaalpie"/>
          <w:rFonts w:ascii="Verdana" w:hAnsi="Verdana"/>
          <w:sz w:val="16"/>
        </w:rPr>
        <w:footnoteRef/>
      </w:r>
      <w:r w:rsidRPr="009F112F">
        <w:rPr>
          <w:rFonts w:ascii="Verdana" w:hAnsi="Verdana"/>
          <w:sz w:val="16"/>
        </w:rPr>
        <w:t xml:space="preserve"> </w:t>
      </w:r>
      <w:r w:rsidRPr="009F112F">
        <w:rPr>
          <w:rFonts w:ascii="Verdana" w:hAnsi="Verdana"/>
          <w:sz w:val="16"/>
        </w:rPr>
        <w:tab/>
      </w:r>
      <w:r w:rsidRPr="009F112F">
        <w:rPr>
          <w:rFonts w:ascii="Verdana" w:hAnsi="Verdana"/>
          <w:i/>
          <w:sz w:val="16"/>
        </w:rPr>
        <w:t>Cfr.</w:t>
      </w:r>
      <w:r w:rsidRPr="009F112F">
        <w:rPr>
          <w:rFonts w:ascii="Verdana" w:hAnsi="Verdana"/>
          <w:sz w:val="16"/>
        </w:rPr>
        <w:t xml:space="preserve"> Copia de la publicación del resumen oficial de la Sentencia el diario “Página 12”</w:t>
      </w:r>
      <w:r w:rsidR="00D900CB">
        <w:rPr>
          <w:rFonts w:ascii="Verdana" w:hAnsi="Verdana"/>
          <w:sz w:val="16"/>
        </w:rPr>
        <w:t>, 17 de febrero de 2021</w:t>
      </w:r>
      <w:r w:rsidRPr="009F112F">
        <w:rPr>
          <w:rFonts w:ascii="Verdana" w:hAnsi="Verdana"/>
          <w:sz w:val="16"/>
        </w:rPr>
        <w:t xml:space="preserve"> (anexo al informe estatal de </w:t>
      </w:r>
      <w:r>
        <w:rPr>
          <w:rFonts w:ascii="Verdana" w:hAnsi="Verdana"/>
          <w:sz w:val="16"/>
        </w:rPr>
        <w:t>febrero de 2021</w:t>
      </w:r>
      <w:r w:rsidRPr="009F112F">
        <w:rPr>
          <w:rFonts w:ascii="Verdana" w:hAnsi="Verdana"/>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225B6"/>
    <w:multiLevelType w:val="hybridMultilevel"/>
    <w:tmpl w:val="F7700FDA"/>
    <w:lvl w:ilvl="0" w:tplc="5DAE6F50">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8D2ED1"/>
    <w:multiLevelType w:val="hybridMultilevel"/>
    <w:tmpl w:val="993287E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1C868A7"/>
    <w:multiLevelType w:val="hybridMultilevel"/>
    <w:tmpl w:val="CE321372"/>
    <w:lvl w:ilvl="0" w:tplc="FFEA5628">
      <w:start w:val="1"/>
      <w:numFmt w:val="decimal"/>
      <w:lvlText w:val="%1."/>
      <w:lvlJc w:val="left"/>
      <w:pPr>
        <w:ind w:left="720" w:hanging="360"/>
      </w:pPr>
      <w:rPr>
        <w:rFonts w:ascii="Verdana" w:hAnsi="Verdana"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4036A90"/>
    <w:multiLevelType w:val="hybridMultilevel"/>
    <w:tmpl w:val="ADE46F6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4575BCA"/>
    <w:multiLevelType w:val="hybridMultilevel"/>
    <w:tmpl w:val="3636140E"/>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21C"/>
    <w:rsid w:val="00133068"/>
    <w:rsid w:val="001A1B31"/>
    <w:rsid w:val="001F1F5F"/>
    <w:rsid w:val="001F5E2F"/>
    <w:rsid w:val="00285D35"/>
    <w:rsid w:val="002A7F44"/>
    <w:rsid w:val="002E0CA2"/>
    <w:rsid w:val="00340EBF"/>
    <w:rsid w:val="00372B0B"/>
    <w:rsid w:val="003A0D24"/>
    <w:rsid w:val="00405D72"/>
    <w:rsid w:val="00530F1D"/>
    <w:rsid w:val="00553B6F"/>
    <w:rsid w:val="0055537D"/>
    <w:rsid w:val="00567B3B"/>
    <w:rsid w:val="00622C28"/>
    <w:rsid w:val="00624857"/>
    <w:rsid w:val="006609EC"/>
    <w:rsid w:val="006A6FEB"/>
    <w:rsid w:val="006E33E3"/>
    <w:rsid w:val="00722525"/>
    <w:rsid w:val="00742BD2"/>
    <w:rsid w:val="007D6548"/>
    <w:rsid w:val="007D7451"/>
    <w:rsid w:val="007E2EE7"/>
    <w:rsid w:val="007F7E08"/>
    <w:rsid w:val="00811CD6"/>
    <w:rsid w:val="008B1B3D"/>
    <w:rsid w:val="008C69DB"/>
    <w:rsid w:val="00932F30"/>
    <w:rsid w:val="009A664A"/>
    <w:rsid w:val="009F112F"/>
    <w:rsid w:val="009F3542"/>
    <w:rsid w:val="00A77ED5"/>
    <w:rsid w:val="00A85FFA"/>
    <w:rsid w:val="00AE519B"/>
    <w:rsid w:val="00AF321C"/>
    <w:rsid w:val="00BD28D4"/>
    <w:rsid w:val="00C03E27"/>
    <w:rsid w:val="00C321A7"/>
    <w:rsid w:val="00C45266"/>
    <w:rsid w:val="00D52D86"/>
    <w:rsid w:val="00D5362A"/>
    <w:rsid w:val="00D900CB"/>
    <w:rsid w:val="00DC5D43"/>
    <w:rsid w:val="00E46F9E"/>
    <w:rsid w:val="00E85AC4"/>
    <w:rsid w:val="00FA13B3"/>
    <w:rsid w:val="00FC3D9D"/>
    <w:rsid w:val="00FE69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B6FB"/>
  <w15:chartTrackingRefBased/>
  <w15:docId w15:val="{58CBFC25-881B-4152-AE3D-5198E57D9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2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321C"/>
    <w:pPr>
      <w:spacing w:after="0" w:line="240" w:lineRule="auto"/>
      <w:ind w:left="720"/>
    </w:pPr>
    <w:rPr>
      <w:rFonts w:ascii="Calibri" w:hAnsi="Calibri" w:cs="Calibri"/>
    </w:rPr>
  </w:style>
  <w:style w:type="paragraph" w:styleId="NormalWeb">
    <w:name w:val="Normal (Web)"/>
    <w:basedOn w:val="Normal"/>
    <w:uiPriority w:val="99"/>
    <w:unhideWhenUsed/>
    <w:rsid w:val="00AF321C"/>
    <w:pPr>
      <w:spacing w:after="0" w:line="240" w:lineRule="auto"/>
    </w:pPr>
    <w:rPr>
      <w:rFonts w:ascii="Times New Roman" w:hAnsi="Times New Roman" w:cs="Times New Roman"/>
      <w:sz w:val="24"/>
      <w:szCs w:val="24"/>
      <w:lang w:eastAsia="es-CR"/>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
    <w:unhideWhenUsed/>
    <w:qFormat/>
    <w:rsid w:val="00AF321C"/>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rsid w:val="00AF321C"/>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nhideWhenUsed/>
    <w:qFormat/>
    <w:rsid w:val="00AF321C"/>
    <w:rPr>
      <w:vertAlign w:val="superscript"/>
    </w:rPr>
  </w:style>
  <w:style w:type="character" w:styleId="Hipervnculo">
    <w:name w:val="Hyperlink"/>
    <w:basedOn w:val="Fuentedeprrafopredeter"/>
    <w:uiPriority w:val="99"/>
    <w:unhideWhenUsed/>
    <w:rsid w:val="00AF321C"/>
    <w:rPr>
      <w:color w:val="0563C1" w:themeColor="hyperlink"/>
      <w:u w:val="single"/>
    </w:rPr>
  </w:style>
  <w:style w:type="paragraph" w:styleId="Encabezado">
    <w:name w:val="header"/>
    <w:basedOn w:val="Normal"/>
    <w:link w:val="EncabezadoCar"/>
    <w:uiPriority w:val="99"/>
    <w:unhideWhenUsed/>
    <w:rsid w:val="00AF32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21C"/>
  </w:style>
  <w:style w:type="paragraph" w:styleId="Piedepgina">
    <w:name w:val="footer"/>
    <w:basedOn w:val="Normal"/>
    <w:link w:val="PiedepginaCar"/>
    <w:uiPriority w:val="99"/>
    <w:unhideWhenUsed/>
    <w:rsid w:val="00AF32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21C"/>
  </w:style>
  <w:style w:type="paragraph" w:styleId="Textodeglobo">
    <w:name w:val="Balloon Text"/>
    <w:basedOn w:val="Normal"/>
    <w:link w:val="TextodegloboCar"/>
    <w:uiPriority w:val="99"/>
    <w:semiHidden/>
    <w:unhideWhenUsed/>
    <w:rsid w:val="002A7F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7F44"/>
    <w:rPr>
      <w:rFonts w:ascii="Segoe UI" w:hAnsi="Segoe UI" w:cs="Segoe UI"/>
      <w:sz w:val="18"/>
      <w:szCs w:val="18"/>
    </w:rPr>
  </w:style>
  <w:style w:type="character" w:styleId="Refdecomentario">
    <w:name w:val="annotation reference"/>
    <w:basedOn w:val="Fuentedeprrafopredeter"/>
    <w:uiPriority w:val="99"/>
    <w:semiHidden/>
    <w:unhideWhenUsed/>
    <w:rsid w:val="002A7F44"/>
    <w:rPr>
      <w:sz w:val="16"/>
      <w:szCs w:val="16"/>
    </w:rPr>
  </w:style>
  <w:style w:type="paragraph" w:styleId="Textocomentario">
    <w:name w:val="annotation text"/>
    <w:basedOn w:val="Normal"/>
    <w:link w:val="TextocomentarioCar"/>
    <w:uiPriority w:val="99"/>
    <w:semiHidden/>
    <w:unhideWhenUsed/>
    <w:rsid w:val="002A7F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7F44"/>
    <w:rPr>
      <w:sz w:val="20"/>
      <w:szCs w:val="20"/>
    </w:rPr>
  </w:style>
  <w:style w:type="paragraph" w:styleId="Asuntodelcomentario">
    <w:name w:val="annotation subject"/>
    <w:basedOn w:val="Textocomentario"/>
    <w:next w:val="Textocomentario"/>
    <w:link w:val="AsuntodelcomentarioCar"/>
    <w:uiPriority w:val="99"/>
    <w:semiHidden/>
    <w:unhideWhenUsed/>
    <w:rsid w:val="002A7F44"/>
    <w:rPr>
      <w:b/>
      <w:bCs/>
    </w:rPr>
  </w:style>
  <w:style w:type="character" w:customStyle="1" w:styleId="AsuntodelcomentarioCar">
    <w:name w:val="Asunto del comentario Car"/>
    <w:basedOn w:val="TextocomentarioCar"/>
    <w:link w:val="Asuntodelcomentario"/>
    <w:uiPriority w:val="99"/>
    <w:semiHidden/>
    <w:rsid w:val="002A7F44"/>
    <w:rPr>
      <w:b/>
      <w:bCs/>
      <w:sz w:val="20"/>
      <w:szCs w:val="20"/>
    </w:rPr>
  </w:style>
  <w:style w:type="character" w:styleId="Nmerodelnea">
    <w:name w:val="line number"/>
    <w:basedOn w:val="Fuentedeprrafopredeter"/>
    <w:uiPriority w:val="99"/>
    <w:semiHidden/>
    <w:unhideWhenUsed/>
    <w:rsid w:val="009F3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404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699B9-DF8B-4549-BE82-9707D5A5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1097</Words>
  <Characters>6038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2021-06-24T14:42:00Z</cp:lastPrinted>
  <dcterms:created xsi:type="dcterms:W3CDTF">2021-07-07T20:34:00Z</dcterms:created>
  <dcterms:modified xsi:type="dcterms:W3CDTF">2021-07-07T20:34:00Z</dcterms:modified>
</cp:coreProperties>
</file>