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7D028F" w14:textId="74A82849" w:rsidR="00553094" w:rsidRDefault="00553094" w:rsidP="00E97AA8"/>
    <w:p w14:paraId="721E7918" w14:textId="77777777" w:rsidR="0031623F" w:rsidRPr="008E5B95" w:rsidRDefault="0031623F" w:rsidP="00E97AA8"/>
    <w:p w14:paraId="2FD7FF04" w14:textId="0DE0EA3F" w:rsidR="007E7781" w:rsidRPr="008E5B95" w:rsidRDefault="00016191" w:rsidP="00C41CF4">
      <w:pPr>
        <w:jc w:val="center"/>
        <w:rPr>
          <w:b/>
        </w:rPr>
      </w:pPr>
      <w:r w:rsidRPr="008E5B95">
        <w:rPr>
          <w:b/>
        </w:rPr>
        <w:t xml:space="preserve">RESOLUCIÓN </w:t>
      </w:r>
      <w:r w:rsidR="00FF6AD7" w:rsidRPr="008E5B95">
        <w:rPr>
          <w:b/>
        </w:rPr>
        <w:t>DE</w:t>
      </w:r>
      <w:r w:rsidR="00106103" w:rsidRPr="008E5B95">
        <w:rPr>
          <w:b/>
        </w:rPr>
        <w:t xml:space="preserve"> </w:t>
      </w:r>
      <w:r w:rsidR="00FF6AD7" w:rsidRPr="008E5B95">
        <w:rPr>
          <w:b/>
        </w:rPr>
        <w:t>L</w:t>
      </w:r>
      <w:r w:rsidR="00106103" w:rsidRPr="008E5B95">
        <w:rPr>
          <w:b/>
        </w:rPr>
        <w:t>A PRESIDENTA</w:t>
      </w:r>
      <w:r w:rsidR="007E7781" w:rsidRPr="008E5B95">
        <w:rPr>
          <w:b/>
        </w:rPr>
        <w:t xml:space="preserve"> </w:t>
      </w:r>
      <w:r w:rsidRPr="008E5B95">
        <w:rPr>
          <w:b/>
        </w:rPr>
        <w:t>DE LA</w:t>
      </w:r>
    </w:p>
    <w:p w14:paraId="0C5F18D8" w14:textId="77777777" w:rsidR="00FF6AD7" w:rsidRPr="008E5B95" w:rsidRDefault="00016191" w:rsidP="00C41CF4">
      <w:pPr>
        <w:jc w:val="center"/>
        <w:rPr>
          <w:b/>
        </w:rPr>
      </w:pPr>
      <w:r w:rsidRPr="008E5B95">
        <w:rPr>
          <w:b/>
        </w:rPr>
        <w:t>CORTE INTERAMERICANA DE DERECHOS HUMANOS</w:t>
      </w:r>
    </w:p>
    <w:p w14:paraId="653C319A" w14:textId="6A0F89E1" w:rsidR="00DF5305" w:rsidRDefault="00DF5305" w:rsidP="00C41CF4">
      <w:pPr>
        <w:jc w:val="center"/>
        <w:rPr>
          <w:b/>
        </w:rPr>
      </w:pPr>
    </w:p>
    <w:p w14:paraId="7129790B" w14:textId="0DCC4C8B" w:rsidR="0031623F" w:rsidRDefault="0031623F" w:rsidP="00C41CF4">
      <w:pPr>
        <w:jc w:val="center"/>
        <w:rPr>
          <w:b/>
        </w:rPr>
      </w:pPr>
    </w:p>
    <w:p w14:paraId="71A128FD" w14:textId="77777777" w:rsidR="0031623F" w:rsidRPr="008E5B95" w:rsidRDefault="0031623F" w:rsidP="00C41CF4">
      <w:pPr>
        <w:jc w:val="center"/>
        <w:rPr>
          <w:b/>
        </w:rPr>
      </w:pPr>
    </w:p>
    <w:p w14:paraId="1E1F28CE" w14:textId="64F515A9" w:rsidR="00DF5305" w:rsidRPr="008E5B95" w:rsidRDefault="00016191" w:rsidP="00FF7896">
      <w:pPr>
        <w:jc w:val="center"/>
        <w:rPr>
          <w:b/>
        </w:rPr>
      </w:pPr>
      <w:r w:rsidRPr="008E5B95">
        <w:rPr>
          <w:b/>
        </w:rPr>
        <w:t>DE</w:t>
      </w:r>
      <w:r w:rsidR="00BF2340">
        <w:rPr>
          <w:b/>
        </w:rPr>
        <w:t xml:space="preserve"> 20</w:t>
      </w:r>
      <w:r w:rsidR="00FF7896" w:rsidRPr="008E5B95">
        <w:rPr>
          <w:b/>
        </w:rPr>
        <w:t xml:space="preserve"> DE </w:t>
      </w:r>
      <w:r w:rsidR="0046292F">
        <w:rPr>
          <w:b/>
        </w:rPr>
        <w:t>MAYO</w:t>
      </w:r>
      <w:r w:rsidR="00FF7896" w:rsidRPr="008E5B95">
        <w:rPr>
          <w:b/>
        </w:rPr>
        <w:t xml:space="preserve"> </w:t>
      </w:r>
      <w:r w:rsidR="00106103" w:rsidRPr="008E5B95">
        <w:rPr>
          <w:b/>
        </w:rPr>
        <w:t xml:space="preserve">DE </w:t>
      </w:r>
      <w:r w:rsidR="00CC4B93" w:rsidRPr="008E5B95">
        <w:rPr>
          <w:b/>
        </w:rPr>
        <w:t>2021</w:t>
      </w:r>
    </w:p>
    <w:p w14:paraId="3871CDDC" w14:textId="0E240521" w:rsidR="0016379E" w:rsidRDefault="0016379E" w:rsidP="00C41CF4">
      <w:pPr>
        <w:jc w:val="center"/>
        <w:rPr>
          <w:b/>
        </w:rPr>
      </w:pPr>
    </w:p>
    <w:p w14:paraId="22976D44" w14:textId="745C9E94" w:rsidR="0031623F" w:rsidRDefault="0031623F" w:rsidP="00C41CF4">
      <w:pPr>
        <w:jc w:val="center"/>
        <w:rPr>
          <w:b/>
        </w:rPr>
      </w:pPr>
    </w:p>
    <w:p w14:paraId="203C9458" w14:textId="77777777" w:rsidR="0031623F" w:rsidRPr="008E5B95" w:rsidRDefault="0031623F" w:rsidP="00C41CF4">
      <w:pPr>
        <w:jc w:val="center"/>
        <w:rPr>
          <w:b/>
        </w:rPr>
      </w:pPr>
    </w:p>
    <w:p w14:paraId="541CAB36" w14:textId="2F65ACBA" w:rsidR="006709EC" w:rsidRPr="008E5B95" w:rsidRDefault="00895A6A" w:rsidP="00C41CF4">
      <w:pPr>
        <w:jc w:val="center"/>
        <w:rPr>
          <w:b/>
          <w:caps/>
        </w:rPr>
      </w:pPr>
      <w:r w:rsidRPr="008E5B95">
        <w:rPr>
          <w:b/>
          <w:caps/>
        </w:rPr>
        <w:t xml:space="preserve">Caso </w:t>
      </w:r>
      <w:r w:rsidR="0046292F">
        <w:rPr>
          <w:b/>
          <w:caps/>
        </w:rPr>
        <w:t xml:space="preserve">FEDERACIÓN NACIONAL DE TRABAJADORES MARÍTIMOS Y PORTUARIOS (FEMAPOR) </w:t>
      </w:r>
      <w:r w:rsidR="0046292F" w:rsidRPr="002B1C91">
        <w:rPr>
          <w:b/>
          <w:i/>
          <w:caps/>
        </w:rPr>
        <w:t>VS</w:t>
      </w:r>
      <w:r w:rsidR="0046292F">
        <w:rPr>
          <w:b/>
          <w:caps/>
        </w:rPr>
        <w:t>. PERÚ</w:t>
      </w:r>
    </w:p>
    <w:p w14:paraId="7DFE88D4" w14:textId="7A7F17C5" w:rsidR="002C0961" w:rsidRPr="008E5B95" w:rsidRDefault="002C0961" w:rsidP="00C41CF4">
      <w:pPr>
        <w:jc w:val="center"/>
        <w:rPr>
          <w:b/>
          <w:caps/>
        </w:rPr>
      </w:pPr>
    </w:p>
    <w:p w14:paraId="3A0BF325" w14:textId="351FDB85" w:rsidR="008A6894" w:rsidRDefault="008A6894" w:rsidP="00C41CF4">
      <w:pPr>
        <w:jc w:val="center"/>
        <w:rPr>
          <w:b/>
        </w:rPr>
      </w:pPr>
    </w:p>
    <w:p w14:paraId="223542A1" w14:textId="77777777" w:rsidR="0031623F" w:rsidRPr="008E5B95" w:rsidRDefault="0031623F" w:rsidP="00C41CF4">
      <w:pPr>
        <w:jc w:val="center"/>
        <w:rPr>
          <w:b/>
        </w:rPr>
      </w:pPr>
    </w:p>
    <w:p w14:paraId="317E7E9B" w14:textId="77777777" w:rsidR="00016191" w:rsidRPr="008E5B95" w:rsidRDefault="00016191" w:rsidP="00E97AA8">
      <w:pPr>
        <w:rPr>
          <w:b/>
        </w:rPr>
      </w:pPr>
      <w:r w:rsidRPr="008E5B95">
        <w:rPr>
          <w:b/>
        </w:rPr>
        <w:t>VISTO:</w:t>
      </w:r>
    </w:p>
    <w:p w14:paraId="70F282D6" w14:textId="77777777" w:rsidR="00BF78B5" w:rsidRPr="008E5B95" w:rsidRDefault="00BF78B5" w:rsidP="00E97AA8"/>
    <w:p w14:paraId="00E8AC79" w14:textId="7A3E1EAD" w:rsidR="006C2730" w:rsidRPr="008E5B95" w:rsidRDefault="00016191" w:rsidP="00A54E14">
      <w:pPr>
        <w:pStyle w:val="Sinespaciado"/>
        <w:ind w:left="0" w:firstLine="0"/>
        <w:rPr>
          <w:lang w:eastAsia="es-ES"/>
        </w:rPr>
      </w:pPr>
      <w:r w:rsidRPr="008E5B95">
        <w:t>El escrito de sometimiento del caso y el Informe de Fondo de la Comisión Interamericana de Derechos Humanos (en adelante “la Comisión Inte</w:t>
      </w:r>
      <w:r w:rsidR="0046292F">
        <w:t>ramericana” o “la Comisión”); los</w:t>
      </w:r>
      <w:r w:rsidRPr="008E5B95">
        <w:t xml:space="preserve"> escrito</w:t>
      </w:r>
      <w:r w:rsidR="0046292F">
        <w:t>s</w:t>
      </w:r>
      <w:r w:rsidRPr="008E5B95">
        <w:t xml:space="preserve"> de solicitudes, argumentos y pruebas</w:t>
      </w:r>
      <w:r w:rsidR="00844163" w:rsidRPr="008E5B95">
        <w:t xml:space="preserve"> </w:t>
      </w:r>
      <w:r w:rsidRPr="008E5B95">
        <w:t xml:space="preserve">(en adelante el “escrito de solicitudes y argumentos”) </w:t>
      </w:r>
      <w:r w:rsidR="00093B23" w:rsidRPr="008E5B95">
        <w:t>de</w:t>
      </w:r>
      <w:r w:rsidR="00106103" w:rsidRPr="008E5B95">
        <w:t xml:space="preserve"> </w:t>
      </w:r>
      <w:r w:rsidR="0046292F">
        <w:t>los intervinientes comunes</w:t>
      </w:r>
      <w:r w:rsidR="00482C53" w:rsidRPr="008E5B95">
        <w:t xml:space="preserve"> la</w:t>
      </w:r>
      <w:r w:rsidR="004E76A1" w:rsidRPr="008E5B95">
        <w:t>s presuntas</w:t>
      </w:r>
      <w:r w:rsidR="00482C53" w:rsidRPr="008E5B95">
        <w:t xml:space="preserve"> víctima</w:t>
      </w:r>
      <w:r w:rsidR="004E76A1" w:rsidRPr="008E5B95">
        <w:t>s</w:t>
      </w:r>
      <w:r w:rsidR="0046292F">
        <w:rPr>
          <w:rStyle w:val="Refdenotaalpie"/>
        </w:rPr>
        <w:footnoteReference w:id="1"/>
      </w:r>
      <w:r w:rsidRPr="008E5B95">
        <w:t xml:space="preserve"> (en adelante “</w:t>
      </w:r>
      <w:r w:rsidR="0046292F">
        <w:t>lo</w:t>
      </w:r>
      <w:r w:rsidR="007A5EE8">
        <w:t xml:space="preserve">s </w:t>
      </w:r>
      <w:r w:rsidR="0046292F">
        <w:t>intervinientes comunes</w:t>
      </w:r>
      <w:r w:rsidR="00895A6A" w:rsidRPr="008E5B95">
        <w:t>”)</w:t>
      </w:r>
      <w:r w:rsidRPr="008E5B95">
        <w:t>; el escrito</w:t>
      </w:r>
      <w:r w:rsidR="00FA3A59" w:rsidRPr="008E5B95">
        <w:t xml:space="preserve"> </w:t>
      </w:r>
      <w:r w:rsidR="001F0928" w:rsidRPr="008E5B95">
        <w:t>de</w:t>
      </w:r>
      <w:r w:rsidR="001F0928">
        <w:t xml:space="preserve"> </w:t>
      </w:r>
      <w:r w:rsidR="00362582">
        <w:t xml:space="preserve">interposición de excepciones preliminares y </w:t>
      </w:r>
      <w:r w:rsidR="001F0928">
        <w:t>contestación</w:t>
      </w:r>
      <w:r w:rsidRPr="008E5B95">
        <w:t xml:space="preserve"> al sometimiento del caso y al escrito de solicitudes y argumentos (en adelant</w:t>
      </w:r>
      <w:r w:rsidR="001F3986" w:rsidRPr="008E5B95">
        <w:t xml:space="preserve">e “escrito de </w:t>
      </w:r>
      <w:r w:rsidR="007C1A2F">
        <w:t>Contestación</w:t>
      </w:r>
      <w:r w:rsidR="001F3986" w:rsidRPr="008E5B95">
        <w:t xml:space="preserve">”) </w:t>
      </w:r>
      <w:r w:rsidR="00895A6A" w:rsidRPr="008E5B95">
        <w:t xml:space="preserve">del Estado de </w:t>
      </w:r>
      <w:r w:rsidR="0046292F">
        <w:t>Perú</w:t>
      </w:r>
      <w:r w:rsidR="006E4645" w:rsidRPr="008E5B95">
        <w:t xml:space="preserve"> </w:t>
      </w:r>
      <w:r w:rsidRPr="008E5B95">
        <w:t>(en adelante “</w:t>
      </w:r>
      <w:r w:rsidR="00C76950">
        <w:t>Perú</w:t>
      </w:r>
      <w:r w:rsidR="001735A7" w:rsidRPr="008E5B95">
        <w:t>” o “el Estado”)</w:t>
      </w:r>
      <w:r w:rsidR="00093B23" w:rsidRPr="008E5B95">
        <w:t xml:space="preserve">. </w:t>
      </w:r>
    </w:p>
    <w:p w14:paraId="6DA8B000" w14:textId="44A226D8" w:rsidR="001F0928" w:rsidRDefault="001F0928" w:rsidP="001F0928">
      <w:pPr>
        <w:pStyle w:val="Sinespaciado"/>
        <w:numPr>
          <w:ilvl w:val="0"/>
          <w:numId w:val="0"/>
        </w:numPr>
        <w:rPr>
          <w:lang w:eastAsia="es-ES"/>
        </w:rPr>
      </w:pPr>
    </w:p>
    <w:p w14:paraId="6D47671F" w14:textId="708C3000" w:rsidR="001F0928" w:rsidRDefault="00844163" w:rsidP="001F0928">
      <w:pPr>
        <w:pStyle w:val="Sinespaciado"/>
        <w:ind w:left="0" w:firstLine="0"/>
        <w:rPr>
          <w:lang w:eastAsia="es-ES"/>
        </w:rPr>
      </w:pPr>
      <w:r w:rsidRPr="008E5B95">
        <w:t xml:space="preserve">La </w:t>
      </w:r>
      <w:r w:rsidR="0046292F">
        <w:t>lista definitiva</w:t>
      </w:r>
      <w:r w:rsidR="00362582">
        <w:t xml:space="preserve"> de declarantes presentada por</w:t>
      </w:r>
      <w:r w:rsidR="00895A6A" w:rsidRPr="008E5B95">
        <w:t xml:space="preserve"> el Estado, </w:t>
      </w:r>
      <w:r w:rsidR="001F0CAB" w:rsidRPr="008E5B95">
        <w:t>así como</w:t>
      </w:r>
      <w:r w:rsidR="005F40E2" w:rsidRPr="001F0928">
        <w:rPr>
          <w:b/>
        </w:rPr>
        <w:t xml:space="preserve"> </w:t>
      </w:r>
      <w:r w:rsidR="00FA3A59" w:rsidRPr="008E5B95">
        <w:t>las corresp</w:t>
      </w:r>
      <w:r w:rsidR="0046292F">
        <w:t>ondientes observaciones a dicha lista</w:t>
      </w:r>
      <w:r w:rsidR="00FA3A59" w:rsidRPr="008E5B95">
        <w:t xml:space="preserve"> presentadas por </w:t>
      </w:r>
      <w:r w:rsidR="00EE4605">
        <w:t>la interviniente</w:t>
      </w:r>
      <w:r w:rsidR="000171D2">
        <w:t xml:space="preserve"> com</w:t>
      </w:r>
      <w:r w:rsidR="00EE4605">
        <w:t>ún Dora Meneses Huayra</w:t>
      </w:r>
      <w:r w:rsidR="0046292F">
        <w:t xml:space="preserve">. </w:t>
      </w:r>
    </w:p>
    <w:p w14:paraId="7A6D702B" w14:textId="77777777" w:rsidR="001F0928" w:rsidRDefault="001F0928" w:rsidP="001F0928">
      <w:pPr>
        <w:pStyle w:val="Sinespaciado"/>
        <w:numPr>
          <w:ilvl w:val="0"/>
          <w:numId w:val="0"/>
        </w:numPr>
      </w:pPr>
    </w:p>
    <w:p w14:paraId="3ACF6B32" w14:textId="77777777" w:rsidR="006B5876" w:rsidRPr="008E5B95" w:rsidRDefault="006B5876" w:rsidP="00C41CF4">
      <w:pPr>
        <w:pStyle w:val="Prrafodelista"/>
        <w:ind w:left="0"/>
        <w:rPr>
          <w:b/>
        </w:rPr>
      </w:pPr>
      <w:r w:rsidRPr="008E5B95">
        <w:rPr>
          <w:b/>
        </w:rPr>
        <w:t xml:space="preserve">CONSIDERANDO QUE: </w:t>
      </w:r>
    </w:p>
    <w:p w14:paraId="3AEA0501" w14:textId="77777777" w:rsidR="001C3BCD" w:rsidRPr="008E5B95" w:rsidRDefault="001C3BCD" w:rsidP="00E97AA8"/>
    <w:p w14:paraId="77287E56" w14:textId="27048076" w:rsidR="00C41CF4" w:rsidRPr="00362582" w:rsidRDefault="00902AB2" w:rsidP="00362582">
      <w:pPr>
        <w:pStyle w:val="Sinespaciado"/>
        <w:numPr>
          <w:ilvl w:val="0"/>
          <w:numId w:val="28"/>
        </w:numPr>
        <w:tabs>
          <w:tab w:val="clear" w:pos="0"/>
        </w:tabs>
        <w:ind w:left="0" w:firstLine="0"/>
        <w:rPr>
          <w:rFonts w:cs="Times New Roman"/>
        </w:rPr>
      </w:pPr>
      <w:r w:rsidRPr="008E5B95">
        <w:t>El ofrecimiento y la admisión de la prueba, así como la citación de presuntas víctimas, testigos y peritos, se encuentran regulados en los artículos 35.1.f, 40.2.c, 41.1.c, 46,</w:t>
      </w:r>
      <w:r w:rsidR="00B400D6" w:rsidRPr="008E5B95">
        <w:t xml:space="preserve"> 47,</w:t>
      </w:r>
      <w:r w:rsidRPr="008E5B95">
        <w:t xml:space="preserve"> 48,</w:t>
      </w:r>
      <w:r w:rsidR="00D85549" w:rsidRPr="008E5B95">
        <w:t xml:space="preserve"> 49,</w:t>
      </w:r>
      <w:r w:rsidRPr="008E5B95">
        <w:t xml:space="preserve"> 50 y 57 del Reglamento de la Corte Interamericana de Derechos Humanos (en adelante “la Corte” o “el Tribunal”). </w:t>
      </w:r>
    </w:p>
    <w:p w14:paraId="054C8E04" w14:textId="10264AB5" w:rsidR="00C41CF4" w:rsidRDefault="00C41CF4" w:rsidP="00C41CF4">
      <w:pPr>
        <w:pStyle w:val="Sinespaciado"/>
        <w:numPr>
          <w:ilvl w:val="0"/>
          <w:numId w:val="0"/>
        </w:numPr>
        <w:rPr>
          <w:rFonts w:cs="Times New Roman"/>
        </w:rPr>
      </w:pPr>
    </w:p>
    <w:p w14:paraId="280CC3FE" w14:textId="62785218" w:rsidR="0031623F" w:rsidRDefault="0031623F" w:rsidP="00C41CF4">
      <w:pPr>
        <w:pStyle w:val="Sinespaciado"/>
        <w:numPr>
          <w:ilvl w:val="0"/>
          <w:numId w:val="0"/>
        </w:numPr>
        <w:rPr>
          <w:rFonts w:cs="Times New Roman"/>
        </w:rPr>
      </w:pPr>
    </w:p>
    <w:p w14:paraId="3CF25CB4" w14:textId="59F8EBC9" w:rsidR="0031623F" w:rsidRDefault="0031623F" w:rsidP="00C41CF4">
      <w:pPr>
        <w:pStyle w:val="Sinespaciado"/>
        <w:numPr>
          <w:ilvl w:val="0"/>
          <w:numId w:val="0"/>
        </w:numPr>
        <w:rPr>
          <w:rFonts w:cs="Times New Roman"/>
        </w:rPr>
      </w:pPr>
    </w:p>
    <w:p w14:paraId="3D7A730F" w14:textId="5CADBAB7" w:rsidR="0031623F" w:rsidRDefault="0031623F" w:rsidP="00C41CF4">
      <w:pPr>
        <w:pStyle w:val="Sinespaciado"/>
        <w:numPr>
          <w:ilvl w:val="0"/>
          <w:numId w:val="0"/>
        </w:numPr>
        <w:rPr>
          <w:rFonts w:cs="Times New Roman"/>
        </w:rPr>
      </w:pPr>
    </w:p>
    <w:p w14:paraId="0FE0D4E0" w14:textId="3F535969" w:rsidR="0031623F" w:rsidRDefault="0031623F" w:rsidP="00C41CF4">
      <w:pPr>
        <w:pStyle w:val="Sinespaciado"/>
        <w:numPr>
          <w:ilvl w:val="0"/>
          <w:numId w:val="0"/>
        </w:numPr>
        <w:rPr>
          <w:rFonts w:cs="Times New Roman"/>
        </w:rPr>
      </w:pPr>
    </w:p>
    <w:p w14:paraId="7B99E848" w14:textId="5A711BE0" w:rsidR="0031623F" w:rsidRDefault="0031623F" w:rsidP="00C41CF4">
      <w:pPr>
        <w:pStyle w:val="Sinespaciado"/>
        <w:numPr>
          <w:ilvl w:val="0"/>
          <w:numId w:val="0"/>
        </w:numPr>
        <w:rPr>
          <w:rFonts w:cs="Times New Roman"/>
        </w:rPr>
      </w:pPr>
    </w:p>
    <w:p w14:paraId="404734D2" w14:textId="06C22AF8" w:rsidR="0031623F" w:rsidRDefault="0031623F" w:rsidP="00C41CF4">
      <w:pPr>
        <w:pStyle w:val="Sinespaciado"/>
        <w:numPr>
          <w:ilvl w:val="0"/>
          <w:numId w:val="0"/>
        </w:numPr>
        <w:rPr>
          <w:rFonts w:cs="Times New Roman"/>
        </w:rPr>
      </w:pPr>
    </w:p>
    <w:p w14:paraId="61F714EE" w14:textId="12F42B2B" w:rsidR="0031623F" w:rsidRDefault="0031623F" w:rsidP="00C41CF4">
      <w:pPr>
        <w:pStyle w:val="Sinespaciado"/>
        <w:numPr>
          <w:ilvl w:val="0"/>
          <w:numId w:val="0"/>
        </w:numPr>
        <w:rPr>
          <w:rFonts w:cs="Times New Roman"/>
        </w:rPr>
      </w:pPr>
    </w:p>
    <w:p w14:paraId="3C28CF43" w14:textId="04A4117D" w:rsidR="0031623F" w:rsidRDefault="0031623F" w:rsidP="00C41CF4">
      <w:pPr>
        <w:pStyle w:val="Sinespaciado"/>
        <w:numPr>
          <w:ilvl w:val="0"/>
          <w:numId w:val="0"/>
        </w:numPr>
        <w:rPr>
          <w:rFonts w:cs="Times New Roman"/>
        </w:rPr>
      </w:pPr>
    </w:p>
    <w:p w14:paraId="253F9B37" w14:textId="1432464E" w:rsidR="0031623F" w:rsidRDefault="0031623F" w:rsidP="00C41CF4">
      <w:pPr>
        <w:pStyle w:val="Sinespaciado"/>
        <w:numPr>
          <w:ilvl w:val="0"/>
          <w:numId w:val="0"/>
        </w:numPr>
        <w:rPr>
          <w:rFonts w:cs="Times New Roman"/>
        </w:rPr>
      </w:pPr>
    </w:p>
    <w:p w14:paraId="522DE469" w14:textId="4A9B2DDC" w:rsidR="0031623F" w:rsidRPr="008E5B95" w:rsidRDefault="0031623F" w:rsidP="00C41CF4">
      <w:pPr>
        <w:pStyle w:val="Sinespaciado"/>
        <w:numPr>
          <w:ilvl w:val="0"/>
          <w:numId w:val="0"/>
        </w:numPr>
        <w:rPr>
          <w:rFonts w:cs="Times New Roman"/>
        </w:rPr>
      </w:pPr>
    </w:p>
    <w:p w14:paraId="139057D0" w14:textId="7D783728" w:rsidR="009D6DB1" w:rsidRPr="008260DE" w:rsidRDefault="001E1A39" w:rsidP="009D6DB1">
      <w:pPr>
        <w:pStyle w:val="Sinespaciado"/>
        <w:ind w:left="0" w:firstLine="0"/>
      </w:pPr>
      <w:r>
        <w:t xml:space="preserve">La Comisión Interamericana solicitó el traslado del peritaje </w:t>
      </w:r>
      <w:r w:rsidR="00320D65">
        <w:t>rendido por</w:t>
      </w:r>
      <w:r>
        <w:t xml:space="preserve"> Christian </w:t>
      </w:r>
      <w:proofErr w:type="spellStart"/>
      <w:r>
        <w:t>C</w:t>
      </w:r>
      <w:r w:rsidR="00320D65">
        <w:t>ourtis</w:t>
      </w:r>
      <w:proofErr w:type="spellEnd"/>
      <w:r w:rsidR="00320D65">
        <w:t xml:space="preserve"> </w:t>
      </w:r>
      <w:r w:rsidR="00362582">
        <w:t>en el</w:t>
      </w:r>
      <w:r>
        <w:t xml:space="preserve"> </w:t>
      </w:r>
      <w:r w:rsidRPr="00310983">
        <w:rPr>
          <w:i/>
        </w:rPr>
        <w:t>Caso Muelle Flores Vs. Perú</w:t>
      </w:r>
      <w:r>
        <w:t>, e</w:t>
      </w:r>
      <w:r w:rsidR="000171D2" w:rsidRPr="008E5B95">
        <w:t xml:space="preserve">l Estado ofreció las declaraciones de tres testigos y </w:t>
      </w:r>
      <w:r w:rsidR="000171D2">
        <w:t>cuatro</w:t>
      </w:r>
      <w:r w:rsidR="000171D2" w:rsidRPr="008E5B95">
        <w:t xml:space="preserve"> </w:t>
      </w:r>
      <w:r w:rsidR="000171D2">
        <w:t>peritos</w:t>
      </w:r>
      <w:r>
        <w:t>, y</w:t>
      </w:r>
      <w:r w:rsidR="000171D2">
        <w:t xml:space="preserve"> </w:t>
      </w:r>
      <w:r>
        <w:t>l</w:t>
      </w:r>
      <w:r w:rsidR="000171D2">
        <w:t xml:space="preserve">os intervinientes </w:t>
      </w:r>
      <w:r>
        <w:t xml:space="preserve">comunes </w:t>
      </w:r>
      <w:r w:rsidR="000171D2">
        <w:t>no ofrecieron declaraciones</w:t>
      </w:r>
      <w:r w:rsidR="00362582">
        <w:t xml:space="preserve"> en sus respectivos </w:t>
      </w:r>
      <w:r w:rsidR="00362582" w:rsidRPr="008E5B95">
        <w:t>escrito</w:t>
      </w:r>
      <w:r w:rsidR="00362582">
        <w:t>s</w:t>
      </w:r>
      <w:r w:rsidR="00362582" w:rsidRPr="008E5B95">
        <w:t xml:space="preserve"> de solicitudes y argumentos</w:t>
      </w:r>
      <w:r w:rsidR="00313DAF" w:rsidRPr="008E5B95">
        <w:t xml:space="preserve">. </w:t>
      </w:r>
      <w:r w:rsidR="009D6DB1" w:rsidRPr="008E5B95">
        <w:t xml:space="preserve">En su escrito de listas definitivas, </w:t>
      </w:r>
      <w:r w:rsidR="009D6DB1">
        <w:t>el Estado confirmó las declaraciones ofrecidas en su escrito de contestación. Asimismo, solicitó que</w:t>
      </w:r>
      <w:r w:rsidR="009D6DB1" w:rsidRPr="008E5B95">
        <w:t xml:space="preserve"> la</w:t>
      </w:r>
      <w:r w:rsidR="009D6DB1">
        <w:t xml:space="preserve">s declaraciones periciales de Dante Ludwig </w:t>
      </w:r>
      <w:proofErr w:type="spellStart"/>
      <w:r w:rsidR="009D6DB1">
        <w:t>Apolín</w:t>
      </w:r>
      <w:proofErr w:type="spellEnd"/>
      <w:r w:rsidR="009D6DB1">
        <w:t xml:space="preserve"> Meza</w:t>
      </w:r>
      <w:r w:rsidR="009D6DB1">
        <w:rPr>
          <w:rStyle w:val="Refdenotaalpie"/>
        </w:rPr>
        <w:footnoteReference w:id="2"/>
      </w:r>
      <w:r w:rsidR="009D6DB1">
        <w:t xml:space="preserve"> y Ernesto Alonso Aguinaga Meza</w:t>
      </w:r>
      <w:r w:rsidR="009D6DB1">
        <w:rPr>
          <w:rStyle w:val="Refdenotaalpie"/>
        </w:rPr>
        <w:footnoteReference w:id="3"/>
      </w:r>
      <w:r w:rsidR="009D6DB1">
        <w:t xml:space="preserve">, así como la declaración </w:t>
      </w:r>
      <w:r w:rsidR="009D6DB1" w:rsidRPr="008E5B95">
        <w:t xml:space="preserve">testimonial de </w:t>
      </w:r>
      <w:r w:rsidR="009D6DB1">
        <w:t>Edmundo Villacorta Ramírez</w:t>
      </w:r>
      <w:r w:rsidR="009D6DB1">
        <w:rPr>
          <w:rStyle w:val="Refdenotaalpie"/>
        </w:rPr>
        <w:footnoteReference w:id="4"/>
      </w:r>
      <w:r w:rsidR="009D6DB1" w:rsidRPr="008E5B95">
        <w:t xml:space="preserve"> fuera</w:t>
      </w:r>
      <w:r w:rsidR="009D6DB1">
        <w:t>n</w:t>
      </w:r>
      <w:r w:rsidR="009D6DB1" w:rsidRPr="008E5B95">
        <w:t xml:space="preserve"> recibida</w:t>
      </w:r>
      <w:r w:rsidR="009D6DB1">
        <w:t>s</w:t>
      </w:r>
      <w:r w:rsidR="009D6DB1" w:rsidRPr="008E5B95">
        <w:t xml:space="preserve"> en audiencia. En el mismo sentido, solicitó la admisión de las </w:t>
      </w:r>
      <w:r w:rsidR="009D6DB1" w:rsidRPr="004F5AD2">
        <w:rPr>
          <w:rFonts w:cs="Verdana"/>
        </w:rPr>
        <w:t>declaraciones</w:t>
      </w:r>
      <w:r w:rsidR="009D6DB1" w:rsidRPr="008E5B95">
        <w:t xml:space="preserve"> mediante </w:t>
      </w:r>
      <w:r w:rsidR="009D6DB1" w:rsidRPr="008E5B95">
        <w:rPr>
          <w:i/>
        </w:rPr>
        <w:t>affidávit</w:t>
      </w:r>
      <w:r w:rsidR="009D6DB1" w:rsidRPr="008E5B95">
        <w:t xml:space="preserve"> de las declaraciones </w:t>
      </w:r>
      <w:r w:rsidR="009D6DB1">
        <w:t xml:space="preserve">periciales de Marco Antonio Lozano </w:t>
      </w:r>
      <w:proofErr w:type="spellStart"/>
      <w:r w:rsidR="009D6DB1">
        <w:t>Huaracha</w:t>
      </w:r>
      <w:proofErr w:type="spellEnd"/>
      <w:r w:rsidR="009D6DB1">
        <w:rPr>
          <w:rStyle w:val="Refdenotaalpie"/>
        </w:rPr>
        <w:footnoteReference w:id="5"/>
      </w:r>
      <w:r w:rsidR="009D6DB1">
        <w:t xml:space="preserve"> y Joel Segura Alania</w:t>
      </w:r>
      <w:r w:rsidR="009D6DB1">
        <w:rPr>
          <w:rStyle w:val="Refdenotaalpie"/>
        </w:rPr>
        <w:footnoteReference w:id="6"/>
      </w:r>
      <w:r w:rsidR="009D6DB1" w:rsidRPr="008E5B95">
        <w:t xml:space="preserve">, así como las declaraciones </w:t>
      </w:r>
      <w:r w:rsidR="009D6DB1">
        <w:t>testimoniales</w:t>
      </w:r>
      <w:r w:rsidR="009D6DB1" w:rsidRPr="008E5B95">
        <w:t xml:space="preserve"> de </w:t>
      </w:r>
      <w:r w:rsidR="009D6DB1">
        <w:t>Rocío del Pilar Mercedes Montero Lazo</w:t>
      </w:r>
      <w:r w:rsidR="009D6DB1">
        <w:rPr>
          <w:rStyle w:val="Refdenotaalpie"/>
        </w:rPr>
        <w:footnoteReference w:id="7"/>
      </w:r>
      <w:r w:rsidR="009D6DB1">
        <w:t xml:space="preserve"> y Julio La Rosa </w:t>
      </w:r>
      <w:r w:rsidR="009D6DB1">
        <w:lastRenderedPageBreak/>
        <w:t>Sánchez Bayes</w:t>
      </w:r>
      <w:r w:rsidR="009D6DB1">
        <w:rPr>
          <w:rStyle w:val="Refdenotaalpie"/>
        </w:rPr>
        <w:footnoteReference w:id="8"/>
      </w:r>
      <w:r w:rsidR="009D6DB1" w:rsidRPr="008E5B95">
        <w:t xml:space="preserve">. </w:t>
      </w:r>
      <w:r w:rsidR="009D6DB1">
        <w:t xml:space="preserve">El Estado sugirió que, de admitirse las tres declaraciones que solicita en audiencia pública, se llamara en primer lugar al testigo Edmundo Villacorta Ramírez en tanto su declaración “versa sobre los antecedentes del caso”, así como indicó que las declaraciones periciales de Ludwig </w:t>
      </w:r>
      <w:proofErr w:type="spellStart"/>
      <w:r w:rsidR="009D6DB1">
        <w:t>Apolín</w:t>
      </w:r>
      <w:proofErr w:type="spellEnd"/>
      <w:r w:rsidR="009D6DB1">
        <w:t xml:space="preserve"> Meza y Ernesto Alonso Aguinaga Meza son “centrales para comprender la controversia” del presente caso</w:t>
      </w:r>
      <w:r w:rsidR="009D6DB1">
        <w:rPr>
          <w:lang w:val="es-MX"/>
        </w:rPr>
        <w:t>.</w:t>
      </w:r>
      <w:r w:rsidR="009D6DB1">
        <w:t xml:space="preserve"> </w:t>
      </w:r>
    </w:p>
    <w:p w14:paraId="2AA91DE4" w14:textId="5257968F" w:rsidR="00310983" w:rsidRDefault="00310983" w:rsidP="009D6DB1">
      <w:pPr>
        <w:pStyle w:val="Sinespaciado"/>
        <w:numPr>
          <w:ilvl w:val="0"/>
          <w:numId w:val="0"/>
        </w:numPr>
      </w:pPr>
    </w:p>
    <w:p w14:paraId="74A21694" w14:textId="37B9AFF0" w:rsidR="001E1A39" w:rsidRDefault="001E1A39" w:rsidP="001E1A39">
      <w:pPr>
        <w:pStyle w:val="Sinespaciado"/>
        <w:ind w:left="0" w:firstLine="0"/>
      </w:pPr>
      <w:r>
        <w:t xml:space="preserve">La Corte garantizó a las partes el derecho de defensa respecto de los ofrecimientos probatorios oportunamente realizados. </w:t>
      </w:r>
      <w:r w:rsidR="00362582">
        <w:t>Ni</w:t>
      </w:r>
      <w:r>
        <w:t xml:space="preserve"> la Comisión </w:t>
      </w:r>
      <w:r w:rsidR="00362582">
        <w:t>ni</w:t>
      </w:r>
      <w:r>
        <w:t xml:space="preserve"> los intervinientes comunes de la Federación Nacional de Trabajadores Marítimos y Portuarios (FEMAPOR) </w:t>
      </w:r>
      <w:r w:rsidR="00182C43">
        <w:t>presentaron</w:t>
      </w:r>
      <w:r w:rsidR="00362582">
        <w:t xml:space="preserve"> observaciones</w:t>
      </w:r>
      <w:r w:rsidR="00362582" w:rsidRPr="00362582">
        <w:t xml:space="preserve"> </w:t>
      </w:r>
      <w:r w:rsidR="00362582">
        <w:t>a la lista definitiva de declarantes remitida por el Estado. L</w:t>
      </w:r>
      <w:r>
        <w:t>a interviniente común Dora Menes Huayra señaló</w:t>
      </w:r>
      <w:r w:rsidR="00182C43">
        <w:t xml:space="preserve"> </w:t>
      </w:r>
      <w:r>
        <w:t>no tener observaciones que formular</w:t>
      </w:r>
      <w:r w:rsidRPr="008E5B95">
        <w:t xml:space="preserve">, si bien solicitó la oportunidad de </w:t>
      </w:r>
      <w:r w:rsidR="00362582">
        <w:t>realizar</w:t>
      </w:r>
      <w:r w:rsidRPr="008E5B95">
        <w:t xml:space="preserve"> preguntas a </w:t>
      </w:r>
      <w:r>
        <w:t>dos</w:t>
      </w:r>
      <w:r w:rsidRPr="008E5B95">
        <w:t xml:space="preserve"> peritos y </w:t>
      </w:r>
      <w:r w:rsidR="00182C43">
        <w:t>dos testigos propuestos por el E</w:t>
      </w:r>
      <w:r>
        <w:t>stado</w:t>
      </w:r>
      <w:r w:rsidRPr="008E5B95">
        <w:t>.</w:t>
      </w:r>
      <w:r>
        <w:t xml:space="preserve"> </w:t>
      </w:r>
    </w:p>
    <w:p w14:paraId="54751249" w14:textId="77777777" w:rsidR="009D6DB1" w:rsidRPr="001E1A39" w:rsidRDefault="009D6DB1" w:rsidP="009D6DB1">
      <w:pPr>
        <w:pStyle w:val="Sinespaciado"/>
        <w:numPr>
          <w:ilvl w:val="0"/>
          <w:numId w:val="0"/>
        </w:numPr>
      </w:pPr>
    </w:p>
    <w:p w14:paraId="2DC9989D" w14:textId="77777777" w:rsidR="009D6DB1" w:rsidRPr="008E5B95" w:rsidRDefault="009D6DB1" w:rsidP="009D6DB1">
      <w:pPr>
        <w:pStyle w:val="Sinespaciado"/>
        <w:ind w:left="0" w:firstLine="0"/>
      </w:pPr>
      <w:r w:rsidRPr="008E5B95">
        <w:t xml:space="preserve">Por otra parte, la </w:t>
      </w:r>
      <w:proofErr w:type="gramStart"/>
      <w:r w:rsidRPr="008E5B95">
        <w:t>Presidenta</w:t>
      </w:r>
      <w:proofErr w:type="gramEnd"/>
      <w:r w:rsidRPr="008E5B95">
        <w:t xml:space="preserve"> advierte que la situación originada a causa de la pandemia por la propagación del COVID-19, cuyos efectos son de público conocimiento y persisten en la actualidad, conlleva obstáculos notorios para llevar a cabo una audiencia pública en la sede del Tribunal. Resulta incierto el momento en que dichos obstáculos, que constituyen razones de fuerza mayor, puedan ser subsanados. </w:t>
      </w:r>
    </w:p>
    <w:p w14:paraId="598F1FDE" w14:textId="6093BF84" w:rsidR="001E1A39" w:rsidRPr="008E5B95" w:rsidRDefault="001E1A39" w:rsidP="001E1A39">
      <w:pPr>
        <w:pStyle w:val="Sinespaciado"/>
        <w:numPr>
          <w:ilvl w:val="0"/>
          <w:numId w:val="0"/>
        </w:numPr>
      </w:pPr>
    </w:p>
    <w:p w14:paraId="6588CC41" w14:textId="215BE85E" w:rsidR="009D6DB1" w:rsidRDefault="00846ADB" w:rsidP="009D6DB1">
      <w:pPr>
        <w:pStyle w:val="Sinespaciado"/>
        <w:ind w:left="0" w:firstLine="0"/>
      </w:pPr>
      <w:r>
        <w:t xml:space="preserve"> </w:t>
      </w:r>
      <w:r w:rsidR="009D6DB1" w:rsidRPr="008E5B95">
        <w:t xml:space="preserve">En virtud de lo anterior, la </w:t>
      </w:r>
      <w:proofErr w:type="gramStart"/>
      <w:r w:rsidR="009D6DB1" w:rsidRPr="008E5B95">
        <w:t>Presidenta</w:t>
      </w:r>
      <w:proofErr w:type="gramEnd"/>
      <w:r w:rsidR="009D6DB1" w:rsidRPr="008E5B95">
        <w:t xml:space="preserve"> ha decidido, en consulta con el Pleno de la Corte, que es necesario convocar a una audiencia pública durante la cual se recibirán las declaraciones que sean admitidas para ser realizadas en la audiencia pública, así como los alegatos y observaciones finales orales, por medio de una plataforma de videoconferencia.</w:t>
      </w:r>
    </w:p>
    <w:p w14:paraId="0DFCCF0E" w14:textId="77777777" w:rsidR="009D6DB1" w:rsidRDefault="009D6DB1" w:rsidP="009D6DB1">
      <w:pPr>
        <w:pStyle w:val="Sinespaciado"/>
        <w:numPr>
          <w:ilvl w:val="0"/>
          <w:numId w:val="0"/>
        </w:numPr>
      </w:pPr>
    </w:p>
    <w:p w14:paraId="569C4DB4" w14:textId="2E524C89" w:rsidR="00313DAF" w:rsidRPr="008E5B95" w:rsidRDefault="008B2A2F" w:rsidP="00313DAF">
      <w:pPr>
        <w:pStyle w:val="Sinespaciado"/>
        <w:ind w:left="0" w:firstLine="0"/>
      </w:pPr>
      <w:r>
        <w:t>A estos efectos</w:t>
      </w:r>
      <w:r w:rsidR="009D6DB1">
        <w:t>, l</w:t>
      </w:r>
      <w:r w:rsidR="00313DAF" w:rsidRPr="008E5B95">
        <w:t xml:space="preserve">a </w:t>
      </w:r>
      <w:proofErr w:type="gramStart"/>
      <w:r w:rsidR="00313DAF" w:rsidRPr="008E5B95">
        <w:t>Presidenta</w:t>
      </w:r>
      <w:proofErr w:type="gramEnd"/>
      <w:r w:rsidR="00313DAF" w:rsidRPr="008E5B95">
        <w:t xml:space="preserve"> considera conveniente recabar las declaraciones ofrecidas por </w:t>
      </w:r>
      <w:r w:rsidR="00EE4605">
        <w:t>el Estado</w:t>
      </w:r>
      <w:r w:rsidR="001E1A39">
        <w:t>, las cuales no fueron objetadas,</w:t>
      </w:r>
      <w:r w:rsidR="00EE4605">
        <w:t xml:space="preserve"> </w:t>
      </w:r>
      <w:r>
        <w:t>con el objetivo</w:t>
      </w:r>
      <w:r w:rsidR="00313DAF" w:rsidRPr="008E5B95">
        <w:t xml:space="preserve"> de que el Tribunal aprecie su valor en la debida oportunidad procesal, dentro del contexto del acervo probatorio existente y según las reglas de la sana crítica. Por consiguiente, </w:t>
      </w:r>
      <w:r w:rsidR="00313DAF" w:rsidRPr="00C94B21">
        <w:t xml:space="preserve">la </w:t>
      </w:r>
      <w:proofErr w:type="gramStart"/>
      <w:r w:rsidR="00313DAF" w:rsidRPr="00C94B21">
        <w:t>Presidenta</w:t>
      </w:r>
      <w:proofErr w:type="gramEnd"/>
      <w:r w:rsidR="00313DAF" w:rsidRPr="00C94B21">
        <w:t xml:space="preserve"> </w:t>
      </w:r>
      <w:r w:rsidR="00313DAF" w:rsidRPr="00ED12CE">
        <w:t xml:space="preserve">admite </w:t>
      </w:r>
      <w:r w:rsidR="00362582">
        <w:t>las declaraciones testimoniales de Edmundo Villacorta Ramírez, Rocío del Pilar Mercedes Montero Lazo y Julio La Rosa Sánchez Bayes,</w:t>
      </w:r>
      <w:r w:rsidR="00362582" w:rsidRPr="00ED12CE">
        <w:t xml:space="preserve"> </w:t>
      </w:r>
      <w:r w:rsidR="00362582">
        <w:t>así como</w:t>
      </w:r>
      <w:r>
        <w:t xml:space="preserve"> </w:t>
      </w:r>
      <w:r w:rsidR="00313DAF" w:rsidRPr="00ED12CE">
        <w:t>las</w:t>
      </w:r>
      <w:r w:rsidR="00ED12CE" w:rsidRPr="00ED12CE">
        <w:t xml:space="preserve"> </w:t>
      </w:r>
      <w:r w:rsidR="00313DAF" w:rsidRPr="00ED12CE">
        <w:t>declaraci</w:t>
      </w:r>
      <w:r w:rsidR="006E713F" w:rsidRPr="00ED12CE">
        <w:t>o</w:t>
      </w:r>
      <w:r w:rsidR="00313DAF" w:rsidRPr="00ED12CE">
        <w:t>n</w:t>
      </w:r>
      <w:r w:rsidR="006E713F" w:rsidRPr="00ED12CE">
        <w:t>es</w:t>
      </w:r>
      <w:r w:rsidR="00313DAF" w:rsidRPr="008E5B95">
        <w:t xml:space="preserve"> pericial</w:t>
      </w:r>
      <w:r w:rsidR="006E713F" w:rsidRPr="008E5B95">
        <w:t>es</w:t>
      </w:r>
      <w:r w:rsidR="00313DAF" w:rsidRPr="008E5B95">
        <w:t xml:space="preserve"> de </w:t>
      </w:r>
      <w:r w:rsidR="00EE4605">
        <w:t xml:space="preserve">Dante Ludwig </w:t>
      </w:r>
      <w:proofErr w:type="spellStart"/>
      <w:r w:rsidR="00EE4605">
        <w:t>Apolín</w:t>
      </w:r>
      <w:proofErr w:type="spellEnd"/>
      <w:r w:rsidR="00EE4605">
        <w:t xml:space="preserve"> Meza, Ernesto Alonso Aguinaga Meza, Marco Antonio Lozano </w:t>
      </w:r>
      <w:proofErr w:type="spellStart"/>
      <w:r w:rsidR="00EE4605">
        <w:t>Huaracha</w:t>
      </w:r>
      <w:proofErr w:type="spellEnd"/>
      <w:r w:rsidR="00EE4605">
        <w:t xml:space="preserve"> y Joel Segura Alania, todas propuestas por el Estado,</w:t>
      </w:r>
      <w:r w:rsidR="00313DAF" w:rsidRPr="008E5B95">
        <w:t xml:space="preserve"> según el objeto y modalidad determinados en la parte resolutiva. </w:t>
      </w:r>
    </w:p>
    <w:p w14:paraId="04737301" w14:textId="22A356AF" w:rsidR="00C3672E" w:rsidRPr="008E5B95" w:rsidRDefault="00C3672E" w:rsidP="00313DAF">
      <w:pPr>
        <w:pStyle w:val="Sinespaciado"/>
        <w:numPr>
          <w:ilvl w:val="0"/>
          <w:numId w:val="0"/>
        </w:numPr>
      </w:pPr>
    </w:p>
    <w:p w14:paraId="36FB4860" w14:textId="61336DFA" w:rsidR="00E82F6E" w:rsidRPr="008E5B95" w:rsidRDefault="007F3AAA" w:rsidP="00194D24">
      <w:pPr>
        <w:pStyle w:val="Sinespaciado"/>
        <w:ind w:left="0" w:firstLine="0"/>
        <w:rPr>
          <w:lang w:val="es-ES_tradnl"/>
        </w:rPr>
      </w:pPr>
      <w:r w:rsidRPr="008E5B95">
        <w:t>Tomando en cuenta los alegatos de las partes y la Comisión</w:t>
      </w:r>
      <w:r w:rsidR="00A52D5F" w:rsidRPr="008E5B95">
        <w:t>, esta Presidencia</w:t>
      </w:r>
      <w:r w:rsidRPr="008E5B95">
        <w:t xml:space="preserve"> </w:t>
      </w:r>
      <w:r w:rsidR="00902AB2" w:rsidRPr="008E5B95">
        <w:t>procederá</w:t>
      </w:r>
      <w:r w:rsidR="009009D5">
        <w:t xml:space="preserve"> a examinar en forma particular</w:t>
      </w:r>
      <w:r w:rsidR="00545D33">
        <w:t xml:space="preserve"> </w:t>
      </w:r>
      <w:r w:rsidR="001E1A39">
        <w:t xml:space="preserve">la admisibilidad </w:t>
      </w:r>
      <w:r w:rsidR="009D6DB1" w:rsidRPr="00EE2E8B">
        <w:t>de la solicitud de traslado de un peritaje realizada por la Comisión Interamericana</w:t>
      </w:r>
      <w:r w:rsidR="00545D33">
        <w:t>.</w:t>
      </w:r>
      <w:r w:rsidR="001E1A39">
        <w:t xml:space="preserve"> </w:t>
      </w:r>
    </w:p>
    <w:p w14:paraId="0E9183A0" w14:textId="77777777" w:rsidR="008E5B95" w:rsidRPr="00846ADB" w:rsidRDefault="008E5B95" w:rsidP="008E5B95">
      <w:pPr>
        <w:pStyle w:val="Sinespaciado"/>
        <w:numPr>
          <w:ilvl w:val="0"/>
          <w:numId w:val="0"/>
        </w:numPr>
        <w:rPr>
          <w:rFonts w:cs="Verdana"/>
          <w:lang w:val="es-ES_tradnl"/>
        </w:rPr>
      </w:pPr>
    </w:p>
    <w:p w14:paraId="54114570" w14:textId="3ADDE434" w:rsidR="001E1A39" w:rsidRPr="00EE2E8B" w:rsidRDefault="001E1A39" w:rsidP="00E82F6E">
      <w:pPr>
        <w:pStyle w:val="Ttulo1"/>
        <w:ind w:left="1134" w:hanging="567"/>
      </w:pPr>
      <w:r w:rsidRPr="00EE2E8B">
        <w:t>Admisibilidad de</w:t>
      </w:r>
      <w:r w:rsidR="00D05968" w:rsidRPr="00EE2E8B">
        <w:t xml:space="preserve"> </w:t>
      </w:r>
      <w:r w:rsidRPr="00EE2E8B">
        <w:t>l</w:t>
      </w:r>
      <w:r w:rsidR="00D05968" w:rsidRPr="00EE2E8B">
        <w:t>a solicitud de traslado de un peritaje realizada</w:t>
      </w:r>
      <w:r w:rsidRPr="00EE2E8B">
        <w:t xml:space="preserve"> por la Comisión Interamericana</w:t>
      </w:r>
    </w:p>
    <w:p w14:paraId="504DD20E" w14:textId="4F237BA0" w:rsidR="001E1A39" w:rsidRDefault="001E1A39" w:rsidP="001E1A39">
      <w:pPr>
        <w:rPr>
          <w:lang w:val="es-ES_tradnl"/>
        </w:rPr>
      </w:pPr>
    </w:p>
    <w:p w14:paraId="5F9E2018" w14:textId="654A4103" w:rsidR="009D6DB1" w:rsidRPr="000A3E1F" w:rsidRDefault="001E1A39" w:rsidP="000A3E1F">
      <w:pPr>
        <w:pStyle w:val="Sinespaciado"/>
        <w:ind w:left="0" w:firstLine="0"/>
      </w:pPr>
      <w:r w:rsidRPr="000A3E1F">
        <w:t xml:space="preserve">La </w:t>
      </w:r>
      <w:r w:rsidRPr="000A3E1F">
        <w:rPr>
          <w:b/>
          <w:i/>
        </w:rPr>
        <w:t>Comisión</w:t>
      </w:r>
      <w:r w:rsidRPr="000A3E1F">
        <w:t xml:space="preserve"> </w:t>
      </w:r>
      <w:r w:rsidR="00D05968" w:rsidRPr="000A3E1F">
        <w:t xml:space="preserve">solicitó </w:t>
      </w:r>
      <w:r w:rsidRPr="000A3E1F">
        <w:t xml:space="preserve">el traslado del peritaje </w:t>
      </w:r>
      <w:r w:rsidR="00320D65" w:rsidRPr="000A3E1F">
        <w:t>rendido por</w:t>
      </w:r>
      <w:r w:rsidRPr="000A3E1F">
        <w:t xml:space="preserve"> Christian </w:t>
      </w:r>
      <w:proofErr w:type="spellStart"/>
      <w:r w:rsidRPr="000A3E1F">
        <w:t>Courtis</w:t>
      </w:r>
      <w:proofErr w:type="spellEnd"/>
      <w:r w:rsidRPr="000A3E1F">
        <w:t xml:space="preserve"> </w:t>
      </w:r>
      <w:r w:rsidR="00320D65" w:rsidRPr="000A3E1F">
        <w:t>dentro de</w:t>
      </w:r>
      <w:r w:rsidRPr="000A3E1F">
        <w:t xml:space="preserve">l </w:t>
      </w:r>
      <w:r w:rsidRPr="000A3E1F">
        <w:rPr>
          <w:i/>
        </w:rPr>
        <w:t>Caso Muelle Flores Vs. Perú</w:t>
      </w:r>
      <w:r w:rsidR="00320D65" w:rsidRPr="000A3E1F">
        <w:rPr>
          <w:rStyle w:val="Refdenotaalpie"/>
        </w:rPr>
        <w:footnoteReference w:id="9"/>
      </w:r>
      <w:r w:rsidR="00320D65" w:rsidRPr="000A3E1F">
        <w:rPr>
          <w:i/>
        </w:rPr>
        <w:t xml:space="preserve">. </w:t>
      </w:r>
      <w:r w:rsidR="00320D65" w:rsidRPr="000A3E1F">
        <w:t xml:space="preserve">Fundamentó el ofrecimiento de dicho peritaje señalando que las cuestiones que dan origen al presente caso afectan de manera relevante el orden público interamericano. </w:t>
      </w:r>
      <w:r w:rsidR="000A3E1F" w:rsidRPr="000A3E1F">
        <w:t>L</w:t>
      </w:r>
      <w:r w:rsidR="009D6DB1" w:rsidRPr="000A3E1F">
        <w:t xml:space="preserve">os </w:t>
      </w:r>
      <w:r w:rsidR="009D6DB1" w:rsidRPr="00545D33">
        <w:rPr>
          <w:b/>
          <w:i/>
        </w:rPr>
        <w:t>intervinientes comunes</w:t>
      </w:r>
      <w:r w:rsidR="009D6DB1" w:rsidRPr="000A3E1F">
        <w:t xml:space="preserve"> </w:t>
      </w:r>
      <w:r w:rsidR="000A3E1F" w:rsidRPr="000A3E1F">
        <w:t xml:space="preserve">no </w:t>
      </w:r>
      <w:r w:rsidR="009D6DB1" w:rsidRPr="000A3E1F">
        <w:t>presentaron observaciones al respecto.</w:t>
      </w:r>
      <w:r w:rsidR="000A3E1F" w:rsidRPr="000A3E1F">
        <w:t xml:space="preserve"> </w:t>
      </w:r>
      <w:r w:rsidR="000A3E1F" w:rsidRPr="000A3E1F">
        <w:rPr>
          <w:rFonts w:cs="Arial"/>
        </w:rPr>
        <w:t>E</w:t>
      </w:r>
      <w:r w:rsidR="00545D33">
        <w:rPr>
          <w:rFonts w:cs="Arial"/>
        </w:rPr>
        <w:t>n su escrito de C</w:t>
      </w:r>
      <w:r w:rsidR="000A3E1F" w:rsidRPr="000A3E1F">
        <w:rPr>
          <w:rFonts w:cs="Arial"/>
        </w:rPr>
        <w:t xml:space="preserve">ontestación, el </w:t>
      </w:r>
      <w:r w:rsidR="000A3E1F" w:rsidRPr="00545D33">
        <w:rPr>
          <w:rFonts w:cs="Arial"/>
          <w:b/>
          <w:i/>
        </w:rPr>
        <w:t>Estado</w:t>
      </w:r>
      <w:r w:rsidR="000A3E1F" w:rsidRPr="000A3E1F">
        <w:rPr>
          <w:rFonts w:cs="Arial"/>
        </w:rPr>
        <w:t xml:space="preserve"> se opuso a la admisión del traslado del peritaje, por cuanto “el caso del señor Muelle </w:t>
      </w:r>
      <w:r w:rsidR="000A3E1F" w:rsidRPr="000A3E1F">
        <w:t>Flores</w:t>
      </w:r>
      <w:r w:rsidR="000A3E1F" w:rsidRPr="000A3E1F">
        <w:rPr>
          <w:rFonts w:cs="Arial"/>
        </w:rPr>
        <w:t xml:space="preserve"> planteaba particularidades que no son de aplicación </w:t>
      </w:r>
      <w:r w:rsidR="000A3E1F" w:rsidRPr="000A3E1F">
        <w:rPr>
          <w:rFonts w:cs="Arial"/>
        </w:rPr>
        <w:lastRenderedPageBreak/>
        <w:t xml:space="preserve">para la presente </w:t>
      </w:r>
      <w:r w:rsidR="000A3E1F" w:rsidRPr="000A3E1F">
        <w:t>controversia” y que, además, dicha controversia “no versa sobre la posible afectación del derecho a la seguridad social o sobre el reconocimiento de derechos pensionarios”.</w:t>
      </w:r>
      <w:r w:rsidR="00545D33">
        <w:t xml:space="preserve"> Asimismo, el Estado realizó diversas </w:t>
      </w:r>
      <w:r w:rsidR="00C25521">
        <w:t xml:space="preserve">observaciones </w:t>
      </w:r>
      <w:r w:rsidR="00545D33">
        <w:t>sobre el referido peritaje.</w:t>
      </w:r>
    </w:p>
    <w:p w14:paraId="3D15581C" w14:textId="77777777" w:rsidR="000A3E1F" w:rsidRPr="000A3E1F" w:rsidRDefault="000A3E1F" w:rsidP="0079334F">
      <w:pPr>
        <w:pStyle w:val="Sinespaciado"/>
        <w:numPr>
          <w:ilvl w:val="0"/>
          <w:numId w:val="0"/>
        </w:numPr>
        <w:rPr>
          <w:highlight w:val="yellow"/>
          <w:lang w:val="es-ES_tradnl"/>
        </w:rPr>
      </w:pPr>
    </w:p>
    <w:p w14:paraId="5BE09980" w14:textId="3A077F4D" w:rsidR="008260DE" w:rsidRDefault="00320D65" w:rsidP="008260DE">
      <w:pPr>
        <w:pStyle w:val="Sinespaciado"/>
        <w:ind w:left="0" w:firstLine="0"/>
        <w:rPr>
          <w:lang w:val="es-ES_tradnl"/>
        </w:rPr>
      </w:pPr>
      <w:r w:rsidRPr="008A43BE">
        <w:t xml:space="preserve">Esta </w:t>
      </w:r>
      <w:r w:rsidRPr="008A43BE">
        <w:rPr>
          <w:b/>
          <w:i/>
        </w:rPr>
        <w:t>Presidencia</w:t>
      </w:r>
      <w:r w:rsidRPr="008A43BE">
        <w:t xml:space="preserve"> </w:t>
      </w:r>
      <w:r w:rsidR="008260DE">
        <w:t>recuerda que el traslado de dictámenes periciales rendidos en otros procesos no significa que tengan el valor o peso probatorio de peritajes. Así, los dictámenes periciales cuyo traslado se admite son incorporados como prueba documental en el expediente, por lo que su valor será determinado al momento de realizar el análisis integral de la prueba, para lo cual es necesario tomar en cuenta las observaciones presentadas por las partes en ejercicio de su derecho de defensa</w:t>
      </w:r>
      <w:r w:rsidR="008260DE">
        <w:rPr>
          <w:rStyle w:val="Refdenotaalpie"/>
        </w:rPr>
        <w:footnoteReference w:id="10"/>
      </w:r>
      <w:r w:rsidR="008260DE">
        <w:t xml:space="preserve">. </w:t>
      </w:r>
    </w:p>
    <w:p w14:paraId="53BB6E08" w14:textId="4FA9656A" w:rsidR="008260DE" w:rsidRPr="008260DE" w:rsidRDefault="008260DE" w:rsidP="008260DE">
      <w:pPr>
        <w:pStyle w:val="Sinespaciado"/>
        <w:numPr>
          <w:ilvl w:val="0"/>
          <w:numId w:val="0"/>
        </w:numPr>
        <w:rPr>
          <w:lang w:val="es-ES_tradnl"/>
        </w:rPr>
      </w:pPr>
    </w:p>
    <w:p w14:paraId="45DF658C" w14:textId="25216D72" w:rsidR="00320D65" w:rsidRPr="00C25521" w:rsidRDefault="00D05968" w:rsidP="00C25521">
      <w:pPr>
        <w:pStyle w:val="Sinespaciado"/>
        <w:ind w:left="0" w:firstLine="0"/>
        <w:rPr>
          <w:lang w:val="es-ES_tradnl"/>
        </w:rPr>
      </w:pPr>
      <w:r>
        <w:t>E</w:t>
      </w:r>
      <w:r w:rsidR="008260DE">
        <w:t xml:space="preserve">l objeto del peritaje rendido por el perito </w:t>
      </w:r>
      <w:proofErr w:type="spellStart"/>
      <w:r w:rsidR="008260DE">
        <w:t>Courtis</w:t>
      </w:r>
      <w:proofErr w:type="spellEnd"/>
      <w:r w:rsidR="0045516E">
        <w:t xml:space="preserve"> en el caso </w:t>
      </w:r>
      <w:proofErr w:type="spellStart"/>
      <w:r w:rsidR="0045516E" w:rsidRPr="0045516E">
        <w:rPr>
          <w:i/>
        </w:rPr>
        <w:t>C</w:t>
      </w:r>
      <w:r w:rsidRPr="00EE4605">
        <w:rPr>
          <w:i/>
        </w:rPr>
        <w:t>aso</w:t>
      </w:r>
      <w:proofErr w:type="spellEnd"/>
      <w:r w:rsidRPr="00EE4605">
        <w:rPr>
          <w:i/>
        </w:rPr>
        <w:t xml:space="preserve"> Muelle Flores Vs. Perú</w:t>
      </w:r>
      <w:r w:rsidR="00320D65" w:rsidRPr="008A43BE">
        <w:t xml:space="preserve">, </w:t>
      </w:r>
      <w:r w:rsidRPr="008A43BE">
        <w:t xml:space="preserve">hace referencia a (i) </w:t>
      </w:r>
      <w:r w:rsidRPr="008A43BE">
        <w:rPr>
          <w:rFonts w:cs="Times New Roman"/>
        </w:rPr>
        <w:t>la falta de cumplimiento de sentencias judiciales que reconocen derechos pensionarios como una forma de denegación de justicia en general y, específicamente, en materia de derechos económicos, sociales y culturales</w:t>
      </w:r>
      <w:r w:rsidRPr="008A43BE">
        <w:t>, así como (</w:t>
      </w:r>
      <w:proofErr w:type="spellStart"/>
      <w:r w:rsidRPr="008A43BE">
        <w:t>ii</w:t>
      </w:r>
      <w:proofErr w:type="spellEnd"/>
      <w:r w:rsidRPr="008A43BE">
        <w:t xml:space="preserve">) </w:t>
      </w:r>
      <w:r w:rsidRPr="008A43BE">
        <w:rPr>
          <w:rFonts w:cs="Times New Roman"/>
        </w:rPr>
        <w:t>las obligaciones que resultan exigibles a los Estados en el contexto de la privatización de una empresa frente a los derechos de los trabajadores y jubilados, incluyendo el cumplimiento de fallos judiciales sobre la materia emitidos con anterioridad a la privatización</w:t>
      </w:r>
      <w:r w:rsidRPr="008A43BE">
        <w:t xml:space="preserve">. </w:t>
      </w:r>
      <w:r>
        <w:t>S</w:t>
      </w:r>
      <w:r w:rsidR="00320D65" w:rsidRPr="008A43BE">
        <w:t>in perjuicio de las conclusiones que se deriven del análisis de fondo,</w:t>
      </w:r>
      <w:r w:rsidR="0045516E">
        <w:t xml:space="preserve"> y sin perjuicio de las valoraciones que pueda realizar el Tribunal con respecto a la aplicación </w:t>
      </w:r>
      <w:r w:rsidR="00C25521">
        <w:t>de dicho peritaje al presente caso y su valor probatorio</w:t>
      </w:r>
      <w:r w:rsidR="0045516E">
        <w:t>,</w:t>
      </w:r>
      <w:r w:rsidR="00320D65" w:rsidRPr="008A43BE">
        <w:t xml:space="preserve"> </w:t>
      </w:r>
      <w:r>
        <w:t xml:space="preserve">la Presidencia observa que </w:t>
      </w:r>
      <w:r w:rsidR="00C25521">
        <w:t>este</w:t>
      </w:r>
      <w:r w:rsidR="00C25521">
        <w:rPr>
          <w:lang w:val="es-ES_tradnl"/>
        </w:rPr>
        <w:t xml:space="preserve"> </w:t>
      </w:r>
      <w:r w:rsidR="00320D65" w:rsidRPr="008A43BE">
        <w:t xml:space="preserve">se encuentra relacionado con el marco fáctico contenido en el Informe de Fondo del presente caso, lo que denota, </w:t>
      </w:r>
      <w:r w:rsidR="00320D65" w:rsidRPr="00C25521">
        <w:rPr>
          <w:i/>
        </w:rPr>
        <w:t>prima facie</w:t>
      </w:r>
      <w:r w:rsidR="00320D65" w:rsidRPr="008A43BE">
        <w:t>, su utilidad y pertinencia. Cabe asimismo señalar que el objeto y alcances de dicho peritaje se vislumbra</w:t>
      </w:r>
      <w:r w:rsidR="008260DE">
        <w:t>n</w:t>
      </w:r>
      <w:r w:rsidR="00320D65" w:rsidRPr="008A43BE">
        <w:t xml:space="preserve"> relevantes más allá del caso particular, en tanto involucran supuestos que pueden tener impacto sobre situaciones ocurridas en otros Estados.</w:t>
      </w:r>
      <w:r w:rsidR="0045516E">
        <w:t xml:space="preserve"> </w:t>
      </w:r>
    </w:p>
    <w:p w14:paraId="196815D9" w14:textId="77777777" w:rsidR="008A43BE" w:rsidRDefault="008A43BE" w:rsidP="008A43BE">
      <w:pPr>
        <w:pStyle w:val="Prrafodelista"/>
      </w:pPr>
    </w:p>
    <w:p w14:paraId="581D140C" w14:textId="0167D6ED" w:rsidR="00320D65" w:rsidRPr="008A43BE" w:rsidRDefault="00320D65" w:rsidP="008A43BE">
      <w:pPr>
        <w:pStyle w:val="Sinespaciado"/>
        <w:ind w:left="0" w:firstLine="0"/>
        <w:rPr>
          <w:lang w:val="es-ES_tradnl"/>
        </w:rPr>
      </w:pPr>
      <w:r>
        <w:t xml:space="preserve">Con fundamento en lo anterior, y en atención a los principios de economía y celeridad procesales, la </w:t>
      </w:r>
      <w:proofErr w:type="gramStart"/>
      <w:r>
        <w:t>Presidenta</w:t>
      </w:r>
      <w:proofErr w:type="gramEnd"/>
      <w:r>
        <w:t xml:space="preserve"> dispone la incorporación al presente proceso, con carácter de prueba documental, </w:t>
      </w:r>
      <w:r w:rsidR="008A43BE">
        <w:t>del peritaje rendido</w:t>
      </w:r>
      <w:r>
        <w:t xml:space="preserve"> por </w:t>
      </w:r>
      <w:r w:rsidR="008A43BE">
        <w:t xml:space="preserve">Christian </w:t>
      </w:r>
      <w:proofErr w:type="spellStart"/>
      <w:r w:rsidR="008A43BE">
        <w:t>Courtis</w:t>
      </w:r>
      <w:proofErr w:type="spellEnd"/>
      <w:r>
        <w:t xml:space="preserve"> dentro del </w:t>
      </w:r>
      <w:r w:rsidRPr="008A43BE">
        <w:rPr>
          <w:i/>
        </w:rPr>
        <w:t xml:space="preserve">Caso </w:t>
      </w:r>
      <w:r w:rsidR="008A43BE" w:rsidRPr="008A43BE">
        <w:rPr>
          <w:i/>
        </w:rPr>
        <w:t xml:space="preserve">Muelle Flores </w:t>
      </w:r>
      <w:r w:rsidRPr="008A43BE">
        <w:rPr>
          <w:i/>
        </w:rPr>
        <w:t xml:space="preserve">Vs. </w:t>
      </w:r>
      <w:r w:rsidR="008A43BE" w:rsidRPr="008A43BE">
        <w:rPr>
          <w:i/>
        </w:rPr>
        <w:t>Perú</w:t>
      </w:r>
      <w:r w:rsidR="008A43BE">
        <w:t xml:space="preserve">. </w:t>
      </w:r>
      <w:r>
        <w:t xml:space="preserve">Para el efecto, la Secretaría transmitirá oportunamente a las partes copia del documento, de modo que </w:t>
      </w:r>
      <w:r w:rsidR="009D6DB1">
        <w:t xml:space="preserve">estas </w:t>
      </w:r>
      <w:r>
        <w:t>puedan presentar las observaciones que consideren pertinentes a más tardar con sus alegatos finales escritos.</w:t>
      </w:r>
      <w:r w:rsidR="008260DE">
        <w:t xml:space="preserve"> </w:t>
      </w:r>
    </w:p>
    <w:p w14:paraId="2F935C84" w14:textId="77777777" w:rsidR="00320D65" w:rsidRPr="001E1A39" w:rsidRDefault="00320D65" w:rsidP="00320D65">
      <w:pPr>
        <w:pStyle w:val="Sinespaciado"/>
        <w:numPr>
          <w:ilvl w:val="0"/>
          <w:numId w:val="0"/>
        </w:numPr>
        <w:ind w:left="7560" w:hanging="360"/>
        <w:rPr>
          <w:lang w:val="es-ES_tradnl"/>
        </w:rPr>
      </w:pPr>
    </w:p>
    <w:p w14:paraId="0155A80F" w14:textId="6A8195F6" w:rsidR="002B12E1" w:rsidRPr="008E5B95" w:rsidRDefault="002B12E1" w:rsidP="002B12E1">
      <w:pPr>
        <w:pStyle w:val="Sinespaciado"/>
        <w:numPr>
          <w:ilvl w:val="0"/>
          <w:numId w:val="0"/>
        </w:numPr>
      </w:pPr>
    </w:p>
    <w:p w14:paraId="07FAEB70" w14:textId="77777777" w:rsidR="00802BD5" w:rsidRPr="008E5B95" w:rsidRDefault="00802BD5" w:rsidP="005643E0">
      <w:pPr>
        <w:spacing w:line="240" w:lineRule="auto"/>
        <w:rPr>
          <w:b/>
        </w:rPr>
      </w:pPr>
      <w:r w:rsidRPr="008E5B95">
        <w:rPr>
          <w:b/>
        </w:rPr>
        <w:t>POR TANTO:</w:t>
      </w:r>
    </w:p>
    <w:p w14:paraId="254F06D7" w14:textId="77777777" w:rsidR="00721EA7" w:rsidRPr="008E5B95" w:rsidRDefault="00721EA7" w:rsidP="005643E0">
      <w:pPr>
        <w:spacing w:line="240" w:lineRule="auto"/>
        <w:rPr>
          <w:b/>
        </w:rPr>
      </w:pPr>
    </w:p>
    <w:p w14:paraId="308CCB15" w14:textId="2008D184" w:rsidR="00802BD5" w:rsidRPr="008E5B95" w:rsidRDefault="00A74249" w:rsidP="005643E0">
      <w:pPr>
        <w:spacing w:line="240" w:lineRule="auto"/>
        <w:rPr>
          <w:b/>
        </w:rPr>
      </w:pPr>
      <w:r w:rsidRPr="008E5B95">
        <w:rPr>
          <w:b/>
        </w:rPr>
        <w:t>LA PRESIDENTA</w:t>
      </w:r>
      <w:r w:rsidR="00802BD5" w:rsidRPr="008E5B95">
        <w:rPr>
          <w:b/>
        </w:rPr>
        <w:t xml:space="preserve"> DE LA CORTE INTERAMERICANA DE DERECHOS HUMANOS, </w:t>
      </w:r>
    </w:p>
    <w:p w14:paraId="11A90F4C" w14:textId="77777777" w:rsidR="00ED2EB4" w:rsidRPr="008E5B95" w:rsidRDefault="00ED2EB4" w:rsidP="005643E0">
      <w:pPr>
        <w:spacing w:line="240" w:lineRule="auto"/>
      </w:pPr>
    </w:p>
    <w:p w14:paraId="537DE6EC" w14:textId="11EA6258" w:rsidR="00802BD5" w:rsidRPr="008E5B95" w:rsidRDefault="00802BD5" w:rsidP="00B9306E">
      <w:pPr>
        <w:spacing w:line="240" w:lineRule="auto"/>
        <w:jc w:val="both"/>
      </w:pPr>
      <w:r w:rsidRPr="008E5B95">
        <w:t xml:space="preserve">de conformidad con los artículos </w:t>
      </w:r>
      <w:r w:rsidR="00E949E1" w:rsidRPr="008E5B95">
        <w:t xml:space="preserve">24.1 </w:t>
      </w:r>
      <w:r w:rsidR="009430D0" w:rsidRPr="008E5B95">
        <w:t xml:space="preserve">y 25.2 </w:t>
      </w:r>
      <w:r w:rsidRPr="008E5B95">
        <w:t xml:space="preserve">del Estatuto de la Corte y con los artículos </w:t>
      </w:r>
      <w:r w:rsidR="009430D0" w:rsidRPr="008E5B95">
        <w:t xml:space="preserve">4, 15, 26.1, 31.2, 35.1, 40.2, 41.1, </w:t>
      </w:r>
      <w:r w:rsidR="00E949E1" w:rsidRPr="008E5B95">
        <w:t>45, 46, 50</w:t>
      </w:r>
      <w:r w:rsidR="00AF1B9E" w:rsidRPr="008E5B95">
        <w:t xml:space="preserve"> a 56 y 60</w:t>
      </w:r>
      <w:r w:rsidR="00E949E1" w:rsidRPr="008E5B95">
        <w:t xml:space="preserve"> </w:t>
      </w:r>
      <w:r w:rsidRPr="008E5B95">
        <w:t>del Reglamento</w:t>
      </w:r>
      <w:r w:rsidR="009430D0" w:rsidRPr="008E5B95">
        <w:t xml:space="preserve"> de la Corte</w:t>
      </w:r>
      <w:r w:rsidRPr="008E5B95">
        <w:t xml:space="preserve">, </w:t>
      </w:r>
    </w:p>
    <w:p w14:paraId="63C63FA5" w14:textId="6BE3C0DF" w:rsidR="00721EA7" w:rsidRPr="008E5B95" w:rsidRDefault="00721EA7" w:rsidP="005643E0">
      <w:pPr>
        <w:spacing w:line="240" w:lineRule="auto"/>
      </w:pPr>
    </w:p>
    <w:p w14:paraId="75193694" w14:textId="1A834DCE" w:rsidR="00802BD5" w:rsidRPr="008E5B95" w:rsidRDefault="00802BD5" w:rsidP="005643E0">
      <w:pPr>
        <w:spacing w:line="240" w:lineRule="auto"/>
        <w:rPr>
          <w:b/>
        </w:rPr>
      </w:pPr>
      <w:r w:rsidRPr="008E5B95">
        <w:rPr>
          <w:b/>
        </w:rPr>
        <w:t>RESUELVE:</w:t>
      </w:r>
    </w:p>
    <w:p w14:paraId="3A4C931B" w14:textId="77777777" w:rsidR="00CF1C87" w:rsidRPr="008E5B95" w:rsidRDefault="00CF1C87" w:rsidP="005643E0">
      <w:pPr>
        <w:spacing w:line="240" w:lineRule="auto"/>
      </w:pPr>
    </w:p>
    <w:p w14:paraId="0E35A70A" w14:textId="4ACFA064" w:rsidR="00A74249" w:rsidRPr="008E5B95" w:rsidRDefault="0053557B" w:rsidP="00A74249">
      <w:pPr>
        <w:pStyle w:val="Prrafodelista"/>
        <w:numPr>
          <w:ilvl w:val="0"/>
          <w:numId w:val="4"/>
        </w:numPr>
        <w:tabs>
          <w:tab w:val="left" w:pos="567"/>
        </w:tabs>
        <w:spacing w:line="240" w:lineRule="auto"/>
        <w:ind w:left="0" w:firstLine="0"/>
        <w:jc w:val="both"/>
        <w:rPr>
          <w:bCs/>
          <w:iCs/>
        </w:rPr>
      </w:pPr>
      <w:bookmarkStart w:id="0" w:name="_Ref445286350"/>
      <w:r w:rsidRPr="008E5B95">
        <w:rPr>
          <w:bCs/>
          <w:iCs/>
        </w:rPr>
        <w:t xml:space="preserve">Convocar </w:t>
      </w:r>
      <w:r w:rsidR="00240A3F" w:rsidRPr="008E5B95">
        <w:rPr>
          <w:bCs/>
          <w:iCs/>
        </w:rPr>
        <w:t xml:space="preserve">a la República de </w:t>
      </w:r>
      <w:r w:rsidR="009009D5">
        <w:rPr>
          <w:bCs/>
          <w:iCs/>
        </w:rPr>
        <w:t>Perú</w:t>
      </w:r>
      <w:r w:rsidRPr="008E5B95">
        <w:rPr>
          <w:bCs/>
          <w:iCs/>
        </w:rPr>
        <w:t xml:space="preserve">, </w:t>
      </w:r>
      <w:r w:rsidR="00C95CAE" w:rsidRPr="008E5B95">
        <w:rPr>
          <w:bCs/>
          <w:iCs/>
        </w:rPr>
        <w:t>a</w:t>
      </w:r>
      <w:r w:rsidR="00A74249" w:rsidRPr="008E5B95">
        <w:rPr>
          <w:bCs/>
          <w:iCs/>
        </w:rPr>
        <w:t xml:space="preserve"> </w:t>
      </w:r>
      <w:r w:rsidR="00F5462B">
        <w:rPr>
          <w:bCs/>
          <w:iCs/>
        </w:rPr>
        <w:t>los intervinientes comunes de las presuntas</w:t>
      </w:r>
      <w:r w:rsidR="00EB4920" w:rsidRPr="008E5B95">
        <w:rPr>
          <w:bCs/>
          <w:iCs/>
        </w:rPr>
        <w:t xml:space="preserve"> </w:t>
      </w:r>
      <w:r w:rsidR="00F5462B">
        <w:rPr>
          <w:bCs/>
          <w:iCs/>
        </w:rPr>
        <w:t>víctimas</w:t>
      </w:r>
      <w:r w:rsidR="00DB4A3F" w:rsidRPr="008E5B95">
        <w:rPr>
          <w:bCs/>
          <w:iCs/>
        </w:rPr>
        <w:t xml:space="preserve"> </w:t>
      </w:r>
      <w:r w:rsidRPr="008E5B95">
        <w:rPr>
          <w:bCs/>
          <w:iCs/>
        </w:rPr>
        <w:t>y a la Comisión Interamericana de Derechos Humano</w:t>
      </w:r>
      <w:r w:rsidR="00A74249" w:rsidRPr="008E5B95">
        <w:rPr>
          <w:bCs/>
          <w:iCs/>
        </w:rPr>
        <w:t>s a una audiencia pública sobre</w:t>
      </w:r>
      <w:r w:rsidR="00F5462B">
        <w:rPr>
          <w:bCs/>
          <w:iCs/>
        </w:rPr>
        <w:t xml:space="preserve"> las excepciones preliminares y los eventuales</w:t>
      </w:r>
      <w:r w:rsidRPr="008E5B95">
        <w:rPr>
          <w:bCs/>
          <w:iCs/>
        </w:rPr>
        <w:t xml:space="preserve"> </w:t>
      </w:r>
      <w:r w:rsidR="00901513">
        <w:rPr>
          <w:bCs/>
          <w:iCs/>
        </w:rPr>
        <w:t>el</w:t>
      </w:r>
      <w:r w:rsidR="0079442E" w:rsidRPr="008E5B95">
        <w:rPr>
          <w:bCs/>
          <w:iCs/>
        </w:rPr>
        <w:t xml:space="preserve"> </w:t>
      </w:r>
      <w:r w:rsidR="00F5462B">
        <w:rPr>
          <w:bCs/>
          <w:iCs/>
        </w:rPr>
        <w:t xml:space="preserve">fondo, </w:t>
      </w:r>
      <w:r w:rsidRPr="008E5B95">
        <w:rPr>
          <w:bCs/>
          <w:iCs/>
        </w:rPr>
        <w:t xml:space="preserve">reparaciones y costas que </w:t>
      </w:r>
      <w:r w:rsidR="00A74249" w:rsidRPr="008E5B95">
        <w:rPr>
          <w:bCs/>
          <w:iCs/>
        </w:rPr>
        <w:t xml:space="preserve">se celebrará de manera virtual durante el </w:t>
      </w:r>
      <w:r w:rsidR="00F5462B">
        <w:rPr>
          <w:bCs/>
          <w:iCs/>
        </w:rPr>
        <w:t>142</w:t>
      </w:r>
      <w:r w:rsidR="00A74249" w:rsidRPr="008E5B95">
        <w:rPr>
          <w:bCs/>
          <w:iCs/>
        </w:rPr>
        <w:t xml:space="preserve"> Período Ordinario de Sesiones, </w:t>
      </w:r>
      <w:r w:rsidR="00BF44B2">
        <w:rPr>
          <w:bCs/>
          <w:iCs/>
        </w:rPr>
        <w:t>los</w:t>
      </w:r>
      <w:r w:rsidR="00EE2E8B">
        <w:rPr>
          <w:bCs/>
          <w:iCs/>
        </w:rPr>
        <w:t xml:space="preserve"> día</w:t>
      </w:r>
      <w:r w:rsidR="00BF44B2">
        <w:rPr>
          <w:bCs/>
          <w:iCs/>
        </w:rPr>
        <w:t>s 7 y</w:t>
      </w:r>
      <w:r w:rsidR="00A74249" w:rsidRPr="008E5B95">
        <w:rPr>
          <w:bCs/>
          <w:iCs/>
        </w:rPr>
        <w:t xml:space="preserve"> </w:t>
      </w:r>
      <w:r w:rsidR="00FA5556">
        <w:rPr>
          <w:bCs/>
          <w:iCs/>
        </w:rPr>
        <w:t>8</w:t>
      </w:r>
      <w:r w:rsidR="00F5462B">
        <w:rPr>
          <w:bCs/>
          <w:iCs/>
        </w:rPr>
        <w:t xml:space="preserve"> </w:t>
      </w:r>
      <w:r w:rsidR="00A74249" w:rsidRPr="008E5B95">
        <w:rPr>
          <w:bCs/>
          <w:iCs/>
        </w:rPr>
        <w:t xml:space="preserve">de </w:t>
      </w:r>
      <w:r w:rsidR="00F5462B">
        <w:rPr>
          <w:bCs/>
          <w:iCs/>
        </w:rPr>
        <w:t>junio</w:t>
      </w:r>
      <w:r w:rsidR="00A74249" w:rsidRPr="008E5B95">
        <w:rPr>
          <w:bCs/>
          <w:iCs/>
        </w:rPr>
        <w:t xml:space="preserve"> de 2021, </w:t>
      </w:r>
      <w:r w:rsidR="005C20CF" w:rsidRPr="008E5B95">
        <w:rPr>
          <w:bCs/>
          <w:iCs/>
        </w:rPr>
        <w:t>a partir de las 08:</w:t>
      </w:r>
      <w:r w:rsidR="00A74249" w:rsidRPr="008E5B95">
        <w:rPr>
          <w:bCs/>
          <w:iCs/>
        </w:rPr>
        <w:t>00</w:t>
      </w:r>
      <w:r w:rsidR="0079442E" w:rsidRPr="008E5B95">
        <w:rPr>
          <w:bCs/>
          <w:iCs/>
        </w:rPr>
        <w:t xml:space="preserve"> horas</w:t>
      </w:r>
      <w:r w:rsidR="00A74249" w:rsidRPr="008E5B95">
        <w:rPr>
          <w:bCs/>
          <w:iCs/>
        </w:rPr>
        <w:t xml:space="preserve"> de Costa Rica, para recibir sus alegatos y observaciones finales orales, así como las declaraciones de las siguientes personas:</w:t>
      </w:r>
    </w:p>
    <w:p w14:paraId="76EA60DE" w14:textId="6499F040" w:rsidR="001F0928" w:rsidRDefault="001F0928" w:rsidP="001F0928">
      <w:pPr>
        <w:tabs>
          <w:tab w:val="left" w:pos="900"/>
        </w:tabs>
        <w:spacing w:line="240" w:lineRule="auto"/>
        <w:jc w:val="both"/>
      </w:pPr>
    </w:p>
    <w:p w14:paraId="559243FE" w14:textId="69EF9E05" w:rsidR="00262215" w:rsidRPr="008E5B95" w:rsidRDefault="00262215" w:rsidP="00262215">
      <w:pPr>
        <w:pStyle w:val="Prrafodelista"/>
        <w:numPr>
          <w:ilvl w:val="0"/>
          <w:numId w:val="7"/>
        </w:numPr>
        <w:spacing w:line="240" w:lineRule="auto"/>
        <w:jc w:val="both"/>
        <w:rPr>
          <w:b/>
        </w:rPr>
      </w:pPr>
      <w:r>
        <w:rPr>
          <w:b/>
          <w:bCs/>
        </w:rPr>
        <w:t>Testigo</w:t>
      </w:r>
      <w:r w:rsidRPr="008E5B95">
        <w:rPr>
          <w:b/>
        </w:rPr>
        <w:t xml:space="preserve"> </w:t>
      </w:r>
    </w:p>
    <w:p w14:paraId="6747411C" w14:textId="77777777" w:rsidR="00262215" w:rsidRPr="008E5B95" w:rsidRDefault="00262215" w:rsidP="00262215">
      <w:pPr>
        <w:pStyle w:val="Prrafodelista"/>
        <w:spacing w:line="240" w:lineRule="auto"/>
        <w:jc w:val="both"/>
        <w:rPr>
          <w:b/>
        </w:rPr>
      </w:pPr>
    </w:p>
    <w:p w14:paraId="3399C735" w14:textId="6B16A2AE" w:rsidR="00262215" w:rsidRPr="008E5B95" w:rsidRDefault="00262215" w:rsidP="00262215">
      <w:pPr>
        <w:pStyle w:val="Prrafodelista"/>
        <w:spacing w:line="240" w:lineRule="auto"/>
        <w:jc w:val="both"/>
        <w:rPr>
          <w:i/>
        </w:rPr>
      </w:pPr>
      <w:r>
        <w:rPr>
          <w:i/>
        </w:rPr>
        <w:t>(Propuesto por el Estado</w:t>
      </w:r>
      <w:r w:rsidRPr="008E5B95">
        <w:rPr>
          <w:i/>
        </w:rPr>
        <w:t xml:space="preserve">) </w:t>
      </w:r>
    </w:p>
    <w:p w14:paraId="2D7C15A5" w14:textId="77777777" w:rsidR="00262215" w:rsidRDefault="00262215" w:rsidP="00262215">
      <w:pPr>
        <w:pStyle w:val="Prrafodelista"/>
        <w:spacing w:line="240" w:lineRule="auto"/>
        <w:jc w:val="both"/>
        <w:rPr>
          <w:b/>
          <w:i/>
        </w:rPr>
      </w:pPr>
    </w:p>
    <w:p w14:paraId="00A2B27A" w14:textId="5870A8F9" w:rsidR="00262215" w:rsidRDefault="00262215" w:rsidP="00A832A2">
      <w:pPr>
        <w:pStyle w:val="Prrafodelista"/>
        <w:numPr>
          <w:ilvl w:val="0"/>
          <w:numId w:val="8"/>
        </w:numPr>
        <w:tabs>
          <w:tab w:val="left" w:pos="900"/>
        </w:tabs>
        <w:spacing w:line="240" w:lineRule="auto"/>
        <w:jc w:val="both"/>
      </w:pPr>
      <w:r w:rsidRPr="001D44BB">
        <w:rPr>
          <w:i/>
          <w:iCs/>
        </w:rPr>
        <w:t>Edmundo Villacorta Ramírez</w:t>
      </w:r>
      <w:r>
        <w:t>, quien declarará sobre: (i) el rol, funciones y atribuciones de la Comisión Controladora de Trabajo Marítimo; (</w:t>
      </w:r>
      <w:proofErr w:type="spellStart"/>
      <w:r>
        <w:t>ii</w:t>
      </w:r>
      <w:proofErr w:type="spellEnd"/>
      <w:r>
        <w:t>) el Régimen especial de los trabajadores marítimos y portuarios, y (</w:t>
      </w:r>
      <w:proofErr w:type="spellStart"/>
      <w:r>
        <w:t>iii</w:t>
      </w:r>
      <w:proofErr w:type="spellEnd"/>
      <w:r>
        <w:t>) la modalidad de pago</w:t>
      </w:r>
      <w:r w:rsidR="00A832A2">
        <w:t xml:space="preserve"> </w:t>
      </w:r>
      <w:r w:rsidR="00A832A2" w:rsidRPr="00A832A2">
        <w:t>de los derechos y beneficios sociales de los trab</w:t>
      </w:r>
      <w:r w:rsidR="00A832A2">
        <w:t>ajadores marítimos y portuarios</w:t>
      </w:r>
      <w:r w:rsidR="00136ABE">
        <w:t>.</w:t>
      </w:r>
    </w:p>
    <w:p w14:paraId="7EF640D8" w14:textId="7AE16A2C" w:rsidR="00A934BC" w:rsidRPr="008E5B95" w:rsidRDefault="00A934BC" w:rsidP="00A934BC">
      <w:pPr>
        <w:pStyle w:val="Prrafodelista"/>
        <w:tabs>
          <w:tab w:val="left" w:pos="900"/>
        </w:tabs>
        <w:spacing w:line="240" w:lineRule="auto"/>
        <w:ind w:left="786"/>
        <w:jc w:val="both"/>
        <w:rPr>
          <w:i/>
        </w:rPr>
      </w:pPr>
    </w:p>
    <w:p w14:paraId="7FE7FF6D" w14:textId="367DA93A" w:rsidR="008A14DD" w:rsidRPr="008E5B95" w:rsidRDefault="00931D35" w:rsidP="00262215">
      <w:pPr>
        <w:pStyle w:val="Prrafodelista"/>
        <w:numPr>
          <w:ilvl w:val="0"/>
          <w:numId w:val="7"/>
        </w:numPr>
        <w:spacing w:line="240" w:lineRule="auto"/>
        <w:jc w:val="both"/>
        <w:rPr>
          <w:b/>
        </w:rPr>
      </w:pPr>
      <w:bookmarkStart w:id="1" w:name="_Ref477386390"/>
      <w:r w:rsidRPr="00262215">
        <w:rPr>
          <w:b/>
          <w:bCs/>
        </w:rPr>
        <w:t>Perit</w:t>
      </w:r>
      <w:r w:rsidR="00F5462B" w:rsidRPr="00262215">
        <w:rPr>
          <w:b/>
          <w:bCs/>
        </w:rPr>
        <w:t>o</w:t>
      </w:r>
      <w:r w:rsidR="00A166D6" w:rsidRPr="008E5B95">
        <w:rPr>
          <w:b/>
        </w:rPr>
        <w:t xml:space="preserve"> </w:t>
      </w:r>
    </w:p>
    <w:p w14:paraId="30D77F16" w14:textId="77777777" w:rsidR="008A14DD" w:rsidRPr="008E5B95" w:rsidRDefault="008A14DD" w:rsidP="008A14DD">
      <w:pPr>
        <w:pStyle w:val="Prrafodelista"/>
        <w:spacing w:line="240" w:lineRule="auto"/>
        <w:jc w:val="both"/>
        <w:rPr>
          <w:b/>
        </w:rPr>
      </w:pPr>
    </w:p>
    <w:p w14:paraId="17988A87" w14:textId="702AA9E5" w:rsidR="00AD6AE9" w:rsidRPr="008E5B95" w:rsidRDefault="008A14DD" w:rsidP="008A14DD">
      <w:pPr>
        <w:pStyle w:val="Prrafodelista"/>
        <w:spacing w:line="240" w:lineRule="auto"/>
        <w:jc w:val="both"/>
        <w:rPr>
          <w:i/>
        </w:rPr>
      </w:pPr>
      <w:r w:rsidRPr="008E5B95">
        <w:rPr>
          <w:i/>
        </w:rPr>
        <w:t>(P</w:t>
      </w:r>
      <w:r w:rsidR="00A74249" w:rsidRPr="008E5B95">
        <w:rPr>
          <w:i/>
        </w:rPr>
        <w:t>ropuest</w:t>
      </w:r>
      <w:r w:rsidR="00F5462B">
        <w:rPr>
          <w:i/>
        </w:rPr>
        <w:t>o</w:t>
      </w:r>
      <w:r w:rsidR="00A74249" w:rsidRPr="008E5B95">
        <w:rPr>
          <w:i/>
        </w:rPr>
        <w:t xml:space="preserve"> por </w:t>
      </w:r>
      <w:r w:rsidR="00F5462B">
        <w:rPr>
          <w:i/>
        </w:rPr>
        <w:t>el Estado</w:t>
      </w:r>
      <w:r w:rsidR="00A166D6" w:rsidRPr="008E5B95">
        <w:rPr>
          <w:i/>
        </w:rPr>
        <w:t>)</w:t>
      </w:r>
      <w:r w:rsidR="00AD6AE9" w:rsidRPr="008E5B95">
        <w:rPr>
          <w:i/>
        </w:rPr>
        <w:t xml:space="preserve"> </w:t>
      </w:r>
    </w:p>
    <w:p w14:paraId="3D44ECC4" w14:textId="183BE097" w:rsidR="00AD6AE9" w:rsidRPr="008E5B95" w:rsidRDefault="00AD6AE9" w:rsidP="005643E0">
      <w:pPr>
        <w:pStyle w:val="Prrafodelista"/>
        <w:spacing w:line="240" w:lineRule="auto"/>
        <w:jc w:val="both"/>
        <w:rPr>
          <w:i/>
        </w:rPr>
      </w:pPr>
    </w:p>
    <w:p w14:paraId="3A116085" w14:textId="552D1DAB" w:rsidR="00DB4A3F" w:rsidRPr="00262215" w:rsidRDefault="00F5462B" w:rsidP="001D44BB">
      <w:pPr>
        <w:pStyle w:val="Prrafodelista"/>
        <w:numPr>
          <w:ilvl w:val="0"/>
          <w:numId w:val="8"/>
        </w:numPr>
        <w:tabs>
          <w:tab w:val="left" w:pos="900"/>
        </w:tabs>
        <w:spacing w:line="240" w:lineRule="auto"/>
        <w:jc w:val="both"/>
        <w:rPr>
          <w:rFonts w:cs="Times New Roman"/>
          <w:i/>
          <w:iCs/>
        </w:rPr>
      </w:pPr>
      <w:r w:rsidRPr="00262215">
        <w:rPr>
          <w:i/>
          <w:iCs/>
        </w:rPr>
        <w:t xml:space="preserve">Dante Ludwig </w:t>
      </w:r>
      <w:proofErr w:type="spellStart"/>
      <w:r w:rsidRPr="00262215">
        <w:rPr>
          <w:i/>
          <w:iCs/>
        </w:rPr>
        <w:t>Apolín</w:t>
      </w:r>
      <w:proofErr w:type="spellEnd"/>
      <w:r w:rsidRPr="00262215">
        <w:rPr>
          <w:i/>
          <w:iCs/>
        </w:rPr>
        <w:t xml:space="preserve"> Meza</w:t>
      </w:r>
      <w:r w:rsidR="00DB4A3F" w:rsidRPr="00F5462B">
        <w:t xml:space="preserve">, quien </w:t>
      </w:r>
      <w:r w:rsidR="00B41044" w:rsidRPr="00F5462B">
        <w:t>rendirá peritaje</w:t>
      </w:r>
      <w:r w:rsidR="00DB4A3F" w:rsidRPr="00F5462B">
        <w:t xml:space="preserve"> sobre</w:t>
      </w:r>
      <w:r w:rsidRPr="00F5462B">
        <w:t>: (i)</w:t>
      </w:r>
      <w:r w:rsidRPr="00262215">
        <w:rPr>
          <w:rFonts w:cs="Arial"/>
        </w:rPr>
        <w:t xml:space="preserve"> la sen</w:t>
      </w:r>
      <w:r w:rsidR="002B4C49" w:rsidRPr="00262215">
        <w:rPr>
          <w:rFonts w:cs="Arial"/>
        </w:rPr>
        <w:t>tencia como título de ejecución y las i</w:t>
      </w:r>
      <w:r w:rsidRPr="00262215">
        <w:rPr>
          <w:rFonts w:cs="Arial"/>
        </w:rPr>
        <w:t>mplicancias de la inmutabilidad de la cosa juzgada; (</w:t>
      </w:r>
      <w:proofErr w:type="spellStart"/>
      <w:r w:rsidRPr="00262215">
        <w:rPr>
          <w:rFonts w:cs="Arial"/>
        </w:rPr>
        <w:t>ii</w:t>
      </w:r>
      <w:proofErr w:type="spellEnd"/>
      <w:r w:rsidRPr="00262215">
        <w:rPr>
          <w:rFonts w:cs="Arial"/>
        </w:rPr>
        <w:t>) el proceso de e</w:t>
      </w:r>
      <w:r w:rsidR="002B4C49" w:rsidRPr="00262215">
        <w:rPr>
          <w:rFonts w:cs="Arial"/>
        </w:rPr>
        <w:t>jecución de resolución judicial y la n</w:t>
      </w:r>
      <w:r w:rsidRPr="00262215">
        <w:rPr>
          <w:rFonts w:cs="Arial"/>
        </w:rPr>
        <w:t xml:space="preserve">ormativa </w:t>
      </w:r>
      <w:r w:rsidRPr="00136ABE">
        <w:rPr>
          <w:iCs/>
        </w:rPr>
        <w:t>aplicable</w:t>
      </w:r>
      <w:r w:rsidRPr="00262215">
        <w:rPr>
          <w:rFonts w:cs="Arial"/>
        </w:rPr>
        <w:t xml:space="preserve"> al procedimiento de ejecución de </w:t>
      </w:r>
      <w:r w:rsidRPr="001D44BB">
        <w:rPr>
          <w:i/>
          <w:iCs/>
        </w:rPr>
        <w:t>suma</w:t>
      </w:r>
      <w:r w:rsidRPr="00262215">
        <w:rPr>
          <w:rFonts w:cs="Arial"/>
        </w:rPr>
        <w:t xml:space="preserve"> ilíquida; (</w:t>
      </w:r>
      <w:proofErr w:type="spellStart"/>
      <w:r w:rsidRPr="00262215">
        <w:rPr>
          <w:rFonts w:cs="Arial"/>
        </w:rPr>
        <w:t>iii</w:t>
      </w:r>
      <w:proofErr w:type="spellEnd"/>
      <w:r w:rsidRPr="00262215">
        <w:rPr>
          <w:rFonts w:cs="Arial"/>
        </w:rPr>
        <w:t>) la desnaturalización del pro</w:t>
      </w:r>
      <w:r w:rsidR="002B4C49" w:rsidRPr="00262215">
        <w:rPr>
          <w:rFonts w:cs="Arial"/>
        </w:rPr>
        <w:t>ceso de ejecución de sentencia y la i</w:t>
      </w:r>
      <w:r w:rsidRPr="00262215">
        <w:rPr>
          <w:rFonts w:cs="Arial"/>
        </w:rPr>
        <w:t>ncorporación de pretensiones no demandadas en e</w:t>
      </w:r>
      <w:r w:rsidR="002B4C49" w:rsidRPr="00262215">
        <w:rPr>
          <w:rFonts w:cs="Arial"/>
        </w:rPr>
        <w:t>tapa de ejecución de sentencia, así como los l</w:t>
      </w:r>
      <w:r w:rsidRPr="00262215">
        <w:rPr>
          <w:rFonts w:cs="Arial"/>
        </w:rPr>
        <w:t>ímites y ámbito objetivo de la ejecución de sentencia; (</w:t>
      </w:r>
      <w:proofErr w:type="spellStart"/>
      <w:r w:rsidRPr="00262215">
        <w:rPr>
          <w:rFonts w:cs="Arial"/>
        </w:rPr>
        <w:t>iv</w:t>
      </w:r>
      <w:proofErr w:type="spellEnd"/>
      <w:r w:rsidRPr="00262215">
        <w:rPr>
          <w:rFonts w:cs="Arial"/>
        </w:rPr>
        <w:t xml:space="preserve">) la actuación de medios probatorios en la </w:t>
      </w:r>
      <w:r w:rsidR="002B4C49" w:rsidRPr="00262215">
        <w:rPr>
          <w:rFonts w:cs="Arial"/>
        </w:rPr>
        <w:t>etapa de ejecución de sentencia y las g</w:t>
      </w:r>
      <w:r w:rsidRPr="00262215">
        <w:rPr>
          <w:rFonts w:cs="Arial"/>
        </w:rPr>
        <w:t xml:space="preserve">arantías del debido proceso en la actuación de la prueba pericial en </w:t>
      </w:r>
      <w:r w:rsidR="002B4C49" w:rsidRPr="00262215">
        <w:rPr>
          <w:rFonts w:cs="Arial"/>
        </w:rPr>
        <w:t>etapa de ejecución de sentencia, así como la r</w:t>
      </w:r>
      <w:r w:rsidRPr="00262215">
        <w:rPr>
          <w:rFonts w:cs="Arial"/>
        </w:rPr>
        <w:t>azonabilidad del plazo judicial y el derecho de contradicción de las partes procesales; (v) la interpretación del sentido y alcance de la sentencia de 12 de febrero de 1992 y</w:t>
      </w:r>
      <w:r w:rsidR="002B4C49" w:rsidRPr="00262215">
        <w:rPr>
          <w:rFonts w:cs="Arial"/>
        </w:rPr>
        <w:t xml:space="preserve"> el</w:t>
      </w:r>
      <w:r w:rsidRPr="00262215">
        <w:rPr>
          <w:rFonts w:cs="Arial"/>
        </w:rPr>
        <w:t xml:space="preserve"> análisis sobre el proceso de ejecución, y (vi) el proceso de am</w:t>
      </w:r>
      <w:r w:rsidR="002B4C49" w:rsidRPr="00262215">
        <w:rPr>
          <w:rFonts w:cs="Arial"/>
        </w:rPr>
        <w:t>paro contra resolución judicial, así como las m</w:t>
      </w:r>
      <w:r w:rsidRPr="00262215">
        <w:rPr>
          <w:rFonts w:cs="Arial"/>
        </w:rPr>
        <w:t xml:space="preserve">edidas cautelares y su impacto en la suspensión de los procesos judiciales. A efectos de cumplir con el objeto de la pericia, el perito podrá </w:t>
      </w:r>
      <w:r w:rsidR="002B4C49" w:rsidRPr="00262215">
        <w:rPr>
          <w:rFonts w:cs="Arial"/>
        </w:rPr>
        <w:t>hacer referencia al</w:t>
      </w:r>
      <w:r w:rsidRPr="00262215">
        <w:rPr>
          <w:rFonts w:cs="Arial"/>
        </w:rPr>
        <w:t xml:space="preserve"> caso concreto. </w:t>
      </w:r>
    </w:p>
    <w:p w14:paraId="3C11C5CF" w14:textId="6A4A28F0" w:rsidR="0053557B" w:rsidRPr="008E5B95" w:rsidRDefault="006E1807" w:rsidP="00DB4A3F">
      <w:pPr>
        <w:pStyle w:val="Prrafodelista"/>
        <w:tabs>
          <w:tab w:val="left" w:pos="900"/>
        </w:tabs>
        <w:spacing w:line="240" w:lineRule="auto"/>
        <w:ind w:left="786"/>
        <w:jc w:val="both"/>
        <w:rPr>
          <w:rFonts w:cs="Times New Roman"/>
          <w:i/>
          <w:iCs/>
        </w:rPr>
      </w:pPr>
      <w:r w:rsidRPr="008E5B95">
        <w:rPr>
          <w:i/>
          <w:iCs/>
        </w:rPr>
        <w:t xml:space="preserve"> </w:t>
      </w:r>
    </w:p>
    <w:p w14:paraId="4647F924" w14:textId="07654697" w:rsidR="00CF2AEE" w:rsidRPr="008E5B95" w:rsidRDefault="0053557B" w:rsidP="001977CD">
      <w:pPr>
        <w:pStyle w:val="Prrafodelista"/>
        <w:numPr>
          <w:ilvl w:val="0"/>
          <w:numId w:val="4"/>
        </w:numPr>
        <w:tabs>
          <w:tab w:val="left" w:pos="567"/>
        </w:tabs>
        <w:spacing w:line="240" w:lineRule="auto"/>
        <w:ind w:left="0" w:firstLine="0"/>
        <w:jc w:val="both"/>
      </w:pPr>
      <w:bookmarkStart w:id="2" w:name="_Ref532315339"/>
      <w:r w:rsidRPr="008E5B95">
        <w:t>Requerir, de conformidad con el principio de economía procesal y de la facultad que le otorga el artículo 50.1 del Reglamento de la Corte, que las siguientes personas presten su declaración ante fedatario público:</w:t>
      </w:r>
      <w:bookmarkEnd w:id="0"/>
      <w:bookmarkEnd w:id="1"/>
      <w:bookmarkEnd w:id="2"/>
    </w:p>
    <w:p w14:paraId="0A959714" w14:textId="2232A651" w:rsidR="0083088A" w:rsidRPr="008E5B95" w:rsidRDefault="0083088A" w:rsidP="00F5462B">
      <w:pPr>
        <w:tabs>
          <w:tab w:val="left" w:pos="900"/>
        </w:tabs>
        <w:spacing w:line="240" w:lineRule="auto"/>
        <w:jc w:val="both"/>
      </w:pPr>
    </w:p>
    <w:p w14:paraId="2F608092" w14:textId="77777777" w:rsidR="001F0928" w:rsidRPr="008E5B95" w:rsidRDefault="001F0928" w:rsidP="001F0928">
      <w:pPr>
        <w:pStyle w:val="Prrafodelista"/>
        <w:numPr>
          <w:ilvl w:val="0"/>
          <w:numId w:val="7"/>
        </w:numPr>
        <w:spacing w:line="240" w:lineRule="auto"/>
        <w:jc w:val="both"/>
        <w:rPr>
          <w:b/>
        </w:rPr>
      </w:pPr>
      <w:r w:rsidRPr="008E5B95">
        <w:rPr>
          <w:b/>
          <w:bCs/>
        </w:rPr>
        <w:t>Testigos</w:t>
      </w:r>
      <w:r w:rsidRPr="008E5B95">
        <w:rPr>
          <w:b/>
        </w:rPr>
        <w:t xml:space="preserve"> </w:t>
      </w:r>
    </w:p>
    <w:p w14:paraId="24313B68" w14:textId="77777777" w:rsidR="001F0928" w:rsidRPr="008E5B95" w:rsidRDefault="001F0928" w:rsidP="001F0928">
      <w:pPr>
        <w:pStyle w:val="Prrafodelista"/>
        <w:spacing w:line="240" w:lineRule="auto"/>
        <w:jc w:val="both"/>
        <w:rPr>
          <w:b/>
        </w:rPr>
      </w:pPr>
    </w:p>
    <w:p w14:paraId="0FC0BA82" w14:textId="2D7D17F2" w:rsidR="001F0928" w:rsidRPr="008E5B95" w:rsidRDefault="00F5462B" w:rsidP="001F0928">
      <w:pPr>
        <w:pStyle w:val="Prrafodelista"/>
        <w:spacing w:line="240" w:lineRule="auto"/>
        <w:jc w:val="both"/>
        <w:rPr>
          <w:i/>
        </w:rPr>
      </w:pPr>
      <w:r>
        <w:rPr>
          <w:i/>
        </w:rPr>
        <w:t>(Propuestos por el Estado</w:t>
      </w:r>
      <w:r w:rsidR="001F0928" w:rsidRPr="008E5B95">
        <w:rPr>
          <w:i/>
        </w:rPr>
        <w:t xml:space="preserve">) </w:t>
      </w:r>
    </w:p>
    <w:p w14:paraId="6FBFC9C4" w14:textId="3E581430" w:rsidR="001F0928" w:rsidRDefault="001F0928" w:rsidP="001F0928">
      <w:pPr>
        <w:pStyle w:val="Prrafodelista"/>
        <w:spacing w:line="240" w:lineRule="auto"/>
        <w:jc w:val="both"/>
        <w:rPr>
          <w:b/>
          <w:i/>
        </w:rPr>
      </w:pPr>
    </w:p>
    <w:p w14:paraId="0E3BCB0D" w14:textId="4CF3CA9E" w:rsidR="001F0928" w:rsidRPr="002B4C49" w:rsidRDefault="00224C55" w:rsidP="0083727B">
      <w:pPr>
        <w:pStyle w:val="Prrafodelista"/>
        <w:numPr>
          <w:ilvl w:val="0"/>
          <w:numId w:val="8"/>
        </w:numPr>
        <w:tabs>
          <w:tab w:val="left" w:pos="900"/>
        </w:tabs>
        <w:spacing w:line="240" w:lineRule="auto"/>
        <w:jc w:val="both"/>
        <w:rPr>
          <w:i/>
          <w:strike/>
        </w:rPr>
      </w:pPr>
      <w:r w:rsidRPr="002B4C49">
        <w:rPr>
          <w:rFonts w:cs="Times New Roman"/>
          <w:i/>
          <w:iCs/>
          <w:lang w:val="es-ES_tradnl"/>
        </w:rPr>
        <w:t>Rocío del Pilar Mercedes Montero Lazo</w:t>
      </w:r>
      <w:r w:rsidR="001F0928" w:rsidRPr="002B4C49">
        <w:rPr>
          <w:rFonts w:cs="Times New Roman"/>
          <w:i/>
          <w:iCs/>
          <w:lang w:val="es-ES_tradnl"/>
        </w:rPr>
        <w:t xml:space="preserve">, </w:t>
      </w:r>
      <w:r w:rsidR="001F0928" w:rsidRPr="002B4C49">
        <w:rPr>
          <w:rFonts w:cs="Arial"/>
        </w:rPr>
        <w:t xml:space="preserve">quien </w:t>
      </w:r>
      <w:r w:rsidRPr="002B4C49">
        <w:rPr>
          <w:rFonts w:cs="Arial"/>
        </w:rPr>
        <w:t>declarará sobre: (i) el rol</w:t>
      </w:r>
      <w:r w:rsidR="00CD62C6">
        <w:rPr>
          <w:rFonts w:cs="Arial"/>
        </w:rPr>
        <w:t xml:space="preserve"> de la Comisión Multisectorial, marco normativo y m</w:t>
      </w:r>
      <w:r w:rsidRPr="002B4C49">
        <w:rPr>
          <w:rFonts w:cs="Arial"/>
        </w:rPr>
        <w:t>iembros integrantes; (</w:t>
      </w:r>
      <w:proofErr w:type="spellStart"/>
      <w:r w:rsidRPr="002B4C49">
        <w:rPr>
          <w:rFonts w:cs="Arial"/>
        </w:rPr>
        <w:t>ii</w:t>
      </w:r>
      <w:proofErr w:type="spellEnd"/>
      <w:r w:rsidRPr="002B4C49">
        <w:rPr>
          <w:rFonts w:cs="Arial"/>
        </w:rPr>
        <w:t>) las funciones, atribuciones y objetivos trazados por la Comisión Multisectorial; (</w:t>
      </w:r>
      <w:proofErr w:type="spellStart"/>
      <w:r w:rsidRPr="002B4C49">
        <w:rPr>
          <w:rFonts w:cs="Arial"/>
        </w:rPr>
        <w:t>iii</w:t>
      </w:r>
      <w:proofErr w:type="spellEnd"/>
      <w:r w:rsidRPr="002B4C49">
        <w:rPr>
          <w:rFonts w:cs="Arial"/>
        </w:rPr>
        <w:t>) las gestiones realizadas; (</w:t>
      </w:r>
      <w:proofErr w:type="spellStart"/>
      <w:r w:rsidRPr="002B4C49">
        <w:rPr>
          <w:rFonts w:cs="Arial"/>
        </w:rPr>
        <w:t>iv</w:t>
      </w:r>
      <w:proofErr w:type="spellEnd"/>
      <w:r w:rsidRPr="002B4C49">
        <w:rPr>
          <w:rFonts w:cs="Arial"/>
        </w:rPr>
        <w:t xml:space="preserve">) el Informe Final de la Comisión Multisectorial, y (v) los alcances sobre la correcta interpretación de las conclusiones y recomendaciones. A efectos de cumplir con el objeto de la testimonial, la </w:t>
      </w:r>
      <w:r w:rsidR="002B4C49" w:rsidRPr="002B4C49">
        <w:rPr>
          <w:rFonts w:cs="Arial"/>
        </w:rPr>
        <w:t>testigo</w:t>
      </w:r>
      <w:r w:rsidRPr="002B4C49">
        <w:rPr>
          <w:rFonts w:cs="Arial"/>
        </w:rPr>
        <w:t xml:space="preserve"> podrá referirse a los hechos del caso.</w:t>
      </w:r>
    </w:p>
    <w:p w14:paraId="17C1B8E2" w14:textId="77777777" w:rsidR="00224C55" w:rsidRPr="002B4C49" w:rsidRDefault="00224C55" w:rsidP="00224C55">
      <w:pPr>
        <w:pStyle w:val="Prrafodelista"/>
        <w:tabs>
          <w:tab w:val="left" w:pos="900"/>
        </w:tabs>
        <w:spacing w:line="240" w:lineRule="auto"/>
        <w:ind w:left="786"/>
        <w:jc w:val="both"/>
        <w:rPr>
          <w:i/>
          <w:strike/>
        </w:rPr>
      </w:pPr>
    </w:p>
    <w:p w14:paraId="2331453C" w14:textId="72EFC75F" w:rsidR="001F0928" w:rsidRPr="002B4C49" w:rsidRDefault="00224C55" w:rsidP="00224C55">
      <w:pPr>
        <w:pStyle w:val="Prrafodelista"/>
        <w:numPr>
          <w:ilvl w:val="0"/>
          <w:numId w:val="8"/>
        </w:numPr>
        <w:tabs>
          <w:tab w:val="left" w:pos="900"/>
        </w:tabs>
        <w:spacing w:line="240" w:lineRule="auto"/>
        <w:jc w:val="both"/>
        <w:rPr>
          <w:rFonts w:cs="Times New Roman"/>
          <w:i/>
          <w:iCs/>
          <w:lang w:val="es-ES_tradnl"/>
        </w:rPr>
      </w:pPr>
      <w:r w:rsidRPr="002B4C49">
        <w:rPr>
          <w:i/>
          <w:iCs/>
        </w:rPr>
        <w:t>Julio La Rosa Sánchez Bayes</w:t>
      </w:r>
      <w:r w:rsidR="001F0928" w:rsidRPr="002B4C49">
        <w:rPr>
          <w:i/>
          <w:iCs/>
        </w:rPr>
        <w:t>,</w:t>
      </w:r>
      <w:r w:rsidR="001F0928" w:rsidRPr="002B4C49">
        <w:rPr>
          <w:rFonts w:cs="Arial"/>
        </w:rPr>
        <w:t xml:space="preserve"> quien declarará sobre</w:t>
      </w:r>
      <w:r w:rsidRPr="002B4C49">
        <w:rPr>
          <w:rFonts w:cs="Arial"/>
        </w:rPr>
        <w:t>:</w:t>
      </w:r>
      <w:r w:rsidR="001F0928" w:rsidRPr="002B4C49">
        <w:rPr>
          <w:rFonts w:cs="Arial"/>
        </w:rPr>
        <w:t xml:space="preserve"> </w:t>
      </w:r>
      <w:r w:rsidRPr="002B4C49">
        <w:rPr>
          <w:rFonts w:cs="Arial"/>
        </w:rPr>
        <w:t>(i) el grupo de trabajo operativo</w:t>
      </w:r>
      <w:r w:rsidR="00CD62C6">
        <w:rPr>
          <w:rFonts w:cs="Arial"/>
        </w:rPr>
        <w:t xml:space="preserve"> de la Comisión Multisectorial, f</w:t>
      </w:r>
      <w:r w:rsidRPr="002B4C49">
        <w:rPr>
          <w:rFonts w:cs="Arial"/>
        </w:rPr>
        <w:t>unciones y objetivos; (</w:t>
      </w:r>
      <w:proofErr w:type="spellStart"/>
      <w:r w:rsidRPr="002B4C49">
        <w:rPr>
          <w:rFonts w:cs="Arial"/>
        </w:rPr>
        <w:t>ii</w:t>
      </w:r>
      <w:proofErr w:type="spellEnd"/>
      <w:r w:rsidRPr="002B4C49">
        <w:rPr>
          <w:rFonts w:cs="Arial"/>
        </w:rPr>
        <w:t xml:space="preserve">) la Secretaría Técnica; </w:t>
      </w:r>
      <w:r w:rsidR="00CD62C6">
        <w:rPr>
          <w:rFonts w:cs="Arial"/>
        </w:rPr>
        <w:t>(</w:t>
      </w:r>
      <w:proofErr w:type="spellStart"/>
      <w:r w:rsidR="00CD62C6">
        <w:rPr>
          <w:rFonts w:cs="Arial"/>
        </w:rPr>
        <w:t>iii</w:t>
      </w:r>
      <w:proofErr w:type="spellEnd"/>
      <w:r w:rsidR="00CD62C6">
        <w:rPr>
          <w:rFonts w:cs="Arial"/>
        </w:rPr>
        <w:t>) las gestiones realizadas, documentación recopilada y v</w:t>
      </w:r>
      <w:r w:rsidRPr="002B4C49">
        <w:rPr>
          <w:rFonts w:cs="Arial"/>
        </w:rPr>
        <w:t>erificaciones, y (</w:t>
      </w:r>
      <w:proofErr w:type="spellStart"/>
      <w:r w:rsidRPr="002B4C49">
        <w:rPr>
          <w:rFonts w:cs="Arial"/>
        </w:rPr>
        <w:t>iv</w:t>
      </w:r>
      <w:proofErr w:type="spellEnd"/>
      <w:r w:rsidRPr="002B4C49">
        <w:rPr>
          <w:rFonts w:cs="Arial"/>
        </w:rPr>
        <w:t>) sobre el Informe Final de la Comisión Multisectorial. A efectos de cumplir con el objeto de la testimonial, el testigo podrá referirse a los hechos del caso.</w:t>
      </w:r>
      <w:r w:rsidR="001F0928" w:rsidRPr="002B4C49">
        <w:rPr>
          <w:rFonts w:cs="Arial"/>
        </w:rPr>
        <w:t xml:space="preserve"> </w:t>
      </w:r>
    </w:p>
    <w:p w14:paraId="4F8DDBE4" w14:textId="77777777" w:rsidR="001F0928" w:rsidRPr="001F0928" w:rsidRDefault="001F0928" w:rsidP="00485BA7">
      <w:pPr>
        <w:pStyle w:val="Prrafodelista"/>
        <w:spacing w:line="240" w:lineRule="auto"/>
        <w:jc w:val="both"/>
        <w:rPr>
          <w:b/>
        </w:rPr>
      </w:pPr>
    </w:p>
    <w:p w14:paraId="0429B424" w14:textId="73EC693A" w:rsidR="008A14DD" w:rsidRPr="008E5B95" w:rsidRDefault="00DB4A3F" w:rsidP="00C34570">
      <w:pPr>
        <w:pStyle w:val="Prrafodelista"/>
        <w:numPr>
          <w:ilvl w:val="0"/>
          <w:numId w:val="7"/>
        </w:numPr>
        <w:spacing w:line="240" w:lineRule="auto"/>
        <w:jc w:val="both"/>
        <w:rPr>
          <w:b/>
        </w:rPr>
      </w:pPr>
      <w:r w:rsidRPr="008E5B95">
        <w:rPr>
          <w:b/>
          <w:bCs/>
        </w:rPr>
        <w:t>Perito</w:t>
      </w:r>
      <w:r w:rsidR="00277D66" w:rsidRPr="008E5B95">
        <w:rPr>
          <w:b/>
          <w:bCs/>
        </w:rPr>
        <w:t xml:space="preserve">s </w:t>
      </w:r>
    </w:p>
    <w:p w14:paraId="08B9BE86" w14:textId="77777777" w:rsidR="008A14DD" w:rsidRPr="008E5B95" w:rsidRDefault="008A14DD" w:rsidP="008A14DD">
      <w:pPr>
        <w:pStyle w:val="Prrafodelista"/>
        <w:spacing w:line="240" w:lineRule="auto"/>
        <w:jc w:val="both"/>
        <w:rPr>
          <w:b/>
          <w:bCs/>
        </w:rPr>
      </w:pPr>
    </w:p>
    <w:p w14:paraId="64C5F1A4" w14:textId="26A1A742" w:rsidR="00B93E45" w:rsidRPr="008E5B95" w:rsidRDefault="00224C55" w:rsidP="008A14DD">
      <w:pPr>
        <w:pStyle w:val="Prrafodelista"/>
        <w:spacing w:line="240" w:lineRule="auto"/>
        <w:jc w:val="both"/>
        <w:rPr>
          <w:i/>
        </w:rPr>
      </w:pPr>
      <w:r>
        <w:rPr>
          <w:i/>
        </w:rPr>
        <w:t>(Propuestos por el Estado</w:t>
      </w:r>
      <w:r w:rsidR="00A166D6" w:rsidRPr="008E5B95">
        <w:rPr>
          <w:i/>
        </w:rPr>
        <w:t>)</w:t>
      </w:r>
    </w:p>
    <w:p w14:paraId="4D1EC74B" w14:textId="35D8B99E" w:rsidR="00EE01E6" w:rsidRDefault="00EE01E6" w:rsidP="00EE01E6">
      <w:pPr>
        <w:pStyle w:val="Prrafodelista"/>
        <w:spacing w:line="240" w:lineRule="auto"/>
        <w:jc w:val="both"/>
        <w:rPr>
          <w:b/>
          <w:i/>
        </w:rPr>
      </w:pPr>
    </w:p>
    <w:p w14:paraId="3E82D114" w14:textId="77777777" w:rsidR="00262215" w:rsidRPr="002B4C49" w:rsidRDefault="00262215" w:rsidP="00262215">
      <w:pPr>
        <w:pStyle w:val="Prrafodelista"/>
        <w:numPr>
          <w:ilvl w:val="0"/>
          <w:numId w:val="8"/>
        </w:numPr>
        <w:tabs>
          <w:tab w:val="left" w:pos="900"/>
        </w:tabs>
        <w:spacing w:line="240" w:lineRule="auto"/>
        <w:jc w:val="both"/>
        <w:rPr>
          <w:rFonts w:cs="Times New Roman"/>
          <w:i/>
          <w:iCs/>
        </w:rPr>
      </w:pPr>
      <w:r w:rsidRPr="002B4C49">
        <w:rPr>
          <w:i/>
          <w:iCs/>
        </w:rPr>
        <w:t>Ernesto Alonso Aguinaga Meza</w:t>
      </w:r>
      <w:r w:rsidRPr="002B4C49">
        <w:t xml:space="preserve">, quien rendirá peritaje sobre: </w:t>
      </w:r>
      <w:r w:rsidRPr="002B4C49">
        <w:rPr>
          <w:rFonts w:cs="Arial"/>
        </w:rPr>
        <w:t>(i) precisiones en torno a la remuneración en sentido amplio y aquellas denominadas remuneración básica, remuneración ordinaria, remuneración mínima vital, entre otras (vigente en la época de los hechos); (</w:t>
      </w:r>
      <w:proofErr w:type="spellStart"/>
      <w:r w:rsidRPr="002B4C49">
        <w:rPr>
          <w:rFonts w:cs="Arial"/>
        </w:rPr>
        <w:t>ii</w:t>
      </w:r>
      <w:proofErr w:type="spellEnd"/>
      <w:r w:rsidRPr="002B4C49">
        <w:rPr>
          <w:rFonts w:cs="Arial"/>
        </w:rPr>
        <w:t>) los beneficios colaterales como “complementos remunerativos”, distintos de la remuneración básica (vigente en la época de los hechos); (</w:t>
      </w:r>
      <w:proofErr w:type="spellStart"/>
      <w:r w:rsidRPr="002B4C49">
        <w:rPr>
          <w:rFonts w:cs="Arial"/>
        </w:rPr>
        <w:t>iii</w:t>
      </w:r>
      <w:proofErr w:type="spellEnd"/>
      <w:r w:rsidRPr="002B4C49">
        <w:rPr>
          <w:rFonts w:cs="Arial"/>
        </w:rPr>
        <w:t>) los aspectos relacionados al Incremento Adicional de Remuneraciones (IAR) y su aplicación (vigente en la época de los hechos); (</w:t>
      </w:r>
      <w:proofErr w:type="spellStart"/>
      <w:r w:rsidRPr="002B4C49">
        <w:rPr>
          <w:rFonts w:cs="Arial"/>
        </w:rPr>
        <w:t>iv</w:t>
      </w:r>
      <w:proofErr w:type="spellEnd"/>
      <w:r w:rsidRPr="002B4C49">
        <w:rPr>
          <w:rFonts w:cs="Arial"/>
        </w:rPr>
        <w:t>) el análisis sobre los conceptos liquidados a los trabajadores de la FEMAPOR, conforme a la “Planilla de pago por concepto de reintegro de incremento adicional de remuneraciones, derechos laborales y beneficios sociales e intereses, en cumplimiento al D.S. 054-91-PCM, D.S. 041-92- PCM, y fallo de la Corte Suprema de la República del 12-02-92”; (v) la interpretación del sentido y alcance del mandato judicial ordenado en la sentencia firme del 12 de febrero de 1992, que habría amparado la pretensión de los trabajadores de la FEMAPOR: recalculo del IAR; (vi) precisiones respecto a la alegada divergencia entre lo ordenado en la sentencia judicial firme del 12 de febrero de 1992, favorable a la pretensión de los trabajadores de la FEMAPOR, y las nuevas pretensiones exigidas por estos, durante el proceso de ejecución de sentencia: recalculo de derechos y beneficios sociales; (</w:t>
      </w:r>
      <w:proofErr w:type="spellStart"/>
      <w:r w:rsidRPr="002B4C49">
        <w:rPr>
          <w:rFonts w:cs="Arial"/>
        </w:rPr>
        <w:t>vii</w:t>
      </w:r>
      <w:proofErr w:type="spellEnd"/>
      <w:r w:rsidRPr="002B4C49">
        <w:rPr>
          <w:rFonts w:cs="Arial"/>
        </w:rPr>
        <w:t>) los límites del principio de irrenunciabilidad de los derechos y alcances constitucionales y legales relativos a la prescripción de pretensiones laborales, y (</w:t>
      </w:r>
      <w:proofErr w:type="spellStart"/>
      <w:r w:rsidRPr="002B4C49">
        <w:rPr>
          <w:rFonts w:cs="Arial"/>
        </w:rPr>
        <w:t>viii</w:t>
      </w:r>
      <w:proofErr w:type="spellEnd"/>
      <w:r w:rsidRPr="002B4C49">
        <w:rPr>
          <w:rFonts w:cs="Arial"/>
        </w:rPr>
        <w:t>) la vía procesal para reclamar el pago de derechos y beneficios sociales. A efectos de cumplir con el objeto de la pericia, el perito podrá hacer referencia al caso concreto.</w:t>
      </w:r>
    </w:p>
    <w:p w14:paraId="5655A7DB" w14:textId="77777777" w:rsidR="00262215" w:rsidRPr="008E5B95" w:rsidRDefault="00262215" w:rsidP="00EE01E6">
      <w:pPr>
        <w:pStyle w:val="Prrafodelista"/>
        <w:spacing w:line="240" w:lineRule="auto"/>
        <w:jc w:val="both"/>
        <w:rPr>
          <w:b/>
          <w:i/>
        </w:rPr>
      </w:pPr>
    </w:p>
    <w:p w14:paraId="6C781CFE" w14:textId="2A56C200" w:rsidR="00EE01E6" w:rsidRDefault="00224C55" w:rsidP="005B0F69">
      <w:pPr>
        <w:pStyle w:val="Prrafodelista"/>
        <w:numPr>
          <w:ilvl w:val="0"/>
          <w:numId w:val="8"/>
        </w:numPr>
        <w:tabs>
          <w:tab w:val="left" w:pos="900"/>
        </w:tabs>
        <w:autoSpaceDE w:val="0"/>
        <w:autoSpaceDN w:val="0"/>
        <w:adjustRightInd w:val="0"/>
        <w:spacing w:line="240" w:lineRule="auto"/>
        <w:jc w:val="both"/>
        <w:rPr>
          <w:rFonts w:cs="Arial"/>
        </w:rPr>
      </w:pPr>
      <w:r w:rsidRPr="002B4C49">
        <w:rPr>
          <w:rFonts w:cs="Times New Roman"/>
          <w:i/>
          <w:iCs/>
        </w:rPr>
        <w:t xml:space="preserve">Marco Antonio Lozano </w:t>
      </w:r>
      <w:proofErr w:type="spellStart"/>
      <w:r w:rsidRPr="002B4C49">
        <w:rPr>
          <w:rFonts w:cs="Times New Roman"/>
          <w:i/>
          <w:iCs/>
        </w:rPr>
        <w:t>Huaracha</w:t>
      </w:r>
      <w:proofErr w:type="spellEnd"/>
      <w:r w:rsidR="00DB4A3F" w:rsidRPr="002B4C49">
        <w:rPr>
          <w:rFonts w:cs="Times New Roman"/>
          <w:i/>
          <w:iCs/>
        </w:rPr>
        <w:t xml:space="preserve">, </w:t>
      </w:r>
      <w:r w:rsidR="00EE01E6" w:rsidRPr="002B4C49">
        <w:rPr>
          <w:rFonts w:cs="Arial"/>
        </w:rPr>
        <w:t>quien rendirá peritaje sobre</w:t>
      </w:r>
      <w:r w:rsidR="000054D5" w:rsidRPr="002B4C49">
        <w:rPr>
          <w:rFonts w:cs="Arial"/>
        </w:rPr>
        <w:t>:</w:t>
      </w:r>
      <w:r w:rsidRPr="002B4C49">
        <w:rPr>
          <w:rFonts w:cs="Arial"/>
        </w:rPr>
        <w:t xml:space="preserve"> (i) el análisis de las formalidades observadas y el cálculo realizado en la Planilla de reintegro de derechos y beneficios sociales en cumplimiento al D.S. 054-91-PCM, D.S. 041-92-PCM, y fallo de la Corte Suprema de la República del 12-02-92; (</w:t>
      </w:r>
      <w:proofErr w:type="spellStart"/>
      <w:r w:rsidRPr="002B4C49">
        <w:rPr>
          <w:rFonts w:cs="Arial"/>
        </w:rPr>
        <w:t>ii</w:t>
      </w:r>
      <w:proofErr w:type="spellEnd"/>
      <w:r w:rsidRPr="002B4C49">
        <w:rPr>
          <w:rFonts w:cs="Arial"/>
        </w:rPr>
        <w:t>) el análisis del cálculo realizado en el “Informe Pericial 240-2015-PJ–EV de fecha 3 de diciembre de 2015”, aprobado mediante Resolución de fecha 1 de julio de 2016, por un monto de US$ 242’601,058.98; (</w:t>
      </w:r>
      <w:proofErr w:type="spellStart"/>
      <w:r w:rsidRPr="002B4C49">
        <w:rPr>
          <w:rFonts w:cs="Arial"/>
        </w:rPr>
        <w:t>iii</w:t>
      </w:r>
      <w:proofErr w:type="spellEnd"/>
      <w:r w:rsidRPr="002B4C49">
        <w:rPr>
          <w:rFonts w:cs="Arial"/>
        </w:rPr>
        <w:t>) los aspectos relativos a los métodos y técnicas contables de actualización del valor de deudas. El método de dolarización y su comparación con otros métodos oficiales sobre el cálculo de deudas. Análisis del caso concreto, y (</w:t>
      </w:r>
      <w:proofErr w:type="spellStart"/>
      <w:r w:rsidRPr="002B4C49">
        <w:rPr>
          <w:rFonts w:cs="Arial"/>
        </w:rPr>
        <w:t>iv</w:t>
      </w:r>
      <w:proofErr w:type="spellEnd"/>
      <w:r w:rsidRPr="002B4C49">
        <w:rPr>
          <w:rFonts w:cs="Arial"/>
        </w:rPr>
        <w:t xml:space="preserve">) el análisis de la documentación objeto de estudio y pronunciamiento respecto a los hallazgos detectados, </w:t>
      </w:r>
      <w:proofErr w:type="gramStart"/>
      <w:r w:rsidRPr="002B4C49">
        <w:rPr>
          <w:rFonts w:cs="Arial"/>
        </w:rPr>
        <w:t>en relación al</w:t>
      </w:r>
      <w:proofErr w:type="gramEnd"/>
      <w:r w:rsidRPr="002B4C49">
        <w:rPr>
          <w:rFonts w:cs="Arial"/>
        </w:rPr>
        <w:t xml:space="preserve"> cálculo de intereses y otros. </w:t>
      </w:r>
      <w:r w:rsidR="002B4C49" w:rsidRPr="002B4C49">
        <w:rPr>
          <w:rFonts w:cs="Arial"/>
        </w:rPr>
        <w:t>A efectos de cumplir con el objeto de la pericia, el perito podrá hacer referencia al caso concreto.</w:t>
      </w:r>
    </w:p>
    <w:p w14:paraId="5D5D31BF" w14:textId="77777777" w:rsidR="002B4C49" w:rsidRPr="002B4C49" w:rsidRDefault="002B4C49" w:rsidP="002B4C49">
      <w:pPr>
        <w:pStyle w:val="Prrafodelista"/>
        <w:tabs>
          <w:tab w:val="left" w:pos="900"/>
        </w:tabs>
        <w:autoSpaceDE w:val="0"/>
        <w:autoSpaceDN w:val="0"/>
        <w:adjustRightInd w:val="0"/>
        <w:spacing w:line="240" w:lineRule="auto"/>
        <w:ind w:left="786"/>
        <w:jc w:val="both"/>
        <w:rPr>
          <w:rFonts w:cs="Arial"/>
        </w:rPr>
      </w:pPr>
    </w:p>
    <w:p w14:paraId="6A5081A8" w14:textId="63F75753" w:rsidR="001448E6" w:rsidRPr="002B4C49" w:rsidRDefault="00224C55" w:rsidP="00A432F4">
      <w:pPr>
        <w:pStyle w:val="Prrafodelista"/>
        <w:numPr>
          <w:ilvl w:val="0"/>
          <w:numId w:val="8"/>
        </w:numPr>
        <w:tabs>
          <w:tab w:val="left" w:pos="900"/>
        </w:tabs>
        <w:spacing w:line="240" w:lineRule="auto"/>
        <w:jc w:val="both"/>
        <w:rPr>
          <w:rFonts w:cs="Times New Roman"/>
          <w:i/>
          <w:iCs/>
          <w:lang w:val="es-ES_tradnl"/>
        </w:rPr>
      </w:pPr>
      <w:r w:rsidRPr="002B4C49">
        <w:rPr>
          <w:rFonts w:cs="Times New Roman"/>
          <w:i/>
          <w:iCs/>
          <w:lang w:val="es-ES_tradnl"/>
        </w:rPr>
        <w:t>Joel Segura Alania</w:t>
      </w:r>
      <w:r w:rsidR="00EE01E6" w:rsidRPr="002B4C49">
        <w:rPr>
          <w:rFonts w:cs="Times New Roman"/>
          <w:i/>
          <w:iCs/>
          <w:lang w:val="es-ES_tradnl"/>
        </w:rPr>
        <w:t xml:space="preserve">, </w:t>
      </w:r>
      <w:r w:rsidR="00EE01E6" w:rsidRPr="002B4C49">
        <w:rPr>
          <w:rFonts w:cs="Arial"/>
        </w:rPr>
        <w:t>quien rendirá peritaje sobre</w:t>
      </w:r>
      <w:r w:rsidR="00F6094C" w:rsidRPr="002B4C49">
        <w:rPr>
          <w:rFonts w:cs="Arial"/>
        </w:rPr>
        <w:t>:</w:t>
      </w:r>
      <w:r w:rsidRPr="002B4C49">
        <w:rPr>
          <w:rFonts w:cs="Arial"/>
        </w:rPr>
        <w:t xml:space="preserve"> (i) el análisis jurídico penal de los delitos investigados por las autoridades del Ministerio Público y el Poder Judicial, en agravio del Estado peruano, en relación al caso “Los Cuellos Blancos del Puerto” y su vinculación con el proceso de ejecución de sentencia seguido por la FEMAPOR contra el Ministerio de Economía y Finanzas, </w:t>
      </w:r>
      <w:proofErr w:type="gramStart"/>
      <w:r w:rsidRPr="002B4C49">
        <w:rPr>
          <w:rFonts w:cs="Arial"/>
        </w:rPr>
        <w:t>sub materia</w:t>
      </w:r>
      <w:proofErr w:type="gramEnd"/>
      <w:r w:rsidRPr="002B4C49">
        <w:rPr>
          <w:rFonts w:cs="Arial"/>
        </w:rPr>
        <w:t>, y (</w:t>
      </w:r>
      <w:proofErr w:type="spellStart"/>
      <w:r w:rsidRPr="002B4C49">
        <w:rPr>
          <w:rFonts w:cs="Arial"/>
        </w:rPr>
        <w:t>ii</w:t>
      </w:r>
      <w:proofErr w:type="spellEnd"/>
      <w:r w:rsidRPr="002B4C49">
        <w:rPr>
          <w:rFonts w:cs="Arial"/>
        </w:rPr>
        <w:t xml:space="preserve">) los alcances sobre el delito de fraude procesal en los procesos de ejecución de sentencias. </w:t>
      </w:r>
      <w:r w:rsidR="002B4C49" w:rsidRPr="002B4C49">
        <w:rPr>
          <w:rFonts w:cs="Arial"/>
        </w:rPr>
        <w:t>A efectos de cumplir con el objeto de la pericia, el perito podrá hacer referencia al caso concreto.</w:t>
      </w:r>
    </w:p>
    <w:p w14:paraId="22DDEBBD" w14:textId="77777777" w:rsidR="002B4C49" w:rsidRPr="002B4C49" w:rsidRDefault="002B4C49" w:rsidP="002B4C49">
      <w:pPr>
        <w:pStyle w:val="Prrafodelista"/>
        <w:tabs>
          <w:tab w:val="left" w:pos="900"/>
        </w:tabs>
        <w:spacing w:line="240" w:lineRule="auto"/>
        <w:ind w:left="786"/>
        <w:jc w:val="both"/>
        <w:rPr>
          <w:rFonts w:cs="Times New Roman"/>
          <w:i/>
          <w:iCs/>
          <w:lang w:val="es-ES_tradnl"/>
        </w:rPr>
      </w:pPr>
    </w:p>
    <w:p w14:paraId="74308AE9" w14:textId="1CD5F5CE" w:rsidR="005C0F81" w:rsidRPr="00E15CA5" w:rsidRDefault="005C0F81" w:rsidP="000D150C">
      <w:pPr>
        <w:pStyle w:val="Prrafodelista"/>
        <w:numPr>
          <w:ilvl w:val="0"/>
          <w:numId w:val="4"/>
        </w:numPr>
        <w:tabs>
          <w:tab w:val="left" w:pos="567"/>
        </w:tabs>
        <w:autoSpaceDE w:val="0"/>
        <w:autoSpaceDN w:val="0"/>
        <w:adjustRightInd w:val="0"/>
        <w:spacing w:line="240" w:lineRule="auto"/>
        <w:ind w:left="0" w:firstLine="0"/>
        <w:jc w:val="both"/>
        <w:rPr>
          <w:rFonts w:cs="Verdana"/>
          <w:color w:val="000000"/>
        </w:rPr>
      </w:pPr>
      <w:r w:rsidRPr="00E15CA5">
        <w:t xml:space="preserve">Requerir </w:t>
      </w:r>
      <w:r w:rsidR="00224C55" w:rsidRPr="00E15CA5">
        <w:t>al Estado</w:t>
      </w:r>
      <w:r w:rsidR="00BD1F0D" w:rsidRPr="00E15CA5">
        <w:t xml:space="preserve"> </w:t>
      </w:r>
      <w:r w:rsidR="00224C55" w:rsidRPr="00E15CA5">
        <w:t>que notifique</w:t>
      </w:r>
      <w:r w:rsidRPr="00E15CA5">
        <w:t xml:space="preserve"> la presente Resolución a los </w:t>
      </w:r>
      <w:r w:rsidR="00224C55" w:rsidRPr="00E15CA5">
        <w:t>declarantes propuestos por él</w:t>
      </w:r>
      <w:r w:rsidRPr="00E15CA5">
        <w:t xml:space="preserve">, de conformidad con lo dispuesto en los artículos 50.2 y 50.4 del Reglamento. </w:t>
      </w:r>
      <w:r w:rsidR="00E90780" w:rsidRPr="00E15CA5">
        <w:rPr>
          <w:rFonts w:cs="Verdana"/>
          <w:color w:val="000000"/>
        </w:rPr>
        <w:t xml:space="preserve">En el caso </w:t>
      </w:r>
      <w:r w:rsidR="00186B85" w:rsidRPr="00E15CA5">
        <w:rPr>
          <w:rFonts w:cs="Verdana"/>
          <w:color w:val="000000"/>
        </w:rPr>
        <w:t xml:space="preserve">de </w:t>
      </w:r>
      <w:r w:rsidR="00224C55" w:rsidRPr="00E15CA5">
        <w:rPr>
          <w:rFonts w:cs="Verdana"/>
          <w:color w:val="000000"/>
        </w:rPr>
        <w:t>que lo</w:t>
      </w:r>
      <w:r w:rsidR="001B03B6" w:rsidRPr="00E15CA5">
        <w:rPr>
          <w:rFonts w:cs="Verdana"/>
          <w:color w:val="000000"/>
        </w:rPr>
        <w:t>s</w:t>
      </w:r>
      <w:r w:rsidR="00224C55" w:rsidRPr="00E15CA5">
        <w:rPr>
          <w:rFonts w:cs="Verdana"/>
          <w:color w:val="000000"/>
        </w:rPr>
        <w:t xml:space="preserve"> perito</w:t>
      </w:r>
      <w:r w:rsidR="001B03B6" w:rsidRPr="00E15CA5">
        <w:rPr>
          <w:rFonts w:cs="Verdana"/>
          <w:color w:val="000000"/>
        </w:rPr>
        <w:t>s</w:t>
      </w:r>
      <w:r w:rsidR="00224C55" w:rsidRPr="00E15CA5">
        <w:rPr>
          <w:rFonts w:cs="Verdana"/>
          <w:color w:val="000000"/>
        </w:rPr>
        <w:t xml:space="preserve"> convocado</w:t>
      </w:r>
      <w:r w:rsidR="001B03B6" w:rsidRPr="00E15CA5">
        <w:rPr>
          <w:rFonts w:cs="Verdana"/>
          <w:color w:val="000000"/>
        </w:rPr>
        <w:t>s</w:t>
      </w:r>
      <w:r w:rsidR="00E90780" w:rsidRPr="00E15CA5">
        <w:rPr>
          <w:rFonts w:cs="Verdana"/>
          <w:color w:val="000000"/>
        </w:rPr>
        <w:t xml:space="preserve"> a declarar durante la audiencia desee</w:t>
      </w:r>
      <w:r w:rsidR="001B03B6" w:rsidRPr="00E15CA5">
        <w:rPr>
          <w:rFonts w:cs="Verdana"/>
          <w:color w:val="000000"/>
        </w:rPr>
        <w:t>n</w:t>
      </w:r>
      <w:r w:rsidR="00E90780" w:rsidRPr="00E15CA5">
        <w:rPr>
          <w:rFonts w:cs="Verdana"/>
          <w:color w:val="000000"/>
        </w:rPr>
        <w:t xml:space="preserve"> presentar una versión escrita de su peritaje, deberá</w:t>
      </w:r>
      <w:r w:rsidR="001B03B6" w:rsidRPr="00E15CA5">
        <w:rPr>
          <w:rFonts w:cs="Verdana"/>
          <w:color w:val="000000"/>
        </w:rPr>
        <w:t>n</w:t>
      </w:r>
      <w:r w:rsidR="00E90780" w:rsidRPr="00E15CA5">
        <w:rPr>
          <w:rFonts w:cs="Verdana"/>
          <w:color w:val="000000"/>
        </w:rPr>
        <w:t xml:space="preserve"> presentarla</w:t>
      </w:r>
      <w:r w:rsidR="001B03B6" w:rsidRPr="00E15CA5">
        <w:rPr>
          <w:rFonts w:cs="Verdana"/>
          <w:color w:val="000000"/>
        </w:rPr>
        <w:t>s</w:t>
      </w:r>
      <w:r w:rsidR="00E90780" w:rsidRPr="00E15CA5">
        <w:rPr>
          <w:rFonts w:cs="Verdana"/>
          <w:color w:val="000000"/>
        </w:rPr>
        <w:t xml:space="preserve"> a la Corte a más tardar el </w:t>
      </w:r>
      <w:r w:rsidR="00BF44B2">
        <w:rPr>
          <w:rFonts w:cs="Verdana"/>
          <w:color w:val="000000"/>
        </w:rPr>
        <w:t>3</w:t>
      </w:r>
      <w:r w:rsidR="00E15CA5" w:rsidRPr="00E15CA5">
        <w:rPr>
          <w:rFonts w:cs="Verdana"/>
          <w:color w:val="000000"/>
        </w:rPr>
        <w:t xml:space="preserve"> de </w:t>
      </w:r>
      <w:r w:rsidR="00224C55" w:rsidRPr="00E15CA5">
        <w:rPr>
          <w:rFonts w:cs="Verdana"/>
          <w:color w:val="000000"/>
        </w:rPr>
        <w:t>junio</w:t>
      </w:r>
      <w:r w:rsidR="00E756DE" w:rsidRPr="00E15CA5">
        <w:rPr>
          <w:rFonts w:cs="Verdana"/>
          <w:color w:val="000000"/>
        </w:rPr>
        <w:t xml:space="preserve"> de 2021</w:t>
      </w:r>
      <w:r w:rsidR="00E90780" w:rsidRPr="00E15CA5">
        <w:rPr>
          <w:rFonts w:cs="Verdana"/>
          <w:color w:val="000000"/>
        </w:rPr>
        <w:t xml:space="preserve">. </w:t>
      </w:r>
    </w:p>
    <w:p w14:paraId="7DE40FA6" w14:textId="77777777" w:rsidR="005C0F81" w:rsidRPr="008E5B95" w:rsidRDefault="005C0F81" w:rsidP="005C0F81">
      <w:pPr>
        <w:pStyle w:val="Prrafodelista"/>
        <w:tabs>
          <w:tab w:val="left" w:pos="567"/>
        </w:tabs>
        <w:spacing w:line="240" w:lineRule="auto"/>
        <w:ind w:left="0"/>
        <w:jc w:val="both"/>
      </w:pPr>
    </w:p>
    <w:p w14:paraId="3D30FB9D" w14:textId="660992C5" w:rsidR="005C0F81" w:rsidRPr="008E5B95" w:rsidRDefault="005C0F81" w:rsidP="005C0F81">
      <w:pPr>
        <w:pStyle w:val="Prrafodelista"/>
        <w:numPr>
          <w:ilvl w:val="0"/>
          <w:numId w:val="4"/>
        </w:numPr>
        <w:tabs>
          <w:tab w:val="left" w:pos="567"/>
        </w:tabs>
        <w:spacing w:line="240" w:lineRule="auto"/>
        <w:ind w:left="0" w:firstLine="0"/>
        <w:jc w:val="both"/>
      </w:pPr>
      <w:r w:rsidRPr="008E5B95">
        <w:t xml:space="preserve">Requerir </w:t>
      </w:r>
      <w:r w:rsidR="002C4F31" w:rsidRPr="008E5B95">
        <w:t xml:space="preserve">a </w:t>
      </w:r>
      <w:r w:rsidR="00E15CA5">
        <w:t>las dos representaciones de las presuntas víctimas</w:t>
      </w:r>
      <w:r w:rsidR="002C4F31" w:rsidRPr="008E5B95">
        <w:t xml:space="preserve"> </w:t>
      </w:r>
      <w:r w:rsidRPr="008E5B95">
        <w:t>para que remita</w:t>
      </w:r>
      <w:r w:rsidR="00435A39" w:rsidRPr="008E5B95">
        <w:t>n</w:t>
      </w:r>
      <w:r w:rsidRPr="008E5B95">
        <w:t xml:space="preserve">, en los términos del artículo </w:t>
      </w:r>
      <w:r w:rsidRPr="00E15CA5">
        <w:t xml:space="preserve">50.5 del Reglamento, de considerarlo pertinente y en el plazo improrrogable que vence el </w:t>
      </w:r>
      <w:r w:rsidR="00BF44B2">
        <w:t>26</w:t>
      </w:r>
      <w:r w:rsidRPr="00E15CA5">
        <w:t xml:space="preserve"> de </w:t>
      </w:r>
      <w:r w:rsidR="00224C55" w:rsidRPr="00E15CA5">
        <w:t>mayo</w:t>
      </w:r>
      <w:r w:rsidRPr="00E15CA5">
        <w:t xml:space="preserve"> de </w:t>
      </w:r>
      <w:r w:rsidR="00E756DE" w:rsidRPr="00E15CA5">
        <w:t>2021</w:t>
      </w:r>
      <w:r w:rsidRPr="00E15CA5">
        <w:t>, las preguntas</w:t>
      </w:r>
      <w:r w:rsidRPr="008E5B95">
        <w:t xml:space="preserve"> que estime</w:t>
      </w:r>
      <w:r w:rsidR="002C4F31" w:rsidRPr="008E5B95">
        <w:t>n</w:t>
      </w:r>
      <w:r w:rsidRPr="008E5B95">
        <w:t xml:space="preserve"> pertinente </w:t>
      </w:r>
      <w:r w:rsidRPr="008E5B95">
        <w:lastRenderedPageBreak/>
        <w:t xml:space="preserve">formular, a través de la Corte Interamericana, a los declarantes indicados en el punto resolutivo 2 de la presente Resolución. </w:t>
      </w:r>
    </w:p>
    <w:p w14:paraId="35E5A371" w14:textId="77777777" w:rsidR="005C0F81" w:rsidRPr="008E5B95" w:rsidRDefault="005C0F81" w:rsidP="005C0F81">
      <w:pPr>
        <w:pStyle w:val="Prrafodelista"/>
      </w:pPr>
    </w:p>
    <w:p w14:paraId="7929590C" w14:textId="64C7BF4C" w:rsidR="005C0F81" w:rsidRPr="00E15CA5" w:rsidRDefault="005C0F81" w:rsidP="005C0F81">
      <w:pPr>
        <w:pStyle w:val="Prrafodelista"/>
        <w:numPr>
          <w:ilvl w:val="0"/>
          <w:numId w:val="4"/>
        </w:numPr>
        <w:tabs>
          <w:tab w:val="left" w:pos="567"/>
        </w:tabs>
        <w:spacing w:line="240" w:lineRule="auto"/>
        <w:ind w:left="0" w:firstLine="0"/>
        <w:jc w:val="both"/>
      </w:pPr>
      <w:r w:rsidRPr="00E15CA5">
        <w:t xml:space="preserve">Requerir </w:t>
      </w:r>
      <w:r w:rsidR="00224C55" w:rsidRPr="00E15CA5">
        <w:t>al Estado</w:t>
      </w:r>
      <w:r w:rsidR="00BD1F0D" w:rsidRPr="00E15CA5">
        <w:t xml:space="preserve"> </w:t>
      </w:r>
      <w:r w:rsidRPr="00E15CA5">
        <w:t xml:space="preserve">que coordine y </w:t>
      </w:r>
      <w:r w:rsidR="00224C55" w:rsidRPr="00E15CA5">
        <w:t>realice</w:t>
      </w:r>
      <w:r w:rsidRPr="00E15CA5">
        <w:t xml:space="preserve"> las diligencias necesarias para que, una vez recibidas las preguntas, s</w:t>
      </w:r>
      <w:r w:rsidR="002C4F31" w:rsidRPr="00E15CA5">
        <w:t xml:space="preserve">i las hubiere, los declarantes </w:t>
      </w:r>
      <w:r w:rsidRPr="00E15CA5">
        <w:t>incluyan las respuestas en sus respectivas declaraciones rendid</w:t>
      </w:r>
      <w:r w:rsidR="00435A39" w:rsidRPr="00E15CA5">
        <w:t>a</w:t>
      </w:r>
      <w:r w:rsidRPr="00E15CA5">
        <w:t xml:space="preserve">s ante fedatario público, salvo que esta Presidencia disponga lo contrario, cuando la Secretaría las transmita. Las declaraciones requeridas deberán ser presentadas al Tribunal a más tardar el </w:t>
      </w:r>
      <w:r w:rsidR="00BF44B2">
        <w:t>3</w:t>
      </w:r>
      <w:r w:rsidRPr="00E15CA5">
        <w:t xml:space="preserve"> de </w:t>
      </w:r>
      <w:r w:rsidR="00E15CA5" w:rsidRPr="00E15CA5">
        <w:t>junio</w:t>
      </w:r>
      <w:r w:rsidRPr="00E15CA5">
        <w:t xml:space="preserve"> de 2021. </w:t>
      </w:r>
    </w:p>
    <w:p w14:paraId="1BBB694A" w14:textId="77777777" w:rsidR="005C0F81" w:rsidRPr="008E5B95" w:rsidRDefault="005C0F81" w:rsidP="005C0F81">
      <w:pPr>
        <w:pStyle w:val="Prrafodelista"/>
      </w:pPr>
    </w:p>
    <w:p w14:paraId="4B8605EF" w14:textId="5E91E8C2" w:rsidR="00E17956" w:rsidRPr="00E15CA5" w:rsidRDefault="005C0F81" w:rsidP="00194D24">
      <w:pPr>
        <w:pStyle w:val="Prrafodelista"/>
        <w:numPr>
          <w:ilvl w:val="0"/>
          <w:numId w:val="4"/>
        </w:numPr>
        <w:tabs>
          <w:tab w:val="left" w:pos="567"/>
        </w:tabs>
        <w:spacing w:line="240" w:lineRule="auto"/>
        <w:ind w:left="0" w:firstLine="0"/>
        <w:jc w:val="both"/>
        <w:rPr>
          <w:rFonts w:cs="Calibri"/>
          <w:color w:val="000000"/>
        </w:rPr>
      </w:pPr>
      <w:r w:rsidRPr="008E5B95">
        <w:t xml:space="preserve">Disponer, conforme al artículo 50.6 del Reglamento, que, una vez recibidas las declaraciones, la Secretaría las transmita </w:t>
      </w:r>
      <w:r w:rsidR="002C4F31" w:rsidRPr="008E5B95">
        <w:t xml:space="preserve">a las partes y a la Comisión </w:t>
      </w:r>
      <w:r w:rsidRPr="008E5B95">
        <w:t xml:space="preserve">para que, si lo estiman necesario y en lo que les corresponda, presenten sus observaciones a más tardar con sus alegatos u observaciones finales escritas, respectivamente. </w:t>
      </w:r>
    </w:p>
    <w:p w14:paraId="1E9B3345" w14:textId="77777777" w:rsidR="00E15CA5" w:rsidRPr="00E15CA5" w:rsidRDefault="00E15CA5" w:rsidP="00E15CA5">
      <w:pPr>
        <w:pStyle w:val="Prrafodelista"/>
        <w:tabs>
          <w:tab w:val="left" w:pos="567"/>
        </w:tabs>
        <w:spacing w:line="240" w:lineRule="auto"/>
        <w:ind w:left="0"/>
        <w:jc w:val="both"/>
        <w:rPr>
          <w:rFonts w:cs="Calibri"/>
          <w:color w:val="000000"/>
        </w:rPr>
      </w:pPr>
    </w:p>
    <w:p w14:paraId="4D2A3956" w14:textId="199BA239" w:rsidR="00566436" w:rsidRPr="00BF2340" w:rsidRDefault="00E15CA5" w:rsidP="00D46177">
      <w:pPr>
        <w:pStyle w:val="Prrafodelista"/>
        <w:numPr>
          <w:ilvl w:val="0"/>
          <w:numId w:val="4"/>
        </w:numPr>
        <w:tabs>
          <w:tab w:val="left" w:pos="567"/>
        </w:tabs>
        <w:spacing w:line="240" w:lineRule="auto"/>
        <w:ind w:left="0" w:firstLine="0"/>
        <w:jc w:val="both"/>
        <w:rPr>
          <w:rFonts w:cs="Calibri"/>
          <w:color w:val="000000"/>
        </w:rPr>
      </w:pPr>
      <w:r w:rsidRPr="00BF2340">
        <w:rPr>
          <w:rFonts w:cs="Calibri"/>
          <w:color w:val="000000"/>
        </w:rPr>
        <w:t>Incorporar al acervo probatorio, como prueba documental</w:t>
      </w:r>
      <w:r w:rsidR="00AF0C72" w:rsidRPr="00BF2340">
        <w:rPr>
          <w:rFonts w:cs="Calibri"/>
          <w:color w:val="000000"/>
        </w:rPr>
        <w:t>,</w:t>
      </w:r>
      <w:r w:rsidRPr="00BF2340">
        <w:rPr>
          <w:rFonts w:cs="Calibri"/>
          <w:color w:val="000000"/>
        </w:rPr>
        <w:t xml:space="preserve"> la declaración pericial </w:t>
      </w:r>
      <w:r w:rsidR="00AF0C72" w:rsidRPr="00BF2340">
        <w:rPr>
          <w:rFonts w:cs="Calibri"/>
          <w:color w:val="000000"/>
        </w:rPr>
        <w:t xml:space="preserve">rendida por </w:t>
      </w:r>
      <w:r w:rsidR="00566436">
        <w:t xml:space="preserve">Christian </w:t>
      </w:r>
      <w:proofErr w:type="spellStart"/>
      <w:r w:rsidR="00566436">
        <w:t>Courtis</w:t>
      </w:r>
      <w:proofErr w:type="spellEnd"/>
      <w:r w:rsidR="00566436">
        <w:t xml:space="preserve"> dentro del </w:t>
      </w:r>
      <w:r w:rsidR="00566436" w:rsidRPr="00BF2340">
        <w:rPr>
          <w:i/>
        </w:rPr>
        <w:t>Caso Muelle Flores Vs. Perú</w:t>
      </w:r>
      <w:r w:rsidRPr="00BF2340">
        <w:rPr>
          <w:rFonts w:cs="Calibri"/>
          <w:color w:val="000000"/>
        </w:rPr>
        <w:t>.</w:t>
      </w:r>
      <w:r w:rsidR="00846ADB" w:rsidRPr="00BF2340">
        <w:rPr>
          <w:rFonts w:cs="Calibri"/>
          <w:color w:val="000000"/>
        </w:rPr>
        <w:t xml:space="preserve"> </w:t>
      </w:r>
    </w:p>
    <w:p w14:paraId="02AB132B" w14:textId="6892AA2C" w:rsidR="00BF2340" w:rsidRPr="00BF2340" w:rsidRDefault="00BF2340" w:rsidP="00BF2340">
      <w:pPr>
        <w:pStyle w:val="Prrafodelista"/>
        <w:tabs>
          <w:tab w:val="left" w:pos="567"/>
        </w:tabs>
        <w:spacing w:line="240" w:lineRule="auto"/>
        <w:ind w:left="0"/>
        <w:jc w:val="both"/>
        <w:rPr>
          <w:rFonts w:cs="Calibri"/>
          <w:color w:val="000000"/>
        </w:rPr>
      </w:pPr>
    </w:p>
    <w:p w14:paraId="27FC211B" w14:textId="77AE956F" w:rsidR="00E15CA5" w:rsidRPr="008E5B95" w:rsidRDefault="00E15CA5" w:rsidP="00E15CA5">
      <w:pPr>
        <w:pStyle w:val="Prrafodelista"/>
        <w:numPr>
          <w:ilvl w:val="0"/>
          <w:numId w:val="4"/>
        </w:numPr>
        <w:tabs>
          <w:tab w:val="left" w:pos="567"/>
        </w:tabs>
        <w:spacing w:line="240" w:lineRule="auto"/>
        <w:ind w:left="0" w:firstLine="0"/>
        <w:jc w:val="both"/>
        <w:rPr>
          <w:rFonts w:cs="Calibri"/>
          <w:color w:val="000000"/>
        </w:rPr>
      </w:pPr>
      <w:r w:rsidRPr="00E15CA5">
        <w:rPr>
          <w:rFonts w:cs="Calibri"/>
          <w:color w:val="000000"/>
        </w:rPr>
        <w:t xml:space="preserve">Disponer que la Secretaría de la Corte transmita al Estado, a los representantes de las presuntas </w:t>
      </w:r>
      <w:r w:rsidRPr="00E15CA5">
        <w:t>víctimas</w:t>
      </w:r>
      <w:r w:rsidRPr="00E15CA5">
        <w:rPr>
          <w:rFonts w:cs="Calibri"/>
          <w:color w:val="000000"/>
        </w:rPr>
        <w:t xml:space="preserve"> y a la Comisión Interamericana la documentación referida en el punto resolutivo anterior para que presenten las observaciones que estimen pertinentes, a más tardar con sus alegatos u observaciones finales escritas.</w:t>
      </w:r>
    </w:p>
    <w:p w14:paraId="17E445FC" w14:textId="77777777" w:rsidR="00E17956" w:rsidRPr="008E5B95" w:rsidRDefault="00E17956" w:rsidP="00E15CA5">
      <w:pPr>
        <w:pStyle w:val="Prrafodelista"/>
        <w:tabs>
          <w:tab w:val="left" w:pos="567"/>
        </w:tabs>
        <w:spacing w:line="240" w:lineRule="auto"/>
        <w:ind w:left="0"/>
        <w:jc w:val="both"/>
        <w:rPr>
          <w:rFonts w:cs="Calibri"/>
          <w:color w:val="000000"/>
        </w:rPr>
      </w:pPr>
    </w:p>
    <w:p w14:paraId="4DC5D1A5" w14:textId="29856971" w:rsidR="000D150C" w:rsidRPr="008E5B95" w:rsidRDefault="005C0F81" w:rsidP="000D150C">
      <w:pPr>
        <w:pStyle w:val="Prrafodelista"/>
        <w:numPr>
          <w:ilvl w:val="0"/>
          <w:numId w:val="4"/>
        </w:numPr>
        <w:tabs>
          <w:tab w:val="left" w:pos="567"/>
        </w:tabs>
        <w:spacing w:line="240" w:lineRule="auto"/>
        <w:ind w:left="0" w:firstLine="0"/>
        <w:jc w:val="both"/>
      </w:pPr>
      <w:r w:rsidRPr="008E5B95">
        <w:t>Informa</w:t>
      </w:r>
      <w:r w:rsidR="000D150C" w:rsidRPr="008E5B95">
        <w:t xml:space="preserve">r </w:t>
      </w:r>
      <w:r w:rsidR="00E15CA5">
        <w:t>al Estado</w:t>
      </w:r>
      <w:r w:rsidR="00BD1F0D" w:rsidRPr="008E5B95">
        <w:t xml:space="preserve"> </w:t>
      </w:r>
      <w:r w:rsidRPr="008E5B95">
        <w:t>que debe cubrir los gastos que ocasione la aportación de la prueba propuesta por ellos, de conformidad con lo dispuesto en</w:t>
      </w:r>
      <w:r w:rsidR="00CC50A6">
        <w:t xml:space="preserve"> el artículo 60 del Reglamento.</w:t>
      </w:r>
    </w:p>
    <w:p w14:paraId="01DBA2BF" w14:textId="59EBD581" w:rsidR="000D150C" w:rsidRPr="008E5B95" w:rsidRDefault="000D150C" w:rsidP="000D150C">
      <w:pPr>
        <w:pStyle w:val="Prrafodelista"/>
        <w:tabs>
          <w:tab w:val="left" w:pos="567"/>
        </w:tabs>
        <w:spacing w:line="240" w:lineRule="auto"/>
        <w:ind w:left="0"/>
        <w:jc w:val="both"/>
      </w:pPr>
    </w:p>
    <w:p w14:paraId="72A701A2" w14:textId="4F24E094" w:rsidR="005C0F81" w:rsidRPr="00E15CA5" w:rsidRDefault="007A0CCC" w:rsidP="005C0F81">
      <w:pPr>
        <w:pStyle w:val="Prrafodelista"/>
        <w:numPr>
          <w:ilvl w:val="0"/>
          <w:numId w:val="4"/>
        </w:numPr>
        <w:tabs>
          <w:tab w:val="left" w:pos="567"/>
        </w:tabs>
        <w:spacing w:line="240" w:lineRule="auto"/>
        <w:ind w:left="0" w:firstLine="0"/>
        <w:jc w:val="both"/>
      </w:pPr>
      <w:r w:rsidRPr="00E15CA5">
        <w:t>Solicitar a las partes y a la Comisión que</w:t>
      </w:r>
      <w:r w:rsidR="005C0F81" w:rsidRPr="00E15CA5">
        <w:t xml:space="preserve">, a más tardar el </w:t>
      </w:r>
      <w:r w:rsidR="00E15CA5" w:rsidRPr="00E15CA5">
        <w:t>28</w:t>
      </w:r>
      <w:r w:rsidR="005C0F81" w:rsidRPr="00E15CA5">
        <w:t xml:space="preserve"> de </w:t>
      </w:r>
      <w:r w:rsidR="00224C55" w:rsidRPr="00E15CA5">
        <w:t>mayo</w:t>
      </w:r>
      <w:r w:rsidR="005C0F81" w:rsidRPr="00E15CA5">
        <w:t xml:space="preserve"> de 2021, acrediten ante la Secretaría de la Corte los nombres de las personas que estarán presentes durante la audiencia pública virtual. Al respecto, en la misma comunicación en que acrediten, deberán indicar los correos electrónicos y teléfonos de contacto de las personas que integran la delegación y de las personas convocadas a declarar. Posteriormente se comunicarán los aspectos técnicos y logísticos. </w:t>
      </w:r>
    </w:p>
    <w:p w14:paraId="4B7238B0" w14:textId="77777777" w:rsidR="005C0F81" w:rsidRPr="008E5B95" w:rsidRDefault="005C0F81" w:rsidP="005C0F81">
      <w:pPr>
        <w:pStyle w:val="Prrafodelista"/>
      </w:pPr>
    </w:p>
    <w:p w14:paraId="0A3A3397" w14:textId="0B1ABA2F" w:rsidR="005C0F81" w:rsidRPr="008E5B95" w:rsidRDefault="005C0F81" w:rsidP="005C0F81">
      <w:pPr>
        <w:pStyle w:val="Prrafodelista"/>
        <w:numPr>
          <w:ilvl w:val="0"/>
          <w:numId w:val="4"/>
        </w:numPr>
        <w:tabs>
          <w:tab w:val="left" w:pos="567"/>
        </w:tabs>
        <w:spacing w:line="240" w:lineRule="auto"/>
        <w:ind w:left="0" w:firstLine="0"/>
        <w:jc w:val="both"/>
      </w:pPr>
      <w:r w:rsidRPr="008E5B95">
        <w:t xml:space="preserve">Requerir </w:t>
      </w:r>
      <w:r w:rsidR="00E15CA5">
        <w:t>al Estado que informe</w:t>
      </w:r>
      <w:r w:rsidRPr="008E5B95">
        <w:t xml:space="preserve">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14:paraId="261FF4D2" w14:textId="77777777" w:rsidR="005C0F81" w:rsidRPr="008E5B95" w:rsidRDefault="005C0F81" w:rsidP="005C0F81">
      <w:pPr>
        <w:pStyle w:val="Prrafodelista"/>
      </w:pPr>
    </w:p>
    <w:p w14:paraId="26CA85FB" w14:textId="4C134E18" w:rsidR="005C0F81" w:rsidRPr="008E5B95" w:rsidRDefault="005C0F81" w:rsidP="005C0F81">
      <w:pPr>
        <w:pStyle w:val="Prrafodelista"/>
        <w:numPr>
          <w:ilvl w:val="0"/>
          <w:numId w:val="4"/>
        </w:numPr>
        <w:tabs>
          <w:tab w:val="left" w:pos="567"/>
        </w:tabs>
        <w:spacing w:line="240" w:lineRule="auto"/>
        <w:ind w:left="0" w:firstLine="0"/>
        <w:jc w:val="both"/>
      </w:pPr>
      <w:r w:rsidRPr="008E5B95">
        <w:t xml:space="preserve">Informar </w:t>
      </w:r>
      <w:r w:rsidR="007A0CCC" w:rsidRPr="008E5B95">
        <w:t xml:space="preserve">a las partes y a la Comisión </w:t>
      </w:r>
      <w:r w:rsidRPr="008E5B95">
        <w:t xml:space="preserve">que, al término de las declaraciones rendidas en la audiencia pública, podrán presentar ante el Tribunal sus alegatos finales orales y observaciones finales orales, respectivamente, sobre </w:t>
      </w:r>
      <w:r w:rsidR="00CC50A6">
        <w:t xml:space="preserve">las excepciones preliminares y los eventuales fondo, </w:t>
      </w:r>
      <w:r w:rsidRPr="008E5B95">
        <w:t xml:space="preserve">reparaciones y costas en el presente caso. </w:t>
      </w:r>
    </w:p>
    <w:p w14:paraId="337A6027" w14:textId="77777777" w:rsidR="005C0F81" w:rsidRPr="008E5B95" w:rsidRDefault="005C0F81" w:rsidP="005C0F81">
      <w:pPr>
        <w:pStyle w:val="Prrafodelista"/>
      </w:pPr>
    </w:p>
    <w:p w14:paraId="79BC762A" w14:textId="4E66601A" w:rsidR="005C0F81" w:rsidRPr="008E5B95" w:rsidRDefault="005C0F81" w:rsidP="005C0F81">
      <w:pPr>
        <w:pStyle w:val="Prrafodelista"/>
        <w:numPr>
          <w:ilvl w:val="0"/>
          <w:numId w:val="4"/>
        </w:numPr>
        <w:tabs>
          <w:tab w:val="left" w:pos="567"/>
        </w:tabs>
        <w:spacing w:line="240" w:lineRule="auto"/>
        <w:ind w:left="0" w:firstLine="0"/>
        <w:jc w:val="both"/>
      </w:pPr>
      <w:r w:rsidRPr="008E5B95">
        <w:t xml:space="preserve">Disponer que la Secretaría de la Corte, de conformidad con lo dispuesto en el artículo 55.3 del Reglamento, indique a </w:t>
      </w:r>
      <w:r w:rsidR="007A0CCC" w:rsidRPr="008E5B95">
        <w:t xml:space="preserve">las partes y a la Comisión </w:t>
      </w:r>
      <w:r w:rsidRPr="008E5B95">
        <w:t xml:space="preserve">el enlace donde se encontrará disponible la grabación de la audiencia pública sobre </w:t>
      </w:r>
      <w:r w:rsidR="001C4681">
        <w:t xml:space="preserve">el </w:t>
      </w:r>
      <w:r w:rsidRPr="008E5B95">
        <w:t>fondo</w:t>
      </w:r>
      <w:r w:rsidR="001C4681">
        <w:t xml:space="preserve"> y</w:t>
      </w:r>
      <w:r w:rsidRPr="008E5B95">
        <w:t xml:space="preserve"> </w:t>
      </w:r>
      <w:r w:rsidR="001C4681" w:rsidRPr="008E5B95">
        <w:t>l</w:t>
      </w:r>
      <w:r w:rsidR="001C4681">
        <w:t>a</w:t>
      </w:r>
      <w:r w:rsidR="001C4681" w:rsidRPr="008E5B95">
        <w:t xml:space="preserve">s eventuales </w:t>
      </w:r>
      <w:r w:rsidRPr="008E5B95">
        <w:t xml:space="preserve">reparaciones y costas, a la brevedad posible luego de la celebración de la referida audiencia. </w:t>
      </w:r>
    </w:p>
    <w:p w14:paraId="5892AE2C" w14:textId="77777777" w:rsidR="005C0F81" w:rsidRPr="008E5B95" w:rsidRDefault="005C0F81" w:rsidP="005C0F81">
      <w:pPr>
        <w:pStyle w:val="Prrafodelista"/>
      </w:pPr>
    </w:p>
    <w:p w14:paraId="74C9620A" w14:textId="38FC60E2" w:rsidR="00CC50A6" w:rsidRDefault="005C0F81" w:rsidP="00CC50A6">
      <w:pPr>
        <w:pStyle w:val="Prrafodelista"/>
        <w:numPr>
          <w:ilvl w:val="0"/>
          <w:numId w:val="4"/>
        </w:numPr>
        <w:tabs>
          <w:tab w:val="left" w:pos="567"/>
        </w:tabs>
        <w:spacing w:line="240" w:lineRule="auto"/>
        <w:ind w:left="0" w:firstLine="0"/>
        <w:jc w:val="both"/>
      </w:pPr>
      <w:r w:rsidRPr="008E5B95">
        <w:t xml:space="preserve">Informar a </w:t>
      </w:r>
      <w:r w:rsidR="007A0CCC" w:rsidRPr="00E15CA5">
        <w:t xml:space="preserve">las partes y a la Comisión </w:t>
      </w:r>
      <w:r w:rsidRPr="00E15CA5">
        <w:t xml:space="preserve">que, en los términos del artículo 56 del Reglamento, cuentan con plazo hasta el </w:t>
      </w:r>
      <w:r w:rsidR="00FA5556">
        <w:t>8</w:t>
      </w:r>
      <w:r w:rsidR="00CC50A6" w:rsidRPr="00E15CA5">
        <w:t xml:space="preserve"> de julio</w:t>
      </w:r>
      <w:r w:rsidRPr="00E15CA5">
        <w:t xml:space="preserve"> de 2021, para presentar sus</w:t>
      </w:r>
      <w:r w:rsidRPr="008E5B95">
        <w:t xml:space="preserve"> alegatos finales escritos y </w:t>
      </w:r>
      <w:r w:rsidRPr="008E5B95">
        <w:lastRenderedPageBreak/>
        <w:t>observaciones finales escritas, respectivamente, en relación con</w:t>
      </w:r>
      <w:r w:rsidR="00CC50A6">
        <w:t xml:space="preserve"> las excepciones preliminares y los eventuales fondo, </w:t>
      </w:r>
      <w:r w:rsidRPr="008E5B95">
        <w:t>reparaciones y costas en el presente caso. Este plazo es improrrogable.</w:t>
      </w:r>
    </w:p>
    <w:p w14:paraId="6D5180C7" w14:textId="77777777" w:rsidR="00CC50A6" w:rsidRPr="008E5B95" w:rsidRDefault="00CC50A6" w:rsidP="00CC50A6">
      <w:pPr>
        <w:pStyle w:val="Prrafodelista"/>
        <w:tabs>
          <w:tab w:val="left" w:pos="567"/>
        </w:tabs>
        <w:spacing w:line="240" w:lineRule="auto"/>
        <w:ind w:left="0"/>
        <w:jc w:val="both"/>
      </w:pPr>
    </w:p>
    <w:p w14:paraId="7180BE18" w14:textId="77BC139B" w:rsidR="00563E96" w:rsidRDefault="005C0F81" w:rsidP="005643E0">
      <w:pPr>
        <w:pStyle w:val="Prrafodelista"/>
        <w:numPr>
          <w:ilvl w:val="0"/>
          <w:numId w:val="4"/>
        </w:numPr>
        <w:tabs>
          <w:tab w:val="left" w:pos="567"/>
        </w:tabs>
        <w:spacing w:line="240" w:lineRule="auto"/>
        <w:ind w:left="0" w:firstLine="0"/>
        <w:jc w:val="both"/>
      </w:pPr>
      <w:r w:rsidRPr="008E5B95">
        <w:t xml:space="preserve">Disponer que la Secretaría de la Corte Interamericana notifique la presente Resolución a la Comisión Interamericana de Derechos Humanos, a </w:t>
      </w:r>
      <w:r w:rsidR="00EB4920" w:rsidRPr="008E5B95">
        <w:t>las representantes</w:t>
      </w:r>
      <w:r w:rsidR="00BD1F0D" w:rsidRPr="008E5B95">
        <w:t xml:space="preserve"> </w:t>
      </w:r>
      <w:r w:rsidRPr="008E5B95">
        <w:t>de las pr</w:t>
      </w:r>
      <w:r w:rsidR="007A0CCC" w:rsidRPr="008E5B95">
        <w:t xml:space="preserve">esuntas víctimas y a la República de </w:t>
      </w:r>
      <w:r w:rsidR="00AF0C72">
        <w:t>Perú</w:t>
      </w:r>
      <w:r w:rsidRPr="008E5B95">
        <w:t>.</w:t>
      </w:r>
    </w:p>
    <w:p w14:paraId="05595940" w14:textId="77777777" w:rsidR="00813B30" w:rsidRDefault="00813B30" w:rsidP="00813B30">
      <w:pPr>
        <w:pStyle w:val="Prrafodelista"/>
      </w:pPr>
    </w:p>
    <w:p w14:paraId="02319FEC" w14:textId="7520CBEA" w:rsidR="00813B30" w:rsidRPr="00B938E6" w:rsidRDefault="00813B30" w:rsidP="00813B30">
      <w:pPr>
        <w:keepNext/>
        <w:spacing w:after="200"/>
        <w:jc w:val="both"/>
        <w:outlineLvl w:val="0"/>
        <w:rPr>
          <w:iCs/>
          <w:szCs w:val="22"/>
        </w:rPr>
      </w:pPr>
      <w:r>
        <w:rPr>
          <w:rFonts w:cs="Courier New"/>
          <w:noProof/>
          <w:lang w:val="es-AR"/>
        </w:rPr>
        <w:t xml:space="preserve">Corte IDH. </w:t>
      </w:r>
      <w:r>
        <w:rPr>
          <w:rFonts w:cs="Courier New"/>
          <w:i/>
          <w:noProof/>
          <w:lang w:val="es-AR"/>
        </w:rPr>
        <w:t xml:space="preserve">Caso </w:t>
      </w:r>
      <w:r w:rsidR="00CC50A6">
        <w:rPr>
          <w:rFonts w:cs="Courier New"/>
          <w:i/>
          <w:noProof/>
          <w:lang w:val="es-AR"/>
        </w:rPr>
        <w:t>Federación Nacional de Trabajadores Marítimos y Portuarios Vs. Perú</w:t>
      </w:r>
      <w:r>
        <w:rPr>
          <w:rFonts w:cs="Arial"/>
        </w:rPr>
        <w:t xml:space="preserve">. </w:t>
      </w:r>
      <w:r>
        <w:rPr>
          <w:lang w:val="es-ES"/>
        </w:rPr>
        <w:t xml:space="preserve">Resolución de la </w:t>
      </w:r>
      <w:proofErr w:type="gramStart"/>
      <w:r>
        <w:rPr>
          <w:lang w:val="es-ES"/>
        </w:rPr>
        <w:t>Presidenta</w:t>
      </w:r>
      <w:proofErr w:type="gramEnd"/>
      <w:r>
        <w:rPr>
          <w:lang w:val="es-ES"/>
        </w:rPr>
        <w:t xml:space="preserve"> de la Corte Interame</w:t>
      </w:r>
      <w:r w:rsidR="00BF2340">
        <w:rPr>
          <w:lang w:val="es-ES"/>
        </w:rPr>
        <w:t xml:space="preserve">ricana de Derechos Humanos de 20 </w:t>
      </w:r>
      <w:r w:rsidRPr="00E15CA5">
        <w:rPr>
          <w:lang w:val="es-ES"/>
        </w:rPr>
        <w:t xml:space="preserve">de </w:t>
      </w:r>
      <w:r w:rsidR="00CC50A6" w:rsidRPr="00E15CA5">
        <w:rPr>
          <w:lang w:val="es-ES"/>
        </w:rPr>
        <w:t>mayo</w:t>
      </w:r>
      <w:r w:rsidRPr="00E15CA5">
        <w:t xml:space="preserve"> de 2021</w:t>
      </w:r>
      <w:r w:rsidRPr="00E15CA5">
        <w:rPr>
          <w:lang w:val="es-ES"/>
        </w:rPr>
        <w:t xml:space="preserve">. </w:t>
      </w:r>
      <w:r w:rsidRPr="00E15CA5">
        <w:rPr>
          <w:iCs/>
        </w:rPr>
        <w:t>Resolución</w:t>
      </w:r>
      <w:r>
        <w:rPr>
          <w:iCs/>
        </w:rPr>
        <w:t xml:space="preserve"> adoptada en San José de Costa Rica por medio de sesión virtual.</w:t>
      </w:r>
    </w:p>
    <w:p w14:paraId="44D0DA34" w14:textId="039ACD64" w:rsidR="00813B30" w:rsidRDefault="00813B30" w:rsidP="00813B30">
      <w:pPr>
        <w:tabs>
          <w:tab w:val="left" w:pos="567"/>
        </w:tabs>
        <w:rPr>
          <w:lang w:val="es-CO"/>
        </w:rPr>
      </w:pPr>
    </w:p>
    <w:p w14:paraId="1B4FE2F3" w14:textId="48EB3FA5" w:rsidR="00813B30" w:rsidRDefault="00813B30" w:rsidP="00813B30">
      <w:pPr>
        <w:tabs>
          <w:tab w:val="left" w:pos="567"/>
        </w:tabs>
        <w:ind w:left="4253"/>
        <w:jc w:val="center"/>
        <w:rPr>
          <w:lang w:val="es-CO"/>
        </w:rPr>
      </w:pPr>
    </w:p>
    <w:p w14:paraId="62C23787" w14:textId="1B53EE3E" w:rsidR="00813B30" w:rsidRDefault="00813B30" w:rsidP="00813B30">
      <w:pPr>
        <w:tabs>
          <w:tab w:val="left" w:pos="567"/>
        </w:tabs>
        <w:ind w:left="4253"/>
        <w:jc w:val="center"/>
        <w:rPr>
          <w:lang w:val="es-CO"/>
        </w:rPr>
      </w:pPr>
    </w:p>
    <w:p w14:paraId="4FD9192C" w14:textId="444BD2EE" w:rsidR="00813B30" w:rsidRDefault="00813B30" w:rsidP="00813B30">
      <w:pPr>
        <w:tabs>
          <w:tab w:val="left" w:pos="567"/>
        </w:tabs>
        <w:ind w:left="4253"/>
        <w:jc w:val="center"/>
        <w:rPr>
          <w:lang w:val="es-CO"/>
        </w:rPr>
      </w:pPr>
    </w:p>
    <w:p w14:paraId="56A792BC" w14:textId="33DBE0C7" w:rsidR="00813B30" w:rsidRDefault="00813B30" w:rsidP="00813B30">
      <w:pPr>
        <w:tabs>
          <w:tab w:val="left" w:pos="567"/>
        </w:tabs>
        <w:ind w:left="4253"/>
        <w:jc w:val="center"/>
        <w:rPr>
          <w:lang w:val="es-CO"/>
        </w:rPr>
      </w:pPr>
    </w:p>
    <w:p w14:paraId="75B529C2" w14:textId="1079007F" w:rsidR="00813B30" w:rsidRDefault="00813B30" w:rsidP="00813B30">
      <w:pPr>
        <w:tabs>
          <w:tab w:val="left" w:pos="567"/>
        </w:tabs>
        <w:ind w:left="4253"/>
        <w:jc w:val="center"/>
        <w:rPr>
          <w:lang w:val="es-CO"/>
        </w:rPr>
      </w:pPr>
    </w:p>
    <w:p w14:paraId="420FF428" w14:textId="77777777" w:rsidR="00813B30" w:rsidRPr="009C28F4" w:rsidRDefault="00813B30" w:rsidP="00813B30">
      <w:pPr>
        <w:tabs>
          <w:tab w:val="left" w:pos="567"/>
        </w:tabs>
        <w:ind w:left="4253"/>
        <w:jc w:val="center"/>
        <w:rPr>
          <w:lang w:val="es-CO"/>
        </w:rPr>
      </w:pPr>
      <w:r w:rsidRPr="009C28F4">
        <w:rPr>
          <w:lang w:val="es-CO"/>
        </w:rPr>
        <w:t xml:space="preserve">Elizabeth Odio Benito </w:t>
      </w:r>
    </w:p>
    <w:p w14:paraId="791685F5" w14:textId="37BE1476" w:rsidR="00813B30" w:rsidRPr="009C28F4" w:rsidRDefault="00813B30" w:rsidP="00813B30">
      <w:pPr>
        <w:tabs>
          <w:tab w:val="left" w:pos="567"/>
        </w:tabs>
        <w:ind w:left="4253"/>
        <w:jc w:val="center"/>
        <w:rPr>
          <w:rFonts w:eastAsia="Calibri" w:cs="Calibri"/>
          <w:lang w:val="es-CO"/>
        </w:rPr>
      </w:pPr>
      <w:r w:rsidRPr="009C28F4">
        <w:rPr>
          <w:lang w:val="es-CO"/>
        </w:rPr>
        <w:t>Presidenta</w:t>
      </w:r>
    </w:p>
    <w:p w14:paraId="701E09A1" w14:textId="761DFD8B" w:rsidR="00813B30" w:rsidRPr="009C28F4" w:rsidRDefault="00813B30" w:rsidP="00813B30">
      <w:pPr>
        <w:tabs>
          <w:tab w:val="left" w:pos="567"/>
          <w:tab w:val="left" w:pos="2835"/>
        </w:tabs>
        <w:ind w:right="6003"/>
        <w:jc w:val="both"/>
        <w:rPr>
          <w:rFonts w:eastAsia="Calibri" w:cs="Calibri"/>
          <w:lang w:val="es-CO"/>
        </w:rPr>
      </w:pPr>
    </w:p>
    <w:p w14:paraId="4B64489E" w14:textId="583EA6C6" w:rsidR="00813B30" w:rsidRDefault="00813B30" w:rsidP="00813B30">
      <w:pPr>
        <w:tabs>
          <w:tab w:val="left" w:pos="567"/>
          <w:tab w:val="left" w:pos="2835"/>
        </w:tabs>
        <w:ind w:right="6003"/>
        <w:jc w:val="both"/>
        <w:rPr>
          <w:rFonts w:eastAsia="Calibri" w:cs="Calibri"/>
          <w:lang w:val="es-CO"/>
        </w:rPr>
      </w:pPr>
    </w:p>
    <w:p w14:paraId="6142BB39" w14:textId="77777777" w:rsidR="00813B30" w:rsidRPr="009C28F4" w:rsidRDefault="00813B30" w:rsidP="00813B30">
      <w:pPr>
        <w:tabs>
          <w:tab w:val="left" w:pos="567"/>
          <w:tab w:val="left" w:pos="2835"/>
        </w:tabs>
        <w:ind w:right="6003"/>
        <w:jc w:val="both"/>
        <w:rPr>
          <w:rFonts w:eastAsia="Calibri" w:cs="Calibri"/>
          <w:lang w:val="es-CO"/>
        </w:rPr>
      </w:pPr>
    </w:p>
    <w:p w14:paraId="58157424" w14:textId="32440240" w:rsidR="00813B30" w:rsidRPr="009C28F4" w:rsidRDefault="00813B30" w:rsidP="00813B30">
      <w:pPr>
        <w:tabs>
          <w:tab w:val="left" w:pos="567"/>
          <w:tab w:val="left" w:pos="2835"/>
        </w:tabs>
        <w:ind w:right="6003"/>
        <w:jc w:val="center"/>
        <w:rPr>
          <w:rFonts w:eastAsia="Calibri" w:cs="Calibri"/>
          <w:lang w:val="es-CO"/>
        </w:rPr>
      </w:pPr>
    </w:p>
    <w:p w14:paraId="4A155B46" w14:textId="01EC6A51" w:rsidR="00813B30" w:rsidRPr="009C28F4" w:rsidRDefault="00813B30" w:rsidP="00813B30">
      <w:pPr>
        <w:tabs>
          <w:tab w:val="left" w:pos="567"/>
          <w:tab w:val="left" w:pos="2835"/>
        </w:tabs>
        <w:ind w:right="6003"/>
        <w:jc w:val="center"/>
        <w:rPr>
          <w:rFonts w:eastAsia="Calibri" w:cs="Calibri"/>
          <w:lang w:val="es-CO"/>
        </w:rPr>
      </w:pPr>
      <w:r w:rsidRPr="009C28F4">
        <w:rPr>
          <w:rFonts w:eastAsia="Calibri" w:cs="Calibri"/>
          <w:lang w:val="es-CO"/>
        </w:rPr>
        <w:t>Pablo Saavedra Alessandri</w:t>
      </w:r>
    </w:p>
    <w:p w14:paraId="305B703C" w14:textId="283E3669" w:rsidR="00813B30" w:rsidRPr="009C28F4" w:rsidRDefault="00813B30" w:rsidP="00813B30">
      <w:pPr>
        <w:tabs>
          <w:tab w:val="left" w:pos="567"/>
          <w:tab w:val="left" w:pos="2835"/>
        </w:tabs>
        <w:ind w:right="6003"/>
        <w:jc w:val="center"/>
        <w:rPr>
          <w:rFonts w:eastAsia="Calibri" w:cs="Calibri"/>
          <w:lang w:val="es-CO"/>
        </w:rPr>
      </w:pPr>
      <w:r w:rsidRPr="009C28F4">
        <w:rPr>
          <w:rFonts w:eastAsia="Calibri" w:cs="Calibri"/>
          <w:lang w:val="es-CO"/>
        </w:rPr>
        <w:t>Secretario</w:t>
      </w:r>
    </w:p>
    <w:p w14:paraId="3EED858A" w14:textId="77D85658" w:rsidR="00813B30" w:rsidRPr="009C28F4" w:rsidRDefault="00813B30" w:rsidP="00813B30">
      <w:pPr>
        <w:tabs>
          <w:tab w:val="left" w:pos="567"/>
        </w:tabs>
        <w:jc w:val="both"/>
        <w:rPr>
          <w:rFonts w:eastAsia="Calibri" w:cs="Calibri"/>
          <w:lang w:val="es-CO"/>
        </w:rPr>
      </w:pPr>
    </w:p>
    <w:p w14:paraId="3928CD82" w14:textId="08634783" w:rsidR="00813B30" w:rsidRPr="009C28F4" w:rsidRDefault="00813B30" w:rsidP="00813B30">
      <w:pPr>
        <w:tabs>
          <w:tab w:val="left" w:pos="567"/>
        </w:tabs>
        <w:jc w:val="both"/>
        <w:rPr>
          <w:rFonts w:eastAsia="Calibri" w:cs="Calibri"/>
          <w:lang w:val="es-CO"/>
        </w:rPr>
      </w:pPr>
      <w:r w:rsidRPr="009C28F4">
        <w:rPr>
          <w:rFonts w:eastAsia="Calibri" w:cs="Calibri"/>
          <w:lang w:val="es-CO"/>
        </w:rPr>
        <w:t>Comuníquese y ejecútese,</w:t>
      </w:r>
      <w:r w:rsidRPr="009C28F4">
        <w:rPr>
          <w:rFonts w:eastAsia="Calibri" w:cs="Calibri"/>
          <w:lang w:val="es-CO" w:eastAsia="es-CR"/>
        </w:rPr>
        <w:t xml:space="preserve"> </w:t>
      </w:r>
    </w:p>
    <w:p w14:paraId="6D60CDEA" w14:textId="593E1528" w:rsidR="00813B30" w:rsidRPr="009C28F4" w:rsidRDefault="00813B30" w:rsidP="00813B30">
      <w:pPr>
        <w:tabs>
          <w:tab w:val="left" w:pos="567"/>
        </w:tabs>
        <w:jc w:val="both"/>
        <w:rPr>
          <w:rFonts w:eastAsia="Calibri" w:cs="Calibri"/>
          <w:lang w:val="es-CO"/>
        </w:rPr>
      </w:pPr>
    </w:p>
    <w:p w14:paraId="35C8741B" w14:textId="04CAA255" w:rsidR="00813B30" w:rsidRPr="009C28F4" w:rsidRDefault="00813B30" w:rsidP="00813B30">
      <w:pPr>
        <w:tabs>
          <w:tab w:val="left" w:pos="567"/>
        </w:tabs>
        <w:jc w:val="both"/>
        <w:rPr>
          <w:rFonts w:eastAsia="Calibri" w:cs="Calibri"/>
          <w:lang w:val="es-CO"/>
        </w:rPr>
      </w:pPr>
    </w:p>
    <w:p w14:paraId="661B1170" w14:textId="77777777" w:rsidR="00813B30" w:rsidRPr="009C28F4" w:rsidRDefault="00813B30" w:rsidP="00813B30">
      <w:pPr>
        <w:tabs>
          <w:tab w:val="left" w:pos="567"/>
        </w:tabs>
        <w:ind w:left="4253"/>
        <w:jc w:val="center"/>
        <w:rPr>
          <w:lang w:val="es-CO"/>
        </w:rPr>
      </w:pPr>
      <w:r w:rsidRPr="009C28F4">
        <w:rPr>
          <w:lang w:val="es-CO"/>
        </w:rPr>
        <w:t xml:space="preserve">Elizabeth Odio Benito </w:t>
      </w:r>
    </w:p>
    <w:p w14:paraId="3778E987" w14:textId="5A76BE9A" w:rsidR="00813B30" w:rsidRPr="009C28F4" w:rsidRDefault="00813B30" w:rsidP="00813B30">
      <w:pPr>
        <w:tabs>
          <w:tab w:val="left" w:pos="567"/>
        </w:tabs>
        <w:ind w:left="4253"/>
        <w:jc w:val="center"/>
        <w:rPr>
          <w:rFonts w:eastAsia="Calibri" w:cs="Calibri"/>
          <w:lang w:val="es-CO"/>
        </w:rPr>
      </w:pPr>
      <w:r w:rsidRPr="009C28F4">
        <w:rPr>
          <w:lang w:val="es-CO"/>
        </w:rPr>
        <w:t>Presidenta</w:t>
      </w:r>
    </w:p>
    <w:p w14:paraId="34A3B2D7" w14:textId="3218E541" w:rsidR="00813B30" w:rsidRDefault="00813B30" w:rsidP="00813B30">
      <w:pPr>
        <w:tabs>
          <w:tab w:val="left" w:pos="567"/>
        </w:tabs>
        <w:jc w:val="both"/>
        <w:rPr>
          <w:rFonts w:eastAsia="Calibri" w:cs="Calibri"/>
          <w:lang w:val="es-CO"/>
        </w:rPr>
      </w:pPr>
    </w:p>
    <w:p w14:paraId="0710B0EF" w14:textId="77777777" w:rsidR="00813B30" w:rsidRPr="009C28F4" w:rsidRDefault="00813B30" w:rsidP="00813B30">
      <w:pPr>
        <w:tabs>
          <w:tab w:val="left" w:pos="567"/>
        </w:tabs>
        <w:jc w:val="both"/>
        <w:rPr>
          <w:rFonts w:eastAsia="Calibri" w:cs="Calibri"/>
          <w:lang w:val="es-CO"/>
        </w:rPr>
      </w:pPr>
    </w:p>
    <w:p w14:paraId="26607799" w14:textId="24AF790F" w:rsidR="00813B30" w:rsidRPr="009C28F4" w:rsidRDefault="00813B30" w:rsidP="00813B30">
      <w:pPr>
        <w:tabs>
          <w:tab w:val="left" w:pos="567"/>
        </w:tabs>
        <w:jc w:val="both"/>
        <w:rPr>
          <w:rFonts w:eastAsia="Calibri" w:cs="Calibri"/>
          <w:lang w:val="es-CO"/>
        </w:rPr>
      </w:pPr>
    </w:p>
    <w:p w14:paraId="5DD8F9F4" w14:textId="27DBA0D2" w:rsidR="00813B30" w:rsidRPr="009C28F4" w:rsidRDefault="00813B30" w:rsidP="00813B30">
      <w:pPr>
        <w:tabs>
          <w:tab w:val="left" w:pos="567"/>
        </w:tabs>
        <w:jc w:val="both"/>
        <w:rPr>
          <w:rFonts w:eastAsia="Calibri" w:cs="Calibri"/>
          <w:lang w:val="es-CO"/>
        </w:rPr>
      </w:pPr>
    </w:p>
    <w:p w14:paraId="67F9E985" w14:textId="77777777" w:rsidR="00813B30" w:rsidRPr="009C28F4" w:rsidRDefault="00813B30" w:rsidP="00813B30">
      <w:pPr>
        <w:tabs>
          <w:tab w:val="left" w:pos="567"/>
        </w:tabs>
        <w:ind w:right="6003"/>
        <w:jc w:val="center"/>
        <w:rPr>
          <w:rFonts w:eastAsia="Calibri" w:cs="Calibri"/>
          <w:lang w:val="es-CO"/>
        </w:rPr>
      </w:pPr>
      <w:r w:rsidRPr="009C28F4">
        <w:rPr>
          <w:rFonts w:eastAsia="Calibri" w:cs="Calibri"/>
          <w:lang w:val="es-CO"/>
        </w:rPr>
        <w:t>Pablo Saavedra Alessandri</w:t>
      </w:r>
    </w:p>
    <w:p w14:paraId="79807206" w14:textId="77777777" w:rsidR="00813B30" w:rsidRPr="00CA7AC0" w:rsidRDefault="00813B30" w:rsidP="00813B30">
      <w:pPr>
        <w:tabs>
          <w:tab w:val="left" w:pos="567"/>
        </w:tabs>
        <w:ind w:right="6003"/>
        <w:jc w:val="center"/>
        <w:rPr>
          <w:lang w:val="es-CO"/>
        </w:rPr>
      </w:pPr>
      <w:r w:rsidRPr="009C28F4">
        <w:rPr>
          <w:rFonts w:eastAsia="Calibri" w:cs="Calibri"/>
          <w:lang w:val="es-CO"/>
        </w:rPr>
        <w:t>Secretario</w:t>
      </w:r>
    </w:p>
    <w:p w14:paraId="4FA340CC" w14:textId="77777777" w:rsidR="00813B30" w:rsidRPr="005C0F81" w:rsidRDefault="00813B30" w:rsidP="00813B30">
      <w:pPr>
        <w:pStyle w:val="Prrafodelista"/>
        <w:tabs>
          <w:tab w:val="left" w:pos="567"/>
        </w:tabs>
        <w:spacing w:line="240" w:lineRule="auto"/>
        <w:ind w:left="0"/>
        <w:jc w:val="both"/>
      </w:pPr>
    </w:p>
    <w:p w14:paraId="7BE3110C" w14:textId="77777777" w:rsidR="00813B30" w:rsidRPr="008E5B95" w:rsidRDefault="00813B30" w:rsidP="00813B30">
      <w:pPr>
        <w:tabs>
          <w:tab w:val="left" w:pos="567"/>
        </w:tabs>
        <w:spacing w:line="240" w:lineRule="auto"/>
        <w:jc w:val="both"/>
      </w:pPr>
    </w:p>
    <w:sectPr w:rsidR="00813B30" w:rsidRPr="008E5B95" w:rsidSect="00C872B7">
      <w:headerReference w:type="even" r:id="rId8"/>
      <w:headerReference w:type="default" r:id="rId9"/>
      <w:pgSz w:w="12240" w:h="15840"/>
      <w:pgMar w:top="1440"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5759C2" w14:textId="77777777" w:rsidR="00B64706" w:rsidRDefault="00B64706" w:rsidP="00E97AA8">
      <w:r>
        <w:separator/>
      </w:r>
    </w:p>
    <w:p w14:paraId="2E1B29CA" w14:textId="77777777" w:rsidR="00B64706" w:rsidRDefault="00B64706" w:rsidP="00E97AA8"/>
  </w:endnote>
  <w:endnote w:type="continuationSeparator" w:id="0">
    <w:p w14:paraId="3684C0CE" w14:textId="77777777" w:rsidR="00B64706" w:rsidRDefault="00B64706" w:rsidP="00E97AA8">
      <w:r>
        <w:continuationSeparator/>
      </w:r>
    </w:p>
    <w:p w14:paraId="1DE56A84" w14:textId="77777777" w:rsidR="00B64706" w:rsidRDefault="00B64706" w:rsidP="00E97A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9872FF" w14:textId="77777777" w:rsidR="00B64706" w:rsidRDefault="00B64706" w:rsidP="00E97AA8">
      <w:r>
        <w:separator/>
      </w:r>
    </w:p>
  </w:footnote>
  <w:footnote w:type="continuationSeparator" w:id="0">
    <w:p w14:paraId="4BC49699" w14:textId="77777777" w:rsidR="00B64706" w:rsidRDefault="00B64706" w:rsidP="00E97AA8">
      <w:r>
        <w:continuationSeparator/>
      </w:r>
    </w:p>
    <w:p w14:paraId="4FD25262" w14:textId="77777777" w:rsidR="00B64706" w:rsidRDefault="00B64706" w:rsidP="00E97AA8"/>
  </w:footnote>
  <w:footnote w:id="1">
    <w:p w14:paraId="62E6061D" w14:textId="37AF34C3" w:rsidR="008A43BE" w:rsidRPr="0046292F" w:rsidRDefault="008A43BE" w:rsidP="0046292F">
      <w:pPr>
        <w:pStyle w:val="Textonotapie"/>
        <w:jc w:val="both"/>
        <w:rPr>
          <w:sz w:val="16"/>
          <w:szCs w:val="16"/>
          <w:lang w:val="es-MX"/>
        </w:rPr>
      </w:pPr>
      <w:r w:rsidRPr="0046292F">
        <w:rPr>
          <w:rStyle w:val="Refdenotaalpie"/>
          <w:sz w:val="16"/>
          <w:szCs w:val="16"/>
        </w:rPr>
        <w:footnoteRef/>
      </w:r>
      <w:r w:rsidRPr="0046292F">
        <w:rPr>
          <w:sz w:val="16"/>
          <w:szCs w:val="16"/>
        </w:rPr>
        <w:t xml:space="preserve"> </w:t>
      </w:r>
      <w:r>
        <w:rPr>
          <w:sz w:val="16"/>
          <w:szCs w:val="16"/>
        </w:rPr>
        <w:tab/>
      </w:r>
      <w:r w:rsidRPr="0046292F">
        <w:rPr>
          <w:sz w:val="16"/>
          <w:szCs w:val="16"/>
        </w:rPr>
        <w:t xml:space="preserve">La representación de las presuntas víctimas está compuesta de </w:t>
      </w:r>
      <w:r>
        <w:rPr>
          <w:sz w:val="16"/>
          <w:szCs w:val="16"/>
        </w:rPr>
        <w:t>dos intervinientes comunes: (i) la Federación Nacional de Trabajadores Marítimos y Portuarios (FEMAPOR),</w:t>
      </w:r>
      <w:r w:rsidR="00F872D3">
        <w:rPr>
          <w:sz w:val="16"/>
          <w:szCs w:val="16"/>
        </w:rPr>
        <w:t xml:space="preserve"> representada a su vez por</w:t>
      </w:r>
      <w:r w:rsidR="00F872D3" w:rsidRPr="00F872D3">
        <w:rPr>
          <w:sz w:val="16"/>
          <w:szCs w:val="16"/>
        </w:rPr>
        <w:t xml:space="preserve"> Sergio Santiago Valdivia Ayala, Víctor J. Guerrero </w:t>
      </w:r>
      <w:proofErr w:type="spellStart"/>
      <w:r w:rsidR="00F872D3" w:rsidRPr="00F872D3">
        <w:rPr>
          <w:sz w:val="16"/>
          <w:szCs w:val="16"/>
        </w:rPr>
        <w:t>Cassuso</w:t>
      </w:r>
      <w:proofErr w:type="spellEnd"/>
      <w:r w:rsidR="00F872D3" w:rsidRPr="00F872D3">
        <w:rPr>
          <w:sz w:val="16"/>
          <w:szCs w:val="16"/>
        </w:rPr>
        <w:t xml:space="preserve"> y Julio G. Rossi Mérida, así como la abogada María Lu</w:t>
      </w:r>
      <w:r w:rsidR="00F872D3">
        <w:rPr>
          <w:sz w:val="16"/>
          <w:szCs w:val="16"/>
        </w:rPr>
        <w:t>isa Gabriela Valdivia Bocanegra</w:t>
      </w:r>
      <w:r>
        <w:rPr>
          <w:sz w:val="16"/>
          <w:szCs w:val="16"/>
        </w:rPr>
        <w:t xml:space="preserve"> y (</w:t>
      </w:r>
      <w:proofErr w:type="spellStart"/>
      <w:r>
        <w:rPr>
          <w:sz w:val="16"/>
          <w:szCs w:val="16"/>
        </w:rPr>
        <w:t>ii</w:t>
      </w:r>
      <w:proofErr w:type="spellEnd"/>
      <w:r>
        <w:rPr>
          <w:sz w:val="16"/>
          <w:szCs w:val="16"/>
        </w:rPr>
        <w:t>) la señora Dora Meneses Huayra</w:t>
      </w:r>
      <w:r w:rsidRPr="0046292F">
        <w:rPr>
          <w:sz w:val="16"/>
          <w:szCs w:val="16"/>
        </w:rPr>
        <w:t>.</w:t>
      </w:r>
    </w:p>
  </w:footnote>
  <w:footnote w:id="2">
    <w:p w14:paraId="23859504" w14:textId="77777777" w:rsidR="009D6DB1" w:rsidRPr="000F29E9" w:rsidRDefault="009D6DB1" w:rsidP="009D6DB1">
      <w:pPr>
        <w:pStyle w:val="Default"/>
        <w:jc w:val="both"/>
        <w:rPr>
          <w:rFonts w:ascii="Arial" w:hAnsi="Arial" w:cs="Arial"/>
        </w:rPr>
      </w:pPr>
      <w:r w:rsidRPr="000F29E9">
        <w:rPr>
          <w:rStyle w:val="Refdenotaalpie"/>
          <w:rFonts w:ascii="Verdana" w:hAnsi="Verdana"/>
          <w:sz w:val="16"/>
          <w:szCs w:val="16"/>
        </w:rPr>
        <w:footnoteRef/>
      </w:r>
      <w:r>
        <w:t xml:space="preserve"> </w:t>
      </w:r>
      <w:r>
        <w:tab/>
      </w:r>
      <w:r w:rsidRPr="000F29E9">
        <w:rPr>
          <w:rFonts w:ascii="Verdana" w:hAnsi="Verdana"/>
          <w:sz w:val="16"/>
          <w:szCs w:val="16"/>
        </w:rPr>
        <w:t xml:space="preserve">El Estado indicó que el señor </w:t>
      </w:r>
      <w:proofErr w:type="spellStart"/>
      <w:r w:rsidRPr="000F29E9">
        <w:rPr>
          <w:rFonts w:ascii="Verdana" w:hAnsi="Verdana"/>
          <w:sz w:val="16"/>
          <w:szCs w:val="16"/>
        </w:rPr>
        <w:t>Apolín</w:t>
      </w:r>
      <w:proofErr w:type="spellEnd"/>
      <w:r w:rsidRPr="000F29E9">
        <w:rPr>
          <w:rFonts w:ascii="Verdana" w:hAnsi="Verdana"/>
          <w:sz w:val="16"/>
          <w:szCs w:val="16"/>
        </w:rPr>
        <w:t xml:space="preserve"> rendiría declaración sobre “</w:t>
      </w:r>
      <w:r w:rsidRPr="000F29E9">
        <w:rPr>
          <w:rFonts w:ascii="Verdana" w:hAnsi="Verdana" w:cs="Arial"/>
          <w:sz w:val="16"/>
          <w:szCs w:val="16"/>
        </w:rPr>
        <w:t>1) La sentencia como título de ejecución. Implicancias de la inmutabilidad de la cosa juzgada. 2) El proceso de ejecución de resolución judicial. Normativa aplicable al procedimiento de ejecución de suma ilíquida. 3) Desnaturalización del proceso de ejecución de sentencia. Incorporación de pretensiones no demandadas en etapa de ejecución de sentencia. Límites y ámbito objetivo de la ejecución de sentencia. 4) Actuación de medios probatorios en la etapa de ejecución de sentencia. Garantías del debido proceso en la actuación de la prueba pericial en etapa de ejecución de sentencia. Razonabilidad del plazo judicial y el derecho de contradicción de las partes procesales. 5) Interpretación del sentido y alcance de la sentencia de 12 de febrero de 1992 y análisis sobre el proceso de ejecución. 6) El proceso de amparo contra resolución judicial. Medidas cautelares y su impacto en la suspensión de los procesos judiciales. A efectos de cumplir con el objeto de la pericia, el perito podrá realiz</w:t>
      </w:r>
      <w:r>
        <w:rPr>
          <w:rFonts w:ascii="Verdana" w:hAnsi="Verdana" w:cs="Arial"/>
          <w:sz w:val="16"/>
          <w:szCs w:val="16"/>
        </w:rPr>
        <w:t xml:space="preserve">ar un estudio del caso concreto”. </w:t>
      </w:r>
    </w:p>
  </w:footnote>
  <w:footnote w:id="3">
    <w:p w14:paraId="56B274BF" w14:textId="77777777" w:rsidR="009D6DB1" w:rsidRPr="000F29E9" w:rsidRDefault="009D6DB1" w:rsidP="009D6DB1">
      <w:pPr>
        <w:pStyle w:val="Default"/>
        <w:jc w:val="both"/>
        <w:rPr>
          <w:rFonts w:ascii="Verdana" w:hAnsi="Verdana" w:cs="Arial"/>
          <w:sz w:val="16"/>
          <w:szCs w:val="16"/>
        </w:rPr>
      </w:pPr>
      <w:r w:rsidRPr="000F29E9">
        <w:rPr>
          <w:rStyle w:val="Refdenotaalpie"/>
          <w:rFonts w:ascii="Verdana" w:hAnsi="Verdana"/>
          <w:sz w:val="16"/>
          <w:szCs w:val="16"/>
        </w:rPr>
        <w:footnoteRef/>
      </w:r>
      <w:r>
        <w:t xml:space="preserve"> </w:t>
      </w:r>
      <w:r>
        <w:tab/>
      </w:r>
      <w:r w:rsidRPr="000F29E9">
        <w:rPr>
          <w:rFonts w:ascii="Verdana" w:hAnsi="Verdana"/>
          <w:sz w:val="16"/>
          <w:szCs w:val="16"/>
        </w:rPr>
        <w:t>El Estado indicó que el señor Aguinaga rendiría declaración sobre “</w:t>
      </w:r>
      <w:r w:rsidRPr="000F29E9">
        <w:rPr>
          <w:rFonts w:ascii="Verdana" w:hAnsi="Verdana" w:cs="Arial"/>
          <w:sz w:val="16"/>
          <w:szCs w:val="16"/>
        </w:rPr>
        <w:t xml:space="preserve">1) Precisiones en torno a la remuneración en sentido amplio y aquellas denominadas remuneración básica, remuneración ordinaria, remuneración mínima vital, entre otras (vigente en la época de los hechos). 2) Beneficios colaterales como “complementos remunerativos”, distintos de la remuneración básica (vigente en la época de los hechos). 3) Aspectos relacionados al Incremento Adicional de Remuneraciones (IAR) y su aplicación (vigente en la época de los hechos). 4) Análisis sobre los conceptos liquidados a los trabajadores de la FEMAPOR, conforme a la “Planilla de pago por concepto de reintegro de incremento adicional de remuneraciones, derechos laborales y beneficios sociales e intereses, en cumplimiento al D.S. 054-91-PCM, D.S. 041-92- PCM, y fallo de la Corte Suprema de la República del 12-02-92”. 5) Interpretación del sentido y alcance del mandato judicial ordenado en la sentencia firme del 12 de febrero de 1992, que amparó la pretensión de los trabajadores de la FEMAPOR: recálculo del IAR. 6) Precisiones respecto a la divergencia entre lo ordenado en la sentencia judicial firme del 12 de febrero de 1992, favorable a la pretensión de los trabajadores de la FEMAPOR, y las nuevas pretensiones exigidas por estos, durante el proceso de ejecución de sentencia: recálculo de derechos y beneficios sociales. 7) Límites del principio de irrenunciabilidad de los derechos y alcances constitucionales y legales relativos a la prescripción de pretensiones laborales. 8) Vía procesal para reclamar el pago de derechos y beneficios sociales. Para ejemplificar su intervención, el perito podrá hacer referencia a los hechos del presente caso”. </w:t>
      </w:r>
    </w:p>
  </w:footnote>
  <w:footnote w:id="4">
    <w:p w14:paraId="1735A95E" w14:textId="77777777" w:rsidR="009D6DB1" w:rsidRPr="000F29E9" w:rsidRDefault="009D6DB1" w:rsidP="009D6DB1">
      <w:pPr>
        <w:pStyle w:val="Default"/>
        <w:jc w:val="both"/>
        <w:rPr>
          <w:rFonts w:ascii="Verdana" w:hAnsi="Verdana" w:cs="Arial"/>
          <w:sz w:val="16"/>
          <w:szCs w:val="16"/>
        </w:rPr>
      </w:pPr>
      <w:r w:rsidRPr="000F29E9">
        <w:rPr>
          <w:rStyle w:val="Refdenotaalpie"/>
          <w:rFonts w:ascii="Verdana" w:hAnsi="Verdana"/>
          <w:sz w:val="16"/>
          <w:szCs w:val="16"/>
        </w:rPr>
        <w:footnoteRef/>
      </w:r>
      <w:r w:rsidRPr="000F29E9">
        <w:rPr>
          <w:rFonts w:ascii="Verdana" w:hAnsi="Verdana"/>
          <w:sz w:val="16"/>
          <w:szCs w:val="16"/>
        </w:rPr>
        <w:t xml:space="preserve"> </w:t>
      </w:r>
      <w:r w:rsidRPr="000F29E9">
        <w:rPr>
          <w:rFonts w:ascii="Verdana" w:hAnsi="Verdana"/>
          <w:sz w:val="16"/>
          <w:szCs w:val="16"/>
        </w:rPr>
        <w:tab/>
        <w:t>El Estado indicó que el señor Villacorta rendiría declaración sobre “</w:t>
      </w:r>
      <w:r w:rsidRPr="000F29E9">
        <w:rPr>
          <w:rFonts w:ascii="Verdana" w:hAnsi="Verdana" w:cs="Arial"/>
          <w:sz w:val="16"/>
          <w:szCs w:val="16"/>
        </w:rPr>
        <w:t xml:space="preserve">1) Rol, funciones y atribuciones de la Comisión Controladora de Trabajo Marítimo. 2) Régimen especial de los trabajadores marítimos y portuarios. 3) Modalidad de pago de los derechos y beneficios sociales de los trabajadores marítimos y portuarios”. </w:t>
      </w:r>
    </w:p>
  </w:footnote>
  <w:footnote w:id="5">
    <w:p w14:paraId="00AF36CC" w14:textId="77777777" w:rsidR="009D6DB1" w:rsidRPr="000F29E9" w:rsidRDefault="009D6DB1" w:rsidP="009D6DB1">
      <w:pPr>
        <w:pStyle w:val="Default"/>
        <w:jc w:val="both"/>
        <w:rPr>
          <w:rFonts w:ascii="Verdana" w:hAnsi="Verdana" w:cs="Arial"/>
          <w:b/>
          <w:sz w:val="16"/>
          <w:szCs w:val="16"/>
        </w:rPr>
      </w:pPr>
      <w:r w:rsidRPr="000F29E9">
        <w:rPr>
          <w:rStyle w:val="Refdenotaalpie"/>
          <w:rFonts w:ascii="Verdana" w:hAnsi="Verdana"/>
          <w:sz w:val="16"/>
          <w:szCs w:val="16"/>
        </w:rPr>
        <w:footnoteRef/>
      </w:r>
      <w:r w:rsidRPr="000F29E9">
        <w:rPr>
          <w:rFonts w:ascii="Verdana" w:hAnsi="Verdana"/>
          <w:sz w:val="16"/>
          <w:szCs w:val="16"/>
        </w:rPr>
        <w:t xml:space="preserve"> El Estado indicó que el señor Lozano rendiría declaración sobre “</w:t>
      </w:r>
      <w:r w:rsidRPr="000F29E9">
        <w:rPr>
          <w:rFonts w:ascii="Verdana" w:hAnsi="Verdana" w:cs="Arial"/>
          <w:sz w:val="16"/>
          <w:szCs w:val="16"/>
        </w:rPr>
        <w:t xml:space="preserve">1) Análisis de las formalidades observadas y el cálculo realizado en la Planilla de reintegro de derechos y beneficios sociales en cumplimiento al D.S. 054-91-PCM, D.S. 041-92-PCM, y fallo de la Corte Suprema de la República del 12-02-92. 2) Análisis del cálculo realizado en el “Informe Pericial 240-2015-PJ–EV de fecha 3 de diciembre de 2015”, aprobado mediante Resolución de fecha 1 de julio de 2016, por un monto de US$ 242’601,058.98. 3) Aspectos relativos a los métodos y técnicas contables de actualización del valor de deudas. El método de dolarización y su comparación con otros métodos oficiales sobre el cálculo de deudas. Análisis del caso concreto. 4) Análisis de la documentación objeto de estudio y pronunciamiento respecto a los hallazgos detectados, </w:t>
      </w:r>
      <w:proofErr w:type="gramStart"/>
      <w:r w:rsidRPr="000F29E9">
        <w:rPr>
          <w:rFonts w:ascii="Verdana" w:hAnsi="Verdana" w:cs="Arial"/>
          <w:sz w:val="16"/>
          <w:szCs w:val="16"/>
        </w:rPr>
        <w:t>en relación al</w:t>
      </w:r>
      <w:proofErr w:type="gramEnd"/>
      <w:r w:rsidRPr="000F29E9">
        <w:rPr>
          <w:rFonts w:ascii="Verdana" w:hAnsi="Verdana" w:cs="Arial"/>
          <w:sz w:val="16"/>
          <w:szCs w:val="16"/>
        </w:rPr>
        <w:t xml:space="preserve"> cálculo de intereses y otros. El perito podrá tomar muestras representativas de la planilla y del informe pericial mencionados, para exponer los resultados obtenidos y referirse al caso concreto”.</w:t>
      </w:r>
      <w:r>
        <w:rPr>
          <w:rFonts w:ascii="Verdana" w:hAnsi="Verdana" w:cs="Arial"/>
          <w:sz w:val="16"/>
          <w:szCs w:val="16"/>
        </w:rPr>
        <w:t xml:space="preserve"> </w:t>
      </w:r>
    </w:p>
  </w:footnote>
  <w:footnote w:id="6">
    <w:p w14:paraId="5CD5D3B3" w14:textId="77777777" w:rsidR="009D6DB1" w:rsidRPr="000F29E9" w:rsidRDefault="009D6DB1" w:rsidP="009D6DB1">
      <w:pPr>
        <w:pStyle w:val="Default"/>
        <w:jc w:val="both"/>
        <w:rPr>
          <w:rFonts w:ascii="Verdana" w:hAnsi="Verdana" w:cs="Arial"/>
          <w:b/>
          <w:sz w:val="16"/>
          <w:szCs w:val="16"/>
        </w:rPr>
      </w:pPr>
      <w:r w:rsidRPr="000F29E9">
        <w:rPr>
          <w:rStyle w:val="Refdenotaalpie"/>
          <w:rFonts w:ascii="Verdana" w:hAnsi="Verdana"/>
          <w:sz w:val="16"/>
          <w:szCs w:val="16"/>
        </w:rPr>
        <w:footnoteRef/>
      </w:r>
      <w:r w:rsidRPr="000F29E9">
        <w:rPr>
          <w:rFonts w:ascii="Verdana" w:hAnsi="Verdana"/>
          <w:sz w:val="16"/>
          <w:szCs w:val="16"/>
        </w:rPr>
        <w:t xml:space="preserve"> </w:t>
      </w:r>
      <w:r>
        <w:rPr>
          <w:rFonts w:ascii="Verdana" w:hAnsi="Verdana"/>
          <w:sz w:val="16"/>
          <w:szCs w:val="16"/>
        </w:rPr>
        <w:tab/>
      </w:r>
      <w:r w:rsidRPr="000F29E9">
        <w:rPr>
          <w:rFonts w:ascii="Verdana" w:hAnsi="Verdana"/>
          <w:sz w:val="16"/>
          <w:szCs w:val="16"/>
        </w:rPr>
        <w:t>El Estado indicó que el señor Segura rendiría declaración sobre “</w:t>
      </w:r>
      <w:r w:rsidRPr="000F29E9">
        <w:rPr>
          <w:rFonts w:ascii="Verdana" w:hAnsi="Verdana" w:cs="Arial"/>
          <w:sz w:val="16"/>
          <w:szCs w:val="16"/>
        </w:rPr>
        <w:t xml:space="preserve">1) Análisis jurídico penal de los delitos investigados por las autoridades del Ministerio Público y el Poder Judicial, en agravio del Estado peruano, en relación al caso “Los Cuellos Blancos del Puerto” y su vinculación con el proceso de ejecución de sentencia seguido por la FEMAPOR contra el Ministerio de Economía y Finanzas, </w:t>
      </w:r>
      <w:proofErr w:type="gramStart"/>
      <w:r w:rsidRPr="000F29E9">
        <w:rPr>
          <w:rFonts w:ascii="Verdana" w:hAnsi="Verdana" w:cs="Arial"/>
          <w:sz w:val="16"/>
          <w:szCs w:val="16"/>
        </w:rPr>
        <w:t>sub materia</w:t>
      </w:r>
      <w:proofErr w:type="gramEnd"/>
      <w:r w:rsidRPr="000F29E9">
        <w:rPr>
          <w:rFonts w:ascii="Verdana" w:hAnsi="Verdana" w:cs="Arial"/>
          <w:sz w:val="16"/>
          <w:szCs w:val="16"/>
        </w:rPr>
        <w:t xml:space="preserve">. 2) Alcances sobre el delito de fraude procesal en los procesos de ejecución de sentencias. A efectos de cumplir con el objeto de la pericia, el perito podrá referirse a los hechos del caso y a las investigaciones penales en trámite, en lo que sea pertinente.” </w:t>
      </w:r>
    </w:p>
  </w:footnote>
  <w:footnote w:id="7">
    <w:p w14:paraId="12275E96" w14:textId="77777777" w:rsidR="009D6DB1" w:rsidRPr="000F29E9" w:rsidRDefault="009D6DB1" w:rsidP="009D6DB1">
      <w:pPr>
        <w:pStyle w:val="Default"/>
        <w:jc w:val="both"/>
        <w:rPr>
          <w:rFonts w:ascii="Arial" w:hAnsi="Arial" w:cs="Arial"/>
          <w:b/>
        </w:rPr>
      </w:pPr>
      <w:r w:rsidRPr="000F29E9">
        <w:rPr>
          <w:rStyle w:val="Refdenotaalpie"/>
          <w:rFonts w:ascii="Verdana" w:hAnsi="Verdana"/>
          <w:sz w:val="16"/>
          <w:szCs w:val="16"/>
        </w:rPr>
        <w:footnoteRef/>
      </w:r>
      <w:r w:rsidRPr="000F29E9">
        <w:rPr>
          <w:rFonts w:ascii="Verdana" w:hAnsi="Verdana"/>
          <w:sz w:val="16"/>
          <w:szCs w:val="16"/>
        </w:rPr>
        <w:t xml:space="preserve"> </w:t>
      </w:r>
      <w:r w:rsidRPr="000F29E9">
        <w:rPr>
          <w:rFonts w:ascii="Verdana" w:hAnsi="Verdana"/>
          <w:sz w:val="16"/>
          <w:szCs w:val="16"/>
        </w:rPr>
        <w:tab/>
        <w:t>El Estado indicó que la señora Montero rendiría declaración sobre “</w:t>
      </w:r>
      <w:r w:rsidRPr="000F29E9">
        <w:rPr>
          <w:rFonts w:ascii="Verdana" w:hAnsi="Verdana" w:cs="Arial"/>
          <w:sz w:val="16"/>
          <w:szCs w:val="16"/>
        </w:rPr>
        <w:t xml:space="preserve">1) Rol de la Comisión Multisectorial. Marco Normativo. Miembros integrantes. 2) Sobre las funciones, atribuciones y objetivos trazados por la Comisión Multisectorial. 3) Gestiones realizadas. 4) Sobre el Informe Final de la Comisión Multisectorial. 5) Alcances sobre la correcta interpretación de las conclusiones y recomendaciones. A efectos de cumplir con el objeto de la testimonial, la testigo podrá referirse a los hechos del caso”. </w:t>
      </w:r>
    </w:p>
  </w:footnote>
  <w:footnote w:id="8">
    <w:p w14:paraId="0B64564B" w14:textId="77777777" w:rsidR="009D6DB1" w:rsidRPr="001E1A39" w:rsidRDefault="009D6DB1" w:rsidP="009D6DB1">
      <w:pPr>
        <w:pStyle w:val="Default"/>
        <w:jc w:val="both"/>
        <w:rPr>
          <w:rFonts w:ascii="Verdana" w:hAnsi="Verdana" w:cs="Arial"/>
          <w:b/>
          <w:sz w:val="16"/>
          <w:szCs w:val="16"/>
        </w:rPr>
      </w:pPr>
      <w:r w:rsidRPr="001E1A39">
        <w:rPr>
          <w:rStyle w:val="Refdenotaalpie"/>
          <w:rFonts w:ascii="Verdana" w:hAnsi="Verdana"/>
          <w:sz w:val="16"/>
          <w:szCs w:val="16"/>
        </w:rPr>
        <w:footnoteRef/>
      </w:r>
      <w:r w:rsidRPr="001E1A39">
        <w:rPr>
          <w:rFonts w:ascii="Verdana" w:hAnsi="Verdana"/>
          <w:sz w:val="16"/>
          <w:szCs w:val="16"/>
        </w:rPr>
        <w:t xml:space="preserve"> </w:t>
      </w:r>
      <w:r w:rsidRPr="001E1A39">
        <w:rPr>
          <w:rFonts w:ascii="Verdana" w:hAnsi="Verdana"/>
          <w:sz w:val="16"/>
          <w:szCs w:val="16"/>
        </w:rPr>
        <w:tab/>
        <w:t>El Estado indicó que el señor Sánchez rendiría declaración sobre “</w:t>
      </w:r>
      <w:r w:rsidRPr="001E1A39">
        <w:rPr>
          <w:rFonts w:ascii="Verdana" w:hAnsi="Verdana" w:cs="Arial"/>
          <w:sz w:val="16"/>
          <w:szCs w:val="16"/>
        </w:rPr>
        <w:t>1) Grupo de trabajo operativo de la Comisión Multisectorial. Funciones y objetivos. 2) Secretaría Técnica. 3) Gestiones realizadas. Documentación recopilada. Verificaciones. 4) Sobre el Informe Final de la Comisión Multisectorial. A efectos de cumplir con el objeto de la testimonial, el testigo podrá referirse a los hechos del caso”.</w:t>
      </w:r>
      <w:r>
        <w:rPr>
          <w:rFonts w:ascii="Verdana" w:hAnsi="Verdana" w:cs="Arial"/>
          <w:sz w:val="16"/>
          <w:szCs w:val="16"/>
        </w:rPr>
        <w:t xml:space="preserve"> </w:t>
      </w:r>
    </w:p>
    <w:p w14:paraId="234F3EC2" w14:textId="77777777" w:rsidR="009D6DB1" w:rsidRPr="000F29E9" w:rsidRDefault="009D6DB1" w:rsidP="009D6DB1">
      <w:pPr>
        <w:pStyle w:val="Textonotapie"/>
        <w:rPr>
          <w:lang w:val="es-MX"/>
        </w:rPr>
      </w:pPr>
    </w:p>
  </w:footnote>
  <w:footnote w:id="9">
    <w:p w14:paraId="35203844" w14:textId="6EC4EF20" w:rsidR="008A43BE" w:rsidRPr="00320D65" w:rsidRDefault="008A43BE">
      <w:pPr>
        <w:pStyle w:val="Textonotapie"/>
        <w:rPr>
          <w:sz w:val="16"/>
          <w:szCs w:val="16"/>
          <w:lang w:val="es-MX"/>
        </w:rPr>
      </w:pPr>
      <w:r w:rsidRPr="00320D65">
        <w:rPr>
          <w:rStyle w:val="Refdenotaalpie"/>
          <w:sz w:val="16"/>
          <w:szCs w:val="16"/>
        </w:rPr>
        <w:footnoteRef/>
      </w:r>
      <w:r w:rsidRPr="00320D65">
        <w:rPr>
          <w:sz w:val="16"/>
          <w:szCs w:val="16"/>
        </w:rPr>
        <w:t xml:space="preserve"> </w:t>
      </w:r>
      <w:r>
        <w:rPr>
          <w:sz w:val="16"/>
          <w:szCs w:val="16"/>
        </w:rPr>
        <w:tab/>
        <w:t>La Comisión indicó que el peritaje “aborda la problemática de incumplimiento de sentencias judiciales materia del presente caso”.</w:t>
      </w:r>
      <w:r w:rsidR="00846ADB">
        <w:rPr>
          <w:sz w:val="16"/>
          <w:szCs w:val="16"/>
        </w:rPr>
        <w:t xml:space="preserve"> </w:t>
      </w:r>
    </w:p>
  </w:footnote>
  <w:footnote w:id="10">
    <w:p w14:paraId="526DBB9C" w14:textId="77777777" w:rsidR="008260DE" w:rsidRPr="008A43BE" w:rsidRDefault="008260DE" w:rsidP="008260DE">
      <w:pPr>
        <w:pStyle w:val="Textonotapie"/>
        <w:jc w:val="both"/>
        <w:rPr>
          <w:sz w:val="16"/>
          <w:szCs w:val="16"/>
          <w:lang w:val="es-MX"/>
        </w:rPr>
      </w:pPr>
      <w:r w:rsidRPr="008A43BE">
        <w:rPr>
          <w:rStyle w:val="Refdenotaalpie"/>
          <w:sz w:val="16"/>
          <w:szCs w:val="16"/>
        </w:rPr>
        <w:footnoteRef/>
      </w:r>
      <w:r w:rsidRPr="008A43BE">
        <w:rPr>
          <w:sz w:val="16"/>
          <w:szCs w:val="16"/>
        </w:rPr>
        <w:t xml:space="preserve"> </w:t>
      </w:r>
      <w:r w:rsidRPr="008A43BE">
        <w:rPr>
          <w:sz w:val="16"/>
          <w:szCs w:val="16"/>
          <w:lang w:val="es-MX"/>
        </w:rPr>
        <w:tab/>
      </w:r>
      <w:r w:rsidRPr="008A43BE">
        <w:rPr>
          <w:i/>
          <w:sz w:val="16"/>
          <w:szCs w:val="16"/>
        </w:rPr>
        <w:t>Cfr. Caso Pacheco Tineo Vs. Bolivia</w:t>
      </w:r>
      <w:r w:rsidRPr="008A43BE">
        <w:rPr>
          <w:sz w:val="16"/>
          <w:szCs w:val="16"/>
        </w:rPr>
        <w:t xml:space="preserve">. Resolución del </w:t>
      </w:r>
      <w:proofErr w:type="gramStart"/>
      <w:r w:rsidRPr="008A43BE">
        <w:rPr>
          <w:sz w:val="16"/>
          <w:szCs w:val="16"/>
        </w:rPr>
        <w:t>Presidente</w:t>
      </w:r>
      <w:proofErr w:type="gramEnd"/>
      <w:r w:rsidRPr="008A43BE">
        <w:rPr>
          <w:sz w:val="16"/>
          <w:szCs w:val="16"/>
        </w:rPr>
        <w:t xml:space="preserve"> de la Corte de 19 de febrero de 2013, Considerando 54, y </w:t>
      </w:r>
      <w:r w:rsidRPr="008A43BE">
        <w:rPr>
          <w:i/>
          <w:sz w:val="16"/>
          <w:szCs w:val="16"/>
        </w:rPr>
        <w:t>Caso Masacre de la Aldea Los Josefinos Vs. Guatemala</w:t>
      </w:r>
      <w:r w:rsidRPr="008A43BE">
        <w:rPr>
          <w:sz w:val="16"/>
          <w:szCs w:val="16"/>
        </w:rPr>
        <w:t xml:space="preserve">, Convocatoria a Audiencia. Resolución de la </w:t>
      </w:r>
      <w:proofErr w:type="gramStart"/>
      <w:r w:rsidRPr="008A43BE">
        <w:rPr>
          <w:sz w:val="16"/>
          <w:szCs w:val="16"/>
        </w:rPr>
        <w:t>Presidenta</w:t>
      </w:r>
      <w:proofErr w:type="gramEnd"/>
      <w:r w:rsidRPr="008A43BE">
        <w:rPr>
          <w:sz w:val="16"/>
          <w:szCs w:val="16"/>
        </w:rPr>
        <w:t xml:space="preserve"> de la Corte Interamericana de Derechos Humanos de 15 de diciembre de 2020, Considerando 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195D6" w14:textId="77777777" w:rsidR="008A43BE" w:rsidRDefault="008A43BE" w:rsidP="00E97AA8">
    <w:pPr>
      <w:pStyle w:val="Encabezado"/>
      <w:rPr>
        <w:rStyle w:val="Nmerodepgina"/>
      </w:rPr>
    </w:pPr>
    <w:r>
      <w:rPr>
        <w:rStyle w:val="Nmerodepgina"/>
      </w:rPr>
      <w:fldChar w:fldCharType="begin"/>
    </w:r>
    <w:r>
      <w:rPr>
        <w:rStyle w:val="Nmerodepgina"/>
      </w:rPr>
      <w:instrText xml:space="preserve">PAGE  </w:instrText>
    </w:r>
    <w:r>
      <w:rPr>
        <w:rStyle w:val="Nmerodepgina"/>
      </w:rPr>
      <w:fldChar w:fldCharType="end"/>
    </w:r>
  </w:p>
  <w:p w14:paraId="02E3986A" w14:textId="77777777" w:rsidR="008A43BE" w:rsidRDefault="008A43BE" w:rsidP="00E97AA8">
    <w:pPr>
      <w:pStyle w:val="Encabezado"/>
    </w:pPr>
  </w:p>
  <w:p w14:paraId="2773835B" w14:textId="77777777" w:rsidR="008A43BE" w:rsidRDefault="008A43BE" w:rsidP="00E97A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E2202" w14:textId="6DEA9535" w:rsidR="008A43BE" w:rsidRDefault="008A43BE" w:rsidP="00E97AA8">
    <w:pPr>
      <w:pStyle w:val="Encabezado"/>
      <w:jc w:val="center"/>
      <w:rPr>
        <w:rStyle w:val="Nmerodepgina"/>
      </w:rPr>
    </w:pPr>
    <w:r w:rsidRPr="00205583">
      <w:rPr>
        <w:rStyle w:val="Nmerodepgina"/>
      </w:rPr>
      <w:t xml:space="preserve">- </w:t>
    </w:r>
    <w:r w:rsidRPr="00205583">
      <w:rPr>
        <w:rStyle w:val="Nmerodepgina"/>
      </w:rPr>
      <w:fldChar w:fldCharType="begin"/>
    </w:r>
    <w:r w:rsidRPr="00205583">
      <w:rPr>
        <w:rStyle w:val="Nmerodepgina"/>
      </w:rPr>
      <w:instrText xml:space="preserve">PAGE  </w:instrText>
    </w:r>
    <w:r w:rsidRPr="00205583">
      <w:rPr>
        <w:rStyle w:val="Nmerodepgina"/>
      </w:rPr>
      <w:fldChar w:fldCharType="separate"/>
    </w:r>
    <w:r w:rsidR="00BA7EE9">
      <w:rPr>
        <w:rStyle w:val="Nmerodepgina"/>
        <w:noProof/>
      </w:rPr>
      <w:t>9</w:t>
    </w:r>
    <w:r w:rsidRPr="00205583">
      <w:rPr>
        <w:rStyle w:val="Nmerodepgina"/>
      </w:rPr>
      <w:fldChar w:fldCharType="end"/>
    </w:r>
    <w:r>
      <w:rPr>
        <w:rStyle w:val="Nmerodepgina"/>
      </w:rPr>
      <w:t xml:space="preserve"> -</w:t>
    </w:r>
  </w:p>
  <w:p w14:paraId="6907126A" w14:textId="77777777" w:rsidR="008A43BE" w:rsidRDefault="008A43BE" w:rsidP="00E97AA8">
    <w:pPr>
      <w:pStyle w:val="Encabezado"/>
    </w:pPr>
  </w:p>
  <w:p w14:paraId="34E6923E" w14:textId="77777777" w:rsidR="008A43BE" w:rsidRDefault="008A43BE" w:rsidP="00E97A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AD78241"/>
    <w:multiLevelType w:val="hybridMultilevel"/>
    <w:tmpl w:val="5FA0AAD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2419B57"/>
    <w:multiLevelType w:val="hybridMultilevel"/>
    <w:tmpl w:val="3D99D03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3EA9BE2"/>
    <w:multiLevelType w:val="hybridMultilevel"/>
    <w:tmpl w:val="B8C259D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4C790E"/>
    <w:multiLevelType w:val="hybridMultilevel"/>
    <w:tmpl w:val="D34A4374"/>
    <w:lvl w:ilvl="0" w:tplc="887A47F8">
      <w:start w:val="1"/>
      <w:numFmt w:val="decimal"/>
      <w:pStyle w:val="PrrafodeSentencia"/>
      <w:lvlText w:val="%1."/>
      <w:lvlJc w:val="left"/>
      <w:pPr>
        <w:ind w:left="720" w:hanging="360"/>
      </w:pPr>
      <w:rPr>
        <w:rFonts w:ascii="Verdana" w:hAnsi="Verdana" w:hint="default"/>
        <w:b w:val="0"/>
        <w:i w:val="0"/>
        <w:strike w:val="0"/>
        <w:dstrike w:val="0"/>
        <w:color w:val="auto"/>
        <w:sz w:val="20"/>
        <w:szCs w:val="20"/>
        <w:u w:val="none"/>
        <w:effect w:val="none"/>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CA41A4D"/>
    <w:multiLevelType w:val="hybridMultilevel"/>
    <w:tmpl w:val="6A62AF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F555492"/>
    <w:multiLevelType w:val="hybridMultilevel"/>
    <w:tmpl w:val="B840F306"/>
    <w:lvl w:ilvl="0" w:tplc="115EB01E">
      <w:start w:val="1"/>
      <w:numFmt w:val="upperLetter"/>
      <w:pStyle w:val="Ttulo1"/>
      <w:lvlText w:val="%1."/>
      <w:lvlJc w:val="left"/>
      <w:pPr>
        <w:ind w:left="4188"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6FFC71A2">
      <w:start w:val="1"/>
      <w:numFmt w:val="decimal"/>
      <w:lvlText w:val="%4."/>
      <w:lvlJc w:val="left"/>
      <w:pPr>
        <w:ind w:left="2062" w:hanging="360"/>
      </w:pPr>
      <w:rPr>
        <w:rFonts w:ascii="Verdana" w:eastAsiaTheme="minorHAnsi" w:hAnsi="Verdana" w:cstheme="minorBidi"/>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2062"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3A10DDD"/>
    <w:multiLevelType w:val="hybridMultilevel"/>
    <w:tmpl w:val="65913D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E4E7652"/>
    <w:multiLevelType w:val="hybridMultilevel"/>
    <w:tmpl w:val="D6762670"/>
    <w:lvl w:ilvl="0" w:tplc="06E03C86">
      <w:start w:val="1"/>
      <w:numFmt w:val="decimal"/>
      <w:lvlText w:val="%1."/>
      <w:lvlJc w:val="left"/>
      <w:pPr>
        <w:ind w:left="786"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A612BD2"/>
    <w:multiLevelType w:val="hybridMultilevel"/>
    <w:tmpl w:val="4BEE7F42"/>
    <w:lvl w:ilvl="0" w:tplc="669E31B0">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65305A1"/>
    <w:multiLevelType w:val="hybridMultilevel"/>
    <w:tmpl w:val="9F120B3E"/>
    <w:lvl w:ilvl="0" w:tplc="5E10E2F4">
      <w:start w:val="1"/>
      <w:numFmt w:val="decimal"/>
      <w:lvlText w:val="%1)"/>
      <w:lvlJc w:val="left"/>
      <w:pPr>
        <w:ind w:left="786" w:hanging="360"/>
      </w:pPr>
      <w:rPr>
        <w:rFonts w:hint="default"/>
        <w:b w:val="0"/>
        <w:i w:val="0"/>
        <w:strike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DDB6DC6"/>
    <w:multiLevelType w:val="hybridMultilevel"/>
    <w:tmpl w:val="5DFE6406"/>
    <w:lvl w:ilvl="0" w:tplc="99FE4F9E">
      <w:start w:val="1"/>
      <w:numFmt w:val="decimal"/>
      <w:pStyle w:val="Sinespaciado"/>
      <w:lvlText w:val="%1."/>
      <w:lvlJc w:val="left"/>
      <w:pPr>
        <w:ind w:left="7560" w:hanging="360"/>
      </w:pPr>
      <w:rPr>
        <w:rFonts w:ascii="Verdana" w:hAnsi="Verdana" w:hint="default"/>
        <w:b w:val="0"/>
        <w:i w:val="0"/>
        <w:color w:val="auto"/>
        <w:sz w:val="20"/>
        <w:szCs w:val="20"/>
        <w:lang w:val="es-CR"/>
      </w:rPr>
    </w:lvl>
    <w:lvl w:ilvl="1" w:tplc="04090019">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11" w15:restartNumberingAfterBreak="0">
    <w:nsid w:val="5F3F3107"/>
    <w:multiLevelType w:val="hybridMultilevel"/>
    <w:tmpl w:val="12C8F57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64C8295A"/>
    <w:multiLevelType w:val="hybridMultilevel"/>
    <w:tmpl w:val="4BAECF3C"/>
    <w:lvl w:ilvl="0" w:tplc="17848532">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64D2820"/>
    <w:multiLevelType w:val="hybridMultilevel"/>
    <w:tmpl w:val="3F71492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71E2D20"/>
    <w:multiLevelType w:val="hybridMultilevel"/>
    <w:tmpl w:val="0C600CF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79254642"/>
    <w:multiLevelType w:val="hybridMultilevel"/>
    <w:tmpl w:val="044C14BA"/>
    <w:lvl w:ilvl="0" w:tplc="140A0019">
      <w:start w:val="1"/>
      <w:numFmt w:val="lowerLetter"/>
      <w:lvlText w:val="%1."/>
      <w:lvlJc w:val="left"/>
      <w:pPr>
        <w:ind w:left="862" w:hanging="360"/>
      </w:pPr>
      <w:rPr>
        <w:rFonts w:hint="default"/>
        <w:b w:val="0"/>
        <w:i w:val="0"/>
      </w:rPr>
    </w:lvl>
    <w:lvl w:ilvl="1" w:tplc="140A0019" w:tentative="1">
      <w:start w:val="1"/>
      <w:numFmt w:val="lowerLetter"/>
      <w:lvlText w:val="%2."/>
      <w:lvlJc w:val="left"/>
      <w:pPr>
        <w:ind w:left="1582" w:hanging="360"/>
      </w:pPr>
    </w:lvl>
    <w:lvl w:ilvl="2" w:tplc="140A001B" w:tentative="1">
      <w:start w:val="1"/>
      <w:numFmt w:val="lowerRoman"/>
      <w:lvlText w:val="%3."/>
      <w:lvlJc w:val="right"/>
      <w:pPr>
        <w:ind w:left="2302" w:hanging="180"/>
      </w:pPr>
    </w:lvl>
    <w:lvl w:ilvl="3" w:tplc="140A000F" w:tentative="1">
      <w:start w:val="1"/>
      <w:numFmt w:val="decimal"/>
      <w:lvlText w:val="%4."/>
      <w:lvlJc w:val="left"/>
      <w:pPr>
        <w:ind w:left="3022" w:hanging="360"/>
      </w:pPr>
    </w:lvl>
    <w:lvl w:ilvl="4" w:tplc="140A0019" w:tentative="1">
      <w:start w:val="1"/>
      <w:numFmt w:val="lowerLetter"/>
      <w:lvlText w:val="%5."/>
      <w:lvlJc w:val="left"/>
      <w:pPr>
        <w:ind w:left="3742" w:hanging="360"/>
      </w:pPr>
    </w:lvl>
    <w:lvl w:ilvl="5" w:tplc="140A001B" w:tentative="1">
      <w:start w:val="1"/>
      <w:numFmt w:val="lowerRoman"/>
      <w:lvlText w:val="%6."/>
      <w:lvlJc w:val="right"/>
      <w:pPr>
        <w:ind w:left="4462" w:hanging="180"/>
      </w:pPr>
    </w:lvl>
    <w:lvl w:ilvl="6" w:tplc="140A000F" w:tentative="1">
      <w:start w:val="1"/>
      <w:numFmt w:val="decimal"/>
      <w:lvlText w:val="%7."/>
      <w:lvlJc w:val="left"/>
      <w:pPr>
        <w:ind w:left="5182" w:hanging="360"/>
      </w:pPr>
    </w:lvl>
    <w:lvl w:ilvl="7" w:tplc="140A0019" w:tentative="1">
      <w:start w:val="1"/>
      <w:numFmt w:val="lowerLetter"/>
      <w:lvlText w:val="%8."/>
      <w:lvlJc w:val="left"/>
      <w:pPr>
        <w:ind w:left="5902" w:hanging="360"/>
      </w:pPr>
    </w:lvl>
    <w:lvl w:ilvl="8" w:tplc="140A001B" w:tentative="1">
      <w:start w:val="1"/>
      <w:numFmt w:val="lowerRoman"/>
      <w:lvlText w:val="%9."/>
      <w:lvlJc w:val="right"/>
      <w:pPr>
        <w:ind w:left="6622" w:hanging="180"/>
      </w:pPr>
    </w:lvl>
  </w:abstractNum>
  <w:abstractNum w:abstractNumId="16" w15:restartNumberingAfterBreak="0">
    <w:nsid w:val="7A852245"/>
    <w:multiLevelType w:val="hybridMultilevel"/>
    <w:tmpl w:val="34CC06E4"/>
    <w:lvl w:ilvl="0" w:tplc="04090011">
      <w:start w:val="1"/>
      <w:numFmt w:val="decimal"/>
      <w:lvlText w:val="%1)"/>
      <w:lvlJc w:val="left"/>
      <w:pPr>
        <w:ind w:left="786" w:hanging="360"/>
      </w:pPr>
      <w:rPr>
        <w:rFonts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D399F7D"/>
    <w:multiLevelType w:val="hybridMultilevel"/>
    <w:tmpl w:val="FBB4EE8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D9F29CF"/>
    <w:multiLevelType w:val="hybridMultilevel"/>
    <w:tmpl w:val="4A302FB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0"/>
  </w:num>
  <w:num w:numId="2">
    <w:abstractNumId w:val="5"/>
  </w:num>
  <w:num w:numId="3">
    <w:abstractNumId w:val="3"/>
  </w:num>
  <w:num w:numId="4">
    <w:abstractNumId w:val="7"/>
  </w:num>
  <w:num w:numId="5">
    <w:abstractNumId w:val="12"/>
  </w:num>
  <w:num w:numId="6">
    <w:abstractNumId w:val="16"/>
  </w:num>
  <w:num w:numId="7">
    <w:abstractNumId w:val="8"/>
  </w:num>
  <w:num w:numId="8">
    <w:abstractNumId w:val="9"/>
  </w:num>
  <w:num w:numId="9">
    <w:abstractNumId w:val="15"/>
  </w:num>
  <w:num w:numId="10">
    <w:abstractNumId w:val="14"/>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7"/>
  </w:num>
  <w:num w:numId="18">
    <w:abstractNumId w:val="6"/>
  </w:num>
  <w:num w:numId="19">
    <w:abstractNumId w:val="2"/>
  </w:num>
  <w:num w:numId="20">
    <w:abstractNumId w:val="13"/>
  </w:num>
  <w:num w:numId="21">
    <w:abstractNumId w:val="18"/>
  </w:num>
  <w:num w:numId="22">
    <w:abstractNumId w:val="1"/>
  </w:num>
  <w:num w:numId="23">
    <w:abstractNumId w:val="0"/>
  </w:num>
  <w:num w:numId="24">
    <w:abstractNumId w:val="10"/>
  </w:num>
  <w:num w:numId="25">
    <w:abstractNumId w:val="10"/>
  </w:num>
  <w:num w:numId="26">
    <w:abstractNumId w:val="11"/>
  </w:num>
  <w:num w:numId="27">
    <w:abstractNumId w:val="10"/>
  </w:num>
  <w:num w:numId="28">
    <w:abstractNumId w:val="10"/>
    <w:lvlOverride w:ilvl="0">
      <w:startOverride w:val="1"/>
    </w:lvlOverride>
  </w:num>
  <w:num w:numId="29">
    <w:abstractNumId w:val="10"/>
  </w:num>
  <w:num w:numId="30">
    <w:abstractNumId w:val="10"/>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10"/>
  </w:num>
  <w:num w:numId="44">
    <w:abstractNumId w:val="10"/>
  </w:num>
  <w:num w:numId="4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ES" w:vendorID="64" w:dllVersion="6" w:nlCheck="1" w:checkStyle="0"/>
  <w:activeWritingStyle w:appName="MSWord" w:lang="es-MX"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AR" w:vendorID="64" w:dllVersion="6" w:nlCheck="1" w:checkStyle="0"/>
  <w:activeWritingStyle w:appName="MSWord" w:lang="es-CR"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CO" w:vendorID="64" w:dllVersion="6" w:nlCheck="1" w:checkStyle="0"/>
  <w:activeWritingStyle w:appName="MSWord" w:lang="es-CR" w:vendorID="64" w:dllVersion="0" w:nlCheck="1" w:checkStyle="0"/>
  <w:activeWritingStyle w:appName="MSWord" w:lang="es-AR" w:vendorID="64" w:dllVersion="0" w:nlCheck="1" w:checkStyle="0"/>
  <w:activeWritingStyle w:appName="MSWord" w:lang="es-ES" w:vendorID="64" w:dllVersion="0" w:nlCheck="1" w:checkStyle="0"/>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191"/>
    <w:rsid w:val="0000022D"/>
    <w:rsid w:val="00000EE8"/>
    <w:rsid w:val="000033D7"/>
    <w:rsid w:val="000054D5"/>
    <w:rsid w:val="00005C3B"/>
    <w:rsid w:val="00010226"/>
    <w:rsid w:val="00010255"/>
    <w:rsid w:val="00011410"/>
    <w:rsid w:val="00012E73"/>
    <w:rsid w:val="00013BA9"/>
    <w:rsid w:val="00014289"/>
    <w:rsid w:val="000142CB"/>
    <w:rsid w:val="00014AD2"/>
    <w:rsid w:val="00014C78"/>
    <w:rsid w:val="00016191"/>
    <w:rsid w:val="000171D2"/>
    <w:rsid w:val="00017AD6"/>
    <w:rsid w:val="000205AC"/>
    <w:rsid w:val="0002209F"/>
    <w:rsid w:val="000223CE"/>
    <w:rsid w:val="000341DA"/>
    <w:rsid w:val="00035149"/>
    <w:rsid w:val="00036095"/>
    <w:rsid w:val="00036B28"/>
    <w:rsid w:val="000411C8"/>
    <w:rsid w:val="0004268F"/>
    <w:rsid w:val="00043F00"/>
    <w:rsid w:val="0004514C"/>
    <w:rsid w:val="00045F17"/>
    <w:rsid w:val="00047269"/>
    <w:rsid w:val="00047780"/>
    <w:rsid w:val="00055052"/>
    <w:rsid w:val="000572C5"/>
    <w:rsid w:val="00060660"/>
    <w:rsid w:val="00062639"/>
    <w:rsid w:val="00063C33"/>
    <w:rsid w:val="00063E3C"/>
    <w:rsid w:val="0006429F"/>
    <w:rsid w:val="00065FFD"/>
    <w:rsid w:val="00066CD6"/>
    <w:rsid w:val="00067B7C"/>
    <w:rsid w:val="000719A4"/>
    <w:rsid w:val="00073E13"/>
    <w:rsid w:val="000759AC"/>
    <w:rsid w:val="0008188C"/>
    <w:rsid w:val="00082CF9"/>
    <w:rsid w:val="00086C27"/>
    <w:rsid w:val="0009389A"/>
    <w:rsid w:val="00093B23"/>
    <w:rsid w:val="00094A32"/>
    <w:rsid w:val="000951A5"/>
    <w:rsid w:val="00096CC8"/>
    <w:rsid w:val="00096D19"/>
    <w:rsid w:val="000A07F1"/>
    <w:rsid w:val="000A0FDA"/>
    <w:rsid w:val="000A3E1F"/>
    <w:rsid w:val="000A41E4"/>
    <w:rsid w:val="000A4368"/>
    <w:rsid w:val="000A6FEA"/>
    <w:rsid w:val="000A7575"/>
    <w:rsid w:val="000B3001"/>
    <w:rsid w:val="000B3065"/>
    <w:rsid w:val="000B398F"/>
    <w:rsid w:val="000B61CF"/>
    <w:rsid w:val="000C00AC"/>
    <w:rsid w:val="000C41A4"/>
    <w:rsid w:val="000C54D2"/>
    <w:rsid w:val="000C5F41"/>
    <w:rsid w:val="000C7B74"/>
    <w:rsid w:val="000D0F0E"/>
    <w:rsid w:val="000D150C"/>
    <w:rsid w:val="000D3879"/>
    <w:rsid w:val="000D4C2C"/>
    <w:rsid w:val="000D4C8E"/>
    <w:rsid w:val="000D608F"/>
    <w:rsid w:val="000D7B5F"/>
    <w:rsid w:val="000F00E0"/>
    <w:rsid w:val="000F095D"/>
    <w:rsid w:val="000F1688"/>
    <w:rsid w:val="000F1A7C"/>
    <w:rsid w:val="000F29E9"/>
    <w:rsid w:val="000F4504"/>
    <w:rsid w:val="000F74B5"/>
    <w:rsid w:val="0010097D"/>
    <w:rsid w:val="00101232"/>
    <w:rsid w:val="00101B65"/>
    <w:rsid w:val="00102153"/>
    <w:rsid w:val="001031A7"/>
    <w:rsid w:val="00104220"/>
    <w:rsid w:val="0010494F"/>
    <w:rsid w:val="00106103"/>
    <w:rsid w:val="00107F5E"/>
    <w:rsid w:val="00110401"/>
    <w:rsid w:val="00113DF4"/>
    <w:rsid w:val="00113F6D"/>
    <w:rsid w:val="0011415E"/>
    <w:rsid w:val="0011434A"/>
    <w:rsid w:val="00115083"/>
    <w:rsid w:val="00115A14"/>
    <w:rsid w:val="00117C4F"/>
    <w:rsid w:val="00117CED"/>
    <w:rsid w:val="00122A75"/>
    <w:rsid w:val="00122B93"/>
    <w:rsid w:val="00123050"/>
    <w:rsid w:val="00123C72"/>
    <w:rsid w:val="0012551A"/>
    <w:rsid w:val="00126567"/>
    <w:rsid w:val="001275D0"/>
    <w:rsid w:val="00133CE7"/>
    <w:rsid w:val="00135069"/>
    <w:rsid w:val="001362D7"/>
    <w:rsid w:val="001369CA"/>
    <w:rsid w:val="00136A3D"/>
    <w:rsid w:val="00136ABE"/>
    <w:rsid w:val="00136EDC"/>
    <w:rsid w:val="00137784"/>
    <w:rsid w:val="001418D3"/>
    <w:rsid w:val="00141F7E"/>
    <w:rsid w:val="00143B34"/>
    <w:rsid w:val="001448E6"/>
    <w:rsid w:val="00150BD8"/>
    <w:rsid w:val="001517BD"/>
    <w:rsid w:val="00155125"/>
    <w:rsid w:val="00155D07"/>
    <w:rsid w:val="00155FB3"/>
    <w:rsid w:val="00160E30"/>
    <w:rsid w:val="00162BD2"/>
    <w:rsid w:val="0016379E"/>
    <w:rsid w:val="0016461B"/>
    <w:rsid w:val="00164C90"/>
    <w:rsid w:val="00165C80"/>
    <w:rsid w:val="00167396"/>
    <w:rsid w:val="00171A62"/>
    <w:rsid w:val="00171AAD"/>
    <w:rsid w:val="0017204D"/>
    <w:rsid w:val="001735A7"/>
    <w:rsid w:val="00174B71"/>
    <w:rsid w:val="0017695B"/>
    <w:rsid w:val="001804D1"/>
    <w:rsid w:val="00182C43"/>
    <w:rsid w:val="001859C1"/>
    <w:rsid w:val="00186B85"/>
    <w:rsid w:val="00187EE7"/>
    <w:rsid w:val="0019023E"/>
    <w:rsid w:val="00191BEF"/>
    <w:rsid w:val="00191CE9"/>
    <w:rsid w:val="001921B7"/>
    <w:rsid w:val="00192232"/>
    <w:rsid w:val="00194D24"/>
    <w:rsid w:val="001977CD"/>
    <w:rsid w:val="001979A4"/>
    <w:rsid w:val="001A0EFB"/>
    <w:rsid w:val="001A26F3"/>
    <w:rsid w:val="001A4569"/>
    <w:rsid w:val="001A5338"/>
    <w:rsid w:val="001A5456"/>
    <w:rsid w:val="001A549A"/>
    <w:rsid w:val="001B0154"/>
    <w:rsid w:val="001B03B6"/>
    <w:rsid w:val="001B2DF7"/>
    <w:rsid w:val="001B475B"/>
    <w:rsid w:val="001B480E"/>
    <w:rsid w:val="001B5010"/>
    <w:rsid w:val="001B5654"/>
    <w:rsid w:val="001B73FC"/>
    <w:rsid w:val="001B7D90"/>
    <w:rsid w:val="001C04CC"/>
    <w:rsid w:val="001C2B5C"/>
    <w:rsid w:val="001C338D"/>
    <w:rsid w:val="001C3BCD"/>
    <w:rsid w:val="001C4681"/>
    <w:rsid w:val="001C510E"/>
    <w:rsid w:val="001D05D4"/>
    <w:rsid w:val="001D221F"/>
    <w:rsid w:val="001D33D6"/>
    <w:rsid w:val="001D44BB"/>
    <w:rsid w:val="001D5765"/>
    <w:rsid w:val="001E10EE"/>
    <w:rsid w:val="001E1A39"/>
    <w:rsid w:val="001E1C89"/>
    <w:rsid w:val="001E245F"/>
    <w:rsid w:val="001E33CC"/>
    <w:rsid w:val="001E35BA"/>
    <w:rsid w:val="001E47F0"/>
    <w:rsid w:val="001E5716"/>
    <w:rsid w:val="001F06EF"/>
    <w:rsid w:val="001F0928"/>
    <w:rsid w:val="001F0CAB"/>
    <w:rsid w:val="001F1FFC"/>
    <w:rsid w:val="001F218D"/>
    <w:rsid w:val="001F3986"/>
    <w:rsid w:val="001F6A02"/>
    <w:rsid w:val="001F6CFD"/>
    <w:rsid w:val="00201075"/>
    <w:rsid w:val="002045CB"/>
    <w:rsid w:val="002049B3"/>
    <w:rsid w:val="00205583"/>
    <w:rsid w:val="00205F3D"/>
    <w:rsid w:val="00206ECA"/>
    <w:rsid w:val="00210D02"/>
    <w:rsid w:val="002114F5"/>
    <w:rsid w:val="002133D6"/>
    <w:rsid w:val="00213D56"/>
    <w:rsid w:val="00216C80"/>
    <w:rsid w:val="00220455"/>
    <w:rsid w:val="002232C5"/>
    <w:rsid w:val="00223A2A"/>
    <w:rsid w:val="00224C55"/>
    <w:rsid w:val="00226D4A"/>
    <w:rsid w:val="00227A4B"/>
    <w:rsid w:val="002320B9"/>
    <w:rsid w:val="00233193"/>
    <w:rsid w:val="00237232"/>
    <w:rsid w:val="002374FD"/>
    <w:rsid w:val="00237B9F"/>
    <w:rsid w:val="00240A37"/>
    <w:rsid w:val="00240A3F"/>
    <w:rsid w:val="00241D46"/>
    <w:rsid w:val="00241F49"/>
    <w:rsid w:val="00247084"/>
    <w:rsid w:val="00247B1B"/>
    <w:rsid w:val="002507D6"/>
    <w:rsid w:val="002509A8"/>
    <w:rsid w:val="00250AE1"/>
    <w:rsid w:val="00251166"/>
    <w:rsid w:val="00251F34"/>
    <w:rsid w:val="002543B5"/>
    <w:rsid w:val="00262215"/>
    <w:rsid w:val="0026413C"/>
    <w:rsid w:val="00264697"/>
    <w:rsid w:val="00264ECD"/>
    <w:rsid w:val="0026641E"/>
    <w:rsid w:val="00266BB1"/>
    <w:rsid w:val="00271C1F"/>
    <w:rsid w:val="00271CF5"/>
    <w:rsid w:val="00271F05"/>
    <w:rsid w:val="00273A56"/>
    <w:rsid w:val="002759D8"/>
    <w:rsid w:val="00277D66"/>
    <w:rsid w:val="00285304"/>
    <w:rsid w:val="00287B48"/>
    <w:rsid w:val="00292673"/>
    <w:rsid w:val="002929AD"/>
    <w:rsid w:val="0029627E"/>
    <w:rsid w:val="002A1F81"/>
    <w:rsid w:val="002A6C1F"/>
    <w:rsid w:val="002A6EFA"/>
    <w:rsid w:val="002B0877"/>
    <w:rsid w:val="002B0E72"/>
    <w:rsid w:val="002B0FEB"/>
    <w:rsid w:val="002B12E1"/>
    <w:rsid w:val="002B13C6"/>
    <w:rsid w:val="002B1C91"/>
    <w:rsid w:val="002B22C5"/>
    <w:rsid w:val="002B3048"/>
    <w:rsid w:val="002B4C49"/>
    <w:rsid w:val="002C039F"/>
    <w:rsid w:val="002C03B3"/>
    <w:rsid w:val="002C0961"/>
    <w:rsid w:val="002C152E"/>
    <w:rsid w:val="002C32E0"/>
    <w:rsid w:val="002C49A5"/>
    <w:rsid w:val="002C4F31"/>
    <w:rsid w:val="002C5F94"/>
    <w:rsid w:val="002D0D39"/>
    <w:rsid w:val="002D3F56"/>
    <w:rsid w:val="002D5571"/>
    <w:rsid w:val="002D6B08"/>
    <w:rsid w:val="002E2762"/>
    <w:rsid w:val="002E27BE"/>
    <w:rsid w:val="002E32C7"/>
    <w:rsid w:val="002E6E4E"/>
    <w:rsid w:val="002F07BD"/>
    <w:rsid w:val="002F1E83"/>
    <w:rsid w:val="002F254E"/>
    <w:rsid w:val="002F421E"/>
    <w:rsid w:val="002F4E07"/>
    <w:rsid w:val="002F548B"/>
    <w:rsid w:val="002F6D60"/>
    <w:rsid w:val="00300EE1"/>
    <w:rsid w:val="00301F23"/>
    <w:rsid w:val="0030272E"/>
    <w:rsid w:val="003049BE"/>
    <w:rsid w:val="00304EF4"/>
    <w:rsid w:val="003056CA"/>
    <w:rsid w:val="00305A57"/>
    <w:rsid w:val="00305EFF"/>
    <w:rsid w:val="003071BB"/>
    <w:rsid w:val="00310983"/>
    <w:rsid w:val="00310C35"/>
    <w:rsid w:val="003113F3"/>
    <w:rsid w:val="00311412"/>
    <w:rsid w:val="00312E2A"/>
    <w:rsid w:val="00313DAF"/>
    <w:rsid w:val="00314476"/>
    <w:rsid w:val="0031623F"/>
    <w:rsid w:val="00316B6E"/>
    <w:rsid w:val="00316D90"/>
    <w:rsid w:val="00317041"/>
    <w:rsid w:val="00320AD0"/>
    <w:rsid w:val="00320D65"/>
    <w:rsid w:val="003264BA"/>
    <w:rsid w:val="00327854"/>
    <w:rsid w:val="00332454"/>
    <w:rsid w:val="00332A4B"/>
    <w:rsid w:val="00333A97"/>
    <w:rsid w:val="003344D3"/>
    <w:rsid w:val="00335797"/>
    <w:rsid w:val="0033759D"/>
    <w:rsid w:val="00337604"/>
    <w:rsid w:val="00340DD9"/>
    <w:rsid w:val="00341753"/>
    <w:rsid w:val="003426AC"/>
    <w:rsid w:val="00342A8B"/>
    <w:rsid w:val="00344E69"/>
    <w:rsid w:val="00345597"/>
    <w:rsid w:val="00351965"/>
    <w:rsid w:val="00352332"/>
    <w:rsid w:val="00352C5B"/>
    <w:rsid w:val="00354CF0"/>
    <w:rsid w:val="00355A97"/>
    <w:rsid w:val="00357610"/>
    <w:rsid w:val="00357794"/>
    <w:rsid w:val="00362582"/>
    <w:rsid w:val="0036290C"/>
    <w:rsid w:val="00363877"/>
    <w:rsid w:val="00371A50"/>
    <w:rsid w:val="00371CC7"/>
    <w:rsid w:val="00372891"/>
    <w:rsid w:val="003729C8"/>
    <w:rsid w:val="0037566C"/>
    <w:rsid w:val="003825E7"/>
    <w:rsid w:val="00384AAA"/>
    <w:rsid w:val="0038607F"/>
    <w:rsid w:val="003862C7"/>
    <w:rsid w:val="00387450"/>
    <w:rsid w:val="00387D2B"/>
    <w:rsid w:val="00391C4F"/>
    <w:rsid w:val="00393472"/>
    <w:rsid w:val="00393775"/>
    <w:rsid w:val="003945D3"/>
    <w:rsid w:val="00394ACD"/>
    <w:rsid w:val="00395A68"/>
    <w:rsid w:val="00397E8F"/>
    <w:rsid w:val="003A018B"/>
    <w:rsid w:val="003A2389"/>
    <w:rsid w:val="003A364D"/>
    <w:rsid w:val="003A4FA8"/>
    <w:rsid w:val="003A6106"/>
    <w:rsid w:val="003B01EB"/>
    <w:rsid w:val="003B2554"/>
    <w:rsid w:val="003B38A5"/>
    <w:rsid w:val="003B3F36"/>
    <w:rsid w:val="003B657E"/>
    <w:rsid w:val="003B706E"/>
    <w:rsid w:val="003B787B"/>
    <w:rsid w:val="003C0856"/>
    <w:rsid w:val="003C2C2D"/>
    <w:rsid w:val="003C2E75"/>
    <w:rsid w:val="003C3723"/>
    <w:rsid w:val="003C3755"/>
    <w:rsid w:val="003C51F4"/>
    <w:rsid w:val="003D07FD"/>
    <w:rsid w:val="003D1F38"/>
    <w:rsid w:val="003D25B3"/>
    <w:rsid w:val="003D2AFA"/>
    <w:rsid w:val="003D3EA0"/>
    <w:rsid w:val="003D7D50"/>
    <w:rsid w:val="003E055B"/>
    <w:rsid w:val="003E09BD"/>
    <w:rsid w:val="003E171E"/>
    <w:rsid w:val="003E1E70"/>
    <w:rsid w:val="003E2807"/>
    <w:rsid w:val="003E520F"/>
    <w:rsid w:val="003E70A7"/>
    <w:rsid w:val="003E77F1"/>
    <w:rsid w:val="003F6603"/>
    <w:rsid w:val="00404DE4"/>
    <w:rsid w:val="004065DD"/>
    <w:rsid w:val="00412A02"/>
    <w:rsid w:val="004139A3"/>
    <w:rsid w:val="004149C3"/>
    <w:rsid w:val="0041576C"/>
    <w:rsid w:val="0041579F"/>
    <w:rsid w:val="00416450"/>
    <w:rsid w:val="00421DD4"/>
    <w:rsid w:val="0042377F"/>
    <w:rsid w:val="00426042"/>
    <w:rsid w:val="004260E7"/>
    <w:rsid w:val="00434006"/>
    <w:rsid w:val="00435A39"/>
    <w:rsid w:val="0044039C"/>
    <w:rsid w:val="0044136C"/>
    <w:rsid w:val="004416D4"/>
    <w:rsid w:val="004419E0"/>
    <w:rsid w:val="0044308A"/>
    <w:rsid w:val="00445F10"/>
    <w:rsid w:val="004468E7"/>
    <w:rsid w:val="00450A75"/>
    <w:rsid w:val="004522A7"/>
    <w:rsid w:val="00454412"/>
    <w:rsid w:val="00454E64"/>
    <w:rsid w:val="0045516E"/>
    <w:rsid w:val="00455B1E"/>
    <w:rsid w:val="00456572"/>
    <w:rsid w:val="00456601"/>
    <w:rsid w:val="00457D89"/>
    <w:rsid w:val="0046106D"/>
    <w:rsid w:val="0046292F"/>
    <w:rsid w:val="0046323D"/>
    <w:rsid w:val="00463738"/>
    <w:rsid w:val="00466837"/>
    <w:rsid w:val="00467027"/>
    <w:rsid w:val="00467E9F"/>
    <w:rsid w:val="00470241"/>
    <w:rsid w:val="004718FD"/>
    <w:rsid w:val="00477642"/>
    <w:rsid w:val="00482112"/>
    <w:rsid w:val="004822C3"/>
    <w:rsid w:val="00482A2E"/>
    <w:rsid w:val="00482C53"/>
    <w:rsid w:val="004836BA"/>
    <w:rsid w:val="00484610"/>
    <w:rsid w:val="00485BA2"/>
    <w:rsid w:val="00485BA7"/>
    <w:rsid w:val="004863CD"/>
    <w:rsid w:val="0048700D"/>
    <w:rsid w:val="0048750C"/>
    <w:rsid w:val="00487AE7"/>
    <w:rsid w:val="00487FF6"/>
    <w:rsid w:val="0049025D"/>
    <w:rsid w:val="004969BD"/>
    <w:rsid w:val="00496EA3"/>
    <w:rsid w:val="00497516"/>
    <w:rsid w:val="00497960"/>
    <w:rsid w:val="00497C16"/>
    <w:rsid w:val="004A08DF"/>
    <w:rsid w:val="004A1516"/>
    <w:rsid w:val="004A1DF8"/>
    <w:rsid w:val="004A48FE"/>
    <w:rsid w:val="004A4C8E"/>
    <w:rsid w:val="004B2167"/>
    <w:rsid w:val="004B3910"/>
    <w:rsid w:val="004B3B1D"/>
    <w:rsid w:val="004B5999"/>
    <w:rsid w:val="004B75E3"/>
    <w:rsid w:val="004B7966"/>
    <w:rsid w:val="004C0F6E"/>
    <w:rsid w:val="004C1066"/>
    <w:rsid w:val="004C139E"/>
    <w:rsid w:val="004C3045"/>
    <w:rsid w:val="004C3A43"/>
    <w:rsid w:val="004C4537"/>
    <w:rsid w:val="004D24A4"/>
    <w:rsid w:val="004D7FAA"/>
    <w:rsid w:val="004E3C65"/>
    <w:rsid w:val="004E3D3D"/>
    <w:rsid w:val="004E4058"/>
    <w:rsid w:val="004E4C9C"/>
    <w:rsid w:val="004E5443"/>
    <w:rsid w:val="004E698B"/>
    <w:rsid w:val="004E76A1"/>
    <w:rsid w:val="004F0195"/>
    <w:rsid w:val="004F30E5"/>
    <w:rsid w:val="004F5858"/>
    <w:rsid w:val="004F5AD2"/>
    <w:rsid w:val="004F670C"/>
    <w:rsid w:val="004F6DA0"/>
    <w:rsid w:val="004F708F"/>
    <w:rsid w:val="004F75CB"/>
    <w:rsid w:val="00501D23"/>
    <w:rsid w:val="005020C1"/>
    <w:rsid w:val="00506AF2"/>
    <w:rsid w:val="00506B75"/>
    <w:rsid w:val="00507CF0"/>
    <w:rsid w:val="005117D8"/>
    <w:rsid w:val="00511937"/>
    <w:rsid w:val="00512CB8"/>
    <w:rsid w:val="00513D5C"/>
    <w:rsid w:val="00514246"/>
    <w:rsid w:val="005145B8"/>
    <w:rsid w:val="0052032D"/>
    <w:rsid w:val="005236B8"/>
    <w:rsid w:val="005237C5"/>
    <w:rsid w:val="00523AC8"/>
    <w:rsid w:val="005245EB"/>
    <w:rsid w:val="00525495"/>
    <w:rsid w:val="00526998"/>
    <w:rsid w:val="00530162"/>
    <w:rsid w:val="005352E1"/>
    <w:rsid w:val="0053557B"/>
    <w:rsid w:val="00536C09"/>
    <w:rsid w:val="00537B8E"/>
    <w:rsid w:val="00540E03"/>
    <w:rsid w:val="00541C53"/>
    <w:rsid w:val="00542582"/>
    <w:rsid w:val="00542633"/>
    <w:rsid w:val="0054465C"/>
    <w:rsid w:val="00544E5A"/>
    <w:rsid w:val="00545D33"/>
    <w:rsid w:val="00546CE6"/>
    <w:rsid w:val="00547329"/>
    <w:rsid w:val="00547633"/>
    <w:rsid w:val="005509C5"/>
    <w:rsid w:val="0055209C"/>
    <w:rsid w:val="00553094"/>
    <w:rsid w:val="00556A78"/>
    <w:rsid w:val="00557B43"/>
    <w:rsid w:val="00561917"/>
    <w:rsid w:val="005620AF"/>
    <w:rsid w:val="00563E96"/>
    <w:rsid w:val="005643E0"/>
    <w:rsid w:val="00564E79"/>
    <w:rsid w:val="00564E82"/>
    <w:rsid w:val="00564EC8"/>
    <w:rsid w:val="005657F8"/>
    <w:rsid w:val="0056628D"/>
    <w:rsid w:val="00566436"/>
    <w:rsid w:val="00566590"/>
    <w:rsid w:val="00567C99"/>
    <w:rsid w:val="005704D4"/>
    <w:rsid w:val="005705AB"/>
    <w:rsid w:val="00572CAE"/>
    <w:rsid w:val="00574629"/>
    <w:rsid w:val="00575D79"/>
    <w:rsid w:val="00576413"/>
    <w:rsid w:val="00576AEA"/>
    <w:rsid w:val="0057712C"/>
    <w:rsid w:val="00580898"/>
    <w:rsid w:val="00582D26"/>
    <w:rsid w:val="00584797"/>
    <w:rsid w:val="00585877"/>
    <w:rsid w:val="005872DB"/>
    <w:rsid w:val="00590A58"/>
    <w:rsid w:val="005917E0"/>
    <w:rsid w:val="005931DB"/>
    <w:rsid w:val="0059335C"/>
    <w:rsid w:val="005937AA"/>
    <w:rsid w:val="00595502"/>
    <w:rsid w:val="0059627C"/>
    <w:rsid w:val="005A21F8"/>
    <w:rsid w:val="005A2E9C"/>
    <w:rsid w:val="005A3225"/>
    <w:rsid w:val="005A36DC"/>
    <w:rsid w:val="005A5A75"/>
    <w:rsid w:val="005B368E"/>
    <w:rsid w:val="005B3DE6"/>
    <w:rsid w:val="005B5B88"/>
    <w:rsid w:val="005B65A2"/>
    <w:rsid w:val="005B69AA"/>
    <w:rsid w:val="005B6B9A"/>
    <w:rsid w:val="005B701F"/>
    <w:rsid w:val="005C0F81"/>
    <w:rsid w:val="005C20CF"/>
    <w:rsid w:val="005C5664"/>
    <w:rsid w:val="005C5EF4"/>
    <w:rsid w:val="005C6C93"/>
    <w:rsid w:val="005D25DF"/>
    <w:rsid w:val="005D4FAC"/>
    <w:rsid w:val="005E1076"/>
    <w:rsid w:val="005E1BF7"/>
    <w:rsid w:val="005E291F"/>
    <w:rsid w:val="005E54E7"/>
    <w:rsid w:val="005E59AE"/>
    <w:rsid w:val="005E66F8"/>
    <w:rsid w:val="005E698B"/>
    <w:rsid w:val="005F152E"/>
    <w:rsid w:val="005F201B"/>
    <w:rsid w:val="005F40E2"/>
    <w:rsid w:val="005F4EF2"/>
    <w:rsid w:val="005F548F"/>
    <w:rsid w:val="005F5770"/>
    <w:rsid w:val="005F632C"/>
    <w:rsid w:val="005F7B36"/>
    <w:rsid w:val="0060066B"/>
    <w:rsid w:val="00601AE8"/>
    <w:rsid w:val="00605EAB"/>
    <w:rsid w:val="006064E0"/>
    <w:rsid w:val="0060651A"/>
    <w:rsid w:val="00607755"/>
    <w:rsid w:val="006112B3"/>
    <w:rsid w:val="006145F1"/>
    <w:rsid w:val="00614D4B"/>
    <w:rsid w:val="00614F8D"/>
    <w:rsid w:val="006157EB"/>
    <w:rsid w:val="00615CCA"/>
    <w:rsid w:val="0061651F"/>
    <w:rsid w:val="006203C4"/>
    <w:rsid w:val="00622405"/>
    <w:rsid w:val="00623828"/>
    <w:rsid w:val="00624328"/>
    <w:rsid w:val="006306B6"/>
    <w:rsid w:val="00630F17"/>
    <w:rsid w:val="00631E58"/>
    <w:rsid w:val="006328EB"/>
    <w:rsid w:val="006422E8"/>
    <w:rsid w:val="00643A12"/>
    <w:rsid w:val="006457FF"/>
    <w:rsid w:val="00645A5F"/>
    <w:rsid w:val="00647660"/>
    <w:rsid w:val="006520ED"/>
    <w:rsid w:val="00652D45"/>
    <w:rsid w:val="00652E83"/>
    <w:rsid w:val="0065468B"/>
    <w:rsid w:val="00654FAD"/>
    <w:rsid w:val="00655850"/>
    <w:rsid w:val="00656E82"/>
    <w:rsid w:val="00657EBA"/>
    <w:rsid w:val="00662AE7"/>
    <w:rsid w:val="006637F7"/>
    <w:rsid w:val="0066415E"/>
    <w:rsid w:val="00666A2C"/>
    <w:rsid w:val="00666ABF"/>
    <w:rsid w:val="00666B62"/>
    <w:rsid w:val="006701EE"/>
    <w:rsid w:val="006707EE"/>
    <w:rsid w:val="006709EC"/>
    <w:rsid w:val="00671AC8"/>
    <w:rsid w:val="006720F9"/>
    <w:rsid w:val="00677DC8"/>
    <w:rsid w:val="00677E19"/>
    <w:rsid w:val="006810D4"/>
    <w:rsid w:val="00685F6B"/>
    <w:rsid w:val="00687231"/>
    <w:rsid w:val="00687787"/>
    <w:rsid w:val="006903E9"/>
    <w:rsid w:val="00690509"/>
    <w:rsid w:val="00691AF7"/>
    <w:rsid w:val="006929A3"/>
    <w:rsid w:val="00695284"/>
    <w:rsid w:val="006954FE"/>
    <w:rsid w:val="00695A38"/>
    <w:rsid w:val="00696DC4"/>
    <w:rsid w:val="006A0BE5"/>
    <w:rsid w:val="006A3BB1"/>
    <w:rsid w:val="006A47BC"/>
    <w:rsid w:val="006A60ED"/>
    <w:rsid w:val="006A6EED"/>
    <w:rsid w:val="006B279B"/>
    <w:rsid w:val="006B36C4"/>
    <w:rsid w:val="006B5876"/>
    <w:rsid w:val="006B6D4D"/>
    <w:rsid w:val="006C2730"/>
    <w:rsid w:val="006C38AC"/>
    <w:rsid w:val="006C7E81"/>
    <w:rsid w:val="006D05AE"/>
    <w:rsid w:val="006D0C9B"/>
    <w:rsid w:val="006D565D"/>
    <w:rsid w:val="006D68FA"/>
    <w:rsid w:val="006D7485"/>
    <w:rsid w:val="006E1807"/>
    <w:rsid w:val="006E4645"/>
    <w:rsid w:val="006E576F"/>
    <w:rsid w:val="006E5B3E"/>
    <w:rsid w:val="006E713F"/>
    <w:rsid w:val="006F168C"/>
    <w:rsid w:val="006F1A47"/>
    <w:rsid w:val="006F5119"/>
    <w:rsid w:val="006F7C96"/>
    <w:rsid w:val="00702526"/>
    <w:rsid w:val="00702CEE"/>
    <w:rsid w:val="0070396C"/>
    <w:rsid w:val="00704831"/>
    <w:rsid w:val="007051D8"/>
    <w:rsid w:val="00706A10"/>
    <w:rsid w:val="007118D1"/>
    <w:rsid w:val="0071192E"/>
    <w:rsid w:val="00711F2A"/>
    <w:rsid w:val="0071244C"/>
    <w:rsid w:val="00721EA7"/>
    <w:rsid w:val="00723B0F"/>
    <w:rsid w:val="00725A67"/>
    <w:rsid w:val="00727142"/>
    <w:rsid w:val="00727EB6"/>
    <w:rsid w:val="00730250"/>
    <w:rsid w:val="0073089C"/>
    <w:rsid w:val="0073103B"/>
    <w:rsid w:val="007339F3"/>
    <w:rsid w:val="00736BAF"/>
    <w:rsid w:val="0074090B"/>
    <w:rsid w:val="00740C5E"/>
    <w:rsid w:val="007414E1"/>
    <w:rsid w:val="007414EF"/>
    <w:rsid w:val="00742CB6"/>
    <w:rsid w:val="00743421"/>
    <w:rsid w:val="00743707"/>
    <w:rsid w:val="00745F74"/>
    <w:rsid w:val="0074714D"/>
    <w:rsid w:val="00747EEE"/>
    <w:rsid w:val="00750F33"/>
    <w:rsid w:val="00751245"/>
    <w:rsid w:val="007521F8"/>
    <w:rsid w:val="0075254D"/>
    <w:rsid w:val="00754DCB"/>
    <w:rsid w:val="00755142"/>
    <w:rsid w:val="0076551D"/>
    <w:rsid w:val="00766C3F"/>
    <w:rsid w:val="00766DD3"/>
    <w:rsid w:val="007702C3"/>
    <w:rsid w:val="00770E9C"/>
    <w:rsid w:val="00771038"/>
    <w:rsid w:val="00772254"/>
    <w:rsid w:val="0077293A"/>
    <w:rsid w:val="00773D8C"/>
    <w:rsid w:val="007743B9"/>
    <w:rsid w:val="007764B3"/>
    <w:rsid w:val="0077745B"/>
    <w:rsid w:val="00781FBE"/>
    <w:rsid w:val="00784A6C"/>
    <w:rsid w:val="007856AF"/>
    <w:rsid w:val="00787F35"/>
    <w:rsid w:val="0079442E"/>
    <w:rsid w:val="00794D07"/>
    <w:rsid w:val="00796032"/>
    <w:rsid w:val="007960FD"/>
    <w:rsid w:val="00796E22"/>
    <w:rsid w:val="0079705C"/>
    <w:rsid w:val="007A0CCC"/>
    <w:rsid w:val="007A0FB6"/>
    <w:rsid w:val="007A3312"/>
    <w:rsid w:val="007A4D1E"/>
    <w:rsid w:val="007A581C"/>
    <w:rsid w:val="007A5EE8"/>
    <w:rsid w:val="007A6A1E"/>
    <w:rsid w:val="007A7106"/>
    <w:rsid w:val="007B1D63"/>
    <w:rsid w:val="007B50AF"/>
    <w:rsid w:val="007B5BB0"/>
    <w:rsid w:val="007B6003"/>
    <w:rsid w:val="007B7AB7"/>
    <w:rsid w:val="007C00CB"/>
    <w:rsid w:val="007C03FD"/>
    <w:rsid w:val="007C1A2F"/>
    <w:rsid w:val="007C1F48"/>
    <w:rsid w:val="007C32EE"/>
    <w:rsid w:val="007C47F0"/>
    <w:rsid w:val="007C5933"/>
    <w:rsid w:val="007D0789"/>
    <w:rsid w:val="007D1558"/>
    <w:rsid w:val="007D1957"/>
    <w:rsid w:val="007D244B"/>
    <w:rsid w:val="007D2464"/>
    <w:rsid w:val="007D3859"/>
    <w:rsid w:val="007D4727"/>
    <w:rsid w:val="007E04D4"/>
    <w:rsid w:val="007E1372"/>
    <w:rsid w:val="007E2B3D"/>
    <w:rsid w:val="007E3522"/>
    <w:rsid w:val="007E3782"/>
    <w:rsid w:val="007E503E"/>
    <w:rsid w:val="007E5130"/>
    <w:rsid w:val="007E7781"/>
    <w:rsid w:val="007E7815"/>
    <w:rsid w:val="007F0C73"/>
    <w:rsid w:val="007F3AAA"/>
    <w:rsid w:val="007F58A9"/>
    <w:rsid w:val="007F5F37"/>
    <w:rsid w:val="00802BD5"/>
    <w:rsid w:val="00805A8D"/>
    <w:rsid w:val="00810709"/>
    <w:rsid w:val="00813B30"/>
    <w:rsid w:val="00815649"/>
    <w:rsid w:val="00815F5A"/>
    <w:rsid w:val="0082056B"/>
    <w:rsid w:val="00821219"/>
    <w:rsid w:val="00822BEF"/>
    <w:rsid w:val="00822F45"/>
    <w:rsid w:val="00824C61"/>
    <w:rsid w:val="008260DE"/>
    <w:rsid w:val="008274AA"/>
    <w:rsid w:val="008279F3"/>
    <w:rsid w:val="0083088A"/>
    <w:rsid w:val="00831A60"/>
    <w:rsid w:val="00833277"/>
    <w:rsid w:val="0083405E"/>
    <w:rsid w:val="00837140"/>
    <w:rsid w:val="00837746"/>
    <w:rsid w:val="00837AEB"/>
    <w:rsid w:val="008418CF"/>
    <w:rsid w:val="00842AD4"/>
    <w:rsid w:val="00844163"/>
    <w:rsid w:val="0084440D"/>
    <w:rsid w:val="00846ADB"/>
    <w:rsid w:val="00850EBD"/>
    <w:rsid w:val="00854FA7"/>
    <w:rsid w:val="0085713C"/>
    <w:rsid w:val="008606A8"/>
    <w:rsid w:val="00860A9B"/>
    <w:rsid w:val="00864CC2"/>
    <w:rsid w:val="00864F68"/>
    <w:rsid w:val="00865380"/>
    <w:rsid w:val="00866938"/>
    <w:rsid w:val="008679A8"/>
    <w:rsid w:val="00870BE2"/>
    <w:rsid w:val="00871010"/>
    <w:rsid w:val="00873CFF"/>
    <w:rsid w:val="00874312"/>
    <w:rsid w:val="00880E65"/>
    <w:rsid w:val="0088228E"/>
    <w:rsid w:val="00885622"/>
    <w:rsid w:val="0088784D"/>
    <w:rsid w:val="00891EF9"/>
    <w:rsid w:val="00895A6A"/>
    <w:rsid w:val="008974B0"/>
    <w:rsid w:val="00897846"/>
    <w:rsid w:val="00897B18"/>
    <w:rsid w:val="008A14DD"/>
    <w:rsid w:val="008A26E0"/>
    <w:rsid w:val="008A2D33"/>
    <w:rsid w:val="008A327A"/>
    <w:rsid w:val="008A43BE"/>
    <w:rsid w:val="008A61FF"/>
    <w:rsid w:val="008A6894"/>
    <w:rsid w:val="008A748C"/>
    <w:rsid w:val="008B2A2F"/>
    <w:rsid w:val="008B3852"/>
    <w:rsid w:val="008B55C3"/>
    <w:rsid w:val="008B69D6"/>
    <w:rsid w:val="008C024E"/>
    <w:rsid w:val="008C0F48"/>
    <w:rsid w:val="008C1B7B"/>
    <w:rsid w:val="008C2726"/>
    <w:rsid w:val="008C2D49"/>
    <w:rsid w:val="008C4F57"/>
    <w:rsid w:val="008D0467"/>
    <w:rsid w:val="008D21FF"/>
    <w:rsid w:val="008D2A98"/>
    <w:rsid w:val="008D44FA"/>
    <w:rsid w:val="008D5BAC"/>
    <w:rsid w:val="008D5DDF"/>
    <w:rsid w:val="008D6573"/>
    <w:rsid w:val="008D7101"/>
    <w:rsid w:val="008E474C"/>
    <w:rsid w:val="008E4D9A"/>
    <w:rsid w:val="008E5B95"/>
    <w:rsid w:val="008E60CA"/>
    <w:rsid w:val="008E6444"/>
    <w:rsid w:val="008E6F90"/>
    <w:rsid w:val="008E7E64"/>
    <w:rsid w:val="008F0658"/>
    <w:rsid w:val="008F3F54"/>
    <w:rsid w:val="008F5D79"/>
    <w:rsid w:val="008F7143"/>
    <w:rsid w:val="008F757F"/>
    <w:rsid w:val="009009D5"/>
    <w:rsid w:val="00901513"/>
    <w:rsid w:val="00901AE0"/>
    <w:rsid w:val="00902AB2"/>
    <w:rsid w:val="00903666"/>
    <w:rsid w:val="00903EFA"/>
    <w:rsid w:val="009042C4"/>
    <w:rsid w:val="0090445B"/>
    <w:rsid w:val="009050C9"/>
    <w:rsid w:val="00913666"/>
    <w:rsid w:val="00913E6B"/>
    <w:rsid w:val="00915580"/>
    <w:rsid w:val="009167EA"/>
    <w:rsid w:val="00921C02"/>
    <w:rsid w:val="009230D3"/>
    <w:rsid w:val="00924F1F"/>
    <w:rsid w:val="00931D35"/>
    <w:rsid w:val="00932A7B"/>
    <w:rsid w:val="00932AE5"/>
    <w:rsid w:val="0093392B"/>
    <w:rsid w:val="009365A1"/>
    <w:rsid w:val="009366A7"/>
    <w:rsid w:val="00936935"/>
    <w:rsid w:val="00936BB0"/>
    <w:rsid w:val="009426A8"/>
    <w:rsid w:val="00942758"/>
    <w:rsid w:val="009430D0"/>
    <w:rsid w:val="00943224"/>
    <w:rsid w:val="00943C6B"/>
    <w:rsid w:val="00954D63"/>
    <w:rsid w:val="009551EF"/>
    <w:rsid w:val="00955248"/>
    <w:rsid w:val="009557CE"/>
    <w:rsid w:val="00955EE9"/>
    <w:rsid w:val="009565D6"/>
    <w:rsid w:val="00956916"/>
    <w:rsid w:val="00956993"/>
    <w:rsid w:val="009573B3"/>
    <w:rsid w:val="009604A3"/>
    <w:rsid w:val="009605F0"/>
    <w:rsid w:val="00962F9D"/>
    <w:rsid w:val="00963A24"/>
    <w:rsid w:val="009649A4"/>
    <w:rsid w:val="00964EBE"/>
    <w:rsid w:val="00966BB2"/>
    <w:rsid w:val="00972551"/>
    <w:rsid w:val="00974318"/>
    <w:rsid w:val="00976EF7"/>
    <w:rsid w:val="00977843"/>
    <w:rsid w:val="00981EC7"/>
    <w:rsid w:val="00982D01"/>
    <w:rsid w:val="00983032"/>
    <w:rsid w:val="009855E5"/>
    <w:rsid w:val="009868B7"/>
    <w:rsid w:val="009876CB"/>
    <w:rsid w:val="00991CA9"/>
    <w:rsid w:val="00992076"/>
    <w:rsid w:val="009948FD"/>
    <w:rsid w:val="00995865"/>
    <w:rsid w:val="00995CA4"/>
    <w:rsid w:val="00996530"/>
    <w:rsid w:val="00997ED8"/>
    <w:rsid w:val="009A0C4C"/>
    <w:rsid w:val="009A0F43"/>
    <w:rsid w:val="009A1764"/>
    <w:rsid w:val="009A38DB"/>
    <w:rsid w:val="009A7363"/>
    <w:rsid w:val="009B3872"/>
    <w:rsid w:val="009B5283"/>
    <w:rsid w:val="009B617B"/>
    <w:rsid w:val="009B7E8A"/>
    <w:rsid w:val="009C0110"/>
    <w:rsid w:val="009C14DC"/>
    <w:rsid w:val="009C2AF5"/>
    <w:rsid w:val="009C428E"/>
    <w:rsid w:val="009C54C1"/>
    <w:rsid w:val="009D0142"/>
    <w:rsid w:val="009D078A"/>
    <w:rsid w:val="009D194E"/>
    <w:rsid w:val="009D2232"/>
    <w:rsid w:val="009D2EA3"/>
    <w:rsid w:val="009D6DB1"/>
    <w:rsid w:val="009D6F17"/>
    <w:rsid w:val="009D7164"/>
    <w:rsid w:val="009E37F2"/>
    <w:rsid w:val="009E5C52"/>
    <w:rsid w:val="009E645F"/>
    <w:rsid w:val="009E6C4C"/>
    <w:rsid w:val="009E6DF2"/>
    <w:rsid w:val="009F0251"/>
    <w:rsid w:val="009F1DCB"/>
    <w:rsid w:val="009F2719"/>
    <w:rsid w:val="009F2E3C"/>
    <w:rsid w:val="009F40AC"/>
    <w:rsid w:val="009F44A5"/>
    <w:rsid w:val="009F4A9C"/>
    <w:rsid w:val="009F4D08"/>
    <w:rsid w:val="009F5B4F"/>
    <w:rsid w:val="00A00E05"/>
    <w:rsid w:val="00A01EAC"/>
    <w:rsid w:val="00A0286B"/>
    <w:rsid w:val="00A0297E"/>
    <w:rsid w:val="00A029C1"/>
    <w:rsid w:val="00A06994"/>
    <w:rsid w:val="00A113A8"/>
    <w:rsid w:val="00A11AA5"/>
    <w:rsid w:val="00A138D5"/>
    <w:rsid w:val="00A146BE"/>
    <w:rsid w:val="00A15F82"/>
    <w:rsid w:val="00A166D6"/>
    <w:rsid w:val="00A20177"/>
    <w:rsid w:val="00A21F4D"/>
    <w:rsid w:val="00A21F5E"/>
    <w:rsid w:val="00A22125"/>
    <w:rsid w:val="00A221A4"/>
    <w:rsid w:val="00A232BF"/>
    <w:rsid w:val="00A25BB2"/>
    <w:rsid w:val="00A31777"/>
    <w:rsid w:val="00A324EA"/>
    <w:rsid w:val="00A33D8B"/>
    <w:rsid w:val="00A35B20"/>
    <w:rsid w:val="00A37A21"/>
    <w:rsid w:val="00A40638"/>
    <w:rsid w:val="00A4195E"/>
    <w:rsid w:val="00A451AF"/>
    <w:rsid w:val="00A4549C"/>
    <w:rsid w:val="00A47102"/>
    <w:rsid w:val="00A50558"/>
    <w:rsid w:val="00A5121E"/>
    <w:rsid w:val="00A52D5F"/>
    <w:rsid w:val="00A534C7"/>
    <w:rsid w:val="00A5486B"/>
    <w:rsid w:val="00A54E14"/>
    <w:rsid w:val="00A5763C"/>
    <w:rsid w:val="00A609DE"/>
    <w:rsid w:val="00A60BFB"/>
    <w:rsid w:val="00A62CB6"/>
    <w:rsid w:val="00A63841"/>
    <w:rsid w:val="00A64DCF"/>
    <w:rsid w:val="00A673CE"/>
    <w:rsid w:val="00A675BA"/>
    <w:rsid w:val="00A71713"/>
    <w:rsid w:val="00A73EFD"/>
    <w:rsid w:val="00A74249"/>
    <w:rsid w:val="00A74BC1"/>
    <w:rsid w:val="00A76228"/>
    <w:rsid w:val="00A81731"/>
    <w:rsid w:val="00A81839"/>
    <w:rsid w:val="00A81B57"/>
    <w:rsid w:val="00A81E8A"/>
    <w:rsid w:val="00A822D8"/>
    <w:rsid w:val="00A827A0"/>
    <w:rsid w:val="00A82E3B"/>
    <w:rsid w:val="00A832A2"/>
    <w:rsid w:val="00A83462"/>
    <w:rsid w:val="00A84670"/>
    <w:rsid w:val="00A84FCB"/>
    <w:rsid w:val="00A862C6"/>
    <w:rsid w:val="00A87E60"/>
    <w:rsid w:val="00A934BC"/>
    <w:rsid w:val="00A94AF1"/>
    <w:rsid w:val="00A951B6"/>
    <w:rsid w:val="00A9685E"/>
    <w:rsid w:val="00A9698F"/>
    <w:rsid w:val="00AA1D35"/>
    <w:rsid w:val="00AA337F"/>
    <w:rsid w:val="00AA34C6"/>
    <w:rsid w:val="00AA53AD"/>
    <w:rsid w:val="00AA55AA"/>
    <w:rsid w:val="00AB2A8E"/>
    <w:rsid w:val="00AB37F0"/>
    <w:rsid w:val="00AC02E5"/>
    <w:rsid w:val="00AC2E2B"/>
    <w:rsid w:val="00AC3D61"/>
    <w:rsid w:val="00AC3DFD"/>
    <w:rsid w:val="00AC57C1"/>
    <w:rsid w:val="00AC5CB4"/>
    <w:rsid w:val="00AC7647"/>
    <w:rsid w:val="00AC7AB0"/>
    <w:rsid w:val="00AD18AD"/>
    <w:rsid w:val="00AD4454"/>
    <w:rsid w:val="00AD6AE9"/>
    <w:rsid w:val="00AD6BA7"/>
    <w:rsid w:val="00AD6E59"/>
    <w:rsid w:val="00AD7167"/>
    <w:rsid w:val="00AE18A6"/>
    <w:rsid w:val="00AE2B46"/>
    <w:rsid w:val="00AE3BB0"/>
    <w:rsid w:val="00AE3CDF"/>
    <w:rsid w:val="00AE45CE"/>
    <w:rsid w:val="00AE6899"/>
    <w:rsid w:val="00AF0C72"/>
    <w:rsid w:val="00AF0E62"/>
    <w:rsid w:val="00AF1B9E"/>
    <w:rsid w:val="00AF1E16"/>
    <w:rsid w:val="00AF28DC"/>
    <w:rsid w:val="00AF3442"/>
    <w:rsid w:val="00AF388A"/>
    <w:rsid w:val="00B01CEE"/>
    <w:rsid w:val="00B01CFF"/>
    <w:rsid w:val="00B0532B"/>
    <w:rsid w:val="00B05548"/>
    <w:rsid w:val="00B0564F"/>
    <w:rsid w:val="00B05CE3"/>
    <w:rsid w:val="00B07D05"/>
    <w:rsid w:val="00B10052"/>
    <w:rsid w:val="00B10C05"/>
    <w:rsid w:val="00B15143"/>
    <w:rsid w:val="00B157E6"/>
    <w:rsid w:val="00B15EC1"/>
    <w:rsid w:val="00B17811"/>
    <w:rsid w:val="00B17B2B"/>
    <w:rsid w:val="00B22B99"/>
    <w:rsid w:val="00B2418E"/>
    <w:rsid w:val="00B242D1"/>
    <w:rsid w:val="00B2545B"/>
    <w:rsid w:val="00B26D97"/>
    <w:rsid w:val="00B30169"/>
    <w:rsid w:val="00B31CC4"/>
    <w:rsid w:val="00B33E13"/>
    <w:rsid w:val="00B34A76"/>
    <w:rsid w:val="00B35224"/>
    <w:rsid w:val="00B35554"/>
    <w:rsid w:val="00B379C0"/>
    <w:rsid w:val="00B400D6"/>
    <w:rsid w:val="00B41044"/>
    <w:rsid w:val="00B43C78"/>
    <w:rsid w:val="00B47C1E"/>
    <w:rsid w:val="00B51D9B"/>
    <w:rsid w:val="00B51F1B"/>
    <w:rsid w:val="00B53A26"/>
    <w:rsid w:val="00B53D50"/>
    <w:rsid w:val="00B55BF9"/>
    <w:rsid w:val="00B57FCA"/>
    <w:rsid w:val="00B60EA2"/>
    <w:rsid w:val="00B62304"/>
    <w:rsid w:val="00B64706"/>
    <w:rsid w:val="00B64B6F"/>
    <w:rsid w:val="00B64CCB"/>
    <w:rsid w:val="00B67B2D"/>
    <w:rsid w:val="00B67F60"/>
    <w:rsid w:val="00B71B60"/>
    <w:rsid w:val="00B72EB2"/>
    <w:rsid w:val="00B72FBD"/>
    <w:rsid w:val="00B73E67"/>
    <w:rsid w:val="00B80F9E"/>
    <w:rsid w:val="00B81A87"/>
    <w:rsid w:val="00B81FBB"/>
    <w:rsid w:val="00B82897"/>
    <w:rsid w:val="00B8377B"/>
    <w:rsid w:val="00B91DF7"/>
    <w:rsid w:val="00B9306E"/>
    <w:rsid w:val="00B93E45"/>
    <w:rsid w:val="00B952F5"/>
    <w:rsid w:val="00BA00EE"/>
    <w:rsid w:val="00BA0675"/>
    <w:rsid w:val="00BA1328"/>
    <w:rsid w:val="00BA1C2A"/>
    <w:rsid w:val="00BA2335"/>
    <w:rsid w:val="00BA3628"/>
    <w:rsid w:val="00BA6210"/>
    <w:rsid w:val="00BA7C0D"/>
    <w:rsid w:val="00BA7E23"/>
    <w:rsid w:val="00BA7EE9"/>
    <w:rsid w:val="00BB2FDD"/>
    <w:rsid w:val="00BB44AC"/>
    <w:rsid w:val="00BB66EA"/>
    <w:rsid w:val="00BB7BCF"/>
    <w:rsid w:val="00BC0019"/>
    <w:rsid w:val="00BC3D03"/>
    <w:rsid w:val="00BC5189"/>
    <w:rsid w:val="00BC7A7F"/>
    <w:rsid w:val="00BD0FDA"/>
    <w:rsid w:val="00BD1F0D"/>
    <w:rsid w:val="00BD485A"/>
    <w:rsid w:val="00BD4898"/>
    <w:rsid w:val="00BD530A"/>
    <w:rsid w:val="00BD639F"/>
    <w:rsid w:val="00BD6995"/>
    <w:rsid w:val="00BE0EEB"/>
    <w:rsid w:val="00BE7FD0"/>
    <w:rsid w:val="00BF0249"/>
    <w:rsid w:val="00BF2340"/>
    <w:rsid w:val="00BF2B66"/>
    <w:rsid w:val="00BF40FC"/>
    <w:rsid w:val="00BF44B2"/>
    <w:rsid w:val="00BF6548"/>
    <w:rsid w:val="00BF78B5"/>
    <w:rsid w:val="00C04D12"/>
    <w:rsid w:val="00C07F13"/>
    <w:rsid w:val="00C10454"/>
    <w:rsid w:val="00C1111F"/>
    <w:rsid w:val="00C12030"/>
    <w:rsid w:val="00C12A5D"/>
    <w:rsid w:val="00C16549"/>
    <w:rsid w:val="00C17AFD"/>
    <w:rsid w:val="00C200CF"/>
    <w:rsid w:val="00C20360"/>
    <w:rsid w:val="00C20FE3"/>
    <w:rsid w:val="00C25521"/>
    <w:rsid w:val="00C25585"/>
    <w:rsid w:val="00C26738"/>
    <w:rsid w:val="00C26A61"/>
    <w:rsid w:val="00C33C9B"/>
    <w:rsid w:val="00C33F93"/>
    <w:rsid w:val="00C34570"/>
    <w:rsid w:val="00C35123"/>
    <w:rsid w:val="00C3598D"/>
    <w:rsid w:val="00C3672E"/>
    <w:rsid w:val="00C41151"/>
    <w:rsid w:val="00C414A0"/>
    <w:rsid w:val="00C41522"/>
    <w:rsid w:val="00C41CF4"/>
    <w:rsid w:val="00C42693"/>
    <w:rsid w:val="00C43841"/>
    <w:rsid w:val="00C44461"/>
    <w:rsid w:val="00C44DAF"/>
    <w:rsid w:val="00C50713"/>
    <w:rsid w:val="00C51ED9"/>
    <w:rsid w:val="00C524FA"/>
    <w:rsid w:val="00C55A95"/>
    <w:rsid w:val="00C57004"/>
    <w:rsid w:val="00C57751"/>
    <w:rsid w:val="00C60969"/>
    <w:rsid w:val="00C61AC0"/>
    <w:rsid w:val="00C61C5E"/>
    <w:rsid w:val="00C631E0"/>
    <w:rsid w:val="00C64DBD"/>
    <w:rsid w:val="00C66A19"/>
    <w:rsid w:val="00C66FEA"/>
    <w:rsid w:val="00C67690"/>
    <w:rsid w:val="00C7035C"/>
    <w:rsid w:val="00C73FBA"/>
    <w:rsid w:val="00C74022"/>
    <w:rsid w:val="00C74CCD"/>
    <w:rsid w:val="00C76950"/>
    <w:rsid w:val="00C77B5B"/>
    <w:rsid w:val="00C80327"/>
    <w:rsid w:val="00C807A8"/>
    <w:rsid w:val="00C80DBD"/>
    <w:rsid w:val="00C8141A"/>
    <w:rsid w:val="00C84D79"/>
    <w:rsid w:val="00C86BDC"/>
    <w:rsid w:val="00C872B7"/>
    <w:rsid w:val="00C9221B"/>
    <w:rsid w:val="00C92895"/>
    <w:rsid w:val="00C92D82"/>
    <w:rsid w:val="00C94B21"/>
    <w:rsid w:val="00C94DEE"/>
    <w:rsid w:val="00C95294"/>
    <w:rsid w:val="00C95CAE"/>
    <w:rsid w:val="00C967B5"/>
    <w:rsid w:val="00C9786D"/>
    <w:rsid w:val="00CA144D"/>
    <w:rsid w:val="00CA27DE"/>
    <w:rsid w:val="00CA372D"/>
    <w:rsid w:val="00CA488F"/>
    <w:rsid w:val="00CA4F8E"/>
    <w:rsid w:val="00CB13F8"/>
    <w:rsid w:val="00CB1CFE"/>
    <w:rsid w:val="00CB1E8F"/>
    <w:rsid w:val="00CB3465"/>
    <w:rsid w:val="00CB643B"/>
    <w:rsid w:val="00CB74EB"/>
    <w:rsid w:val="00CB7FDB"/>
    <w:rsid w:val="00CC3AD7"/>
    <w:rsid w:val="00CC3C93"/>
    <w:rsid w:val="00CC4B93"/>
    <w:rsid w:val="00CC50A6"/>
    <w:rsid w:val="00CC6484"/>
    <w:rsid w:val="00CC69AA"/>
    <w:rsid w:val="00CC74FC"/>
    <w:rsid w:val="00CD0EAC"/>
    <w:rsid w:val="00CD1842"/>
    <w:rsid w:val="00CD2200"/>
    <w:rsid w:val="00CD327A"/>
    <w:rsid w:val="00CD33AA"/>
    <w:rsid w:val="00CD3750"/>
    <w:rsid w:val="00CD3DEB"/>
    <w:rsid w:val="00CD48D7"/>
    <w:rsid w:val="00CD5D52"/>
    <w:rsid w:val="00CD62C6"/>
    <w:rsid w:val="00CD77F2"/>
    <w:rsid w:val="00CD7F19"/>
    <w:rsid w:val="00CE16DE"/>
    <w:rsid w:val="00CE1C2A"/>
    <w:rsid w:val="00CE2865"/>
    <w:rsid w:val="00CE647D"/>
    <w:rsid w:val="00CE794A"/>
    <w:rsid w:val="00CF1C87"/>
    <w:rsid w:val="00CF2AEE"/>
    <w:rsid w:val="00CF3CF0"/>
    <w:rsid w:val="00CF5CA7"/>
    <w:rsid w:val="00D01A04"/>
    <w:rsid w:val="00D01E11"/>
    <w:rsid w:val="00D01E1E"/>
    <w:rsid w:val="00D05968"/>
    <w:rsid w:val="00D06B51"/>
    <w:rsid w:val="00D06FC4"/>
    <w:rsid w:val="00D0766A"/>
    <w:rsid w:val="00D10DE7"/>
    <w:rsid w:val="00D1213D"/>
    <w:rsid w:val="00D12DC5"/>
    <w:rsid w:val="00D14531"/>
    <w:rsid w:val="00D1644F"/>
    <w:rsid w:val="00D22112"/>
    <w:rsid w:val="00D2294E"/>
    <w:rsid w:val="00D24541"/>
    <w:rsid w:val="00D24CBB"/>
    <w:rsid w:val="00D25560"/>
    <w:rsid w:val="00D25B3E"/>
    <w:rsid w:val="00D26E4A"/>
    <w:rsid w:val="00D277E6"/>
    <w:rsid w:val="00D303E5"/>
    <w:rsid w:val="00D31ECF"/>
    <w:rsid w:val="00D3317E"/>
    <w:rsid w:val="00D33298"/>
    <w:rsid w:val="00D336D8"/>
    <w:rsid w:val="00D348BF"/>
    <w:rsid w:val="00D37330"/>
    <w:rsid w:val="00D375D1"/>
    <w:rsid w:val="00D43BDF"/>
    <w:rsid w:val="00D447EB"/>
    <w:rsid w:val="00D44A68"/>
    <w:rsid w:val="00D470B2"/>
    <w:rsid w:val="00D47459"/>
    <w:rsid w:val="00D47A3C"/>
    <w:rsid w:val="00D50BFD"/>
    <w:rsid w:val="00D51DEB"/>
    <w:rsid w:val="00D54C6F"/>
    <w:rsid w:val="00D57727"/>
    <w:rsid w:val="00D6345F"/>
    <w:rsid w:val="00D643EE"/>
    <w:rsid w:val="00D6699F"/>
    <w:rsid w:val="00D66C3C"/>
    <w:rsid w:val="00D67107"/>
    <w:rsid w:val="00D76AB0"/>
    <w:rsid w:val="00D81515"/>
    <w:rsid w:val="00D81E43"/>
    <w:rsid w:val="00D82234"/>
    <w:rsid w:val="00D8288E"/>
    <w:rsid w:val="00D828ED"/>
    <w:rsid w:val="00D82D3B"/>
    <w:rsid w:val="00D8389D"/>
    <w:rsid w:val="00D83B62"/>
    <w:rsid w:val="00D83CB9"/>
    <w:rsid w:val="00D83FC4"/>
    <w:rsid w:val="00D85549"/>
    <w:rsid w:val="00D85B24"/>
    <w:rsid w:val="00D86B7F"/>
    <w:rsid w:val="00D9010B"/>
    <w:rsid w:val="00D90640"/>
    <w:rsid w:val="00D909CB"/>
    <w:rsid w:val="00D925BC"/>
    <w:rsid w:val="00D9449C"/>
    <w:rsid w:val="00D97C4E"/>
    <w:rsid w:val="00DA087C"/>
    <w:rsid w:val="00DA13CC"/>
    <w:rsid w:val="00DA468B"/>
    <w:rsid w:val="00DA5B2D"/>
    <w:rsid w:val="00DA69CC"/>
    <w:rsid w:val="00DA7CBA"/>
    <w:rsid w:val="00DB0F9A"/>
    <w:rsid w:val="00DB38D3"/>
    <w:rsid w:val="00DB3E4B"/>
    <w:rsid w:val="00DB4289"/>
    <w:rsid w:val="00DB4395"/>
    <w:rsid w:val="00DB4A3F"/>
    <w:rsid w:val="00DB649B"/>
    <w:rsid w:val="00DB7037"/>
    <w:rsid w:val="00DC2403"/>
    <w:rsid w:val="00DC30A0"/>
    <w:rsid w:val="00DC4872"/>
    <w:rsid w:val="00DC6638"/>
    <w:rsid w:val="00DC766E"/>
    <w:rsid w:val="00DD25BE"/>
    <w:rsid w:val="00DD4CCD"/>
    <w:rsid w:val="00DD52D9"/>
    <w:rsid w:val="00DD5787"/>
    <w:rsid w:val="00DD647C"/>
    <w:rsid w:val="00DE0C1B"/>
    <w:rsid w:val="00DE3635"/>
    <w:rsid w:val="00DE4095"/>
    <w:rsid w:val="00DE4349"/>
    <w:rsid w:val="00DE50B3"/>
    <w:rsid w:val="00DF0810"/>
    <w:rsid w:val="00DF0EC3"/>
    <w:rsid w:val="00DF5305"/>
    <w:rsid w:val="00DF5B63"/>
    <w:rsid w:val="00DF5C67"/>
    <w:rsid w:val="00DF62D2"/>
    <w:rsid w:val="00DF68EB"/>
    <w:rsid w:val="00DF75C5"/>
    <w:rsid w:val="00E0037C"/>
    <w:rsid w:val="00E03794"/>
    <w:rsid w:val="00E04AD8"/>
    <w:rsid w:val="00E04FF8"/>
    <w:rsid w:val="00E05358"/>
    <w:rsid w:val="00E1130E"/>
    <w:rsid w:val="00E11A4F"/>
    <w:rsid w:val="00E1444A"/>
    <w:rsid w:val="00E14C6B"/>
    <w:rsid w:val="00E15368"/>
    <w:rsid w:val="00E15CA5"/>
    <w:rsid w:val="00E16756"/>
    <w:rsid w:val="00E17956"/>
    <w:rsid w:val="00E179EE"/>
    <w:rsid w:val="00E206D7"/>
    <w:rsid w:val="00E20AE5"/>
    <w:rsid w:val="00E22361"/>
    <w:rsid w:val="00E23B6C"/>
    <w:rsid w:val="00E23D61"/>
    <w:rsid w:val="00E26B05"/>
    <w:rsid w:val="00E300F8"/>
    <w:rsid w:val="00E33948"/>
    <w:rsid w:val="00E340C2"/>
    <w:rsid w:val="00E34A30"/>
    <w:rsid w:val="00E35BA0"/>
    <w:rsid w:val="00E366F0"/>
    <w:rsid w:val="00E4054B"/>
    <w:rsid w:val="00E4080D"/>
    <w:rsid w:val="00E40E0A"/>
    <w:rsid w:val="00E47711"/>
    <w:rsid w:val="00E50AC5"/>
    <w:rsid w:val="00E53AA4"/>
    <w:rsid w:val="00E5453C"/>
    <w:rsid w:val="00E62414"/>
    <w:rsid w:val="00E6434E"/>
    <w:rsid w:val="00E64D54"/>
    <w:rsid w:val="00E6602E"/>
    <w:rsid w:val="00E66096"/>
    <w:rsid w:val="00E70596"/>
    <w:rsid w:val="00E716F3"/>
    <w:rsid w:val="00E71CBE"/>
    <w:rsid w:val="00E73AC2"/>
    <w:rsid w:val="00E743E2"/>
    <w:rsid w:val="00E74D80"/>
    <w:rsid w:val="00E7515E"/>
    <w:rsid w:val="00E75338"/>
    <w:rsid w:val="00E756DE"/>
    <w:rsid w:val="00E758C6"/>
    <w:rsid w:val="00E760B2"/>
    <w:rsid w:val="00E82F6E"/>
    <w:rsid w:val="00E8338D"/>
    <w:rsid w:val="00E83D45"/>
    <w:rsid w:val="00E85855"/>
    <w:rsid w:val="00E8671B"/>
    <w:rsid w:val="00E87E21"/>
    <w:rsid w:val="00E90780"/>
    <w:rsid w:val="00E91200"/>
    <w:rsid w:val="00E91797"/>
    <w:rsid w:val="00E918AD"/>
    <w:rsid w:val="00E92832"/>
    <w:rsid w:val="00E92AA5"/>
    <w:rsid w:val="00E93486"/>
    <w:rsid w:val="00E94939"/>
    <w:rsid w:val="00E949E1"/>
    <w:rsid w:val="00E962EC"/>
    <w:rsid w:val="00E96D59"/>
    <w:rsid w:val="00E97294"/>
    <w:rsid w:val="00E97461"/>
    <w:rsid w:val="00E97AA8"/>
    <w:rsid w:val="00EA0F7B"/>
    <w:rsid w:val="00EA3ECA"/>
    <w:rsid w:val="00EA4BE8"/>
    <w:rsid w:val="00EA5E6B"/>
    <w:rsid w:val="00EA71EC"/>
    <w:rsid w:val="00EA7F7F"/>
    <w:rsid w:val="00EB0412"/>
    <w:rsid w:val="00EB2297"/>
    <w:rsid w:val="00EB48FA"/>
    <w:rsid w:val="00EB4920"/>
    <w:rsid w:val="00EB753C"/>
    <w:rsid w:val="00EC0566"/>
    <w:rsid w:val="00EC1883"/>
    <w:rsid w:val="00EC24E4"/>
    <w:rsid w:val="00EC5169"/>
    <w:rsid w:val="00EC5585"/>
    <w:rsid w:val="00EC5EFF"/>
    <w:rsid w:val="00EC644B"/>
    <w:rsid w:val="00EC6EE2"/>
    <w:rsid w:val="00ED12CE"/>
    <w:rsid w:val="00ED13F4"/>
    <w:rsid w:val="00ED2CDA"/>
    <w:rsid w:val="00ED2EB4"/>
    <w:rsid w:val="00ED3795"/>
    <w:rsid w:val="00ED3B4E"/>
    <w:rsid w:val="00ED4988"/>
    <w:rsid w:val="00ED6E80"/>
    <w:rsid w:val="00ED7BDD"/>
    <w:rsid w:val="00EE01E6"/>
    <w:rsid w:val="00EE1C2C"/>
    <w:rsid w:val="00EE2E8B"/>
    <w:rsid w:val="00EE45DC"/>
    <w:rsid w:val="00EE4605"/>
    <w:rsid w:val="00EE49ED"/>
    <w:rsid w:val="00EE4DBC"/>
    <w:rsid w:val="00EE52D3"/>
    <w:rsid w:val="00EE56A8"/>
    <w:rsid w:val="00EE6554"/>
    <w:rsid w:val="00EE74CF"/>
    <w:rsid w:val="00EE7921"/>
    <w:rsid w:val="00EF0034"/>
    <w:rsid w:val="00EF0ACA"/>
    <w:rsid w:val="00EF17B6"/>
    <w:rsid w:val="00EF1BE0"/>
    <w:rsid w:val="00EF1FA6"/>
    <w:rsid w:val="00EF21C1"/>
    <w:rsid w:val="00EF2BDD"/>
    <w:rsid w:val="00EF51DC"/>
    <w:rsid w:val="00EF6C60"/>
    <w:rsid w:val="00EF780A"/>
    <w:rsid w:val="00EF79E9"/>
    <w:rsid w:val="00F00CD6"/>
    <w:rsid w:val="00F02548"/>
    <w:rsid w:val="00F0339C"/>
    <w:rsid w:val="00F04AE1"/>
    <w:rsid w:val="00F06D4A"/>
    <w:rsid w:val="00F12D7B"/>
    <w:rsid w:val="00F12F79"/>
    <w:rsid w:val="00F13E2D"/>
    <w:rsid w:val="00F13FF4"/>
    <w:rsid w:val="00F206A7"/>
    <w:rsid w:val="00F20A17"/>
    <w:rsid w:val="00F20F60"/>
    <w:rsid w:val="00F21FF2"/>
    <w:rsid w:val="00F2290E"/>
    <w:rsid w:val="00F254DF"/>
    <w:rsid w:val="00F3082B"/>
    <w:rsid w:val="00F32956"/>
    <w:rsid w:val="00F32FF9"/>
    <w:rsid w:val="00F35D08"/>
    <w:rsid w:val="00F36125"/>
    <w:rsid w:val="00F364C2"/>
    <w:rsid w:val="00F36D1A"/>
    <w:rsid w:val="00F377DA"/>
    <w:rsid w:val="00F402CB"/>
    <w:rsid w:val="00F41E57"/>
    <w:rsid w:val="00F42DE9"/>
    <w:rsid w:val="00F52407"/>
    <w:rsid w:val="00F5462B"/>
    <w:rsid w:val="00F56B6A"/>
    <w:rsid w:val="00F6094C"/>
    <w:rsid w:val="00F66814"/>
    <w:rsid w:val="00F66B9C"/>
    <w:rsid w:val="00F67455"/>
    <w:rsid w:val="00F67C76"/>
    <w:rsid w:val="00F7020E"/>
    <w:rsid w:val="00F71814"/>
    <w:rsid w:val="00F71F56"/>
    <w:rsid w:val="00F72EF5"/>
    <w:rsid w:val="00F7468B"/>
    <w:rsid w:val="00F80DD2"/>
    <w:rsid w:val="00F81A80"/>
    <w:rsid w:val="00F81ADC"/>
    <w:rsid w:val="00F81D74"/>
    <w:rsid w:val="00F82439"/>
    <w:rsid w:val="00F8279C"/>
    <w:rsid w:val="00F82B11"/>
    <w:rsid w:val="00F83459"/>
    <w:rsid w:val="00F872D3"/>
    <w:rsid w:val="00F91CE5"/>
    <w:rsid w:val="00F923BC"/>
    <w:rsid w:val="00F95EAC"/>
    <w:rsid w:val="00FA32DC"/>
    <w:rsid w:val="00FA3A59"/>
    <w:rsid w:val="00FA3AA6"/>
    <w:rsid w:val="00FA3BB6"/>
    <w:rsid w:val="00FA5556"/>
    <w:rsid w:val="00FA56C4"/>
    <w:rsid w:val="00FB0EE1"/>
    <w:rsid w:val="00FB2C2F"/>
    <w:rsid w:val="00FB6218"/>
    <w:rsid w:val="00FB70EF"/>
    <w:rsid w:val="00FB7869"/>
    <w:rsid w:val="00FC4252"/>
    <w:rsid w:val="00FC55E6"/>
    <w:rsid w:val="00FC72B9"/>
    <w:rsid w:val="00FC7CB8"/>
    <w:rsid w:val="00FD126D"/>
    <w:rsid w:val="00FD1695"/>
    <w:rsid w:val="00FD37E4"/>
    <w:rsid w:val="00FD631D"/>
    <w:rsid w:val="00FD6873"/>
    <w:rsid w:val="00FE61C7"/>
    <w:rsid w:val="00FE66A7"/>
    <w:rsid w:val="00FF00AE"/>
    <w:rsid w:val="00FF082F"/>
    <w:rsid w:val="00FF08A6"/>
    <w:rsid w:val="00FF0DDE"/>
    <w:rsid w:val="00FF2ACE"/>
    <w:rsid w:val="00FF3D83"/>
    <w:rsid w:val="00FF5A5D"/>
    <w:rsid w:val="00FF5B5F"/>
    <w:rsid w:val="00FF630C"/>
    <w:rsid w:val="00FF651B"/>
    <w:rsid w:val="00FF6AD7"/>
    <w:rsid w:val="00FF78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35756C"/>
  <w15:docId w15:val="{FECB3087-28F8-46A2-B62D-3082D82A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249"/>
    <w:pPr>
      <w:spacing w:after="0"/>
    </w:pPr>
    <w:rPr>
      <w:rFonts w:ascii="Verdana" w:hAnsi="Verdana"/>
      <w:sz w:val="20"/>
      <w:szCs w:val="20"/>
      <w:lang w:val="es-CR"/>
    </w:rPr>
  </w:style>
  <w:style w:type="paragraph" w:styleId="Ttulo1">
    <w:name w:val="heading 1"/>
    <w:basedOn w:val="Normal"/>
    <w:next w:val="Normal"/>
    <w:link w:val="Ttulo1Car"/>
    <w:uiPriority w:val="9"/>
    <w:qFormat/>
    <w:rsid w:val="006637F7"/>
    <w:pPr>
      <w:keepNext/>
      <w:numPr>
        <w:numId w:val="2"/>
      </w:numPr>
      <w:tabs>
        <w:tab w:val="left" w:pos="567"/>
      </w:tabs>
      <w:spacing w:line="240" w:lineRule="auto"/>
      <w:jc w:val="both"/>
      <w:outlineLvl w:val="0"/>
    </w:pPr>
    <w:rPr>
      <w:rFonts w:eastAsia="Calibri" w:cs="Verdana"/>
      <w:b/>
      <w:bCs/>
      <w:i/>
      <w:iCs/>
    </w:rPr>
  </w:style>
  <w:style w:type="paragraph" w:styleId="Ttulo2">
    <w:name w:val="heading 2"/>
    <w:basedOn w:val="Normal"/>
    <w:next w:val="Normal"/>
    <w:link w:val="Ttulo2Car"/>
    <w:uiPriority w:val="9"/>
    <w:unhideWhenUsed/>
    <w:qFormat/>
    <w:rsid w:val="00450A75"/>
    <w:pPr>
      <w:keepNext/>
      <w:keepLines/>
      <w:spacing w:before="40"/>
      <w:ind w:left="1276"/>
      <w:outlineLvl w:val="1"/>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Párrafo de lista1,Colorful List - Accent 11"/>
    <w:basedOn w:val="Normal"/>
    <w:link w:val="PrrafodelistaCar"/>
    <w:uiPriority w:val="99"/>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6A0BE5"/>
    <w:pPr>
      <w:spacing w:line="240" w:lineRule="auto"/>
    </w:p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qFormat/>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uiPriority w:val="99"/>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450A75"/>
    <w:rPr>
      <w:rFonts w:ascii="Verdana" w:eastAsiaTheme="majorEastAsia" w:hAnsi="Verdana" w:cstheme="majorBidi"/>
      <w:b/>
      <w:sz w:val="20"/>
      <w:szCs w:val="20"/>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6637F7"/>
    <w:rPr>
      <w:rFonts w:ascii="Verdana" w:eastAsia="Calibri" w:hAnsi="Verdana" w:cs="Verdana"/>
      <w:b/>
      <w:bCs/>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paragraph" w:styleId="Ttulo">
    <w:name w:val="Title"/>
    <w:basedOn w:val="Normal"/>
    <w:link w:val="TtuloCar"/>
    <w:uiPriority w:val="99"/>
    <w:qFormat/>
    <w:rsid w:val="00796E22"/>
    <w:pPr>
      <w:spacing w:line="240" w:lineRule="auto"/>
      <w:jc w:val="center"/>
    </w:pPr>
    <w:rPr>
      <w:rFonts w:ascii="Garamond" w:eastAsia="Times New Roman" w:hAnsi="Garamond" w:cs="Times New Roman"/>
      <w:b/>
      <w:sz w:val="32"/>
      <w:lang w:val="es-ES_tradnl" w:eastAsia="es-ES"/>
    </w:rPr>
  </w:style>
  <w:style w:type="character" w:customStyle="1" w:styleId="TtuloCar">
    <w:name w:val="Título Car"/>
    <w:basedOn w:val="Fuentedeprrafopredeter"/>
    <w:link w:val="Ttulo"/>
    <w:uiPriority w:val="99"/>
    <w:rsid w:val="00796E22"/>
    <w:rPr>
      <w:rFonts w:ascii="Garamond" w:eastAsia="Times New Roman" w:hAnsi="Garamond" w:cs="Times New Roman"/>
      <w:b/>
      <w:sz w:val="32"/>
      <w:szCs w:val="20"/>
      <w:lang w:val="es-ES_tradnl" w:eastAsia="es-ES"/>
    </w:rPr>
  </w:style>
  <w:style w:type="character" w:styleId="nfasissutil">
    <w:name w:val="Subtle Emphasis"/>
    <w:uiPriority w:val="19"/>
    <w:qFormat/>
    <w:rsid w:val="00796E22"/>
    <w:rPr>
      <w:rFonts w:ascii="Verdana" w:hAnsi="Verdana"/>
      <w:i/>
      <w:iCs/>
      <w:color w:val="808080"/>
      <w:sz w:val="20"/>
      <w:u w:val="single"/>
    </w:rPr>
  </w:style>
  <w:style w:type="paragraph" w:customStyle="1" w:styleId="PrrafodeSentencia">
    <w:name w:val="*. Párrafo de Sentencia"/>
    <w:basedOn w:val="Normal"/>
    <w:rsid w:val="00AC5CB4"/>
    <w:pPr>
      <w:numPr>
        <w:numId w:val="3"/>
      </w:numPr>
    </w:pPr>
  </w:style>
  <w:style w:type="character" w:customStyle="1" w:styleId="PrrafodelistaCar">
    <w:name w:val="Párrafo de lista Car"/>
    <w:aliases w:val="Footnote Car,List Paragraph2 Car,List Paragraph1 Car,Lista vistosa - Énfasis 11 Car,Párrafo de lista1 Car,Colorful List - Accent 11 Car"/>
    <w:link w:val="Prrafodelista"/>
    <w:uiPriority w:val="99"/>
    <w:locked/>
    <w:rsid w:val="00C33F93"/>
    <w:rPr>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C33F93"/>
    <w:pPr>
      <w:spacing w:line="240" w:lineRule="auto"/>
      <w:jc w:val="both"/>
    </w:pPr>
    <w:rPr>
      <w:vertAlign w:val="superscript"/>
      <w:lang w:val="en-US"/>
    </w:rPr>
  </w:style>
  <w:style w:type="paragraph" w:styleId="Sinespaciado">
    <w:name w:val="No Spacing"/>
    <w:basedOn w:val="Prrafodelista"/>
    <w:uiPriority w:val="1"/>
    <w:qFormat/>
    <w:rsid w:val="00F81ADC"/>
    <w:pPr>
      <w:widowControl w:val="0"/>
      <w:numPr>
        <w:numId w:val="1"/>
      </w:numPr>
      <w:tabs>
        <w:tab w:val="left" w:pos="0"/>
        <w:tab w:val="left" w:pos="567"/>
      </w:tabs>
      <w:autoSpaceDE w:val="0"/>
      <w:autoSpaceDN w:val="0"/>
      <w:adjustRightInd w:val="0"/>
      <w:spacing w:line="240" w:lineRule="auto"/>
      <w:ind w:right="22"/>
      <w:jc w:val="both"/>
    </w:pPr>
    <w:rPr>
      <w:bCs/>
      <w:iCs/>
    </w:rPr>
  </w:style>
  <w:style w:type="paragraph" w:styleId="HTMLconformatoprevio">
    <w:name w:val="HTML Preformatted"/>
    <w:basedOn w:val="Normal"/>
    <w:link w:val="HTMLconformatoprevioCar"/>
    <w:uiPriority w:val="99"/>
    <w:unhideWhenUsed/>
    <w:rsid w:val="00CE1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lang w:eastAsia="es-CR"/>
    </w:rPr>
  </w:style>
  <w:style w:type="character" w:customStyle="1" w:styleId="HTMLconformatoprevioCar">
    <w:name w:val="HTML con formato previo Car"/>
    <w:basedOn w:val="Fuentedeprrafopredeter"/>
    <w:link w:val="HTMLconformatoprevio"/>
    <w:uiPriority w:val="99"/>
    <w:rsid w:val="00CE16DE"/>
    <w:rPr>
      <w:rFonts w:ascii="Courier New" w:eastAsia="Times New Roman" w:hAnsi="Courier New" w:cs="Courier New"/>
      <w:sz w:val="20"/>
      <w:szCs w:val="20"/>
      <w:lang w:val="es-CR" w:eastAsia="es-CR"/>
    </w:rPr>
  </w:style>
  <w:style w:type="paragraph" w:customStyle="1" w:styleId="Default">
    <w:name w:val="Default"/>
    <w:rsid w:val="00E14C6B"/>
    <w:pPr>
      <w:autoSpaceDE w:val="0"/>
      <w:autoSpaceDN w:val="0"/>
      <w:adjustRightInd w:val="0"/>
      <w:spacing w:after="0" w:line="240" w:lineRule="auto"/>
    </w:pPr>
    <w:rPr>
      <w:rFonts w:ascii="Times New Roman" w:hAnsi="Times New Roman" w:cs="Times New Roman"/>
      <w:color w:val="000000"/>
      <w:sz w:val="24"/>
      <w:szCs w:val="24"/>
      <w:lang w:val="es-CR"/>
    </w:rPr>
  </w:style>
  <w:style w:type="paragraph" w:styleId="Revisin">
    <w:name w:val="Revision"/>
    <w:hidden/>
    <w:uiPriority w:val="99"/>
    <w:semiHidden/>
    <w:rsid w:val="00B93E45"/>
    <w:pPr>
      <w:spacing w:after="0" w:line="240" w:lineRule="auto"/>
    </w:pPr>
    <w:rPr>
      <w:rFonts w:ascii="Verdana" w:hAnsi="Verdana"/>
      <w:sz w:val="20"/>
      <w:szCs w:val="20"/>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47675">
      <w:bodyDiv w:val="1"/>
      <w:marLeft w:val="0"/>
      <w:marRight w:val="0"/>
      <w:marTop w:val="0"/>
      <w:marBottom w:val="0"/>
      <w:divBdr>
        <w:top w:val="none" w:sz="0" w:space="0" w:color="auto"/>
        <w:left w:val="none" w:sz="0" w:space="0" w:color="auto"/>
        <w:bottom w:val="none" w:sz="0" w:space="0" w:color="auto"/>
        <w:right w:val="none" w:sz="0" w:space="0" w:color="auto"/>
      </w:divBdr>
      <w:divsChild>
        <w:div w:id="1860198233">
          <w:marLeft w:val="0"/>
          <w:marRight w:val="0"/>
          <w:marTop w:val="0"/>
          <w:marBottom w:val="0"/>
          <w:divBdr>
            <w:top w:val="none" w:sz="0" w:space="0" w:color="auto"/>
            <w:left w:val="none" w:sz="0" w:space="0" w:color="auto"/>
            <w:bottom w:val="none" w:sz="0" w:space="0" w:color="auto"/>
            <w:right w:val="none" w:sz="0" w:space="0" w:color="auto"/>
          </w:divBdr>
        </w:div>
        <w:div w:id="2013101181">
          <w:marLeft w:val="0"/>
          <w:marRight w:val="0"/>
          <w:marTop w:val="0"/>
          <w:marBottom w:val="0"/>
          <w:divBdr>
            <w:top w:val="none" w:sz="0" w:space="0" w:color="auto"/>
            <w:left w:val="none" w:sz="0" w:space="0" w:color="auto"/>
            <w:bottom w:val="none" w:sz="0" w:space="0" w:color="auto"/>
            <w:right w:val="none" w:sz="0" w:space="0" w:color="auto"/>
          </w:divBdr>
        </w:div>
        <w:div w:id="1654597532">
          <w:marLeft w:val="0"/>
          <w:marRight w:val="0"/>
          <w:marTop w:val="0"/>
          <w:marBottom w:val="0"/>
          <w:divBdr>
            <w:top w:val="none" w:sz="0" w:space="0" w:color="auto"/>
            <w:left w:val="none" w:sz="0" w:space="0" w:color="auto"/>
            <w:bottom w:val="none" w:sz="0" w:space="0" w:color="auto"/>
            <w:right w:val="none" w:sz="0" w:space="0" w:color="auto"/>
          </w:divBdr>
          <w:divsChild>
            <w:div w:id="1681466465">
              <w:marLeft w:val="0"/>
              <w:marRight w:val="0"/>
              <w:marTop w:val="0"/>
              <w:marBottom w:val="0"/>
              <w:divBdr>
                <w:top w:val="none" w:sz="0" w:space="0" w:color="auto"/>
                <w:left w:val="none" w:sz="0" w:space="0" w:color="auto"/>
                <w:bottom w:val="none" w:sz="0" w:space="0" w:color="auto"/>
                <w:right w:val="none" w:sz="0" w:space="0" w:color="auto"/>
              </w:divBdr>
            </w:div>
            <w:div w:id="404642281">
              <w:marLeft w:val="0"/>
              <w:marRight w:val="0"/>
              <w:marTop w:val="0"/>
              <w:marBottom w:val="0"/>
              <w:divBdr>
                <w:top w:val="none" w:sz="0" w:space="0" w:color="auto"/>
                <w:left w:val="none" w:sz="0" w:space="0" w:color="auto"/>
                <w:bottom w:val="none" w:sz="0" w:space="0" w:color="auto"/>
                <w:right w:val="none" w:sz="0" w:space="0" w:color="auto"/>
              </w:divBdr>
              <w:divsChild>
                <w:div w:id="1119184646">
                  <w:marLeft w:val="0"/>
                  <w:marRight w:val="0"/>
                  <w:marTop w:val="0"/>
                  <w:marBottom w:val="0"/>
                  <w:divBdr>
                    <w:top w:val="none" w:sz="0" w:space="0" w:color="auto"/>
                    <w:left w:val="none" w:sz="0" w:space="0" w:color="auto"/>
                    <w:bottom w:val="none" w:sz="0" w:space="0" w:color="auto"/>
                    <w:right w:val="none" w:sz="0" w:space="0" w:color="auto"/>
                  </w:divBdr>
                </w:div>
                <w:div w:id="1975981605">
                  <w:marLeft w:val="0"/>
                  <w:marRight w:val="0"/>
                  <w:marTop w:val="0"/>
                  <w:marBottom w:val="0"/>
                  <w:divBdr>
                    <w:top w:val="none" w:sz="0" w:space="0" w:color="auto"/>
                    <w:left w:val="none" w:sz="0" w:space="0" w:color="auto"/>
                    <w:bottom w:val="none" w:sz="0" w:space="0" w:color="auto"/>
                    <w:right w:val="none" w:sz="0" w:space="0" w:color="auto"/>
                  </w:divBdr>
                </w:div>
                <w:div w:id="203370792">
                  <w:marLeft w:val="0"/>
                  <w:marRight w:val="0"/>
                  <w:marTop w:val="0"/>
                  <w:marBottom w:val="0"/>
                  <w:divBdr>
                    <w:top w:val="none" w:sz="0" w:space="0" w:color="auto"/>
                    <w:left w:val="none" w:sz="0" w:space="0" w:color="auto"/>
                    <w:bottom w:val="none" w:sz="0" w:space="0" w:color="auto"/>
                    <w:right w:val="none" w:sz="0" w:space="0" w:color="auto"/>
                  </w:divBdr>
                </w:div>
                <w:div w:id="1502087090">
                  <w:marLeft w:val="0"/>
                  <w:marRight w:val="0"/>
                  <w:marTop w:val="0"/>
                  <w:marBottom w:val="0"/>
                  <w:divBdr>
                    <w:top w:val="none" w:sz="0" w:space="0" w:color="auto"/>
                    <w:left w:val="none" w:sz="0" w:space="0" w:color="auto"/>
                    <w:bottom w:val="none" w:sz="0" w:space="0" w:color="auto"/>
                    <w:right w:val="none" w:sz="0" w:space="0" w:color="auto"/>
                  </w:divBdr>
                </w:div>
                <w:div w:id="1370300082">
                  <w:marLeft w:val="0"/>
                  <w:marRight w:val="0"/>
                  <w:marTop w:val="0"/>
                  <w:marBottom w:val="0"/>
                  <w:divBdr>
                    <w:top w:val="none" w:sz="0" w:space="0" w:color="auto"/>
                    <w:left w:val="none" w:sz="0" w:space="0" w:color="auto"/>
                    <w:bottom w:val="none" w:sz="0" w:space="0" w:color="auto"/>
                    <w:right w:val="none" w:sz="0" w:space="0" w:color="auto"/>
                  </w:divBdr>
                </w:div>
                <w:div w:id="668630717">
                  <w:marLeft w:val="0"/>
                  <w:marRight w:val="0"/>
                  <w:marTop w:val="0"/>
                  <w:marBottom w:val="0"/>
                  <w:divBdr>
                    <w:top w:val="none" w:sz="0" w:space="0" w:color="auto"/>
                    <w:left w:val="none" w:sz="0" w:space="0" w:color="auto"/>
                    <w:bottom w:val="none" w:sz="0" w:space="0" w:color="auto"/>
                    <w:right w:val="none" w:sz="0" w:space="0" w:color="auto"/>
                  </w:divBdr>
                </w:div>
                <w:div w:id="1173102608">
                  <w:marLeft w:val="0"/>
                  <w:marRight w:val="0"/>
                  <w:marTop w:val="0"/>
                  <w:marBottom w:val="0"/>
                  <w:divBdr>
                    <w:top w:val="none" w:sz="0" w:space="0" w:color="auto"/>
                    <w:left w:val="none" w:sz="0" w:space="0" w:color="auto"/>
                    <w:bottom w:val="none" w:sz="0" w:space="0" w:color="auto"/>
                    <w:right w:val="none" w:sz="0" w:space="0" w:color="auto"/>
                  </w:divBdr>
                </w:div>
                <w:div w:id="242885411">
                  <w:marLeft w:val="0"/>
                  <w:marRight w:val="0"/>
                  <w:marTop w:val="0"/>
                  <w:marBottom w:val="0"/>
                  <w:divBdr>
                    <w:top w:val="none" w:sz="0" w:space="0" w:color="auto"/>
                    <w:left w:val="none" w:sz="0" w:space="0" w:color="auto"/>
                    <w:bottom w:val="none" w:sz="0" w:space="0" w:color="auto"/>
                    <w:right w:val="none" w:sz="0" w:space="0" w:color="auto"/>
                  </w:divBdr>
                </w:div>
                <w:div w:id="1924029687">
                  <w:marLeft w:val="0"/>
                  <w:marRight w:val="0"/>
                  <w:marTop w:val="0"/>
                  <w:marBottom w:val="0"/>
                  <w:divBdr>
                    <w:top w:val="none" w:sz="0" w:space="0" w:color="auto"/>
                    <w:left w:val="none" w:sz="0" w:space="0" w:color="auto"/>
                    <w:bottom w:val="none" w:sz="0" w:space="0" w:color="auto"/>
                    <w:right w:val="none" w:sz="0" w:space="0" w:color="auto"/>
                  </w:divBdr>
                  <w:divsChild>
                    <w:div w:id="35935276">
                      <w:marLeft w:val="0"/>
                      <w:marRight w:val="0"/>
                      <w:marTop w:val="0"/>
                      <w:marBottom w:val="0"/>
                      <w:divBdr>
                        <w:top w:val="none" w:sz="0" w:space="0" w:color="auto"/>
                        <w:left w:val="none" w:sz="0" w:space="0" w:color="auto"/>
                        <w:bottom w:val="none" w:sz="0" w:space="0" w:color="auto"/>
                        <w:right w:val="none" w:sz="0" w:space="0" w:color="auto"/>
                      </w:divBdr>
                    </w:div>
                    <w:div w:id="886378710">
                      <w:marLeft w:val="0"/>
                      <w:marRight w:val="0"/>
                      <w:marTop w:val="0"/>
                      <w:marBottom w:val="0"/>
                      <w:divBdr>
                        <w:top w:val="none" w:sz="0" w:space="0" w:color="auto"/>
                        <w:left w:val="none" w:sz="0" w:space="0" w:color="auto"/>
                        <w:bottom w:val="none" w:sz="0" w:space="0" w:color="auto"/>
                        <w:right w:val="none" w:sz="0" w:space="0" w:color="auto"/>
                      </w:divBdr>
                    </w:div>
                    <w:div w:id="1811243356">
                      <w:marLeft w:val="0"/>
                      <w:marRight w:val="0"/>
                      <w:marTop w:val="0"/>
                      <w:marBottom w:val="0"/>
                      <w:divBdr>
                        <w:top w:val="none" w:sz="0" w:space="0" w:color="auto"/>
                        <w:left w:val="none" w:sz="0" w:space="0" w:color="auto"/>
                        <w:bottom w:val="none" w:sz="0" w:space="0" w:color="auto"/>
                        <w:right w:val="none" w:sz="0" w:space="0" w:color="auto"/>
                      </w:divBdr>
                    </w:div>
                    <w:div w:id="870069975">
                      <w:marLeft w:val="0"/>
                      <w:marRight w:val="0"/>
                      <w:marTop w:val="0"/>
                      <w:marBottom w:val="0"/>
                      <w:divBdr>
                        <w:top w:val="none" w:sz="0" w:space="0" w:color="auto"/>
                        <w:left w:val="none" w:sz="0" w:space="0" w:color="auto"/>
                        <w:bottom w:val="none" w:sz="0" w:space="0" w:color="auto"/>
                        <w:right w:val="none" w:sz="0" w:space="0" w:color="auto"/>
                      </w:divBdr>
                    </w:div>
                    <w:div w:id="167403798">
                      <w:marLeft w:val="0"/>
                      <w:marRight w:val="0"/>
                      <w:marTop w:val="0"/>
                      <w:marBottom w:val="0"/>
                      <w:divBdr>
                        <w:top w:val="none" w:sz="0" w:space="0" w:color="auto"/>
                        <w:left w:val="none" w:sz="0" w:space="0" w:color="auto"/>
                        <w:bottom w:val="none" w:sz="0" w:space="0" w:color="auto"/>
                        <w:right w:val="none" w:sz="0" w:space="0" w:color="auto"/>
                      </w:divBdr>
                      <w:divsChild>
                        <w:div w:id="1772356211">
                          <w:marLeft w:val="0"/>
                          <w:marRight w:val="0"/>
                          <w:marTop w:val="0"/>
                          <w:marBottom w:val="0"/>
                          <w:divBdr>
                            <w:top w:val="none" w:sz="0" w:space="0" w:color="auto"/>
                            <w:left w:val="none" w:sz="0" w:space="0" w:color="auto"/>
                            <w:bottom w:val="none" w:sz="0" w:space="0" w:color="auto"/>
                            <w:right w:val="none" w:sz="0" w:space="0" w:color="auto"/>
                          </w:divBdr>
                        </w:div>
                      </w:divsChild>
                    </w:div>
                    <w:div w:id="4754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81303">
          <w:marLeft w:val="0"/>
          <w:marRight w:val="0"/>
          <w:marTop w:val="0"/>
          <w:marBottom w:val="0"/>
          <w:divBdr>
            <w:top w:val="none" w:sz="0" w:space="0" w:color="auto"/>
            <w:left w:val="none" w:sz="0" w:space="0" w:color="auto"/>
            <w:bottom w:val="none" w:sz="0" w:space="0" w:color="auto"/>
            <w:right w:val="none" w:sz="0" w:space="0" w:color="auto"/>
          </w:divBdr>
          <w:divsChild>
            <w:div w:id="284625508">
              <w:marLeft w:val="0"/>
              <w:marRight w:val="0"/>
              <w:marTop w:val="0"/>
              <w:marBottom w:val="0"/>
              <w:divBdr>
                <w:top w:val="none" w:sz="0" w:space="0" w:color="auto"/>
                <w:left w:val="none" w:sz="0" w:space="0" w:color="auto"/>
                <w:bottom w:val="none" w:sz="0" w:space="0" w:color="auto"/>
                <w:right w:val="none" w:sz="0" w:space="0" w:color="auto"/>
              </w:divBdr>
            </w:div>
            <w:div w:id="425074819">
              <w:marLeft w:val="0"/>
              <w:marRight w:val="0"/>
              <w:marTop w:val="0"/>
              <w:marBottom w:val="0"/>
              <w:divBdr>
                <w:top w:val="none" w:sz="0" w:space="0" w:color="auto"/>
                <w:left w:val="none" w:sz="0" w:space="0" w:color="auto"/>
                <w:bottom w:val="none" w:sz="0" w:space="0" w:color="auto"/>
                <w:right w:val="none" w:sz="0" w:space="0" w:color="auto"/>
              </w:divBdr>
            </w:div>
            <w:div w:id="1623533639">
              <w:marLeft w:val="0"/>
              <w:marRight w:val="0"/>
              <w:marTop w:val="0"/>
              <w:marBottom w:val="0"/>
              <w:divBdr>
                <w:top w:val="none" w:sz="0" w:space="0" w:color="auto"/>
                <w:left w:val="none" w:sz="0" w:space="0" w:color="auto"/>
                <w:bottom w:val="none" w:sz="0" w:space="0" w:color="auto"/>
                <w:right w:val="none" w:sz="0" w:space="0" w:color="auto"/>
              </w:divBdr>
            </w:div>
            <w:div w:id="1157302934">
              <w:marLeft w:val="0"/>
              <w:marRight w:val="0"/>
              <w:marTop w:val="0"/>
              <w:marBottom w:val="0"/>
              <w:divBdr>
                <w:top w:val="none" w:sz="0" w:space="0" w:color="auto"/>
                <w:left w:val="none" w:sz="0" w:space="0" w:color="auto"/>
                <w:bottom w:val="none" w:sz="0" w:space="0" w:color="auto"/>
                <w:right w:val="none" w:sz="0" w:space="0" w:color="auto"/>
              </w:divBdr>
            </w:div>
            <w:div w:id="801268046">
              <w:marLeft w:val="0"/>
              <w:marRight w:val="0"/>
              <w:marTop w:val="0"/>
              <w:marBottom w:val="0"/>
              <w:divBdr>
                <w:top w:val="none" w:sz="0" w:space="0" w:color="auto"/>
                <w:left w:val="none" w:sz="0" w:space="0" w:color="auto"/>
                <w:bottom w:val="none" w:sz="0" w:space="0" w:color="auto"/>
                <w:right w:val="none" w:sz="0" w:space="0" w:color="auto"/>
              </w:divBdr>
            </w:div>
            <w:div w:id="170874060">
              <w:marLeft w:val="0"/>
              <w:marRight w:val="0"/>
              <w:marTop w:val="0"/>
              <w:marBottom w:val="0"/>
              <w:divBdr>
                <w:top w:val="none" w:sz="0" w:space="0" w:color="auto"/>
                <w:left w:val="none" w:sz="0" w:space="0" w:color="auto"/>
                <w:bottom w:val="none" w:sz="0" w:space="0" w:color="auto"/>
                <w:right w:val="none" w:sz="0" w:space="0" w:color="auto"/>
              </w:divBdr>
            </w:div>
          </w:divsChild>
        </w:div>
        <w:div w:id="1535121796">
          <w:marLeft w:val="0"/>
          <w:marRight w:val="0"/>
          <w:marTop w:val="0"/>
          <w:marBottom w:val="0"/>
          <w:divBdr>
            <w:top w:val="none" w:sz="0" w:space="0" w:color="auto"/>
            <w:left w:val="none" w:sz="0" w:space="0" w:color="auto"/>
            <w:bottom w:val="none" w:sz="0" w:space="0" w:color="auto"/>
            <w:right w:val="none" w:sz="0" w:space="0" w:color="auto"/>
          </w:divBdr>
        </w:div>
        <w:div w:id="1890528678">
          <w:marLeft w:val="0"/>
          <w:marRight w:val="0"/>
          <w:marTop w:val="0"/>
          <w:marBottom w:val="0"/>
          <w:divBdr>
            <w:top w:val="none" w:sz="0" w:space="0" w:color="auto"/>
            <w:left w:val="none" w:sz="0" w:space="0" w:color="auto"/>
            <w:bottom w:val="none" w:sz="0" w:space="0" w:color="auto"/>
            <w:right w:val="none" w:sz="0" w:space="0" w:color="auto"/>
          </w:divBdr>
          <w:divsChild>
            <w:div w:id="1914393352">
              <w:marLeft w:val="0"/>
              <w:marRight w:val="0"/>
              <w:marTop w:val="0"/>
              <w:marBottom w:val="0"/>
              <w:divBdr>
                <w:top w:val="none" w:sz="0" w:space="0" w:color="auto"/>
                <w:left w:val="none" w:sz="0" w:space="0" w:color="auto"/>
                <w:bottom w:val="none" w:sz="0" w:space="0" w:color="auto"/>
                <w:right w:val="none" w:sz="0" w:space="0" w:color="auto"/>
              </w:divBdr>
            </w:div>
          </w:divsChild>
        </w:div>
        <w:div w:id="1402293461">
          <w:marLeft w:val="0"/>
          <w:marRight w:val="0"/>
          <w:marTop w:val="0"/>
          <w:marBottom w:val="0"/>
          <w:divBdr>
            <w:top w:val="none" w:sz="0" w:space="0" w:color="auto"/>
            <w:left w:val="none" w:sz="0" w:space="0" w:color="auto"/>
            <w:bottom w:val="none" w:sz="0" w:space="0" w:color="auto"/>
            <w:right w:val="none" w:sz="0" w:space="0" w:color="auto"/>
          </w:divBdr>
          <w:divsChild>
            <w:div w:id="1258248776">
              <w:marLeft w:val="0"/>
              <w:marRight w:val="0"/>
              <w:marTop w:val="0"/>
              <w:marBottom w:val="0"/>
              <w:divBdr>
                <w:top w:val="none" w:sz="0" w:space="0" w:color="auto"/>
                <w:left w:val="none" w:sz="0" w:space="0" w:color="auto"/>
                <w:bottom w:val="none" w:sz="0" w:space="0" w:color="auto"/>
                <w:right w:val="none" w:sz="0" w:space="0" w:color="auto"/>
              </w:divBdr>
            </w:div>
            <w:div w:id="300110341">
              <w:marLeft w:val="0"/>
              <w:marRight w:val="0"/>
              <w:marTop w:val="0"/>
              <w:marBottom w:val="0"/>
              <w:divBdr>
                <w:top w:val="none" w:sz="0" w:space="0" w:color="auto"/>
                <w:left w:val="none" w:sz="0" w:space="0" w:color="auto"/>
                <w:bottom w:val="none" w:sz="0" w:space="0" w:color="auto"/>
                <w:right w:val="none" w:sz="0" w:space="0" w:color="auto"/>
              </w:divBdr>
            </w:div>
            <w:div w:id="889342151">
              <w:marLeft w:val="0"/>
              <w:marRight w:val="0"/>
              <w:marTop w:val="0"/>
              <w:marBottom w:val="0"/>
              <w:divBdr>
                <w:top w:val="none" w:sz="0" w:space="0" w:color="auto"/>
                <w:left w:val="none" w:sz="0" w:space="0" w:color="auto"/>
                <w:bottom w:val="none" w:sz="0" w:space="0" w:color="auto"/>
                <w:right w:val="none" w:sz="0" w:space="0" w:color="auto"/>
              </w:divBdr>
            </w:div>
            <w:div w:id="590050326">
              <w:marLeft w:val="0"/>
              <w:marRight w:val="0"/>
              <w:marTop w:val="0"/>
              <w:marBottom w:val="0"/>
              <w:divBdr>
                <w:top w:val="none" w:sz="0" w:space="0" w:color="auto"/>
                <w:left w:val="none" w:sz="0" w:space="0" w:color="auto"/>
                <w:bottom w:val="none" w:sz="0" w:space="0" w:color="auto"/>
                <w:right w:val="none" w:sz="0" w:space="0" w:color="auto"/>
              </w:divBdr>
            </w:div>
            <w:div w:id="756244227">
              <w:marLeft w:val="0"/>
              <w:marRight w:val="0"/>
              <w:marTop w:val="0"/>
              <w:marBottom w:val="0"/>
              <w:divBdr>
                <w:top w:val="none" w:sz="0" w:space="0" w:color="auto"/>
                <w:left w:val="none" w:sz="0" w:space="0" w:color="auto"/>
                <w:bottom w:val="none" w:sz="0" w:space="0" w:color="auto"/>
                <w:right w:val="none" w:sz="0" w:space="0" w:color="auto"/>
              </w:divBdr>
            </w:div>
            <w:div w:id="563951085">
              <w:marLeft w:val="0"/>
              <w:marRight w:val="0"/>
              <w:marTop w:val="0"/>
              <w:marBottom w:val="0"/>
              <w:divBdr>
                <w:top w:val="none" w:sz="0" w:space="0" w:color="auto"/>
                <w:left w:val="none" w:sz="0" w:space="0" w:color="auto"/>
                <w:bottom w:val="none" w:sz="0" w:space="0" w:color="auto"/>
                <w:right w:val="none" w:sz="0" w:space="0" w:color="auto"/>
              </w:divBdr>
            </w:div>
            <w:div w:id="1412311649">
              <w:marLeft w:val="0"/>
              <w:marRight w:val="0"/>
              <w:marTop w:val="0"/>
              <w:marBottom w:val="0"/>
              <w:divBdr>
                <w:top w:val="none" w:sz="0" w:space="0" w:color="auto"/>
                <w:left w:val="none" w:sz="0" w:space="0" w:color="auto"/>
                <w:bottom w:val="none" w:sz="0" w:space="0" w:color="auto"/>
                <w:right w:val="none" w:sz="0" w:space="0" w:color="auto"/>
              </w:divBdr>
            </w:div>
            <w:div w:id="1523088634">
              <w:marLeft w:val="0"/>
              <w:marRight w:val="0"/>
              <w:marTop w:val="0"/>
              <w:marBottom w:val="0"/>
              <w:divBdr>
                <w:top w:val="none" w:sz="0" w:space="0" w:color="auto"/>
                <w:left w:val="none" w:sz="0" w:space="0" w:color="auto"/>
                <w:bottom w:val="none" w:sz="0" w:space="0" w:color="auto"/>
                <w:right w:val="none" w:sz="0" w:space="0" w:color="auto"/>
              </w:divBdr>
            </w:div>
            <w:div w:id="522670329">
              <w:marLeft w:val="0"/>
              <w:marRight w:val="0"/>
              <w:marTop w:val="0"/>
              <w:marBottom w:val="0"/>
              <w:divBdr>
                <w:top w:val="none" w:sz="0" w:space="0" w:color="auto"/>
                <w:left w:val="none" w:sz="0" w:space="0" w:color="auto"/>
                <w:bottom w:val="none" w:sz="0" w:space="0" w:color="auto"/>
                <w:right w:val="none" w:sz="0" w:space="0" w:color="auto"/>
              </w:divBdr>
            </w:div>
            <w:div w:id="1344815638">
              <w:marLeft w:val="0"/>
              <w:marRight w:val="0"/>
              <w:marTop w:val="0"/>
              <w:marBottom w:val="0"/>
              <w:divBdr>
                <w:top w:val="none" w:sz="0" w:space="0" w:color="auto"/>
                <w:left w:val="none" w:sz="0" w:space="0" w:color="auto"/>
                <w:bottom w:val="none" w:sz="0" w:space="0" w:color="auto"/>
                <w:right w:val="none" w:sz="0" w:space="0" w:color="auto"/>
              </w:divBdr>
              <w:divsChild>
                <w:div w:id="261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2811">
          <w:marLeft w:val="0"/>
          <w:marRight w:val="0"/>
          <w:marTop w:val="0"/>
          <w:marBottom w:val="0"/>
          <w:divBdr>
            <w:top w:val="none" w:sz="0" w:space="0" w:color="auto"/>
            <w:left w:val="none" w:sz="0" w:space="0" w:color="auto"/>
            <w:bottom w:val="none" w:sz="0" w:space="0" w:color="auto"/>
            <w:right w:val="none" w:sz="0" w:space="0" w:color="auto"/>
          </w:divBdr>
          <w:divsChild>
            <w:div w:id="85684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4432">
      <w:bodyDiv w:val="1"/>
      <w:marLeft w:val="0"/>
      <w:marRight w:val="0"/>
      <w:marTop w:val="0"/>
      <w:marBottom w:val="0"/>
      <w:divBdr>
        <w:top w:val="none" w:sz="0" w:space="0" w:color="auto"/>
        <w:left w:val="none" w:sz="0" w:space="0" w:color="auto"/>
        <w:bottom w:val="none" w:sz="0" w:space="0" w:color="auto"/>
        <w:right w:val="none" w:sz="0" w:space="0" w:color="auto"/>
      </w:divBdr>
    </w:div>
    <w:div w:id="78523708">
      <w:bodyDiv w:val="1"/>
      <w:marLeft w:val="0"/>
      <w:marRight w:val="0"/>
      <w:marTop w:val="0"/>
      <w:marBottom w:val="0"/>
      <w:divBdr>
        <w:top w:val="none" w:sz="0" w:space="0" w:color="auto"/>
        <w:left w:val="none" w:sz="0" w:space="0" w:color="auto"/>
        <w:bottom w:val="none" w:sz="0" w:space="0" w:color="auto"/>
        <w:right w:val="none" w:sz="0" w:space="0" w:color="auto"/>
      </w:divBdr>
      <w:divsChild>
        <w:div w:id="1201896236">
          <w:marLeft w:val="0"/>
          <w:marRight w:val="0"/>
          <w:marTop w:val="0"/>
          <w:marBottom w:val="0"/>
          <w:divBdr>
            <w:top w:val="none" w:sz="0" w:space="0" w:color="auto"/>
            <w:left w:val="none" w:sz="0" w:space="0" w:color="auto"/>
            <w:bottom w:val="none" w:sz="0" w:space="0" w:color="auto"/>
            <w:right w:val="none" w:sz="0" w:space="0" w:color="auto"/>
          </w:divBdr>
          <w:divsChild>
            <w:div w:id="1623732456">
              <w:marLeft w:val="0"/>
              <w:marRight w:val="0"/>
              <w:marTop w:val="0"/>
              <w:marBottom w:val="0"/>
              <w:divBdr>
                <w:top w:val="none" w:sz="0" w:space="0" w:color="auto"/>
                <w:left w:val="none" w:sz="0" w:space="0" w:color="auto"/>
                <w:bottom w:val="none" w:sz="0" w:space="0" w:color="auto"/>
                <w:right w:val="none" w:sz="0" w:space="0" w:color="auto"/>
              </w:divBdr>
              <w:divsChild>
                <w:div w:id="15475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7367">
      <w:bodyDiv w:val="1"/>
      <w:marLeft w:val="0"/>
      <w:marRight w:val="0"/>
      <w:marTop w:val="0"/>
      <w:marBottom w:val="0"/>
      <w:divBdr>
        <w:top w:val="none" w:sz="0" w:space="0" w:color="auto"/>
        <w:left w:val="none" w:sz="0" w:space="0" w:color="auto"/>
        <w:bottom w:val="none" w:sz="0" w:space="0" w:color="auto"/>
        <w:right w:val="none" w:sz="0" w:space="0" w:color="auto"/>
      </w:divBdr>
      <w:divsChild>
        <w:div w:id="120003639">
          <w:marLeft w:val="0"/>
          <w:marRight w:val="0"/>
          <w:marTop w:val="0"/>
          <w:marBottom w:val="0"/>
          <w:divBdr>
            <w:top w:val="none" w:sz="0" w:space="0" w:color="auto"/>
            <w:left w:val="none" w:sz="0" w:space="0" w:color="auto"/>
            <w:bottom w:val="none" w:sz="0" w:space="0" w:color="auto"/>
            <w:right w:val="none" w:sz="0" w:space="0" w:color="auto"/>
          </w:divBdr>
          <w:divsChild>
            <w:div w:id="179007519">
              <w:marLeft w:val="0"/>
              <w:marRight w:val="0"/>
              <w:marTop w:val="0"/>
              <w:marBottom w:val="0"/>
              <w:divBdr>
                <w:top w:val="none" w:sz="0" w:space="0" w:color="auto"/>
                <w:left w:val="none" w:sz="0" w:space="0" w:color="auto"/>
                <w:bottom w:val="none" w:sz="0" w:space="0" w:color="auto"/>
                <w:right w:val="none" w:sz="0" w:space="0" w:color="auto"/>
              </w:divBdr>
              <w:divsChild>
                <w:div w:id="11822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6801">
      <w:bodyDiv w:val="1"/>
      <w:marLeft w:val="0"/>
      <w:marRight w:val="0"/>
      <w:marTop w:val="0"/>
      <w:marBottom w:val="0"/>
      <w:divBdr>
        <w:top w:val="none" w:sz="0" w:space="0" w:color="auto"/>
        <w:left w:val="none" w:sz="0" w:space="0" w:color="auto"/>
        <w:bottom w:val="none" w:sz="0" w:space="0" w:color="auto"/>
        <w:right w:val="none" w:sz="0" w:space="0" w:color="auto"/>
      </w:divBdr>
      <w:divsChild>
        <w:div w:id="848375281">
          <w:marLeft w:val="0"/>
          <w:marRight w:val="0"/>
          <w:marTop w:val="0"/>
          <w:marBottom w:val="0"/>
          <w:divBdr>
            <w:top w:val="none" w:sz="0" w:space="0" w:color="auto"/>
            <w:left w:val="none" w:sz="0" w:space="0" w:color="auto"/>
            <w:bottom w:val="none" w:sz="0" w:space="0" w:color="auto"/>
            <w:right w:val="none" w:sz="0" w:space="0" w:color="auto"/>
          </w:divBdr>
          <w:divsChild>
            <w:div w:id="836457928">
              <w:marLeft w:val="0"/>
              <w:marRight w:val="0"/>
              <w:marTop w:val="0"/>
              <w:marBottom w:val="0"/>
              <w:divBdr>
                <w:top w:val="none" w:sz="0" w:space="0" w:color="auto"/>
                <w:left w:val="none" w:sz="0" w:space="0" w:color="auto"/>
                <w:bottom w:val="none" w:sz="0" w:space="0" w:color="auto"/>
                <w:right w:val="none" w:sz="0" w:space="0" w:color="auto"/>
              </w:divBdr>
              <w:divsChild>
                <w:div w:id="1017972718">
                  <w:marLeft w:val="0"/>
                  <w:marRight w:val="0"/>
                  <w:marTop w:val="0"/>
                  <w:marBottom w:val="0"/>
                  <w:divBdr>
                    <w:top w:val="none" w:sz="0" w:space="0" w:color="auto"/>
                    <w:left w:val="none" w:sz="0" w:space="0" w:color="auto"/>
                    <w:bottom w:val="none" w:sz="0" w:space="0" w:color="auto"/>
                    <w:right w:val="none" w:sz="0" w:space="0" w:color="auto"/>
                  </w:divBdr>
                </w:div>
              </w:divsChild>
            </w:div>
            <w:div w:id="1017273715">
              <w:marLeft w:val="0"/>
              <w:marRight w:val="0"/>
              <w:marTop w:val="0"/>
              <w:marBottom w:val="0"/>
              <w:divBdr>
                <w:top w:val="none" w:sz="0" w:space="0" w:color="auto"/>
                <w:left w:val="none" w:sz="0" w:space="0" w:color="auto"/>
                <w:bottom w:val="none" w:sz="0" w:space="0" w:color="auto"/>
                <w:right w:val="none" w:sz="0" w:space="0" w:color="auto"/>
              </w:divBdr>
              <w:divsChild>
                <w:div w:id="1848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292086">
      <w:bodyDiv w:val="1"/>
      <w:marLeft w:val="0"/>
      <w:marRight w:val="0"/>
      <w:marTop w:val="0"/>
      <w:marBottom w:val="0"/>
      <w:divBdr>
        <w:top w:val="none" w:sz="0" w:space="0" w:color="auto"/>
        <w:left w:val="none" w:sz="0" w:space="0" w:color="auto"/>
        <w:bottom w:val="none" w:sz="0" w:space="0" w:color="auto"/>
        <w:right w:val="none" w:sz="0" w:space="0" w:color="auto"/>
      </w:divBdr>
      <w:divsChild>
        <w:div w:id="1118521896">
          <w:marLeft w:val="0"/>
          <w:marRight w:val="0"/>
          <w:marTop w:val="0"/>
          <w:marBottom w:val="0"/>
          <w:divBdr>
            <w:top w:val="none" w:sz="0" w:space="0" w:color="auto"/>
            <w:left w:val="none" w:sz="0" w:space="0" w:color="auto"/>
            <w:bottom w:val="none" w:sz="0" w:space="0" w:color="auto"/>
            <w:right w:val="none" w:sz="0" w:space="0" w:color="auto"/>
          </w:divBdr>
          <w:divsChild>
            <w:div w:id="435029541">
              <w:marLeft w:val="0"/>
              <w:marRight w:val="0"/>
              <w:marTop w:val="0"/>
              <w:marBottom w:val="0"/>
              <w:divBdr>
                <w:top w:val="none" w:sz="0" w:space="0" w:color="auto"/>
                <w:left w:val="none" w:sz="0" w:space="0" w:color="auto"/>
                <w:bottom w:val="none" w:sz="0" w:space="0" w:color="auto"/>
                <w:right w:val="none" w:sz="0" w:space="0" w:color="auto"/>
              </w:divBdr>
              <w:divsChild>
                <w:div w:id="8393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952851">
      <w:bodyDiv w:val="1"/>
      <w:marLeft w:val="0"/>
      <w:marRight w:val="0"/>
      <w:marTop w:val="0"/>
      <w:marBottom w:val="0"/>
      <w:divBdr>
        <w:top w:val="none" w:sz="0" w:space="0" w:color="auto"/>
        <w:left w:val="none" w:sz="0" w:space="0" w:color="auto"/>
        <w:bottom w:val="none" w:sz="0" w:space="0" w:color="auto"/>
        <w:right w:val="none" w:sz="0" w:space="0" w:color="auto"/>
      </w:divBdr>
    </w:div>
    <w:div w:id="280311183">
      <w:bodyDiv w:val="1"/>
      <w:marLeft w:val="0"/>
      <w:marRight w:val="0"/>
      <w:marTop w:val="0"/>
      <w:marBottom w:val="0"/>
      <w:divBdr>
        <w:top w:val="none" w:sz="0" w:space="0" w:color="auto"/>
        <w:left w:val="none" w:sz="0" w:space="0" w:color="auto"/>
        <w:bottom w:val="none" w:sz="0" w:space="0" w:color="auto"/>
        <w:right w:val="none" w:sz="0" w:space="0" w:color="auto"/>
      </w:divBdr>
    </w:div>
    <w:div w:id="336998730">
      <w:bodyDiv w:val="1"/>
      <w:marLeft w:val="0"/>
      <w:marRight w:val="0"/>
      <w:marTop w:val="0"/>
      <w:marBottom w:val="0"/>
      <w:divBdr>
        <w:top w:val="none" w:sz="0" w:space="0" w:color="auto"/>
        <w:left w:val="none" w:sz="0" w:space="0" w:color="auto"/>
        <w:bottom w:val="none" w:sz="0" w:space="0" w:color="auto"/>
        <w:right w:val="none" w:sz="0" w:space="0" w:color="auto"/>
      </w:divBdr>
    </w:div>
    <w:div w:id="358627866">
      <w:bodyDiv w:val="1"/>
      <w:marLeft w:val="0"/>
      <w:marRight w:val="0"/>
      <w:marTop w:val="0"/>
      <w:marBottom w:val="0"/>
      <w:divBdr>
        <w:top w:val="none" w:sz="0" w:space="0" w:color="auto"/>
        <w:left w:val="none" w:sz="0" w:space="0" w:color="auto"/>
        <w:bottom w:val="none" w:sz="0" w:space="0" w:color="auto"/>
        <w:right w:val="none" w:sz="0" w:space="0" w:color="auto"/>
      </w:divBdr>
    </w:div>
    <w:div w:id="361437330">
      <w:bodyDiv w:val="1"/>
      <w:marLeft w:val="0"/>
      <w:marRight w:val="0"/>
      <w:marTop w:val="0"/>
      <w:marBottom w:val="0"/>
      <w:divBdr>
        <w:top w:val="none" w:sz="0" w:space="0" w:color="auto"/>
        <w:left w:val="none" w:sz="0" w:space="0" w:color="auto"/>
        <w:bottom w:val="none" w:sz="0" w:space="0" w:color="auto"/>
        <w:right w:val="none" w:sz="0" w:space="0" w:color="auto"/>
      </w:divBdr>
    </w:div>
    <w:div w:id="409890146">
      <w:bodyDiv w:val="1"/>
      <w:marLeft w:val="0"/>
      <w:marRight w:val="0"/>
      <w:marTop w:val="0"/>
      <w:marBottom w:val="0"/>
      <w:divBdr>
        <w:top w:val="none" w:sz="0" w:space="0" w:color="auto"/>
        <w:left w:val="none" w:sz="0" w:space="0" w:color="auto"/>
        <w:bottom w:val="none" w:sz="0" w:space="0" w:color="auto"/>
        <w:right w:val="none" w:sz="0" w:space="0" w:color="auto"/>
      </w:divBdr>
      <w:divsChild>
        <w:div w:id="944574709">
          <w:marLeft w:val="0"/>
          <w:marRight w:val="0"/>
          <w:marTop w:val="0"/>
          <w:marBottom w:val="0"/>
          <w:divBdr>
            <w:top w:val="none" w:sz="0" w:space="0" w:color="auto"/>
            <w:left w:val="none" w:sz="0" w:space="0" w:color="auto"/>
            <w:bottom w:val="none" w:sz="0" w:space="0" w:color="auto"/>
            <w:right w:val="none" w:sz="0" w:space="0" w:color="auto"/>
          </w:divBdr>
          <w:divsChild>
            <w:div w:id="1842312211">
              <w:marLeft w:val="0"/>
              <w:marRight w:val="0"/>
              <w:marTop w:val="0"/>
              <w:marBottom w:val="0"/>
              <w:divBdr>
                <w:top w:val="none" w:sz="0" w:space="0" w:color="auto"/>
                <w:left w:val="none" w:sz="0" w:space="0" w:color="auto"/>
                <w:bottom w:val="none" w:sz="0" w:space="0" w:color="auto"/>
                <w:right w:val="none" w:sz="0" w:space="0" w:color="auto"/>
              </w:divBdr>
              <w:divsChild>
                <w:div w:id="20001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0052">
      <w:bodyDiv w:val="1"/>
      <w:marLeft w:val="0"/>
      <w:marRight w:val="0"/>
      <w:marTop w:val="0"/>
      <w:marBottom w:val="0"/>
      <w:divBdr>
        <w:top w:val="none" w:sz="0" w:space="0" w:color="auto"/>
        <w:left w:val="none" w:sz="0" w:space="0" w:color="auto"/>
        <w:bottom w:val="none" w:sz="0" w:space="0" w:color="auto"/>
        <w:right w:val="none" w:sz="0" w:space="0" w:color="auto"/>
      </w:divBdr>
      <w:divsChild>
        <w:div w:id="1364398686">
          <w:marLeft w:val="0"/>
          <w:marRight w:val="0"/>
          <w:marTop w:val="0"/>
          <w:marBottom w:val="0"/>
          <w:divBdr>
            <w:top w:val="none" w:sz="0" w:space="0" w:color="auto"/>
            <w:left w:val="none" w:sz="0" w:space="0" w:color="auto"/>
            <w:bottom w:val="none" w:sz="0" w:space="0" w:color="auto"/>
            <w:right w:val="none" w:sz="0" w:space="0" w:color="auto"/>
          </w:divBdr>
          <w:divsChild>
            <w:div w:id="1568569972">
              <w:marLeft w:val="0"/>
              <w:marRight w:val="0"/>
              <w:marTop w:val="0"/>
              <w:marBottom w:val="0"/>
              <w:divBdr>
                <w:top w:val="none" w:sz="0" w:space="0" w:color="auto"/>
                <w:left w:val="none" w:sz="0" w:space="0" w:color="auto"/>
                <w:bottom w:val="none" w:sz="0" w:space="0" w:color="auto"/>
                <w:right w:val="none" w:sz="0" w:space="0" w:color="auto"/>
              </w:divBdr>
              <w:divsChild>
                <w:div w:id="5741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436069">
      <w:bodyDiv w:val="1"/>
      <w:marLeft w:val="0"/>
      <w:marRight w:val="0"/>
      <w:marTop w:val="0"/>
      <w:marBottom w:val="0"/>
      <w:divBdr>
        <w:top w:val="none" w:sz="0" w:space="0" w:color="auto"/>
        <w:left w:val="none" w:sz="0" w:space="0" w:color="auto"/>
        <w:bottom w:val="none" w:sz="0" w:space="0" w:color="auto"/>
        <w:right w:val="none" w:sz="0" w:space="0" w:color="auto"/>
      </w:divBdr>
    </w:div>
    <w:div w:id="519318760">
      <w:bodyDiv w:val="1"/>
      <w:marLeft w:val="0"/>
      <w:marRight w:val="0"/>
      <w:marTop w:val="0"/>
      <w:marBottom w:val="0"/>
      <w:divBdr>
        <w:top w:val="none" w:sz="0" w:space="0" w:color="auto"/>
        <w:left w:val="none" w:sz="0" w:space="0" w:color="auto"/>
        <w:bottom w:val="none" w:sz="0" w:space="0" w:color="auto"/>
        <w:right w:val="none" w:sz="0" w:space="0" w:color="auto"/>
      </w:divBdr>
    </w:div>
    <w:div w:id="565143014">
      <w:bodyDiv w:val="1"/>
      <w:marLeft w:val="0"/>
      <w:marRight w:val="0"/>
      <w:marTop w:val="0"/>
      <w:marBottom w:val="0"/>
      <w:divBdr>
        <w:top w:val="none" w:sz="0" w:space="0" w:color="auto"/>
        <w:left w:val="none" w:sz="0" w:space="0" w:color="auto"/>
        <w:bottom w:val="none" w:sz="0" w:space="0" w:color="auto"/>
        <w:right w:val="none" w:sz="0" w:space="0" w:color="auto"/>
      </w:divBdr>
      <w:divsChild>
        <w:div w:id="157578829">
          <w:marLeft w:val="0"/>
          <w:marRight w:val="0"/>
          <w:marTop w:val="0"/>
          <w:marBottom w:val="0"/>
          <w:divBdr>
            <w:top w:val="none" w:sz="0" w:space="0" w:color="auto"/>
            <w:left w:val="none" w:sz="0" w:space="0" w:color="auto"/>
            <w:bottom w:val="none" w:sz="0" w:space="0" w:color="auto"/>
            <w:right w:val="none" w:sz="0" w:space="0" w:color="auto"/>
          </w:divBdr>
          <w:divsChild>
            <w:div w:id="1778910872">
              <w:marLeft w:val="0"/>
              <w:marRight w:val="0"/>
              <w:marTop w:val="0"/>
              <w:marBottom w:val="0"/>
              <w:divBdr>
                <w:top w:val="none" w:sz="0" w:space="0" w:color="auto"/>
                <w:left w:val="none" w:sz="0" w:space="0" w:color="auto"/>
                <w:bottom w:val="none" w:sz="0" w:space="0" w:color="auto"/>
                <w:right w:val="none" w:sz="0" w:space="0" w:color="auto"/>
              </w:divBdr>
              <w:divsChild>
                <w:div w:id="13258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65546">
      <w:bodyDiv w:val="1"/>
      <w:marLeft w:val="0"/>
      <w:marRight w:val="0"/>
      <w:marTop w:val="0"/>
      <w:marBottom w:val="0"/>
      <w:divBdr>
        <w:top w:val="none" w:sz="0" w:space="0" w:color="auto"/>
        <w:left w:val="none" w:sz="0" w:space="0" w:color="auto"/>
        <w:bottom w:val="none" w:sz="0" w:space="0" w:color="auto"/>
        <w:right w:val="none" w:sz="0" w:space="0" w:color="auto"/>
      </w:divBdr>
      <w:divsChild>
        <w:div w:id="1038090518">
          <w:marLeft w:val="0"/>
          <w:marRight w:val="0"/>
          <w:marTop w:val="0"/>
          <w:marBottom w:val="0"/>
          <w:divBdr>
            <w:top w:val="none" w:sz="0" w:space="0" w:color="auto"/>
            <w:left w:val="none" w:sz="0" w:space="0" w:color="auto"/>
            <w:bottom w:val="none" w:sz="0" w:space="0" w:color="auto"/>
            <w:right w:val="none" w:sz="0" w:space="0" w:color="auto"/>
          </w:divBdr>
          <w:divsChild>
            <w:div w:id="1707102012">
              <w:marLeft w:val="0"/>
              <w:marRight w:val="0"/>
              <w:marTop w:val="0"/>
              <w:marBottom w:val="0"/>
              <w:divBdr>
                <w:top w:val="none" w:sz="0" w:space="0" w:color="auto"/>
                <w:left w:val="none" w:sz="0" w:space="0" w:color="auto"/>
                <w:bottom w:val="none" w:sz="0" w:space="0" w:color="auto"/>
                <w:right w:val="none" w:sz="0" w:space="0" w:color="auto"/>
              </w:divBdr>
              <w:divsChild>
                <w:div w:id="1516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2679">
      <w:bodyDiv w:val="1"/>
      <w:marLeft w:val="0"/>
      <w:marRight w:val="0"/>
      <w:marTop w:val="0"/>
      <w:marBottom w:val="0"/>
      <w:divBdr>
        <w:top w:val="none" w:sz="0" w:space="0" w:color="auto"/>
        <w:left w:val="none" w:sz="0" w:space="0" w:color="auto"/>
        <w:bottom w:val="none" w:sz="0" w:space="0" w:color="auto"/>
        <w:right w:val="none" w:sz="0" w:space="0" w:color="auto"/>
      </w:divBdr>
      <w:divsChild>
        <w:div w:id="1367828495">
          <w:marLeft w:val="0"/>
          <w:marRight w:val="0"/>
          <w:marTop w:val="0"/>
          <w:marBottom w:val="0"/>
          <w:divBdr>
            <w:top w:val="none" w:sz="0" w:space="0" w:color="auto"/>
            <w:left w:val="none" w:sz="0" w:space="0" w:color="auto"/>
            <w:bottom w:val="none" w:sz="0" w:space="0" w:color="auto"/>
            <w:right w:val="none" w:sz="0" w:space="0" w:color="auto"/>
          </w:divBdr>
          <w:divsChild>
            <w:div w:id="1893685586">
              <w:marLeft w:val="0"/>
              <w:marRight w:val="0"/>
              <w:marTop w:val="0"/>
              <w:marBottom w:val="0"/>
              <w:divBdr>
                <w:top w:val="none" w:sz="0" w:space="0" w:color="auto"/>
                <w:left w:val="none" w:sz="0" w:space="0" w:color="auto"/>
                <w:bottom w:val="none" w:sz="0" w:space="0" w:color="auto"/>
                <w:right w:val="none" w:sz="0" w:space="0" w:color="auto"/>
              </w:divBdr>
              <w:divsChild>
                <w:div w:id="7250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909">
      <w:bodyDiv w:val="1"/>
      <w:marLeft w:val="0"/>
      <w:marRight w:val="0"/>
      <w:marTop w:val="0"/>
      <w:marBottom w:val="0"/>
      <w:divBdr>
        <w:top w:val="none" w:sz="0" w:space="0" w:color="auto"/>
        <w:left w:val="none" w:sz="0" w:space="0" w:color="auto"/>
        <w:bottom w:val="none" w:sz="0" w:space="0" w:color="auto"/>
        <w:right w:val="none" w:sz="0" w:space="0" w:color="auto"/>
      </w:divBdr>
      <w:divsChild>
        <w:div w:id="141430940">
          <w:marLeft w:val="0"/>
          <w:marRight w:val="0"/>
          <w:marTop w:val="0"/>
          <w:marBottom w:val="0"/>
          <w:divBdr>
            <w:top w:val="none" w:sz="0" w:space="0" w:color="auto"/>
            <w:left w:val="none" w:sz="0" w:space="0" w:color="auto"/>
            <w:bottom w:val="none" w:sz="0" w:space="0" w:color="auto"/>
            <w:right w:val="none" w:sz="0" w:space="0" w:color="auto"/>
          </w:divBdr>
          <w:divsChild>
            <w:div w:id="1337809706">
              <w:marLeft w:val="0"/>
              <w:marRight w:val="0"/>
              <w:marTop w:val="0"/>
              <w:marBottom w:val="0"/>
              <w:divBdr>
                <w:top w:val="none" w:sz="0" w:space="0" w:color="auto"/>
                <w:left w:val="none" w:sz="0" w:space="0" w:color="auto"/>
                <w:bottom w:val="none" w:sz="0" w:space="0" w:color="auto"/>
                <w:right w:val="none" w:sz="0" w:space="0" w:color="auto"/>
              </w:divBdr>
              <w:divsChild>
                <w:div w:id="12413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65806">
      <w:bodyDiv w:val="1"/>
      <w:marLeft w:val="0"/>
      <w:marRight w:val="0"/>
      <w:marTop w:val="0"/>
      <w:marBottom w:val="0"/>
      <w:divBdr>
        <w:top w:val="none" w:sz="0" w:space="0" w:color="auto"/>
        <w:left w:val="none" w:sz="0" w:space="0" w:color="auto"/>
        <w:bottom w:val="none" w:sz="0" w:space="0" w:color="auto"/>
        <w:right w:val="none" w:sz="0" w:space="0" w:color="auto"/>
      </w:divBdr>
    </w:div>
    <w:div w:id="852576250">
      <w:bodyDiv w:val="1"/>
      <w:marLeft w:val="0"/>
      <w:marRight w:val="0"/>
      <w:marTop w:val="0"/>
      <w:marBottom w:val="0"/>
      <w:divBdr>
        <w:top w:val="none" w:sz="0" w:space="0" w:color="auto"/>
        <w:left w:val="none" w:sz="0" w:space="0" w:color="auto"/>
        <w:bottom w:val="none" w:sz="0" w:space="0" w:color="auto"/>
        <w:right w:val="none" w:sz="0" w:space="0" w:color="auto"/>
      </w:divBdr>
      <w:divsChild>
        <w:div w:id="580795844">
          <w:marLeft w:val="0"/>
          <w:marRight w:val="0"/>
          <w:marTop w:val="0"/>
          <w:marBottom w:val="0"/>
          <w:divBdr>
            <w:top w:val="none" w:sz="0" w:space="0" w:color="auto"/>
            <w:left w:val="none" w:sz="0" w:space="0" w:color="auto"/>
            <w:bottom w:val="none" w:sz="0" w:space="0" w:color="auto"/>
            <w:right w:val="none" w:sz="0" w:space="0" w:color="auto"/>
          </w:divBdr>
          <w:divsChild>
            <w:div w:id="1327857313">
              <w:marLeft w:val="0"/>
              <w:marRight w:val="0"/>
              <w:marTop w:val="0"/>
              <w:marBottom w:val="0"/>
              <w:divBdr>
                <w:top w:val="none" w:sz="0" w:space="0" w:color="auto"/>
                <w:left w:val="none" w:sz="0" w:space="0" w:color="auto"/>
                <w:bottom w:val="none" w:sz="0" w:space="0" w:color="auto"/>
                <w:right w:val="none" w:sz="0" w:space="0" w:color="auto"/>
              </w:divBdr>
              <w:divsChild>
                <w:div w:id="21363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94760">
      <w:bodyDiv w:val="1"/>
      <w:marLeft w:val="0"/>
      <w:marRight w:val="0"/>
      <w:marTop w:val="0"/>
      <w:marBottom w:val="0"/>
      <w:divBdr>
        <w:top w:val="none" w:sz="0" w:space="0" w:color="auto"/>
        <w:left w:val="none" w:sz="0" w:space="0" w:color="auto"/>
        <w:bottom w:val="none" w:sz="0" w:space="0" w:color="auto"/>
        <w:right w:val="none" w:sz="0" w:space="0" w:color="auto"/>
      </w:divBdr>
    </w:div>
    <w:div w:id="978919537">
      <w:bodyDiv w:val="1"/>
      <w:marLeft w:val="0"/>
      <w:marRight w:val="0"/>
      <w:marTop w:val="0"/>
      <w:marBottom w:val="0"/>
      <w:divBdr>
        <w:top w:val="none" w:sz="0" w:space="0" w:color="auto"/>
        <w:left w:val="none" w:sz="0" w:space="0" w:color="auto"/>
        <w:bottom w:val="none" w:sz="0" w:space="0" w:color="auto"/>
        <w:right w:val="none" w:sz="0" w:space="0" w:color="auto"/>
      </w:divBdr>
    </w:div>
    <w:div w:id="1027020805">
      <w:bodyDiv w:val="1"/>
      <w:marLeft w:val="0"/>
      <w:marRight w:val="0"/>
      <w:marTop w:val="0"/>
      <w:marBottom w:val="0"/>
      <w:divBdr>
        <w:top w:val="none" w:sz="0" w:space="0" w:color="auto"/>
        <w:left w:val="none" w:sz="0" w:space="0" w:color="auto"/>
        <w:bottom w:val="none" w:sz="0" w:space="0" w:color="auto"/>
        <w:right w:val="none" w:sz="0" w:space="0" w:color="auto"/>
      </w:divBdr>
    </w:div>
    <w:div w:id="1080172794">
      <w:bodyDiv w:val="1"/>
      <w:marLeft w:val="0"/>
      <w:marRight w:val="0"/>
      <w:marTop w:val="0"/>
      <w:marBottom w:val="0"/>
      <w:divBdr>
        <w:top w:val="none" w:sz="0" w:space="0" w:color="auto"/>
        <w:left w:val="none" w:sz="0" w:space="0" w:color="auto"/>
        <w:bottom w:val="none" w:sz="0" w:space="0" w:color="auto"/>
        <w:right w:val="none" w:sz="0" w:space="0" w:color="auto"/>
      </w:divBdr>
    </w:div>
    <w:div w:id="1102532189">
      <w:bodyDiv w:val="1"/>
      <w:marLeft w:val="0"/>
      <w:marRight w:val="0"/>
      <w:marTop w:val="0"/>
      <w:marBottom w:val="0"/>
      <w:divBdr>
        <w:top w:val="none" w:sz="0" w:space="0" w:color="auto"/>
        <w:left w:val="none" w:sz="0" w:space="0" w:color="auto"/>
        <w:bottom w:val="none" w:sz="0" w:space="0" w:color="auto"/>
        <w:right w:val="none" w:sz="0" w:space="0" w:color="auto"/>
      </w:divBdr>
      <w:divsChild>
        <w:div w:id="1246380772">
          <w:marLeft w:val="0"/>
          <w:marRight w:val="0"/>
          <w:marTop w:val="0"/>
          <w:marBottom w:val="0"/>
          <w:divBdr>
            <w:top w:val="none" w:sz="0" w:space="0" w:color="auto"/>
            <w:left w:val="none" w:sz="0" w:space="0" w:color="auto"/>
            <w:bottom w:val="none" w:sz="0" w:space="0" w:color="auto"/>
            <w:right w:val="none" w:sz="0" w:space="0" w:color="auto"/>
          </w:divBdr>
          <w:divsChild>
            <w:div w:id="94786247">
              <w:marLeft w:val="0"/>
              <w:marRight w:val="0"/>
              <w:marTop w:val="0"/>
              <w:marBottom w:val="0"/>
              <w:divBdr>
                <w:top w:val="none" w:sz="0" w:space="0" w:color="auto"/>
                <w:left w:val="none" w:sz="0" w:space="0" w:color="auto"/>
                <w:bottom w:val="none" w:sz="0" w:space="0" w:color="auto"/>
                <w:right w:val="none" w:sz="0" w:space="0" w:color="auto"/>
              </w:divBdr>
              <w:divsChild>
                <w:div w:id="76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664">
      <w:bodyDiv w:val="1"/>
      <w:marLeft w:val="0"/>
      <w:marRight w:val="0"/>
      <w:marTop w:val="0"/>
      <w:marBottom w:val="0"/>
      <w:divBdr>
        <w:top w:val="none" w:sz="0" w:space="0" w:color="auto"/>
        <w:left w:val="none" w:sz="0" w:space="0" w:color="auto"/>
        <w:bottom w:val="none" w:sz="0" w:space="0" w:color="auto"/>
        <w:right w:val="none" w:sz="0" w:space="0" w:color="auto"/>
      </w:divBdr>
      <w:divsChild>
        <w:div w:id="1664159016">
          <w:marLeft w:val="0"/>
          <w:marRight w:val="0"/>
          <w:marTop w:val="0"/>
          <w:marBottom w:val="0"/>
          <w:divBdr>
            <w:top w:val="none" w:sz="0" w:space="0" w:color="auto"/>
            <w:left w:val="none" w:sz="0" w:space="0" w:color="auto"/>
            <w:bottom w:val="none" w:sz="0" w:space="0" w:color="auto"/>
            <w:right w:val="none" w:sz="0" w:space="0" w:color="auto"/>
          </w:divBdr>
          <w:divsChild>
            <w:div w:id="826479113">
              <w:marLeft w:val="0"/>
              <w:marRight w:val="0"/>
              <w:marTop w:val="0"/>
              <w:marBottom w:val="0"/>
              <w:divBdr>
                <w:top w:val="none" w:sz="0" w:space="0" w:color="auto"/>
                <w:left w:val="none" w:sz="0" w:space="0" w:color="auto"/>
                <w:bottom w:val="none" w:sz="0" w:space="0" w:color="auto"/>
                <w:right w:val="none" w:sz="0" w:space="0" w:color="auto"/>
              </w:divBdr>
              <w:divsChild>
                <w:div w:id="3379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4345">
      <w:bodyDiv w:val="1"/>
      <w:marLeft w:val="0"/>
      <w:marRight w:val="0"/>
      <w:marTop w:val="0"/>
      <w:marBottom w:val="0"/>
      <w:divBdr>
        <w:top w:val="none" w:sz="0" w:space="0" w:color="auto"/>
        <w:left w:val="none" w:sz="0" w:space="0" w:color="auto"/>
        <w:bottom w:val="none" w:sz="0" w:space="0" w:color="auto"/>
        <w:right w:val="none" w:sz="0" w:space="0" w:color="auto"/>
      </w:divBdr>
    </w:div>
    <w:div w:id="1117480073">
      <w:bodyDiv w:val="1"/>
      <w:marLeft w:val="0"/>
      <w:marRight w:val="0"/>
      <w:marTop w:val="0"/>
      <w:marBottom w:val="0"/>
      <w:divBdr>
        <w:top w:val="none" w:sz="0" w:space="0" w:color="auto"/>
        <w:left w:val="none" w:sz="0" w:space="0" w:color="auto"/>
        <w:bottom w:val="none" w:sz="0" w:space="0" w:color="auto"/>
        <w:right w:val="none" w:sz="0" w:space="0" w:color="auto"/>
      </w:divBdr>
      <w:divsChild>
        <w:div w:id="1620450668">
          <w:marLeft w:val="0"/>
          <w:marRight w:val="0"/>
          <w:marTop w:val="0"/>
          <w:marBottom w:val="0"/>
          <w:divBdr>
            <w:top w:val="none" w:sz="0" w:space="0" w:color="auto"/>
            <w:left w:val="none" w:sz="0" w:space="0" w:color="auto"/>
            <w:bottom w:val="none" w:sz="0" w:space="0" w:color="auto"/>
            <w:right w:val="none" w:sz="0" w:space="0" w:color="auto"/>
          </w:divBdr>
          <w:divsChild>
            <w:div w:id="38747409">
              <w:marLeft w:val="0"/>
              <w:marRight w:val="0"/>
              <w:marTop w:val="0"/>
              <w:marBottom w:val="0"/>
              <w:divBdr>
                <w:top w:val="none" w:sz="0" w:space="0" w:color="auto"/>
                <w:left w:val="none" w:sz="0" w:space="0" w:color="auto"/>
                <w:bottom w:val="none" w:sz="0" w:space="0" w:color="auto"/>
                <w:right w:val="none" w:sz="0" w:space="0" w:color="auto"/>
              </w:divBdr>
              <w:divsChild>
                <w:div w:id="21372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5213">
      <w:bodyDiv w:val="1"/>
      <w:marLeft w:val="0"/>
      <w:marRight w:val="0"/>
      <w:marTop w:val="0"/>
      <w:marBottom w:val="0"/>
      <w:divBdr>
        <w:top w:val="none" w:sz="0" w:space="0" w:color="auto"/>
        <w:left w:val="none" w:sz="0" w:space="0" w:color="auto"/>
        <w:bottom w:val="none" w:sz="0" w:space="0" w:color="auto"/>
        <w:right w:val="none" w:sz="0" w:space="0" w:color="auto"/>
      </w:divBdr>
    </w:div>
    <w:div w:id="1220439615">
      <w:bodyDiv w:val="1"/>
      <w:marLeft w:val="0"/>
      <w:marRight w:val="0"/>
      <w:marTop w:val="0"/>
      <w:marBottom w:val="0"/>
      <w:divBdr>
        <w:top w:val="none" w:sz="0" w:space="0" w:color="auto"/>
        <w:left w:val="none" w:sz="0" w:space="0" w:color="auto"/>
        <w:bottom w:val="none" w:sz="0" w:space="0" w:color="auto"/>
        <w:right w:val="none" w:sz="0" w:space="0" w:color="auto"/>
      </w:divBdr>
    </w:div>
    <w:div w:id="1227302377">
      <w:bodyDiv w:val="1"/>
      <w:marLeft w:val="0"/>
      <w:marRight w:val="0"/>
      <w:marTop w:val="0"/>
      <w:marBottom w:val="0"/>
      <w:divBdr>
        <w:top w:val="none" w:sz="0" w:space="0" w:color="auto"/>
        <w:left w:val="none" w:sz="0" w:space="0" w:color="auto"/>
        <w:bottom w:val="none" w:sz="0" w:space="0" w:color="auto"/>
        <w:right w:val="none" w:sz="0" w:space="0" w:color="auto"/>
      </w:divBdr>
    </w:div>
    <w:div w:id="1273243385">
      <w:bodyDiv w:val="1"/>
      <w:marLeft w:val="0"/>
      <w:marRight w:val="0"/>
      <w:marTop w:val="0"/>
      <w:marBottom w:val="0"/>
      <w:divBdr>
        <w:top w:val="none" w:sz="0" w:space="0" w:color="auto"/>
        <w:left w:val="none" w:sz="0" w:space="0" w:color="auto"/>
        <w:bottom w:val="none" w:sz="0" w:space="0" w:color="auto"/>
        <w:right w:val="none" w:sz="0" w:space="0" w:color="auto"/>
      </w:divBdr>
      <w:divsChild>
        <w:div w:id="2065904198">
          <w:marLeft w:val="0"/>
          <w:marRight w:val="0"/>
          <w:marTop w:val="0"/>
          <w:marBottom w:val="0"/>
          <w:divBdr>
            <w:top w:val="none" w:sz="0" w:space="0" w:color="auto"/>
            <w:left w:val="none" w:sz="0" w:space="0" w:color="auto"/>
            <w:bottom w:val="none" w:sz="0" w:space="0" w:color="auto"/>
            <w:right w:val="none" w:sz="0" w:space="0" w:color="auto"/>
          </w:divBdr>
          <w:divsChild>
            <w:div w:id="2029142264">
              <w:marLeft w:val="0"/>
              <w:marRight w:val="0"/>
              <w:marTop w:val="0"/>
              <w:marBottom w:val="0"/>
              <w:divBdr>
                <w:top w:val="none" w:sz="0" w:space="0" w:color="auto"/>
                <w:left w:val="none" w:sz="0" w:space="0" w:color="auto"/>
                <w:bottom w:val="none" w:sz="0" w:space="0" w:color="auto"/>
                <w:right w:val="none" w:sz="0" w:space="0" w:color="auto"/>
              </w:divBdr>
              <w:divsChild>
                <w:div w:id="74260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03572">
      <w:bodyDiv w:val="1"/>
      <w:marLeft w:val="0"/>
      <w:marRight w:val="0"/>
      <w:marTop w:val="0"/>
      <w:marBottom w:val="0"/>
      <w:divBdr>
        <w:top w:val="none" w:sz="0" w:space="0" w:color="auto"/>
        <w:left w:val="none" w:sz="0" w:space="0" w:color="auto"/>
        <w:bottom w:val="none" w:sz="0" w:space="0" w:color="auto"/>
        <w:right w:val="none" w:sz="0" w:space="0" w:color="auto"/>
      </w:divBdr>
    </w:div>
    <w:div w:id="1321470265">
      <w:bodyDiv w:val="1"/>
      <w:marLeft w:val="0"/>
      <w:marRight w:val="0"/>
      <w:marTop w:val="0"/>
      <w:marBottom w:val="0"/>
      <w:divBdr>
        <w:top w:val="none" w:sz="0" w:space="0" w:color="auto"/>
        <w:left w:val="none" w:sz="0" w:space="0" w:color="auto"/>
        <w:bottom w:val="none" w:sz="0" w:space="0" w:color="auto"/>
        <w:right w:val="none" w:sz="0" w:space="0" w:color="auto"/>
      </w:divBdr>
    </w:div>
    <w:div w:id="1330525404">
      <w:bodyDiv w:val="1"/>
      <w:marLeft w:val="0"/>
      <w:marRight w:val="0"/>
      <w:marTop w:val="0"/>
      <w:marBottom w:val="0"/>
      <w:divBdr>
        <w:top w:val="none" w:sz="0" w:space="0" w:color="auto"/>
        <w:left w:val="none" w:sz="0" w:space="0" w:color="auto"/>
        <w:bottom w:val="none" w:sz="0" w:space="0" w:color="auto"/>
        <w:right w:val="none" w:sz="0" w:space="0" w:color="auto"/>
      </w:divBdr>
    </w:div>
    <w:div w:id="1406150717">
      <w:bodyDiv w:val="1"/>
      <w:marLeft w:val="0"/>
      <w:marRight w:val="0"/>
      <w:marTop w:val="0"/>
      <w:marBottom w:val="0"/>
      <w:divBdr>
        <w:top w:val="none" w:sz="0" w:space="0" w:color="auto"/>
        <w:left w:val="none" w:sz="0" w:space="0" w:color="auto"/>
        <w:bottom w:val="none" w:sz="0" w:space="0" w:color="auto"/>
        <w:right w:val="none" w:sz="0" w:space="0" w:color="auto"/>
      </w:divBdr>
    </w:div>
    <w:div w:id="1410422618">
      <w:bodyDiv w:val="1"/>
      <w:marLeft w:val="0"/>
      <w:marRight w:val="0"/>
      <w:marTop w:val="0"/>
      <w:marBottom w:val="0"/>
      <w:divBdr>
        <w:top w:val="none" w:sz="0" w:space="0" w:color="auto"/>
        <w:left w:val="none" w:sz="0" w:space="0" w:color="auto"/>
        <w:bottom w:val="none" w:sz="0" w:space="0" w:color="auto"/>
        <w:right w:val="none" w:sz="0" w:space="0" w:color="auto"/>
      </w:divBdr>
      <w:divsChild>
        <w:div w:id="1339237654">
          <w:marLeft w:val="0"/>
          <w:marRight w:val="0"/>
          <w:marTop w:val="0"/>
          <w:marBottom w:val="0"/>
          <w:divBdr>
            <w:top w:val="none" w:sz="0" w:space="0" w:color="auto"/>
            <w:left w:val="none" w:sz="0" w:space="0" w:color="auto"/>
            <w:bottom w:val="none" w:sz="0" w:space="0" w:color="auto"/>
            <w:right w:val="none" w:sz="0" w:space="0" w:color="auto"/>
          </w:divBdr>
          <w:divsChild>
            <w:div w:id="574707230">
              <w:marLeft w:val="0"/>
              <w:marRight w:val="0"/>
              <w:marTop w:val="0"/>
              <w:marBottom w:val="0"/>
              <w:divBdr>
                <w:top w:val="none" w:sz="0" w:space="0" w:color="auto"/>
                <w:left w:val="none" w:sz="0" w:space="0" w:color="auto"/>
                <w:bottom w:val="none" w:sz="0" w:space="0" w:color="auto"/>
                <w:right w:val="none" w:sz="0" w:space="0" w:color="auto"/>
              </w:divBdr>
              <w:divsChild>
                <w:div w:id="11535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19776">
      <w:bodyDiv w:val="1"/>
      <w:marLeft w:val="0"/>
      <w:marRight w:val="0"/>
      <w:marTop w:val="0"/>
      <w:marBottom w:val="0"/>
      <w:divBdr>
        <w:top w:val="none" w:sz="0" w:space="0" w:color="auto"/>
        <w:left w:val="none" w:sz="0" w:space="0" w:color="auto"/>
        <w:bottom w:val="none" w:sz="0" w:space="0" w:color="auto"/>
        <w:right w:val="none" w:sz="0" w:space="0" w:color="auto"/>
      </w:divBdr>
      <w:divsChild>
        <w:div w:id="625739839">
          <w:marLeft w:val="0"/>
          <w:marRight w:val="0"/>
          <w:marTop w:val="0"/>
          <w:marBottom w:val="0"/>
          <w:divBdr>
            <w:top w:val="none" w:sz="0" w:space="0" w:color="auto"/>
            <w:left w:val="none" w:sz="0" w:space="0" w:color="auto"/>
            <w:bottom w:val="none" w:sz="0" w:space="0" w:color="auto"/>
            <w:right w:val="none" w:sz="0" w:space="0" w:color="auto"/>
          </w:divBdr>
          <w:divsChild>
            <w:div w:id="798382708">
              <w:marLeft w:val="0"/>
              <w:marRight w:val="0"/>
              <w:marTop w:val="0"/>
              <w:marBottom w:val="0"/>
              <w:divBdr>
                <w:top w:val="none" w:sz="0" w:space="0" w:color="auto"/>
                <w:left w:val="none" w:sz="0" w:space="0" w:color="auto"/>
                <w:bottom w:val="none" w:sz="0" w:space="0" w:color="auto"/>
                <w:right w:val="none" w:sz="0" w:space="0" w:color="auto"/>
              </w:divBdr>
              <w:divsChild>
                <w:div w:id="20067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7582">
      <w:bodyDiv w:val="1"/>
      <w:marLeft w:val="0"/>
      <w:marRight w:val="0"/>
      <w:marTop w:val="0"/>
      <w:marBottom w:val="0"/>
      <w:divBdr>
        <w:top w:val="none" w:sz="0" w:space="0" w:color="auto"/>
        <w:left w:val="none" w:sz="0" w:space="0" w:color="auto"/>
        <w:bottom w:val="none" w:sz="0" w:space="0" w:color="auto"/>
        <w:right w:val="none" w:sz="0" w:space="0" w:color="auto"/>
      </w:divBdr>
      <w:divsChild>
        <w:div w:id="842430815">
          <w:marLeft w:val="0"/>
          <w:marRight w:val="0"/>
          <w:marTop w:val="0"/>
          <w:marBottom w:val="0"/>
          <w:divBdr>
            <w:top w:val="none" w:sz="0" w:space="0" w:color="auto"/>
            <w:left w:val="none" w:sz="0" w:space="0" w:color="auto"/>
            <w:bottom w:val="none" w:sz="0" w:space="0" w:color="auto"/>
            <w:right w:val="none" w:sz="0" w:space="0" w:color="auto"/>
          </w:divBdr>
          <w:divsChild>
            <w:div w:id="1537543287">
              <w:marLeft w:val="0"/>
              <w:marRight w:val="0"/>
              <w:marTop w:val="0"/>
              <w:marBottom w:val="0"/>
              <w:divBdr>
                <w:top w:val="none" w:sz="0" w:space="0" w:color="auto"/>
                <w:left w:val="none" w:sz="0" w:space="0" w:color="auto"/>
                <w:bottom w:val="none" w:sz="0" w:space="0" w:color="auto"/>
                <w:right w:val="none" w:sz="0" w:space="0" w:color="auto"/>
              </w:divBdr>
              <w:divsChild>
                <w:div w:id="604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870435">
      <w:bodyDiv w:val="1"/>
      <w:marLeft w:val="0"/>
      <w:marRight w:val="0"/>
      <w:marTop w:val="0"/>
      <w:marBottom w:val="0"/>
      <w:divBdr>
        <w:top w:val="none" w:sz="0" w:space="0" w:color="auto"/>
        <w:left w:val="none" w:sz="0" w:space="0" w:color="auto"/>
        <w:bottom w:val="none" w:sz="0" w:space="0" w:color="auto"/>
        <w:right w:val="none" w:sz="0" w:space="0" w:color="auto"/>
      </w:divBdr>
    </w:div>
    <w:div w:id="1484002027">
      <w:bodyDiv w:val="1"/>
      <w:marLeft w:val="0"/>
      <w:marRight w:val="0"/>
      <w:marTop w:val="0"/>
      <w:marBottom w:val="0"/>
      <w:divBdr>
        <w:top w:val="none" w:sz="0" w:space="0" w:color="auto"/>
        <w:left w:val="none" w:sz="0" w:space="0" w:color="auto"/>
        <w:bottom w:val="none" w:sz="0" w:space="0" w:color="auto"/>
        <w:right w:val="none" w:sz="0" w:space="0" w:color="auto"/>
      </w:divBdr>
    </w:div>
    <w:div w:id="1514149141">
      <w:bodyDiv w:val="1"/>
      <w:marLeft w:val="0"/>
      <w:marRight w:val="0"/>
      <w:marTop w:val="0"/>
      <w:marBottom w:val="0"/>
      <w:divBdr>
        <w:top w:val="none" w:sz="0" w:space="0" w:color="auto"/>
        <w:left w:val="none" w:sz="0" w:space="0" w:color="auto"/>
        <w:bottom w:val="none" w:sz="0" w:space="0" w:color="auto"/>
        <w:right w:val="none" w:sz="0" w:space="0" w:color="auto"/>
      </w:divBdr>
      <w:divsChild>
        <w:div w:id="890002057">
          <w:marLeft w:val="0"/>
          <w:marRight w:val="0"/>
          <w:marTop w:val="0"/>
          <w:marBottom w:val="0"/>
          <w:divBdr>
            <w:top w:val="none" w:sz="0" w:space="0" w:color="auto"/>
            <w:left w:val="none" w:sz="0" w:space="0" w:color="auto"/>
            <w:bottom w:val="none" w:sz="0" w:space="0" w:color="auto"/>
            <w:right w:val="none" w:sz="0" w:space="0" w:color="auto"/>
          </w:divBdr>
          <w:divsChild>
            <w:div w:id="1299652498">
              <w:marLeft w:val="0"/>
              <w:marRight w:val="0"/>
              <w:marTop w:val="0"/>
              <w:marBottom w:val="0"/>
              <w:divBdr>
                <w:top w:val="none" w:sz="0" w:space="0" w:color="auto"/>
                <w:left w:val="none" w:sz="0" w:space="0" w:color="auto"/>
                <w:bottom w:val="none" w:sz="0" w:space="0" w:color="auto"/>
                <w:right w:val="none" w:sz="0" w:space="0" w:color="auto"/>
              </w:divBdr>
              <w:divsChild>
                <w:div w:id="19839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17885">
      <w:bodyDiv w:val="1"/>
      <w:marLeft w:val="0"/>
      <w:marRight w:val="0"/>
      <w:marTop w:val="0"/>
      <w:marBottom w:val="0"/>
      <w:divBdr>
        <w:top w:val="none" w:sz="0" w:space="0" w:color="auto"/>
        <w:left w:val="none" w:sz="0" w:space="0" w:color="auto"/>
        <w:bottom w:val="none" w:sz="0" w:space="0" w:color="auto"/>
        <w:right w:val="none" w:sz="0" w:space="0" w:color="auto"/>
      </w:divBdr>
    </w:div>
    <w:div w:id="1583685190">
      <w:bodyDiv w:val="1"/>
      <w:marLeft w:val="0"/>
      <w:marRight w:val="0"/>
      <w:marTop w:val="0"/>
      <w:marBottom w:val="0"/>
      <w:divBdr>
        <w:top w:val="none" w:sz="0" w:space="0" w:color="auto"/>
        <w:left w:val="none" w:sz="0" w:space="0" w:color="auto"/>
        <w:bottom w:val="none" w:sz="0" w:space="0" w:color="auto"/>
        <w:right w:val="none" w:sz="0" w:space="0" w:color="auto"/>
      </w:divBdr>
      <w:divsChild>
        <w:div w:id="397364532">
          <w:marLeft w:val="0"/>
          <w:marRight w:val="0"/>
          <w:marTop w:val="0"/>
          <w:marBottom w:val="0"/>
          <w:divBdr>
            <w:top w:val="none" w:sz="0" w:space="0" w:color="auto"/>
            <w:left w:val="none" w:sz="0" w:space="0" w:color="auto"/>
            <w:bottom w:val="none" w:sz="0" w:space="0" w:color="auto"/>
            <w:right w:val="none" w:sz="0" w:space="0" w:color="auto"/>
          </w:divBdr>
          <w:divsChild>
            <w:div w:id="210464347">
              <w:marLeft w:val="0"/>
              <w:marRight w:val="0"/>
              <w:marTop w:val="0"/>
              <w:marBottom w:val="0"/>
              <w:divBdr>
                <w:top w:val="none" w:sz="0" w:space="0" w:color="auto"/>
                <w:left w:val="none" w:sz="0" w:space="0" w:color="auto"/>
                <w:bottom w:val="none" w:sz="0" w:space="0" w:color="auto"/>
                <w:right w:val="none" w:sz="0" w:space="0" w:color="auto"/>
              </w:divBdr>
              <w:divsChild>
                <w:div w:id="1978099840">
                  <w:marLeft w:val="0"/>
                  <w:marRight w:val="0"/>
                  <w:marTop w:val="0"/>
                  <w:marBottom w:val="0"/>
                  <w:divBdr>
                    <w:top w:val="none" w:sz="0" w:space="0" w:color="auto"/>
                    <w:left w:val="none" w:sz="0" w:space="0" w:color="auto"/>
                    <w:bottom w:val="none" w:sz="0" w:space="0" w:color="auto"/>
                    <w:right w:val="none" w:sz="0" w:space="0" w:color="auto"/>
                  </w:divBdr>
                </w:div>
              </w:divsChild>
            </w:div>
            <w:div w:id="1897162646">
              <w:marLeft w:val="0"/>
              <w:marRight w:val="0"/>
              <w:marTop w:val="0"/>
              <w:marBottom w:val="0"/>
              <w:divBdr>
                <w:top w:val="none" w:sz="0" w:space="0" w:color="auto"/>
                <w:left w:val="none" w:sz="0" w:space="0" w:color="auto"/>
                <w:bottom w:val="none" w:sz="0" w:space="0" w:color="auto"/>
                <w:right w:val="none" w:sz="0" w:space="0" w:color="auto"/>
              </w:divBdr>
              <w:divsChild>
                <w:div w:id="13714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63547">
      <w:bodyDiv w:val="1"/>
      <w:marLeft w:val="0"/>
      <w:marRight w:val="0"/>
      <w:marTop w:val="0"/>
      <w:marBottom w:val="0"/>
      <w:divBdr>
        <w:top w:val="none" w:sz="0" w:space="0" w:color="auto"/>
        <w:left w:val="none" w:sz="0" w:space="0" w:color="auto"/>
        <w:bottom w:val="none" w:sz="0" w:space="0" w:color="auto"/>
        <w:right w:val="none" w:sz="0" w:space="0" w:color="auto"/>
      </w:divBdr>
      <w:divsChild>
        <w:div w:id="1979526433">
          <w:marLeft w:val="0"/>
          <w:marRight w:val="0"/>
          <w:marTop w:val="0"/>
          <w:marBottom w:val="0"/>
          <w:divBdr>
            <w:top w:val="none" w:sz="0" w:space="0" w:color="auto"/>
            <w:left w:val="none" w:sz="0" w:space="0" w:color="auto"/>
            <w:bottom w:val="none" w:sz="0" w:space="0" w:color="auto"/>
            <w:right w:val="none" w:sz="0" w:space="0" w:color="auto"/>
          </w:divBdr>
          <w:divsChild>
            <w:div w:id="304742446">
              <w:marLeft w:val="0"/>
              <w:marRight w:val="0"/>
              <w:marTop w:val="0"/>
              <w:marBottom w:val="0"/>
              <w:divBdr>
                <w:top w:val="none" w:sz="0" w:space="0" w:color="auto"/>
                <w:left w:val="none" w:sz="0" w:space="0" w:color="auto"/>
                <w:bottom w:val="none" w:sz="0" w:space="0" w:color="auto"/>
                <w:right w:val="none" w:sz="0" w:space="0" w:color="auto"/>
              </w:divBdr>
              <w:divsChild>
                <w:div w:id="231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3222">
      <w:bodyDiv w:val="1"/>
      <w:marLeft w:val="0"/>
      <w:marRight w:val="0"/>
      <w:marTop w:val="0"/>
      <w:marBottom w:val="0"/>
      <w:divBdr>
        <w:top w:val="none" w:sz="0" w:space="0" w:color="auto"/>
        <w:left w:val="none" w:sz="0" w:space="0" w:color="auto"/>
        <w:bottom w:val="none" w:sz="0" w:space="0" w:color="auto"/>
        <w:right w:val="none" w:sz="0" w:space="0" w:color="auto"/>
      </w:divBdr>
      <w:divsChild>
        <w:div w:id="2125035437">
          <w:marLeft w:val="0"/>
          <w:marRight w:val="0"/>
          <w:marTop w:val="0"/>
          <w:marBottom w:val="0"/>
          <w:divBdr>
            <w:top w:val="none" w:sz="0" w:space="0" w:color="auto"/>
            <w:left w:val="none" w:sz="0" w:space="0" w:color="auto"/>
            <w:bottom w:val="none" w:sz="0" w:space="0" w:color="auto"/>
            <w:right w:val="none" w:sz="0" w:space="0" w:color="auto"/>
          </w:divBdr>
          <w:divsChild>
            <w:div w:id="419638328">
              <w:marLeft w:val="0"/>
              <w:marRight w:val="0"/>
              <w:marTop w:val="0"/>
              <w:marBottom w:val="0"/>
              <w:divBdr>
                <w:top w:val="none" w:sz="0" w:space="0" w:color="auto"/>
                <w:left w:val="none" w:sz="0" w:space="0" w:color="auto"/>
                <w:bottom w:val="none" w:sz="0" w:space="0" w:color="auto"/>
                <w:right w:val="none" w:sz="0" w:space="0" w:color="auto"/>
              </w:divBdr>
              <w:divsChild>
                <w:div w:id="15198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65845">
      <w:bodyDiv w:val="1"/>
      <w:marLeft w:val="0"/>
      <w:marRight w:val="0"/>
      <w:marTop w:val="0"/>
      <w:marBottom w:val="0"/>
      <w:divBdr>
        <w:top w:val="none" w:sz="0" w:space="0" w:color="auto"/>
        <w:left w:val="none" w:sz="0" w:space="0" w:color="auto"/>
        <w:bottom w:val="none" w:sz="0" w:space="0" w:color="auto"/>
        <w:right w:val="none" w:sz="0" w:space="0" w:color="auto"/>
      </w:divBdr>
    </w:div>
    <w:div w:id="1770276370">
      <w:bodyDiv w:val="1"/>
      <w:marLeft w:val="0"/>
      <w:marRight w:val="0"/>
      <w:marTop w:val="0"/>
      <w:marBottom w:val="0"/>
      <w:divBdr>
        <w:top w:val="none" w:sz="0" w:space="0" w:color="auto"/>
        <w:left w:val="none" w:sz="0" w:space="0" w:color="auto"/>
        <w:bottom w:val="none" w:sz="0" w:space="0" w:color="auto"/>
        <w:right w:val="none" w:sz="0" w:space="0" w:color="auto"/>
      </w:divBdr>
      <w:divsChild>
        <w:div w:id="1085766727">
          <w:marLeft w:val="0"/>
          <w:marRight w:val="0"/>
          <w:marTop w:val="0"/>
          <w:marBottom w:val="0"/>
          <w:divBdr>
            <w:top w:val="none" w:sz="0" w:space="0" w:color="auto"/>
            <w:left w:val="none" w:sz="0" w:space="0" w:color="auto"/>
            <w:bottom w:val="none" w:sz="0" w:space="0" w:color="auto"/>
            <w:right w:val="none" w:sz="0" w:space="0" w:color="auto"/>
          </w:divBdr>
          <w:divsChild>
            <w:div w:id="601189158">
              <w:marLeft w:val="0"/>
              <w:marRight w:val="0"/>
              <w:marTop w:val="0"/>
              <w:marBottom w:val="0"/>
              <w:divBdr>
                <w:top w:val="none" w:sz="0" w:space="0" w:color="auto"/>
                <w:left w:val="none" w:sz="0" w:space="0" w:color="auto"/>
                <w:bottom w:val="none" w:sz="0" w:space="0" w:color="auto"/>
                <w:right w:val="none" w:sz="0" w:space="0" w:color="auto"/>
              </w:divBdr>
              <w:divsChild>
                <w:div w:id="350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3113">
      <w:bodyDiv w:val="1"/>
      <w:marLeft w:val="0"/>
      <w:marRight w:val="0"/>
      <w:marTop w:val="0"/>
      <w:marBottom w:val="0"/>
      <w:divBdr>
        <w:top w:val="none" w:sz="0" w:space="0" w:color="auto"/>
        <w:left w:val="none" w:sz="0" w:space="0" w:color="auto"/>
        <w:bottom w:val="none" w:sz="0" w:space="0" w:color="auto"/>
        <w:right w:val="none" w:sz="0" w:space="0" w:color="auto"/>
      </w:divBdr>
    </w:div>
    <w:div w:id="1816557841">
      <w:bodyDiv w:val="1"/>
      <w:marLeft w:val="0"/>
      <w:marRight w:val="0"/>
      <w:marTop w:val="0"/>
      <w:marBottom w:val="0"/>
      <w:divBdr>
        <w:top w:val="none" w:sz="0" w:space="0" w:color="auto"/>
        <w:left w:val="none" w:sz="0" w:space="0" w:color="auto"/>
        <w:bottom w:val="none" w:sz="0" w:space="0" w:color="auto"/>
        <w:right w:val="none" w:sz="0" w:space="0" w:color="auto"/>
      </w:divBdr>
    </w:div>
    <w:div w:id="1840196841">
      <w:bodyDiv w:val="1"/>
      <w:marLeft w:val="0"/>
      <w:marRight w:val="0"/>
      <w:marTop w:val="0"/>
      <w:marBottom w:val="0"/>
      <w:divBdr>
        <w:top w:val="none" w:sz="0" w:space="0" w:color="auto"/>
        <w:left w:val="none" w:sz="0" w:space="0" w:color="auto"/>
        <w:bottom w:val="none" w:sz="0" w:space="0" w:color="auto"/>
        <w:right w:val="none" w:sz="0" w:space="0" w:color="auto"/>
      </w:divBdr>
    </w:div>
    <w:div w:id="1921213065">
      <w:bodyDiv w:val="1"/>
      <w:marLeft w:val="0"/>
      <w:marRight w:val="0"/>
      <w:marTop w:val="0"/>
      <w:marBottom w:val="0"/>
      <w:divBdr>
        <w:top w:val="none" w:sz="0" w:space="0" w:color="auto"/>
        <w:left w:val="none" w:sz="0" w:space="0" w:color="auto"/>
        <w:bottom w:val="none" w:sz="0" w:space="0" w:color="auto"/>
        <w:right w:val="none" w:sz="0" w:space="0" w:color="auto"/>
      </w:divBdr>
    </w:div>
    <w:div w:id="1948999507">
      <w:bodyDiv w:val="1"/>
      <w:marLeft w:val="0"/>
      <w:marRight w:val="0"/>
      <w:marTop w:val="0"/>
      <w:marBottom w:val="0"/>
      <w:divBdr>
        <w:top w:val="none" w:sz="0" w:space="0" w:color="auto"/>
        <w:left w:val="none" w:sz="0" w:space="0" w:color="auto"/>
        <w:bottom w:val="none" w:sz="0" w:space="0" w:color="auto"/>
        <w:right w:val="none" w:sz="0" w:space="0" w:color="auto"/>
      </w:divBdr>
      <w:divsChild>
        <w:div w:id="127478436">
          <w:marLeft w:val="0"/>
          <w:marRight w:val="0"/>
          <w:marTop w:val="0"/>
          <w:marBottom w:val="0"/>
          <w:divBdr>
            <w:top w:val="none" w:sz="0" w:space="0" w:color="auto"/>
            <w:left w:val="none" w:sz="0" w:space="0" w:color="auto"/>
            <w:bottom w:val="none" w:sz="0" w:space="0" w:color="auto"/>
            <w:right w:val="none" w:sz="0" w:space="0" w:color="auto"/>
          </w:divBdr>
          <w:divsChild>
            <w:div w:id="498934206">
              <w:marLeft w:val="0"/>
              <w:marRight w:val="0"/>
              <w:marTop w:val="0"/>
              <w:marBottom w:val="0"/>
              <w:divBdr>
                <w:top w:val="none" w:sz="0" w:space="0" w:color="auto"/>
                <w:left w:val="none" w:sz="0" w:space="0" w:color="auto"/>
                <w:bottom w:val="none" w:sz="0" w:space="0" w:color="auto"/>
                <w:right w:val="none" w:sz="0" w:space="0" w:color="auto"/>
              </w:divBdr>
              <w:divsChild>
                <w:div w:id="9677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6497">
      <w:bodyDiv w:val="1"/>
      <w:marLeft w:val="0"/>
      <w:marRight w:val="0"/>
      <w:marTop w:val="0"/>
      <w:marBottom w:val="0"/>
      <w:divBdr>
        <w:top w:val="none" w:sz="0" w:space="0" w:color="auto"/>
        <w:left w:val="none" w:sz="0" w:space="0" w:color="auto"/>
        <w:bottom w:val="none" w:sz="0" w:space="0" w:color="auto"/>
        <w:right w:val="none" w:sz="0" w:space="0" w:color="auto"/>
      </w:divBdr>
      <w:divsChild>
        <w:div w:id="1565487502">
          <w:marLeft w:val="0"/>
          <w:marRight w:val="0"/>
          <w:marTop w:val="0"/>
          <w:marBottom w:val="0"/>
          <w:divBdr>
            <w:top w:val="none" w:sz="0" w:space="0" w:color="auto"/>
            <w:left w:val="none" w:sz="0" w:space="0" w:color="auto"/>
            <w:bottom w:val="none" w:sz="0" w:space="0" w:color="auto"/>
            <w:right w:val="none" w:sz="0" w:space="0" w:color="auto"/>
          </w:divBdr>
          <w:divsChild>
            <w:div w:id="1632596332">
              <w:marLeft w:val="0"/>
              <w:marRight w:val="0"/>
              <w:marTop w:val="0"/>
              <w:marBottom w:val="0"/>
              <w:divBdr>
                <w:top w:val="none" w:sz="0" w:space="0" w:color="auto"/>
                <w:left w:val="none" w:sz="0" w:space="0" w:color="auto"/>
                <w:bottom w:val="none" w:sz="0" w:space="0" w:color="auto"/>
                <w:right w:val="none" w:sz="0" w:space="0" w:color="auto"/>
              </w:divBdr>
              <w:divsChild>
                <w:div w:id="1097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0951">
      <w:bodyDiv w:val="1"/>
      <w:marLeft w:val="0"/>
      <w:marRight w:val="0"/>
      <w:marTop w:val="0"/>
      <w:marBottom w:val="0"/>
      <w:divBdr>
        <w:top w:val="none" w:sz="0" w:space="0" w:color="auto"/>
        <w:left w:val="none" w:sz="0" w:space="0" w:color="auto"/>
        <w:bottom w:val="none" w:sz="0" w:space="0" w:color="auto"/>
        <w:right w:val="none" w:sz="0" w:space="0" w:color="auto"/>
      </w:divBdr>
    </w:div>
    <w:div w:id="2022929243">
      <w:bodyDiv w:val="1"/>
      <w:marLeft w:val="0"/>
      <w:marRight w:val="0"/>
      <w:marTop w:val="0"/>
      <w:marBottom w:val="0"/>
      <w:divBdr>
        <w:top w:val="none" w:sz="0" w:space="0" w:color="auto"/>
        <w:left w:val="none" w:sz="0" w:space="0" w:color="auto"/>
        <w:bottom w:val="none" w:sz="0" w:space="0" w:color="auto"/>
        <w:right w:val="none" w:sz="0" w:space="0" w:color="auto"/>
      </w:divBdr>
    </w:div>
    <w:div w:id="2025472710">
      <w:bodyDiv w:val="1"/>
      <w:marLeft w:val="0"/>
      <w:marRight w:val="0"/>
      <w:marTop w:val="0"/>
      <w:marBottom w:val="0"/>
      <w:divBdr>
        <w:top w:val="none" w:sz="0" w:space="0" w:color="auto"/>
        <w:left w:val="none" w:sz="0" w:space="0" w:color="auto"/>
        <w:bottom w:val="none" w:sz="0" w:space="0" w:color="auto"/>
        <w:right w:val="none" w:sz="0" w:space="0" w:color="auto"/>
      </w:divBdr>
    </w:div>
    <w:div w:id="202593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670BA-4CDA-43D7-95A4-B548E5830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3042</Words>
  <Characters>16731</Characters>
  <Application>Microsoft Office Word</Application>
  <DocSecurity>0</DocSecurity>
  <Lines>139</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2</cp:revision>
  <cp:lastPrinted>2021-02-12T17:22:00Z</cp:lastPrinted>
  <dcterms:created xsi:type="dcterms:W3CDTF">2021-07-07T19:16:00Z</dcterms:created>
  <dcterms:modified xsi:type="dcterms:W3CDTF">2021-07-07T19:16:00Z</dcterms:modified>
</cp:coreProperties>
</file>