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59CC8" w14:textId="42A24B12" w:rsidR="00671120" w:rsidRDefault="00671120" w:rsidP="00AD4184">
      <w:pPr>
        <w:spacing w:after="0" w:line="240" w:lineRule="auto"/>
        <w:jc w:val="center"/>
        <w:rPr>
          <w:rFonts w:ascii="Verdana" w:hAnsi="Verdana"/>
          <w:b/>
          <w:sz w:val="20"/>
          <w:szCs w:val="20"/>
          <w:lang w:val="es-MX"/>
        </w:rPr>
      </w:pPr>
    </w:p>
    <w:p w14:paraId="6726CA54" w14:textId="29A959D2" w:rsidR="00B16193" w:rsidRDefault="00B16193" w:rsidP="00AD4184">
      <w:pPr>
        <w:spacing w:after="0" w:line="240" w:lineRule="auto"/>
        <w:jc w:val="center"/>
        <w:rPr>
          <w:rFonts w:ascii="Verdana" w:hAnsi="Verdana"/>
          <w:b/>
          <w:sz w:val="20"/>
          <w:szCs w:val="20"/>
          <w:lang w:val="es-MX"/>
        </w:rPr>
      </w:pPr>
    </w:p>
    <w:p w14:paraId="60E79D63" w14:textId="680DF0B7" w:rsidR="00B16193" w:rsidRDefault="00B16193" w:rsidP="00AD4184">
      <w:pPr>
        <w:spacing w:after="0" w:line="240" w:lineRule="auto"/>
        <w:jc w:val="center"/>
        <w:rPr>
          <w:rFonts w:ascii="Verdana" w:hAnsi="Verdana"/>
          <w:b/>
          <w:sz w:val="20"/>
          <w:szCs w:val="20"/>
          <w:lang w:val="es-MX"/>
        </w:rPr>
      </w:pPr>
    </w:p>
    <w:p w14:paraId="79D89663" w14:textId="1FCFC429" w:rsidR="00B16193" w:rsidRDefault="00B16193" w:rsidP="00AD4184">
      <w:pPr>
        <w:spacing w:after="0" w:line="240" w:lineRule="auto"/>
        <w:jc w:val="center"/>
        <w:rPr>
          <w:rFonts w:ascii="Verdana" w:hAnsi="Verdana"/>
          <w:b/>
          <w:sz w:val="20"/>
          <w:szCs w:val="20"/>
          <w:lang w:val="es-MX"/>
        </w:rPr>
      </w:pPr>
    </w:p>
    <w:p w14:paraId="00A52733" w14:textId="72F89AE1" w:rsidR="00B16193" w:rsidRDefault="00B16193" w:rsidP="00AD4184">
      <w:pPr>
        <w:spacing w:after="0" w:line="240" w:lineRule="auto"/>
        <w:jc w:val="center"/>
        <w:rPr>
          <w:rFonts w:ascii="Verdana" w:hAnsi="Verdana"/>
          <w:b/>
          <w:sz w:val="20"/>
          <w:szCs w:val="20"/>
          <w:lang w:val="es-MX"/>
        </w:rPr>
      </w:pPr>
    </w:p>
    <w:p w14:paraId="465A951C" w14:textId="38DAAEB7" w:rsidR="00B16193" w:rsidRDefault="00B16193" w:rsidP="00AD4184">
      <w:pPr>
        <w:spacing w:after="0" w:line="240" w:lineRule="auto"/>
        <w:jc w:val="center"/>
        <w:rPr>
          <w:rFonts w:ascii="Verdana" w:hAnsi="Verdana"/>
          <w:b/>
          <w:sz w:val="20"/>
          <w:szCs w:val="20"/>
          <w:lang w:val="es-MX"/>
        </w:rPr>
      </w:pPr>
    </w:p>
    <w:p w14:paraId="386D702F" w14:textId="77777777" w:rsidR="00B16193" w:rsidRPr="00037A62" w:rsidRDefault="00B16193" w:rsidP="00AD4184">
      <w:pPr>
        <w:spacing w:after="0" w:line="240" w:lineRule="auto"/>
        <w:jc w:val="center"/>
        <w:rPr>
          <w:rFonts w:ascii="Verdana" w:hAnsi="Verdana"/>
          <w:b/>
          <w:sz w:val="20"/>
          <w:szCs w:val="20"/>
          <w:lang w:val="es-MX"/>
        </w:rPr>
      </w:pPr>
    </w:p>
    <w:p w14:paraId="386A3F49" w14:textId="77777777" w:rsidR="00F56ACD" w:rsidRPr="00037A62" w:rsidRDefault="00745AE4" w:rsidP="00AD4184">
      <w:pPr>
        <w:spacing w:after="0" w:line="240" w:lineRule="auto"/>
        <w:jc w:val="center"/>
        <w:rPr>
          <w:rFonts w:ascii="Verdana" w:hAnsi="Verdana"/>
          <w:b/>
          <w:sz w:val="20"/>
          <w:szCs w:val="20"/>
          <w:lang w:val="es-MX"/>
        </w:rPr>
      </w:pPr>
      <w:r w:rsidRPr="00037A62">
        <w:rPr>
          <w:rFonts w:ascii="Verdana" w:hAnsi="Verdana"/>
          <w:b/>
          <w:sz w:val="20"/>
          <w:szCs w:val="20"/>
          <w:lang w:val="es-MX"/>
        </w:rPr>
        <w:t xml:space="preserve">RESOLUCIÓN DE LA </w:t>
      </w:r>
    </w:p>
    <w:p w14:paraId="5F0AA065" w14:textId="77777777" w:rsidR="00FF7EEA" w:rsidRPr="00037A62" w:rsidRDefault="00745AE4" w:rsidP="00FF7EEA">
      <w:pPr>
        <w:spacing w:after="0" w:line="240" w:lineRule="auto"/>
        <w:jc w:val="center"/>
        <w:rPr>
          <w:rFonts w:ascii="Verdana" w:hAnsi="Verdana"/>
          <w:b/>
          <w:smallCaps/>
          <w:sz w:val="20"/>
          <w:szCs w:val="20"/>
          <w:lang w:val="es-MX"/>
        </w:rPr>
      </w:pPr>
      <w:r w:rsidRPr="00037A62">
        <w:rPr>
          <w:rFonts w:ascii="Verdana" w:hAnsi="Verdana"/>
          <w:b/>
          <w:sz w:val="20"/>
          <w:szCs w:val="20"/>
          <w:lang w:val="es-MX"/>
        </w:rPr>
        <w:t>CORTE INTERAMERICANA DE DERECHOS HUMANOS</w:t>
      </w:r>
      <w:r w:rsidR="000E4CDA" w:rsidRPr="00037A62">
        <w:rPr>
          <w:rFonts w:ascii="Verdana" w:hAnsi="Verdana"/>
          <w:b/>
          <w:smallCaps/>
          <w:sz w:val="20"/>
          <w:vertAlign w:val="superscript"/>
          <w:lang w:val="es-MX"/>
        </w:rPr>
        <w:t xml:space="preserve"> *</w:t>
      </w:r>
      <w:r w:rsidR="00FF7EEA" w:rsidRPr="00037A62">
        <w:rPr>
          <w:rStyle w:val="Refdenotaalpie"/>
          <w:rFonts w:ascii="Verdana" w:hAnsi="Verdana"/>
          <w:b/>
          <w:smallCaps/>
          <w:sz w:val="20"/>
          <w:szCs w:val="20"/>
          <w:lang w:val="es-MX"/>
        </w:rPr>
        <w:t xml:space="preserve"> </w:t>
      </w:r>
    </w:p>
    <w:p w14:paraId="35B82A78" w14:textId="77777777" w:rsidR="00AD4184" w:rsidRPr="00037A62" w:rsidRDefault="00AD4184" w:rsidP="00AD4184">
      <w:pPr>
        <w:spacing w:after="0" w:line="240" w:lineRule="auto"/>
        <w:jc w:val="center"/>
        <w:rPr>
          <w:rFonts w:ascii="Verdana" w:hAnsi="Verdana"/>
          <w:b/>
          <w:sz w:val="20"/>
          <w:szCs w:val="20"/>
          <w:lang w:val="es-MX"/>
        </w:rPr>
      </w:pPr>
    </w:p>
    <w:p w14:paraId="75420705" w14:textId="00D8AE42" w:rsidR="00745AE4" w:rsidRPr="00037A62" w:rsidRDefault="00671120" w:rsidP="00AD4184">
      <w:pPr>
        <w:spacing w:after="0" w:line="240" w:lineRule="auto"/>
        <w:jc w:val="center"/>
        <w:rPr>
          <w:rFonts w:ascii="Verdana" w:hAnsi="Verdana"/>
          <w:b/>
          <w:sz w:val="20"/>
          <w:szCs w:val="20"/>
          <w:lang w:val="es-MX"/>
        </w:rPr>
      </w:pPr>
      <w:r w:rsidRPr="00037A62">
        <w:rPr>
          <w:rFonts w:ascii="Verdana" w:hAnsi="Verdana"/>
          <w:b/>
          <w:sz w:val="20"/>
          <w:szCs w:val="20"/>
          <w:lang w:val="es-MX"/>
        </w:rPr>
        <w:t xml:space="preserve">DE </w:t>
      </w:r>
      <w:r w:rsidR="00FD573E">
        <w:rPr>
          <w:rFonts w:ascii="Verdana" w:hAnsi="Verdana"/>
          <w:b/>
          <w:sz w:val="20"/>
          <w:szCs w:val="20"/>
          <w:lang w:val="es-MX"/>
        </w:rPr>
        <w:t>30</w:t>
      </w:r>
      <w:r w:rsidR="00745AE4" w:rsidRPr="00037A62">
        <w:rPr>
          <w:rFonts w:ascii="Verdana" w:hAnsi="Verdana"/>
          <w:b/>
          <w:sz w:val="20"/>
          <w:szCs w:val="20"/>
          <w:lang w:val="es-MX"/>
        </w:rPr>
        <w:t xml:space="preserve"> DE</w:t>
      </w:r>
      <w:r w:rsidR="005B5DE1">
        <w:rPr>
          <w:rFonts w:ascii="Verdana" w:hAnsi="Verdana"/>
          <w:b/>
          <w:sz w:val="20"/>
          <w:szCs w:val="20"/>
          <w:lang w:val="es-MX"/>
        </w:rPr>
        <w:t xml:space="preserve"> ABRIL</w:t>
      </w:r>
      <w:r w:rsidR="005B5DE1" w:rsidRPr="00037A62">
        <w:rPr>
          <w:rFonts w:ascii="Verdana" w:hAnsi="Verdana"/>
          <w:b/>
          <w:sz w:val="20"/>
          <w:szCs w:val="20"/>
          <w:lang w:val="es-MX"/>
        </w:rPr>
        <w:t xml:space="preserve"> </w:t>
      </w:r>
      <w:r w:rsidR="00745AE4" w:rsidRPr="00037A62">
        <w:rPr>
          <w:rFonts w:ascii="Verdana" w:hAnsi="Verdana"/>
          <w:b/>
          <w:sz w:val="20"/>
          <w:szCs w:val="20"/>
          <w:lang w:val="es-MX"/>
        </w:rPr>
        <w:t xml:space="preserve">DE </w:t>
      </w:r>
      <w:r w:rsidR="006D16BD" w:rsidRPr="00037A62">
        <w:rPr>
          <w:rFonts w:ascii="Verdana" w:hAnsi="Verdana"/>
          <w:b/>
          <w:sz w:val="20"/>
          <w:szCs w:val="20"/>
          <w:lang w:val="es-MX"/>
        </w:rPr>
        <w:t>2021</w:t>
      </w:r>
    </w:p>
    <w:p w14:paraId="01144B53" w14:textId="77777777" w:rsidR="00AD4184" w:rsidRPr="00037A62" w:rsidRDefault="00AD4184" w:rsidP="00AD4184">
      <w:pPr>
        <w:spacing w:after="0" w:line="240" w:lineRule="auto"/>
        <w:jc w:val="center"/>
        <w:rPr>
          <w:rFonts w:ascii="Verdana" w:hAnsi="Verdana"/>
          <w:b/>
          <w:sz w:val="20"/>
          <w:szCs w:val="20"/>
          <w:lang w:val="es-MX"/>
        </w:rPr>
      </w:pPr>
    </w:p>
    <w:p w14:paraId="1CE13BB6" w14:textId="77777777" w:rsidR="000E2AD7" w:rsidRDefault="006D16BD" w:rsidP="00AD4184">
      <w:pPr>
        <w:spacing w:after="0" w:line="240" w:lineRule="auto"/>
        <w:jc w:val="center"/>
        <w:rPr>
          <w:rFonts w:ascii="Verdana" w:hAnsi="Verdana"/>
          <w:b/>
          <w:i/>
          <w:sz w:val="20"/>
          <w:szCs w:val="20"/>
          <w:lang w:val="es-MX"/>
        </w:rPr>
      </w:pPr>
      <w:r w:rsidRPr="00037A62">
        <w:rPr>
          <w:rFonts w:ascii="Verdana" w:hAnsi="Verdana"/>
          <w:b/>
          <w:i/>
          <w:sz w:val="20"/>
          <w:szCs w:val="20"/>
          <w:lang w:val="es-MX"/>
        </w:rPr>
        <w:t xml:space="preserve">CASO COMUNIDAD GARÍFUNA DE PUNTA PIEDRA Y SUS MIEMBROS Y </w:t>
      </w:r>
    </w:p>
    <w:p w14:paraId="029A500D" w14:textId="24C7B7C1" w:rsidR="00507E83" w:rsidRPr="00037A62" w:rsidRDefault="00745AE4" w:rsidP="00AD4184">
      <w:pPr>
        <w:spacing w:after="0" w:line="240" w:lineRule="auto"/>
        <w:jc w:val="center"/>
        <w:rPr>
          <w:rFonts w:ascii="Verdana" w:hAnsi="Verdana"/>
          <w:b/>
          <w:i/>
          <w:sz w:val="20"/>
          <w:szCs w:val="20"/>
          <w:lang w:val="es-MX"/>
        </w:rPr>
      </w:pPr>
      <w:r w:rsidRPr="00037A62">
        <w:rPr>
          <w:rFonts w:ascii="Verdana" w:hAnsi="Verdana"/>
          <w:b/>
          <w:i/>
          <w:sz w:val="20"/>
          <w:szCs w:val="20"/>
          <w:lang w:val="es-MX"/>
        </w:rPr>
        <w:t xml:space="preserve">CASO </w:t>
      </w:r>
      <w:r w:rsidR="00507E83" w:rsidRPr="00037A62">
        <w:rPr>
          <w:rFonts w:ascii="Verdana" w:hAnsi="Verdana"/>
          <w:b/>
          <w:i/>
          <w:sz w:val="20"/>
          <w:szCs w:val="20"/>
          <w:lang w:val="es-MX"/>
        </w:rPr>
        <w:t>COMUNIDAD GARÍFUNA TRIUNFO DE LA CRUZ Y SUS MIEMBROS</w:t>
      </w:r>
    </w:p>
    <w:p w14:paraId="74FDAC3B" w14:textId="77777777" w:rsidR="00745AE4" w:rsidRPr="00037A62" w:rsidRDefault="00745AE4" w:rsidP="00AD4184">
      <w:pPr>
        <w:spacing w:after="0" w:line="240" w:lineRule="auto"/>
        <w:jc w:val="center"/>
        <w:rPr>
          <w:rFonts w:ascii="Verdana" w:hAnsi="Verdana"/>
          <w:b/>
          <w:i/>
          <w:sz w:val="20"/>
          <w:szCs w:val="20"/>
          <w:lang w:val="es-MX"/>
        </w:rPr>
      </w:pPr>
      <w:r w:rsidRPr="00037A62">
        <w:rPr>
          <w:rFonts w:ascii="Verdana" w:hAnsi="Verdana"/>
          <w:b/>
          <w:i/>
          <w:sz w:val="20"/>
          <w:szCs w:val="20"/>
          <w:lang w:val="es-MX"/>
        </w:rPr>
        <w:t xml:space="preserve">VS. </w:t>
      </w:r>
      <w:r w:rsidR="00507E83" w:rsidRPr="00037A62">
        <w:rPr>
          <w:rFonts w:ascii="Verdana" w:hAnsi="Verdana"/>
          <w:b/>
          <w:i/>
          <w:sz w:val="20"/>
          <w:szCs w:val="20"/>
          <w:lang w:val="es-MX"/>
        </w:rPr>
        <w:t>HONDURAS</w:t>
      </w:r>
    </w:p>
    <w:p w14:paraId="42C550E6" w14:textId="77777777" w:rsidR="00AD4184" w:rsidRPr="00037A62" w:rsidRDefault="00AD4184" w:rsidP="00AD4184">
      <w:pPr>
        <w:spacing w:after="0" w:line="240" w:lineRule="auto"/>
        <w:jc w:val="center"/>
        <w:rPr>
          <w:rFonts w:ascii="Verdana" w:hAnsi="Verdana"/>
          <w:b/>
          <w:sz w:val="20"/>
          <w:szCs w:val="20"/>
          <w:lang w:val="es-MX"/>
        </w:rPr>
      </w:pPr>
    </w:p>
    <w:p w14:paraId="26BD63A5" w14:textId="1DF66883" w:rsidR="006D16BD" w:rsidRPr="00037A62" w:rsidRDefault="006D16BD" w:rsidP="00AD4184">
      <w:pPr>
        <w:spacing w:after="0" w:line="240" w:lineRule="auto"/>
        <w:jc w:val="center"/>
        <w:rPr>
          <w:rFonts w:ascii="Verdana" w:hAnsi="Verdana"/>
          <w:b/>
          <w:sz w:val="20"/>
          <w:szCs w:val="20"/>
          <w:lang w:val="es-MX"/>
        </w:rPr>
      </w:pPr>
      <w:r w:rsidRPr="00037A62">
        <w:rPr>
          <w:rFonts w:ascii="Verdana" w:hAnsi="Verdana"/>
          <w:b/>
          <w:sz w:val="20"/>
          <w:szCs w:val="20"/>
          <w:lang w:val="es-MX"/>
        </w:rPr>
        <w:t xml:space="preserve">MEDIDAS PROVISIONALES Y </w:t>
      </w:r>
    </w:p>
    <w:p w14:paraId="4AA46D7C" w14:textId="77777777" w:rsidR="00745AE4" w:rsidRPr="00037A62" w:rsidRDefault="00745AE4" w:rsidP="00AD4184">
      <w:pPr>
        <w:spacing w:after="0" w:line="240" w:lineRule="auto"/>
        <w:jc w:val="center"/>
        <w:rPr>
          <w:rFonts w:ascii="Verdana" w:hAnsi="Verdana"/>
          <w:b/>
          <w:sz w:val="20"/>
          <w:szCs w:val="20"/>
          <w:lang w:val="es-MX"/>
        </w:rPr>
      </w:pPr>
      <w:r w:rsidRPr="00037A62">
        <w:rPr>
          <w:rFonts w:ascii="Verdana" w:hAnsi="Verdana"/>
          <w:b/>
          <w:sz w:val="20"/>
          <w:szCs w:val="20"/>
          <w:lang w:val="es-MX"/>
        </w:rPr>
        <w:t>SUPERVISIÓN DE CUMPLIMIENTO DE SENTENCIA</w:t>
      </w:r>
    </w:p>
    <w:p w14:paraId="2108FEE6" w14:textId="77777777" w:rsidR="00AD4184" w:rsidRPr="00037A62" w:rsidRDefault="00AD4184" w:rsidP="00AD4184">
      <w:pPr>
        <w:spacing w:before="120" w:after="120" w:line="240" w:lineRule="auto"/>
        <w:jc w:val="both"/>
        <w:rPr>
          <w:rFonts w:ascii="Verdana" w:hAnsi="Verdana"/>
          <w:b/>
          <w:sz w:val="20"/>
          <w:szCs w:val="20"/>
          <w:lang w:val="es-MX"/>
        </w:rPr>
      </w:pPr>
    </w:p>
    <w:p w14:paraId="712770A7" w14:textId="77777777" w:rsidR="00CD4DDE" w:rsidRPr="00037A62" w:rsidRDefault="005A1B3D" w:rsidP="00AD4184">
      <w:pPr>
        <w:spacing w:before="120" w:after="120" w:line="240" w:lineRule="auto"/>
        <w:jc w:val="both"/>
        <w:rPr>
          <w:rFonts w:ascii="Verdana" w:hAnsi="Verdana"/>
          <w:b/>
          <w:sz w:val="20"/>
          <w:szCs w:val="20"/>
          <w:lang w:val="es-MX"/>
        </w:rPr>
      </w:pPr>
      <w:r w:rsidRPr="00037A62">
        <w:rPr>
          <w:rFonts w:ascii="Verdana" w:hAnsi="Verdana"/>
          <w:b/>
          <w:sz w:val="20"/>
          <w:szCs w:val="20"/>
          <w:lang w:val="es-MX"/>
        </w:rPr>
        <w:t>VISTO:</w:t>
      </w:r>
      <w:r w:rsidR="006D19D6" w:rsidRPr="00037A62">
        <w:rPr>
          <w:rFonts w:ascii="Verdana" w:hAnsi="Verdana"/>
          <w:b/>
          <w:sz w:val="20"/>
          <w:szCs w:val="20"/>
          <w:lang w:val="es-MX"/>
        </w:rPr>
        <w:t xml:space="preserve"> </w:t>
      </w:r>
    </w:p>
    <w:p w14:paraId="1119B23A" w14:textId="78908856" w:rsidR="00494C60" w:rsidRPr="00037A62" w:rsidRDefault="005A1B3D" w:rsidP="00BB0F81">
      <w:pPr>
        <w:pStyle w:val="Cuadrculamedia1-nfasis21"/>
        <w:numPr>
          <w:ilvl w:val="0"/>
          <w:numId w:val="2"/>
        </w:numPr>
        <w:spacing w:before="120" w:after="120" w:line="240" w:lineRule="auto"/>
        <w:ind w:left="0" w:firstLine="0"/>
        <w:contextualSpacing w:val="0"/>
        <w:jc w:val="both"/>
        <w:rPr>
          <w:rFonts w:ascii="Verdana" w:hAnsi="Verdana"/>
          <w:sz w:val="20"/>
          <w:szCs w:val="20"/>
          <w:lang w:val="es-MX"/>
        </w:rPr>
      </w:pPr>
      <w:r w:rsidRPr="00037A62">
        <w:rPr>
          <w:rFonts w:ascii="Verdana" w:hAnsi="Verdana"/>
          <w:sz w:val="20"/>
          <w:szCs w:val="20"/>
          <w:lang w:val="es-MX"/>
        </w:rPr>
        <w:t>La</w:t>
      </w:r>
      <w:r w:rsidR="00EE1950" w:rsidRPr="00037A62">
        <w:rPr>
          <w:rFonts w:ascii="Verdana" w:hAnsi="Verdana"/>
          <w:sz w:val="20"/>
          <w:szCs w:val="20"/>
          <w:lang w:val="es-MX"/>
        </w:rPr>
        <w:t>s</w:t>
      </w:r>
      <w:r w:rsidRPr="00037A62">
        <w:rPr>
          <w:rFonts w:ascii="Verdana" w:hAnsi="Verdana"/>
          <w:sz w:val="20"/>
          <w:szCs w:val="20"/>
          <w:lang w:val="es-MX"/>
        </w:rPr>
        <w:t xml:space="preserve"> Sentencia</w:t>
      </w:r>
      <w:r w:rsidR="006D16BD" w:rsidRPr="00037A62">
        <w:rPr>
          <w:rFonts w:ascii="Verdana" w:hAnsi="Verdana"/>
          <w:sz w:val="20"/>
          <w:szCs w:val="20"/>
          <w:lang w:val="es-MX"/>
        </w:rPr>
        <w:t>s</w:t>
      </w:r>
      <w:r w:rsidR="00B95604" w:rsidRPr="00037A62">
        <w:rPr>
          <w:rFonts w:ascii="Verdana" w:hAnsi="Verdana"/>
          <w:sz w:val="20"/>
          <w:szCs w:val="20"/>
          <w:lang w:val="es-MX"/>
        </w:rPr>
        <w:t xml:space="preserve"> dictada</w:t>
      </w:r>
      <w:r w:rsidR="006D16BD" w:rsidRPr="00037A62">
        <w:rPr>
          <w:rFonts w:ascii="Verdana" w:hAnsi="Verdana"/>
          <w:sz w:val="20"/>
          <w:szCs w:val="20"/>
          <w:lang w:val="es-MX"/>
        </w:rPr>
        <w:t>s</w:t>
      </w:r>
      <w:r w:rsidR="00B95604" w:rsidRPr="00037A62">
        <w:rPr>
          <w:rFonts w:ascii="Verdana" w:hAnsi="Verdana"/>
          <w:sz w:val="20"/>
          <w:szCs w:val="20"/>
          <w:lang w:val="es-MX"/>
        </w:rPr>
        <w:t xml:space="preserve"> por la Corte Interamericana de Derechos Humanos </w:t>
      </w:r>
      <w:r w:rsidR="00507E83" w:rsidRPr="00037A62">
        <w:rPr>
          <w:rFonts w:ascii="Verdana" w:hAnsi="Verdana"/>
          <w:sz w:val="20"/>
          <w:szCs w:val="20"/>
          <w:lang w:val="es-MX"/>
        </w:rPr>
        <w:t xml:space="preserve">(en adelante “la Corte Interamericana”, “la Corte” o “el Tribunal”) el </w:t>
      </w:r>
      <w:r w:rsidR="00191A48" w:rsidRPr="00037A62">
        <w:rPr>
          <w:rFonts w:ascii="Verdana" w:hAnsi="Verdana"/>
          <w:sz w:val="20"/>
          <w:szCs w:val="20"/>
          <w:lang w:val="es-MX"/>
        </w:rPr>
        <w:t xml:space="preserve">8 de </w:t>
      </w:r>
      <w:r w:rsidR="00D52EDC" w:rsidRPr="00037A62">
        <w:rPr>
          <w:rFonts w:ascii="Verdana" w:hAnsi="Verdana"/>
          <w:sz w:val="20"/>
          <w:szCs w:val="20"/>
          <w:lang w:val="es-MX"/>
        </w:rPr>
        <w:t>octubre de 2015</w:t>
      </w:r>
      <w:r w:rsidR="006D16BD" w:rsidRPr="00037A62">
        <w:rPr>
          <w:rFonts w:ascii="Verdana" w:hAnsi="Verdana"/>
          <w:sz w:val="20"/>
          <w:szCs w:val="20"/>
          <w:lang w:val="es-MX"/>
        </w:rPr>
        <w:t xml:space="preserve"> en los casos </w:t>
      </w:r>
      <w:r w:rsidR="006D16BD" w:rsidRPr="00037A62">
        <w:rPr>
          <w:rFonts w:ascii="Verdana" w:hAnsi="Verdana"/>
          <w:i/>
          <w:sz w:val="20"/>
          <w:szCs w:val="20"/>
          <w:lang w:val="es-MX"/>
        </w:rPr>
        <w:t>Comunidad Garífuna de Punta Piedra y sus miembros</w:t>
      </w:r>
      <w:r w:rsidR="006D16BD" w:rsidRPr="00037A62">
        <w:rPr>
          <w:rStyle w:val="Refdenotaalpie"/>
          <w:rFonts w:ascii="Verdana" w:hAnsi="Verdana"/>
          <w:sz w:val="20"/>
          <w:szCs w:val="20"/>
          <w:lang w:val="es-MX"/>
        </w:rPr>
        <w:footnoteReference w:id="1"/>
      </w:r>
      <w:r w:rsidR="006D16BD" w:rsidRPr="00037A62">
        <w:rPr>
          <w:rFonts w:ascii="Verdana" w:hAnsi="Verdana"/>
          <w:i/>
          <w:sz w:val="20"/>
          <w:szCs w:val="20"/>
          <w:lang w:val="es-MX"/>
        </w:rPr>
        <w:t xml:space="preserve"> </w:t>
      </w:r>
      <w:r w:rsidR="006D16BD" w:rsidRPr="00037A62">
        <w:rPr>
          <w:rFonts w:ascii="Verdana" w:hAnsi="Verdana"/>
          <w:sz w:val="20"/>
          <w:szCs w:val="20"/>
          <w:lang w:val="es-MX"/>
        </w:rPr>
        <w:t xml:space="preserve">y </w:t>
      </w:r>
      <w:r w:rsidR="006D16BD" w:rsidRPr="00037A62">
        <w:rPr>
          <w:rFonts w:ascii="Verdana" w:hAnsi="Verdana"/>
          <w:i/>
          <w:sz w:val="20"/>
          <w:szCs w:val="20"/>
          <w:lang w:val="es-MX"/>
        </w:rPr>
        <w:t>Comunidad Garífuna Triunfo de la Cruz y sus miembros</w:t>
      </w:r>
      <w:r w:rsidR="006D16BD" w:rsidRPr="00037A62">
        <w:rPr>
          <w:rStyle w:val="Refdenotaalpie"/>
          <w:rFonts w:ascii="Verdana" w:hAnsi="Verdana"/>
          <w:i/>
          <w:sz w:val="20"/>
          <w:szCs w:val="20"/>
          <w:lang w:val="es-MX"/>
        </w:rPr>
        <w:footnoteReference w:id="2"/>
      </w:r>
      <w:r w:rsidR="00B95604" w:rsidRPr="00037A62">
        <w:rPr>
          <w:rFonts w:ascii="Verdana" w:hAnsi="Verdana"/>
          <w:sz w:val="20"/>
          <w:szCs w:val="20"/>
          <w:lang w:val="es-MX"/>
        </w:rPr>
        <w:t>.</w:t>
      </w:r>
      <w:r w:rsidR="001D5633" w:rsidRPr="00037A62">
        <w:rPr>
          <w:rFonts w:ascii="Verdana" w:hAnsi="Verdana"/>
          <w:sz w:val="20"/>
          <w:szCs w:val="20"/>
          <w:lang w:val="es-MX"/>
        </w:rPr>
        <w:t xml:space="preserve"> </w:t>
      </w:r>
      <w:r w:rsidR="000E4CDA" w:rsidRPr="00037A62">
        <w:rPr>
          <w:rFonts w:ascii="Verdana" w:hAnsi="Verdana"/>
          <w:sz w:val="20"/>
          <w:szCs w:val="20"/>
          <w:lang w:val="es-MX"/>
        </w:rPr>
        <w:t xml:space="preserve">En </w:t>
      </w:r>
      <w:r w:rsidR="00DD2773" w:rsidRPr="00037A62">
        <w:rPr>
          <w:rFonts w:ascii="Verdana" w:hAnsi="Verdana"/>
          <w:sz w:val="20"/>
          <w:szCs w:val="20"/>
          <w:lang w:val="es-MX"/>
        </w:rPr>
        <w:t>ambas</w:t>
      </w:r>
      <w:r w:rsidR="000E4CDA" w:rsidRPr="00037A62">
        <w:rPr>
          <w:rFonts w:ascii="Verdana" w:hAnsi="Verdana"/>
          <w:sz w:val="20"/>
          <w:szCs w:val="20"/>
          <w:lang w:val="es-MX"/>
        </w:rPr>
        <w:t xml:space="preserve"> Sentencias, la</w:t>
      </w:r>
      <w:r w:rsidR="00B95604" w:rsidRPr="00037A62">
        <w:rPr>
          <w:rFonts w:ascii="Verdana" w:hAnsi="Verdana"/>
          <w:sz w:val="20"/>
          <w:szCs w:val="20"/>
          <w:lang w:val="es-MX"/>
        </w:rPr>
        <w:t xml:space="preserve"> Corte declaró la responsabilidad internacional de </w:t>
      </w:r>
      <w:r w:rsidR="001D5633" w:rsidRPr="00037A62">
        <w:rPr>
          <w:rFonts w:ascii="Verdana" w:hAnsi="Verdana"/>
          <w:sz w:val="20"/>
          <w:szCs w:val="20"/>
          <w:lang w:val="es-MX"/>
        </w:rPr>
        <w:t>la República de Honduras (en adelante “el Estado” u “Honduras”)</w:t>
      </w:r>
      <w:r w:rsidR="009D38BD">
        <w:rPr>
          <w:rFonts w:ascii="Verdana" w:hAnsi="Verdana"/>
          <w:sz w:val="20"/>
          <w:szCs w:val="20"/>
          <w:lang w:val="es-MX"/>
        </w:rPr>
        <w:t xml:space="preserve"> por la violación de</w:t>
      </w:r>
      <w:r w:rsidR="00B95604" w:rsidRPr="00037A62">
        <w:rPr>
          <w:rFonts w:ascii="Verdana" w:hAnsi="Verdana"/>
          <w:sz w:val="20"/>
          <w:szCs w:val="20"/>
          <w:lang w:val="es-MX"/>
        </w:rPr>
        <w:t>l derecho a la propiedad colectiva</w:t>
      </w:r>
      <w:r w:rsidR="004B56D3" w:rsidRPr="00037A62">
        <w:rPr>
          <w:rFonts w:ascii="Verdana" w:hAnsi="Verdana"/>
          <w:sz w:val="20"/>
          <w:szCs w:val="20"/>
          <w:lang w:val="es-MX"/>
        </w:rPr>
        <w:t xml:space="preserve"> en perjuicio de ambas comunidades. </w:t>
      </w:r>
      <w:r w:rsidR="00DD2773" w:rsidRPr="00037A62">
        <w:rPr>
          <w:rFonts w:ascii="Verdana" w:hAnsi="Verdana"/>
          <w:sz w:val="20"/>
          <w:szCs w:val="20"/>
          <w:lang w:val="es-MX"/>
        </w:rPr>
        <w:t xml:space="preserve">En el caso de la Comunidad Garífuna Punta Piedra, la Corte consideró que </w:t>
      </w:r>
      <w:r w:rsidR="00980DB8">
        <w:rPr>
          <w:rFonts w:ascii="Verdana" w:hAnsi="Verdana"/>
          <w:sz w:val="20"/>
          <w:szCs w:val="20"/>
          <w:lang w:val="es-MX"/>
        </w:rPr>
        <w:t>dicha violación</w:t>
      </w:r>
      <w:r w:rsidR="00DD2773" w:rsidRPr="00037A62">
        <w:rPr>
          <w:rFonts w:ascii="Verdana" w:hAnsi="Verdana"/>
          <w:sz w:val="20"/>
          <w:szCs w:val="20"/>
          <w:lang w:val="es-MX"/>
        </w:rPr>
        <w:t xml:space="preserve"> se debió a la falta de garantía del uso y goce del territorio de la Comunidad, a través de su saneamiento</w:t>
      </w:r>
      <w:r w:rsidR="00980DB8">
        <w:rPr>
          <w:rFonts w:ascii="Verdana" w:hAnsi="Verdana"/>
          <w:sz w:val="20"/>
          <w:szCs w:val="20"/>
          <w:lang w:val="es-MX"/>
        </w:rPr>
        <w:t>,</w:t>
      </w:r>
      <w:r w:rsidR="00DD2773" w:rsidRPr="00037A62">
        <w:rPr>
          <w:rFonts w:ascii="Verdana" w:hAnsi="Verdana"/>
          <w:sz w:val="20"/>
          <w:szCs w:val="20"/>
          <w:lang w:val="es-MX"/>
        </w:rPr>
        <w:t xml:space="preserve"> y </w:t>
      </w:r>
      <w:r w:rsidR="00980DB8">
        <w:rPr>
          <w:rFonts w:ascii="Verdana" w:hAnsi="Verdana"/>
          <w:sz w:val="20"/>
          <w:szCs w:val="20"/>
          <w:lang w:val="es-MX"/>
        </w:rPr>
        <w:t xml:space="preserve">a </w:t>
      </w:r>
      <w:r w:rsidR="00DD2773" w:rsidRPr="00037A62">
        <w:rPr>
          <w:rFonts w:ascii="Verdana" w:hAnsi="Verdana"/>
          <w:sz w:val="20"/>
          <w:szCs w:val="20"/>
          <w:lang w:val="es-MX"/>
        </w:rPr>
        <w:t xml:space="preserve">la falta de adopción de medidas de derecho interno a fin de garantizar el derecho a la consulta e identidad cultural. En el caso de la Comunidad Garífuna Triunfo de la Cruz, </w:t>
      </w:r>
      <w:r w:rsidR="00BB0F81" w:rsidRPr="00037A62">
        <w:rPr>
          <w:rFonts w:ascii="Verdana" w:hAnsi="Verdana"/>
          <w:sz w:val="20"/>
          <w:szCs w:val="20"/>
          <w:lang w:val="es-MX"/>
        </w:rPr>
        <w:t>el Tribunal dec</w:t>
      </w:r>
      <w:r w:rsidR="00C97EB3">
        <w:rPr>
          <w:rFonts w:ascii="Verdana" w:hAnsi="Verdana"/>
          <w:sz w:val="20"/>
          <w:szCs w:val="20"/>
          <w:lang w:val="es-MX"/>
        </w:rPr>
        <w:t>laró</w:t>
      </w:r>
      <w:r w:rsidR="00BB0F81" w:rsidRPr="00037A62">
        <w:rPr>
          <w:rFonts w:ascii="Verdana" w:hAnsi="Verdana"/>
          <w:sz w:val="20"/>
          <w:szCs w:val="20"/>
          <w:lang w:val="es-MX"/>
        </w:rPr>
        <w:t xml:space="preserve"> la responsabilidad del Estado </w:t>
      </w:r>
      <w:r w:rsidR="00DD2773" w:rsidRPr="00037A62">
        <w:rPr>
          <w:rFonts w:ascii="Verdana" w:hAnsi="Verdana"/>
          <w:sz w:val="20"/>
          <w:szCs w:val="20"/>
          <w:lang w:val="es-MX"/>
        </w:rPr>
        <w:t xml:space="preserve">por haber incumplido su obligación de delimitar y demarcar las tierras tituladas a favor de la Comunidad, así como por no haber titulado, delimitado y demarcado los territorios que fueron reconocidos como sus tierras tradicionales. Asimismo, se declaró la violación de este derecho por parte del Estado por no haber garantizado el </w:t>
      </w:r>
      <w:r w:rsidR="0035455C">
        <w:rPr>
          <w:rFonts w:ascii="Verdana" w:hAnsi="Verdana"/>
          <w:sz w:val="20"/>
          <w:szCs w:val="20"/>
          <w:lang w:val="es-MX"/>
        </w:rPr>
        <w:t xml:space="preserve">uso y </w:t>
      </w:r>
      <w:r w:rsidR="00DD2773" w:rsidRPr="00037A62">
        <w:rPr>
          <w:rFonts w:ascii="Verdana" w:hAnsi="Verdana"/>
          <w:sz w:val="20"/>
          <w:szCs w:val="20"/>
          <w:lang w:val="es-MX"/>
        </w:rPr>
        <w:t xml:space="preserve">goce efectivo del título de propiedad colectiva de </w:t>
      </w:r>
      <w:r w:rsidR="009D38BD">
        <w:rPr>
          <w:rFonts w:ascii="Verdana" w:hAnsi="Verdana"/>
          <w:sz w:val="20"/>
          <w:szCs w:val="20"/>
          <w:lang w:val="es-MX"/>
        </w:rPr>
        <w:t>dicha</w:t>
      </w:r>
      <w:r w:rsidR="00DD2773" w:rsidRPr="00037A62">
        <w:rPr>
          <w:rFonts w:ascii="Verdana" w:hAnsi="Verdana"/>
          <w:sz w:val="20"/>
          <w:szCs w:val="20"/>
          <w:lang w:val="es-MX"/>
        </w:rPr>
        <w:t xml:space="preserve"> Comunidad, en relación con un área adjudicada en garantía de ocupación y reconocida como tierra tradicional por el Estado, así como por no haber efectuado un proceso adecuado para garantizar </w:t>
      </w:r>
      <w:r w:rsidR="009D38BD">
        <w:rPr>
          <w:rFonts w:ascii="Verdana" w:hAnsi="Verdana"/>
          <w:sz w:val="20"/>
          <w:szCs w:val="20"/>
          <w:lang w:val="es-MX"/>
        </w:rPr>
        <w:t>su</w:t>
      </w:r>
      <w:r w:rsidR="00DD2773" w:rsidRPr="00037A62">
        <w:rPr>
          <w:rFonts w:ascii="Verdana" w:hAnsi="Verdana"/>
          <w:sz w:val="20"/>
          <w:szCs w:val="20"/>
          <w:lang w:val="es-MX"/>
        </w:rPr>
        <w:t xml:space="preserve"> derecho a la consulta. </w:t>
      </w:r>
      <w:r w:rsidR="00BB0F81" w:rsidRPr="00037A62">
        <w:rPr>
          <w:rFonts w:ascii="Verdana" w:hAnsi="Verdana"/>
          <w:sz w:val="20"/>
          <w:szCs w:val="20"/>
          <w:lang w:val="es-MX"/>
        </w:rPr>
        <w:t xml:space="preserve">Del mismo modo, el Tribunal declaró la responsabilidad del Estado por haber violado su deber de adecuar el derecho interno por no haber dispuesto, con anterioridad al año 2004, normas o prácticas que permitieran garantizar el derecho a la consulta. </w:t>
      </w:r>
      <w:r w:rsidR="00BB0F81" w:rsidRPr="00037A62">
        <w:rPr>
          <w:rFonts w:ascii="Verdana" w:hAnsi="Verdana"/>
          <w:sz w:val="20"/>
          <w:szCs w:val="20"/>
          <w:lang w:val="es-MX"/>
        </w:rPr>
        <w:lastRenderedPageBreak/>
        <w:t>Adicionalmente, en ambos casos se declaró la violación a las garantías judiciales y a la protección judicial en perjuicio de las Comunidades y sus miembros</w:t>
      </w:r>
      <w:r w:rsidR="00B16193">
        <w:rPr>
          <w:rFonts w:ascii="Verdana" w:hAnsi="Verdana"/>
          <w:sz w:val="20"/>
          <w:szCs w:val="20"/>
          <w:lang w:val="es-MX"/>
        </w:rPr>
        <w:t xml:space="preserve"> </w:t>
      </w:r>
      <w:r w:rsidR="00AD5EF7">
        <w:rPr>
          <w:rFonts w:ascii="Verdana" w:hAnsi="Verdana"/>
          <w:sz w:val="20"/>
          <w:szCs w:val="20"/>
          <w:lang w:val="es-MX"/>
        </w:rPr>
        <w:t>debido a</w:t>
      </w:r>
      <w:r w:rsidR="00BB0F81" w:rsidRPr="00037A62">
        <w:rPr>
          <w:rFonts w:ascii="Verdana" w:hAnsi="Verdana"/>
          <w:sz w:val="20"/>
          <w:szCs w:val="20"/>
          <w:lang w:val="es-MX"/>
        </w:rPr>
        <w:t xml:space="preserve"> </w:t>
      </w:r>
      <w:r w:rsidR="00B2128A">
        <w:rPr>
          <w:rFonts w:ascii="Verdana" w:hAnsi="Verdana"/>
          <w:sz w:val="20"/>
          <w:szCs w:val="20"/>
          <w:lang w:val="es-MX"/>
        </w:rPr>
        <w:t>que</w:t>
      </w:r>
      <w:r w:rsidR="00B16193">
        <w:rPr>
          <w:rFonts w:ascii="Verdana" w:hAnsi="Verdana"/>
          <w:sz w:val="20"/>
          <w:szCs w:val="20"/>
          <w:lang w:val="es-MX"/>
        </w:rPr>
        <w:t>:</w:t>
      </w:r>
      <w:r w:rsidR="00B2128A">
        <w:rPr>
          <w:rFonts w:ascii="Verdana" w:hAnsi="Verdana"/>
          <w:sz w:val="20"/>
          <w:szCs w:val="20"/>
          <w:lang w:val="es-MX"/>
        </w:rPr>
        <w:t xml:space="preserve"> </w:t>
      </w:r>
      <w:r w:rsidR="00BB0F81" w:rsidRPr="00037A62">
        <w:rPr>
          <w:rFonts w:ascii="Verdana" w:hAnsi="Verdana"/>
          <w:sz w:val="20"/>
          <w:szCs w:val="20"/>
          <w:lang w:val="es-MX"/>
        </w:rPr>
        <w:t>los recursos dispuestos no fueron efectivos para la protección de los derechos de la Comunidad Garífuna de Punta Piedra</w:t>
      </w:r>
      <w:r w:rsidR="00B2128A">
        <w:rPr>
          <w:rFonts w:ascii="Verdana" w:hAnsi="Verdana"/>
          <w:sz w:val="20"/>
          <w:szCs w:val="20"/>
          <w:lang w:val="es-MX"/>
        </w:rPr>
        <w:t>;</w:t>
      </w:r>
      <w:r w:rsidR="00BB0F81" w:rsidRPr="00037A62">
        <w:rPr>
          <w:rFonts w:ascii="Verdana" w:hAnsi="Verdana"/>
          <w:sz w:val="20"/>
          <w:szCs w:val="20"/>
          <w:lang w:val="es-MX"/>
        </w:rPr>
        <w:t xml:space="preserve"> </w:t>
      </w:r>
      <w:r w:rsidR="00980DB8">
        <w:rPr>
          <w:rFonts w:ascii="Verdana" w:hAnsi="Verdana"/>
          <w:sz w:val="20"/>
          <w:szCs w:val="20"/>
          <w:lang w:val="es-MX"/>
        </w:rPr>
        <w:t>la Comunidad Triunfo de la Cruz</w:t>
      </w:r>
      <w:r w:rsidR="00BB0F81" w:rsidRPr="00037A62">
        <w:rPr>
          <w:rFonts w:ascii="Verdana" w:hAnsi="Verdana"/>
          <w:sz w:val="20"/>
          <w:szCs w:val="20"/>
          <w:lang w:val="es-MX"/>
        </w:rPr>
        <w:t xml:space="preserve"> no contó con una respuesta que tomara en cuenta la naturaleza tradicional de uno de los lotes de territorio al cual se refería</w:t>
      </w:r>
      <w:r w:rsidR="00B2128A">
        <w:rPr>
          <w:rFonts w:ascii="Verdana" w:hAnsi="Verdana"/>
          <w:sz w:val="20"/>
          <w:szCs w:val="20"/>
          <w:lang w:val="es-MX"/>
        </w:rPr>
        <w:t xml:space="preserve">; </w:t>
      </w:r>
      <w:r w:rsidR="00BB0F81" w:rsidRPr="00037A62">
        <w:rPr>
          <w:rFonts w:ascii="Verdana" w:hAnsi="Verdana"/>
          <w:sz w:val="20"/>
          <w:szCs w:val="20"/>
          <w:lang w:val="es-MX"/>
        </w:rPr>
        <w:t>la duración más allá de un plazo razonable de las acciones judiciales y administrativas frente a las ventas y las adjudicaciones a terceros de tierras tradicionales</w:t>
      </w:r>
      <w:r w:rsidR="009D38BD">
        <w:rPr>
          <w:rFonts w:ascii="Verdana" w:hAnsi="Verdana"/>
          <w:sz w:val="20"/>
          <w:szCs w:val="20"/>
          <w:lang w:val="es-MX"/>
        </w:rPr>
        <w:t>, y</w:t>
      </w:r>
      <w:r w:rsidR="00BB0F81" w:rsidRPr="00037A62">
        <w:rPr>
          <w:rFonts w:ascii="Verdana" w:hAnsi="Verdana"/>
          <w:sz w:val="20"/>
          <w:szCs w:val="20"/>
          <w:lang w:val="es-MX"/>
        </w:rPr>
        <w:t xml:space="preserve"> la falta al deber de investigar los hechos denunciados por la Comunidad y sus miembros, </w:t>
      </w:r>
      <w:r w:rsidR="00B2128A">
        <w:rPr>
          <w:rFonts w:ascii="Verdana" w:hAnsi="Verdana"/>
          <w:sz w:val="20"/>
          <w:szCs w:val="20"/>
          <w:lang w:val="es-MX"/>
        </w:rPr>
        <w:t xml:space="preserve">entre ellos </w:t>
      </w:r>
      <w:r w:rsidR="00BB0F81" w:rsidRPr="00037A62">
        <w:rPr>
          <w:rFonts w:ascii="Verdana" w:hAnsi="Verdana"/>
          <w:sz w:val="20"/>
          <w:szCs w:val="20"/>
          <w:lang w:val="es-MX"/>
        </w:rPr>
        <w:t xml:space="preserve">las muertes de cuatro integrantes de la misma. </w:t>
      </w:r>
      <w:r w:rsidR="001115FE" w:rsidRPr="00037A62">
        <w:rPr>
          <w:rFonts w:ascii="Verdana" w:hAnsi="Verdana"/>
          <w:sz w:val="20"/>
          <w:szCs w:val="20"/>
          <w:lang w:val="es-MX"/>
        </w:rPr>
        <w:t>La Corte estableció que sus Sentencias constituyen por sí mismas una forma de reparación y, adicionalmente, ordenó al Estado la adopción de determinadas medidas de reparación (</w:t>
      </w:r>
      <w:r w:rsidR="001115FE" w:rsidRPr="00037A62">
        <w:rPr>
          <w:rFonts w:ascii="Verdana" w:hAnsi="Verdana"/>
          <w:i/>
          <w:sz w:val="20"/>
          <w:szCs w:val="20"/>
          <w:lang w:val="es-MX"/>
        </w:rPr>
        <w:t xml:space="preserve">infra </w:t>
      </w:r>
      <w:r w:rsidR="001115FE" w:rsidRPr="00037A62">
        <w:rPr>
          <w:rFonts w:ascii="Verdana" w:hAnsi="Verdana"/>
          <w:sz w:val="20"/>
          <w:szCs w:val="20"/>
          <w:lang w:val="es-MX"/>
        </w:rPr>
        <w:t>Considerando 1).</w:t>
      </w:r>
    </w:p>
    <w:p w14:paraId="21D722C7" w14:textId="77777777" w:rsidR="00E410FD" w:rsidRPr="00037A62" w:rsidRDefault="00B12573" w:rsidP="007047C8">
      <w:pPr>
        <w:pStyle w:val="Cuadrculamedia1-nfasis21"/>
        <w:numPr>
          <w:ilvl w:val="0"/>
          <w:numId w:val="2"/>
        </w:numPr>
        <w:spacing w:before="120" w:after="120" w:line="240" w:lineRule="auto"/>
        <w:ind w:left="0" w:firstLine="0"/>
        <w:contextualSpacing w:val="0"/>
        <w:jc w:val="both"/>
        <w:rPr>
          <w:rFonts w:ascii="Verdana" w:hAnsi="Verdana"/>
          <w:color w:val="000000"/>
          <w:sz w:val="20"/>
          <w:szCs w:val="20"/>
          <w:shd w:val="clear" w:color="auto" w:fill="FFFFFF"/>
          <w:lang w:val="es-MX"/>
        </w:rPr>
      </w:pPr>
      <w:r w:rsidRPr="00037A62">
        <w:rPr>
          <w:rFonts w:ascii="Verdana" w:hAnsi="Verdana"/>
          <w:sz w:val="20"/>
          <w:szCs w:val="20"/>
          <w:lang w:val="es-MX"/>
        </w:rPr>
        <w:t>Las Resoluciones de supervisión de cumplimiento de Sentencia emitidas por el Tribunal el 14 de mayo de 2019 para cada uno de los casos</w:t>
      </w:r>
      <w:r w:rsidRPr="00037A62">
        <w:rPr>
          <w:rStyle w:val="Refdenotaalpie"/>
          <w:rFonts w:ascii="Verdana" w:hAnsi="Verdana"/>
          <w:sz w:val="20"/>
          <w:szCs w:val="20"/>
          <w:lang w:val="es-MX"/>
        </w:rPr>
        <w:footnoteReference w:id="3"/>
      </w:r>
      <w:r w:rsidR="00244A31" w:rsidRPr="00037A62">
        <w:rPr>
          <w:rFonts w:ascii="Verdana" w:hAnsi="Verdana"/>
          <w:sz w:val="20"/>
          <w:szCs w:val="20"/>
          <w:lang w:val="es-MX"/>
        </w:rPr>
        <w:t>.</w:t>
      </w:r>
    </w:p>
    <w:p w14:paraId="555DFF9D" w14:textId="47FDF9D1" w:rsidR="00B12573" w:rsidRPr="00037A62" w:rsidRDefault="00B12573" w:rsidP="007047C8">
      <w:pPr>
        <w:pStyle w:val="Cuadrculamedia1-nfasis21"/>
        <w:numPr>
          <w:ilvl w:val="0"/>
          <w:numId w:val="2"/>
        </w:numPr>
        <w:spacing w:before="120" w:after="120" w:line="240" w:lineRule="auto"/>
        <w:ind w:left="0" w:firstLine="0"/>
        <w:contextualSpacing w:val="0"/>
        <w:jc w:val="both"/>
        <w:rPr>
          <w:rFonts w:ascii="Verdana" w:hAnsi="Verdana"/>
          <w:color w:val="000000"/>
          <w:sz w:val="20"/>
          <w:szCs w:val="20"/>
          <w:shd w:val="clear" w:color="auto" w:fill="FFFFFF"/>
          <w:lang w:val="es-MX"/>
        </w:rPr>
      </w:pPr>
      <w:r w:rsidRPr="00037A62">
        <w:rPr>
          <w:rFonts w:ascii="Verdana" w:hAnsi="Verdana"/>
          <w:sz w:val="20"/>
          <w:szCs w:val="20"/>
          <w:lang w:val="es-MX"/>
        </w:rPr>
        <w:t xml:space="preserve">Los </w:t>
      </w:r>
      <w:r w:rsidR="005702BA" w:rsidRPr="00037A62">
        <w:rPr>
          <w:rFonts w:ascii="Verdana" w:hAnsi="Verdana"/>
          <w:sz w:val="20"/>
          <w:szCs w:val="20"/>
          <w:lang w:val="es-MX"/>
        </w:rPr>
        <w:t xml:space="preserve">informes </w:t>
      </w:r>
      <w:r w:rsidR="0078661D">
        <w:rPr>
          <w:rFonts w:ascii="Verdana" w:hAnsi="Verdana"/>
          <w:sz w:val="20"/>
          <w:szCs w:val="20"/>
          <w:lang w:val="es-MX"/>
        </w:rPr>
        <w:t xml:space="preserve">sobre cumplimiento de sentencia </w:t>
      </w:r>
      <w:r w:rsidR="005702BA" w:rsidRPr="00037A62">
        <w:rPr>
          <w:rFonts w:ascii="Verdana" w:hAnsi="Verdana"/>
          <w:sz w:val="20"/>
          <w:szCs w:val="20"/>
          <w:lang w:val="es-MX"/>
        </w:rPr>
        <w:t>presentados</w:t>
      </w:r>
      <w:r w:rsidRPr="00037A62">
        <w:rPr>
          <w:rFonts w:ascii="Verdana" w:hAnsi="Verdana"/>
          <w:sz w:val="20"/>
          <w:szCs w:val="20"/>
          <w:lang w:val="es-MX"/>
        </w:rPr>
        <w:t xml:space="preserve"> por el Estado entre </w:t>
      </w:r>
      <w:r w:rsidR="005702BA" w:rsidRPr="00037A62">
        <w:rPr>
          <w:rFonts w:ascii="Verdana" w:hAnsi="Verdana"/>
          <w:sz w:val="20"/>
          <w:szCs w:val="20"/>
          <w:lang w:val="es-MX"/>
        </w:rPr>
        <w:t>octubre de 2019 y noviembre de 2020</w:t>
      </w:r>
      <w:r w:rsidR="0078661D">
        <w:rPr>
          <w:rFonts w:ascii="Verdana" w:hAnsi="Verdana"/>
          <w:sz w:val="20"/>
          <w:szCs w:val="20"/>
          <w:lang w:val="es-MX"/>
        </w:rPr>
        <w:t>,</w:t>
      </w:r>
      <w:r w:rsidR="00FF35FB" w:rsidRPr="00037A62">
        <w:rPr>
          <w:rFonts w:ascii="Verdana" w:hAnsi="Verdana"/>
          <w:sz w:val="20"/>
          <w:szCs w:val="20"/>
          <w:lang w:val="es-MX"/>
        </w:rPr>
        <w:t xml:space="preserve"> en respuesta a solicitudes efectuadas por la Corte o su Presidencia mediante notas de la Secretaría del Tribunal</w:t>
      </w:r>
      <w:r w:rsidR="00EB301A">
        <w:rPr>
          <w:rFonts w:ascii="Verdana" w:hAnsi="Verdana"/>
          <w:sz w:val="20"/>
          <w:szCs w:val="20"/>
          <w:lang w:val="es-MX"/>
        </w:rPr>
        <w:t xml:space="preserve">, y los correspondientes escritos de observaciones presentados por </w:t>
      </w:r>
      <w:r w:rsidR="00EB301A" w:rsidRPr="00037A62">
        <w:rPr>
          <w:rFonts w:ascii="Verdana" w:hAnsi="Verdana"/>
          <w:color w:val="000000"/>
          <w:sz w:val="20"/>
          <w:szCs w:val="20"/>
          <w:shd w:val="clear" w:color="auto" w:fill="FFFFFF"/>
          <w:lang w:val="es-MX"/>
        </w:rPr>
        <w:t>los representantes de las víctimas (en adelante “los representantes”)</w:t>
      </w:r>
      <w:r w:rsidR="00EB301A" w:rsidRPr="00037A62">
        <w:rPr>
          <w:rStyle w:val="Refdenotaalpie"/>
          <w:rFonts w:ascii="Verdana" w:hAnsi="Verdana"/>
          <w:color w:val="000000"/>
          <w:sz w:val="20"/>
          <w:szCs w:val="20"/>
          <w:shd w:val="clear" w:color="auto" w:fill="FFFFFF"/>
          <w:lang w:val="es-MX"/>
        </w:rPr>
        <w:footnoteReference w:id="4"/>
      </w:r>
      <w:r w:rsidR="00EB301A" w:rsidRPr="00037A62">
        <w:rPr>
          <w:rFonts w:ascii="Verdana" w:hAnsi="Verdana"/>
          <w:color w:val="000000"/>
          <w:sz w:val="20"/>
          <w:szCs w:val="20"/>
          <w:shd w:val="clear" w:color="auto" w:fill="FFFFFF"/>
          <w:lang w:val="es-MX"/>
        </w:rPr>
        <w:t xml:space="preserve"> </w:t>
      </w:r>
      <w:r w:rsidR="00EB301A">
        <w:rPr>
          <w:rFonts w:ascii="Verdana" w:hAnsi="Verdana"/>
          <w:color w:val="000000"/>
          <w:sz w:val="20"/>
          <w:szCs w:val="20"/>
          <w:shd w:val="clear" w:color="auto" w:fill="FFFFFF"/>
          <w:lang w:val="es-MX"/>
        </w:rPr>
        <w:t xml:space="preserve">y la Comisión </w:t>
      </w:r>
      <w:r w:rsidR="00EB301A" w:rsidRPr="00037A62">
        <w:rPr>
          <w:rFonts w:ascii="Verdana" w:hAnsi="Verdana"/>
          <w:color w:val="000000"/>
          <w:sz w:val="20"/>
          <w:szCs w:val="20"/>
          <w:shd w:val="clear" w:color="auto" w:fill="FFFFFF"/>
          <w:lang w:val="es-MX"/>
        </w:rPr>
        <w:t>Interamericana de Derechos Humanos (en adelante “la Comisión Interamericana” o “la Comisión”</w:t>
      </w:r>
      <w:r w:rsidR="00EB301A">
        <w:rPr>
          <w:rFonts w:ascii="Verdana" w:hAnsi="Verdana"/>
          <w:color w:val="000000"/>
          <w:sz w:val="20"/>
          <w:szCs w:val="20"/>
          <w:shd w:val="clear" w:color="auto" w:fill="FFFFFF"/>
          <w:lang w:val="es-MX"/>
        </w:rPr>
        <w:t>)</w:t>
      </w:r>
      <w:r w:rsidR="00EB301A" w:rsidRPr="00037A62">
        <w:rPr>
          <w:rFonts w:ascii="Verdana" w:hAnsi="Verdana"/>
          <w:color w:val="000000"/>
          <w:sz w:val="20"/>
          <w:szCs w:val="20"/>
          <w:shd w:val="clear" w:color="auto" w:fill="FFFFFF"/>
          <w:lang w:val="es-MX"/>
        </w:rPr>
        <w:t xml:space="preserve"> </w:t>
      </w:r>
      <w:r w:rsidR="00EB301A">
        <w:rPr>
          <w:rFonts w:ascii="Verdana" w:hAnsi="Verdana"/>
          <w:color w:val="000000"/>
          <w:sz w:val="20"/>
          <w:szCs w:val="20"/>
          <w:shd w:val="clear" w:color="auto" w:fill="FFFFFF"/>
          <w:lang w:val="es-MX"/>
        </w:rPr>
        <w:t xml:space="preserve">entre </w:t>
      </w:r>
      <w:r w:rsidR="00FD573E">
        <w:rPr>
          <w:rFonts w:ascii="Verdana" w:hAnsi="Verdana"/>
          <w:color w:val="000000"/>
          <w:sz w:val="20"/>
          <w:szCs w:val="20"/>
          <w:shd w:val="clear" w:color="auto" w:fill="FFFFFF"/>
          <w:lang w:val="es-MX"/>
        </w:rPr>
        <w:t>enero</w:t>
      </w:r>
      <w:r w:rsidR="00EB301A" w:rsidRPr="00037A62">
        <w:rPr>
          <w:rFonts w:ascii="Verdana" w:hAnsi="Verdana"/>
          <w:color w:val="000000"/>
          <w:sz w:val="20"/>
          <w:szCs w:val="20"/>
          <w:shd w:val="clear" w:color="auto" w:fill="FFFFFF"/>
          <w:lang w:val="es-MX"/>
        </w:rPr>
        <w:t xml:space="preserve"> y diciembre de 2020</w:t>
      </w:r>
      <w:r w:rsidR="00FF35FB" w:rsidRPr="00037A62">
        <w:rPr>
          <w:rFonts w:ascii="Verdana" w:hAnsi="Verdana"/>
          <w:sz w:val="20"/>
          <w:szCs w:val="20"/>
          <w:lang w:val="es-MX"/>
        </w:rPr>
        <w:t xml:space="preserve">. </w:t>
      </w:r>
    </w:p>
    <w:p w14:paraId="533C2B55" w14:textId="77777777" w:rsidR="006B5FBC" w:rsidRPr="00037A62" w:rsidRDefault="006B5FBC" w:rsidP="006B5FBC">
      <w:pPr>
        <w:numPr>
          <w:ilvl w:val="0"/>
          <w:numId w:val="2"/>
        </w:numPr>
        <w:spacing w:before="120" w:after="120" w:line="240" w:lineRule="auto"/>
        <w:ind w:left="0" w:firstLine="0"/>
        <w:jc w:val="both"/>
        <w:rPr>
          <w:rFonts w:ascii="Verdana" w:hAnsi="Verdana"/>
          <w:color w:val="000000"/>
          <w:sz w:val="20"/>
          <w:szCs w:val="20"/>
          <w:shd w:val="clear" w:color="auto" w:fill="FFFFFF"/>
          <w:lang w:val="es-MX"/>
        </w:rPr>
      </w:pPr>
      <w:r w:rsidRPr="00037A62">
        <w:rPr>
          <w:rFonts w:ascii="Verdana" w:hAnsi="Verdana"/>
          <w:color w:val="000000"/>
          <w:sz w:val="20"/>
          <w:szCs w:val="20"/>
          <w:shd w:val="clear" w:color="auto" w:fill="FFFFFF"/>
          <w:lang w:val="es-MX"/>
        </w:rPr>
        <w:t>La Resolución de Medidas Urgentes adoptada por la Presidenta de la Corte el 6 de agosto de 2020</w:t>
      </w:r>
      <w:r w:rsidRPr="00037A62">
        <w:rPr>
          <w:rFonts w:ascii="Verdana" w:hAnsi="Verdana"/>
          <w:color w:val="000000"/>
          <w:sz w:val="20"/>
          <w:szCs w:val="20"/>
          <w:shd w:val="clear" w:color="auto" w:fill="FFFFFF"/>
          <w:vertAlign w:val="superscript"/>
          <w:lang w:val="es-MX"/>
        </w:rPr>
        <w:footnoteReference w:id="5"/>
      </w:r>
      <w:r w:rsidRPr="00037A62">
        <w:rPr>
          <w:rFonts w:ascii="Verdana" w:hAnsi="Verdana"/>
          <w:color w:val="000000"/>
          <w:sz w:val="20"/>
          <w:szCs w:val="20"/>
          <w:shd w:val="clear" w:color="auto" w:fill="FFFFFF"/>
          <w:lang w:val="es-MX"/>
        </w:rPr>
        <w:t>.</w:t>
      </w:r>
    </w:p>
    <w:p w14:paraId="4657362B" w14:textId="6A253EFC" w:rsidR="006B5FBC" w:rsidRPr="00037A62" w:rsidRDefault="006B5FBC" w:rsidP="006B5FBC">
      <w:pPr>
        <w:numPr>
          <w:ilvl w:val="0"/>
          <w:numId w:val="2"/>
        </w:numPr>
        <w:spacing w:before="120" w:after="120" w:line="240" w:lineRule="auto"/>
        <w:ind w:left="0" w:firstLine="0"/>
        <w:jc w:val="both"/>
        <w:rPr>
          <w:rFonts w:ascii="Verdana" w:hAnsi="Verdana"/>
          <w:color w:val="000000"/>
          <w:sz w:val="20"/>
          <w:szCs w:val="20"/>
          <w:shd w:val="clear" w:color="auto" w:fill="FFFFFF"/>
          <w:lang w:val="es-MX"/>
        </w:rPr>
      </w:pPr>
      <w:r w:rsidRPr="00037A62">
        <w:rPr>
          <w:rFonts w:ascii="Verdana" w:hAnsi="Verdana"/>
          <w:color w:val="000000"/>
          <w:sz w:val="20"/>
          <w:szCs w:val="20"/>
          <w:shd w:val="clear" w:color="auto" w:fill="FFFFFF"/>
          <w:lang w:val="es-MX"/>
        </w:rPr>
        <w:t>La Resolución de Medidas Provisionales adoptada por la Corte el 2 de septiembre de 2020, mediante la cual se ratificaron las Medidas Urgentes dispuestas por la Presidenta y se requirió al Estado de Honduras que adopte</w:t>
      </w:r>
      <w:r w:rsidR="00517914">
        <w:rPr>
          <w:rFonts w:ascii="Verdana" w:hAnsi="Verdana"/>
          <w:color w:val="000000"/>
          <w:sz w:val="20"/>
          <w:szCs w:val="20"/>
          <w:shd w:val="clear" w:color="auto" w:fill="FFFFFF"/>
          <w:lang w:val="es-MX"/>
        </w:rPr>
        <w:t>:</w:t>
      </w:r>
      <w:r w:rsidRPr="00037A62">
        <w:rPr>
          <w:rFonts w:ascii="Verdana" w:hAnsi="Verdana"/>
          <w:color w:val="000000"/>
          <w:sz w:val="20"/>
          <w:szCs w:val="20"/>
          <w:shd w:val="clear" w:color="auto" w:fill="FFFFFF"/>
          <w:lang w:val="es-MX"/>
        </w:rPr>
        <w:t xml:space="preserve"> a) todas las medidas necesarias y adecuadas para determinar el paradero de Milton Joel Martínez Álvarez, </w:t>
      </w:r>
      <w:proofErr w:type="spellStart"/>
      <w:r w:rsidRPr="00037A62">
        <w:rPr>
          <w:rFonts w:ascii="Verdana" w:hAnsi="Verdana"/>
          <w:color w:val="000000"/>
          <w:sz w:val="20"/>
          <w:szCs w:val="20"/>
          <w:shd w:val="clear" w:color="auto" w:fill="FFFFFF"/>
          <w:lang w:val="es-MX"/>
        </w:rPr>
        <w:t>Suami</w:t>
      </w:r>
      <w:proofErr w:type="spellEnd"/>
      <w:r w:rsidRPr="00037A62">
        <w:rPr>
          <w:rFonts w:ascii="Verdana" w:hAnsi="Verdana"/>
          <w:color w:val="000000"/>
          <w:sz w:val="20"/>
          <w:szCs w:val="20"/>
          <w:shd w:val="clear" w:color="auto" w:fill="FFFFFF"/>
          <w:lang w:val="es-MX"/>
        </w:rPr>
        <w:t xml:space="preserve"> Aparicio Mejía García, Gerardo Misael Trochez Calix y Albert </w:t>
      </w:r>
      <w:proofErr w:type="spellStart"/>
      <w:r w:rsidRPr="00037A62">
        <w:rPr>
          <w:rFonts w:ascii="Verdana" w:hAnsi="Verdana"/>
          <w:color w:val="000000"/>
          <w:sz w:val="20"/>
          <w:szCs w:val="20"/>
          <w:shd w:val="clear" w:color="auto" w:fill="FFFFFF"/>
          <w:lang w:val="es-MX"/>
        </w:rPr>
        <w:t>Snaider</w:t>
      </w:r>
      <w:proofErr w:type="spellEnd"/>
      <w:r w:rsidRPr="00037A62">
        <w:rPr>
          <w:rFonts w:ascii="Verdana" w:hAnsi="Verdana"/>
          <w:color w:val="000000"/>
          <w:sz w:val="20"/>
          <w:szCs w:val="20"/>
          <w:shd w:val="clear" w:color="auto" w:fill="FFFFFF"/>
          <w:lang w:val="es-MX"/>
        </w:rPr>
        <w:t xml:space="preserve"> Centeno Thomas</w:t>
      </w:r>
      <w:r w:rsidR="009D38BD">
        <w:rPr>
          <w:rFonts w:ascii="Verdana" w:hAnsi="Verdana"/>
          <w:color w:val="000000"/>
          <w:sz w:val="20"/>
          <w:szCs w:val="20"/>
          <w:shd w:val="clear" w:color="auto" w:fill="FFFFFF"/>
          <w:lang w:val="es-MX"/>
        </w:rPr>
        <w:t>,</w:t>
      </w:r>
      <w:r w:rsidRPr="00037A62">
        <w:rPr>
          <w:rFonts w:ascii="Verdana" w:hAnsi="Verdana"/>
          <w:color w:val="000000"/>
          <w:sz w:val="20"/>
          <w:szCs w:val="20"/>
          <w:shd w:val="clear" w:color="auto" w:fill="FFFFFF"/>
          <w:lang w:val="es-MX"/>
        </w:rPr>
        <w:t xml:space="preserve"> que se encuentran desaparecidos desde el 18 de julio de 2020, y b) todas las medidas adecuadas para proteger efect</w:t>
      </w:r>
      <w:r w:rsidR="009D38BD">
        <w:rPr>
          <w:rFonts w:ascii="Verdana" w:hAnsi="Verdana"/>
          <w:color w:val="000000"/>
          <w:sz w:val="20"/>
          <w:szCs w:val="20"/>
          <w:shd w:val="clear" w:color="auto" w:fill="FFFFFF"/>
          <w:lang w:val="es-MX"/>
        </w:rPr>
        <w:t>ivamente los derechos a la vida</w:t>
      </w:r>
      <w:r w:rsidRPr="00037A62">
        <w:rPr>
          <w:rFonts w:ascii="Verdana" w:hAnsi="Verdana"/>
          <w:color w:val="000000"/>
          <w:sz w:val="20"/>
          <w:szCs w:val="20"/>
          <w:shd w:val="clear" w:color="auto" w:fill="FFFFFF"/>
          <w:lang w:val="es-MX"/>
        </w:rPr>
        <w:t xml:space="preserve"> e integridad personal de los integrantes de las Comunidades Garífuna de Triunfo de la Cruz y de Punta Piedra que desarrollan colectivamente acciones de defensa de los derechos del pueblo Garífuna</w:t>
      </w:r>
      <w:r w:rsidRPr="00037A62">
        <w:rPr>
          <w:rFonts w:ascii="Verdana" w:hAnsi="Verdana"/>
          <w:color w:val="000000"/>
          <w:sz w:val="20"/>
          <w:szCs w:val="20"/>
          <w:shd w:val="clear" w:color="auto" w:fill="FFFFFF"/>
          <w:vertAlign w:val="superscript"/>
          <w:lang w:val="es-MX"/>
        </w:rPr>
        <w:footnoteReference w:id="6"/>
      </w:r>
      <w:r w:rsidRPr="00037A62">
        <w:rPr>
          <w:rFonts w:ascii="Verdana" w:hAnsi="Verdana"/>
          <w:color w:val="000000"/>
          <w:sz w:val="20"/>
          <w:szCs w:val="20"/>
          <w:shd w:val="clear" w:color="auto" w:fill="FFFFFF"/>
          <w:lang w:val="es-MX"/>
        </w:rPr>
        <w:t>.</w:t>
      </w:r>
    </w:p>
    <w:p w14:paraId="29592ADA" w14:textId="00415126" w:rsidR="006B5FBC" w:rsidRPr="00037A62" w:rsidRDefault="006B5FBC" w:rsidP="006B5FBC">
      <w:pPr>
        <w:numPr>
          <w:ilvl w:val="0"/>
          <w:numId w:val="2"/>
        </w:numPr>
        <w:spacing w:before="120" w:after="120" w:line="240" w:lineRule="auto"/>
        <w:ind w:left="0" w:firstLine="0"/>
        <w:jc w:val="both"/>
        <w:rPr>
          <w:rFonts w:ascii="Verdana" w:hAnsi="Verdana"/>
          <w:color w:val="000000"/>
          <w:sz w:val="20"/>
          <w:szCs w:val="20"/>
          <w:shd w:val="clear" w:color="auto" w:fill="FFFFFF"/>
          <w:lang w:val="es-MX"/>
        </w:rPr>
      </w:pPr>
      <w:r w:rsidRPr="00037A62">
        <w:rPr>
          <w:rFonts w:ascii="Verdana" w:hAnsi="Verdana"/>
          <w:color w:val="000000"/>
          <w:sz w:val="20"/>
          <w:szCs w:val="20"/>
          <w:shd w:val="clear" w:color="auto" w:fill="FFFFFF"/>
          <w:lang w:val="es-MX"/>
        </w:rPr>
        <w:t>Los escritos presentados por el Estado el 28 de septiembre, los días 9, 13 y 14 de octubre, 27 de noviembre de 2020, 18, y 28 de enero y 2 de febrero de 2021, mediante los cuales presentó información sobre la implementación de las medidas provisionales, y los correspondientes escritos de observaciones presentados por los representantes de los beneficiarios los días 11 de noviembre de 2020, y 8 y 14 de febrero de 2021, así como el escrito de observaciones presentado por la Comisión Interamericana de Derechos Humanos el 23 de noviembre de 2020.</w:t>
      </w:r>
    </w:p>
    <w:p w14:paraId="6B25CD5A" w14:textId="2958CA2B" w:rsidR="000B01FF" w:rsidRPr="00037A62" w:rsidRDefault="000B01FF" w:rsidP="007047C8">
      <w:pPr>
        <w:pStyle w:val="Cuadrculamedia1-nfasis21"/>
        <w:numPr>
          <w:ilvl w:val="0"/>
          <w:numId w:val="2"/>
        </w:numPr>
        <w:spacing w:before="120" w:after="120" w:line="240" w:lineRule="auto"/>
        <w:ind w:left="0" w:firstLine="0"/>
        <w:contextualSpacing w:val="0"/>
        <w:jc w:val="both"/>
        <w:rPr>
          <w:rFonts w:ascii="Verdana" w:hAnsi="Verdana"/>
          <w:b/>
          <w:color w:val="000000"/>
          <w:sz w:val="20"/>
          <w:szCs w:val="20"/>
          <w:shd w:val="clear" w:color="auto" w:fill="FFFFFF"/>
          <w:lang w:val="es-MX"/>
        </w:rPr>
      </w:pPr>
      <w:r w:rsidRPr="00037A62">
        <w:rPr>
          <w:rFonts w:ascii="Verdana" w:hAnsi="Verdana"/>
          <w:sz w:val="20"/>
          <w:szCs w:val="20"/>
          <w:lang w:val="es-MX"/>
        </w:rPr>
        <w:t xml:space="preserve">La audiencia </w:t>
      </w:r>
      <w:r w:rsidR="00B12573" w:rsidRPr="00037A62">
        <w:rPr>
          <w:rFonts w:ascii="Verdana" w:hAnsi="Verdana"/>
          <w:sz w:val="20"/>
          <w:szCs w:val="20"/>
          <w:lang w:val="es-MX"/>
        </w:rPr>
        <w:t>pública</w:t>
      </w:r>
      <w:r w:rsidR="00507E83" w:rsidRPr="00037A62">
        <w:rPr>
          <w:rFonts w:ascii="Verdana" w:hAnsi="Verdana"/>
          <w:sz w:val="20"/>
          <w:szCs w:val="20"/>
          <w:lang w:val="es-MX"/>
        </w:rPr>
        <w:t xml:space="preserve"> </w:t>
      </w:r>
      <w:r w:rsidR="00920CEB" w:rsidRPr="00037A62">
        <w:rPr>
          <w:rFonts w:ascii="Verdana" w:hAnsi="Verdana"/>
          <w:sz w:val="20"/>
          <w:szCs w:val="20"/>
          <w:lang w:val="es-MX"/>
        </w:rPr>
        <w:t xml:space="preserve">conjunta para los casos </w:t>
      </w:r>
      <w:r w:rsidR="00920CEB" w:rsidRPr="00037A62">
        <w:rPr>
          <w:rFonts w:ascii="Verdana" w:hAnsi="Verdana"/>
          <w:i/>
          <w:sz w:val="20"/>
          <w:szCs w:val="20"/>
          <w:lang w:val="es-MX"/>
        </w:rPr>
        <w:t xml:space="preserve">Comunidad Garífuna Triunfo de la Cruz y sus miembros Vs. Honduras </w:t>
      </w:r>
      <w:r w:rsidR="00920CEB" w:rsidRPr="00037A62">
        <w:rPr>
          <w:rFonts w:ascii="Verdana" w:hAnsi="Verdana"/>
          <w:sz w:val="20"/>
          <w:szCs w:val="20"/>
          <w:lang w:val="es-MX"/>
        </w:rPr>
        <w:t xml:space="preserve">y </w:t>
      </w:r>
      <w:r w:rsidR="00920CEB" w:rsidRPr="00037A62">
        <w:rPr>
          <w:rFonts w:ascii="Verdana" w:hAnsi="Verdana"/>
          <w:i/>
          <w:sz w:val="20"/>
          <w:szCs w:val="20"/>
          <w:lang w:val="es-MX"/>
        </w:rPr>
        <w:t>Comunidad Garífuna de Punta Piedra y sus miembros Vs. Honduras</w:t>
      </w:r>
      <w:r w:rsidR="00920CEB" w:rsidRPr="00037A62">
        <w:rPr>
          <w:rFonts w:ascii="Verdana" w:hAnsi="Verdana"/>
          <w:sz w:val="20"/>
          <w:szCs w:val="20"/>
          <w:lang w:val="es-MX"/>
        </w:rPr>
        <w:t xml:space="preserve"> sobre </w:t>
      </w:r>
      <w:r w:rsidR="004F7B3B">
        <w:rPr>
          <w:rFonts w:ascii="Verdana" w:hAnsi="Verdana"/>
          <w:sz w:val="20"/>
          <w:szCs w:val="20"/>
          <w:lang w:val="es-MX"/>
        </w:rPr>
        <w:t xml:space="preserve">la implementación </w:t>
      </w:r>
      <w:r w:rsidR="00B12573" w:rsidRPr="00037A62">
        <w:rPr>
          <w:rFonts w:ascii="Verdana" w:hAnsi="Verdana"/>
          <w:sz w:val="20"/>
          <w:szCs w:val="20"/>
          <w:lang w:val="es-MX"/>
        </w:rPr>
        <w:t xml:space="preserve">de </w:t>
      </w:r>
      <w:r w:rsidR="004F7B3B">
        <w:rPr>
          <w:rFonts w:ascii="Verdana" w:hAnsi="Verdana"/>
          <w:sz w:val="20"/>
          <w:szCs w:val="20"/>
          <w:lang w:val="es-MX"/>
        </w:rPr>
        <w:t xml:space="preserve">las </w:t>
      </w:r>
      <w:r w:rsidR="00B12573" w:rsidRPr="00037A62">
        <w:rPr>
          <w:rFonts w:ascii="Verdana" w:hAnsi="Verdana"/>
          <w:sz w:val="20"/>
          <w:szCs w:val="20"/>
          <w:lang w:val="es-MX"/>
        </w:rPr>
        <w:t xml:space="preserve">medidas provisionales y </w:t>
      </w:r>
      <w:r w:rsidR="004F7B3B">
        <w:rPr>
          <w:rFonts w:ascii="Verdana" w:hAnsi="Verdana"/>
          <w:sz w:val="20"/>
          <w:szCs w:val="20"/>
          <w:lang w:val="es-MX"/>
        </w:rPr>
        <w:t xml:space="preserve">la </w:t>
      </w:r>
      <w:r w:rsidR="00920CEB" w:rsidRPr="00037A62">
        <w:rPr>
          <w:rFonts w:ascii="Verdana" w:hAnsi="Verdana"/>
          <w:sz w:val="20"/>
          <w:szCs w:val="20"/>
          <w:lang w:val="es-MX"/>
        </w:rPr>
        <w:t xml:space="preserve">supervisión de </w:t>
      </w:r>
      <w:r w:rsidR="00920CEB" w:rsidRPr="00037A62">
        <w:rPr>
          <w:rFonts w:ascii="Verdana" w:hAnsi="Verdana"/>
          <w:sz w:val="20"/>
          <w:szCs w:val="20"/>
          <w:lang w:val="es-MX"/>
        </w:rPr>
        <w:lastRenderedPageBreak/>
        <w:t xml:space="preserve">cumplimiento de </w:t>
      </w:r>
      <w:r w:rsidR="004F7B3B">
        <w:rPr>
          <w:rFonts w:ascii="Verdana" w:hAnsi="Verdana"/>
          <w:sz w:val="20"/>
          <w:szCs w:val="20"/>
          <w:lang w:val="es-MX"/>
        </w:rPr>
        <w:t xml:space="preserve">las </w:t>
      </w:r>
      <w:r w:rsidR="00920CEB" w:rsidRPr="00037A62">
        <w:rPr>
          <w:rFonts w:ascii="Verdana" w:hAnsi="Verdana"/>
          <w:sz w:val="20"/>
          <w:szCs w:val="20"/>
          <w:lang w:val="es-MX"/>
        </w:rPr>
        <w:t>Sentencia</w:t>
      </w:r>
      <w:r w:rsidR="004F7B3B">
        <w:rPr>
          <w:rFonts w:ascii="Verdana" w:hAnsi="Verdana"/>
          <w:sz w:val="20"/>
          <w:szCs w:val="20"/>
          <w:lang w:val="es-MX"/>
        </w:rPr>
        <w:t>s</w:t>
      </w:r>
      <w:r w:rsidR="004E79E1" w:rsidRPr="00037A62">
        <w:rPr>
          <w:rStyle w:val="Refdenotaalpie"/>
          <w:rFonts w:ascii="Verdana" w:hAnsi="Verdana"/>
          <w:sz w:val="20"/>
          <w:szCs w:val="20"/>
          <w:lang w:val="es-MX"/>
        </w:rPr>
        <w:footnoteReference w:id="7"/>
      </w:r>
      <w:r w:rsidR="00C93475" w:rsidRPr="00037A62">
        <w:rPr>
          <w:rFonts w:ascii="Verdana" w:hAnsi="Verdana"/>
          <w:sz w:val="20"/>
          <w:szCs w:val="20"/>
          <w:lang w:val="es-MX"/>
        </w:rPr>
        <w:t xml:space="preserve">, celebrada el </w:t>
      </w:r>
      <w:r w:rsidR="005702BA" w:rsidRPr="00037A62">
        <w:rPr>
          <w:rFonts w:ascii="Verdana" w:hAnsi="Verdana"/>
          <w:sz w:val="20"/>
          <w:szCs w:val="20"/>
          <w:lang w:val="es-MX"/>
        </w:rPr>
        <w:t>4</w:t>
      </w:r>
      <w:r w:rsidRPr="00037A62">
        <w:rPr>
          <w:rFonts w:ascii="Verdana" w:hAnsi="Verdana"/>
          <w:sz w:val="20"/>
          <w:szCs w:val="20"/>
          <w:lang w:val="es-MX"/>
        </w:rPr>
        <w:t xml:space="preserve"> de </w:t>
      </w:r>
      <w:r w:rsidR="005702BA" w:rsidRPr="00037A62">
        <w:rPr>
          <w:rFonts w:ascii="Verdana" w:hAnsi="Verdana"/>
          <w:sz w:val="20"/>
          <w:szCs w:val="20"/>
          <w:lang w:val="es-MX"/>
        </w:rPr>
        <w:t>marzo</w:t>
      </w:r>
      <w:r w:rsidRPr="00037A62">
        <w:rPr>
          <w:rFonts w:ascii="Verdana" w:hAnsi="Verdana"/>
          <w:sz w:val="20"/>
          <w:szCs w:val="20"/>
          <w:lang w:val="es-MX"/>
        </w:rPr>
        <w:t xml:space="preserve"> de </w:t>
      </w:r>
      <w:r w:rsidR="005702BA" w:rsidRPr="00037A62">
        <w:rPr>
          <w:rFonts w:ascii="Verdana" w:hAnsi="Verdana"/>
          <w:sz w:val="20"/>
          <w:szCs w:val="20"/>
          <w:lang w:val="es-MX"/>
        </w:rPr>
        <w:t>2021</w:t>
      </w:r>
      <w:r w:rsidR="00B12573" w:rsidRPr="00037A62">
        <w:rPr>
          <w:rFonts w:ascii="Verdana" w:hAnsi="Verdana"/>
          <w:sz w:val="20"/>
          <w:szCs w:val="20"/>
          <w:lang w:val="es-MX"/>
        </w:rPr>
        <w:t xml:space="preserve"> </w:t>
      </w:r>
      <w:r w:rsidR="00C54374" w:rsidRPr="00037A62">
        <w:rPr>
          <w:rFonts w:ascii="Verdana" w:hAnsi="Verdana"/>
          <w:sz w:val="20"/>
          <w:szCs w:val="20"/>
          <w:lang w:val="es-MX"/>
        </w:rPr>
        <w:t>durante el 140</w:t>
      </w:r>
      <w:r w:rsidR="00601BB5" w:rsidRPr="00037A62">
        <w:rPr>
          <w:rFonts w:ascii="Verdana" w:hAnsi="Verdana"/>
          <w:sz w:val="20"/>
          <w:szCs w:val="20"/>
          <w:lang w:val="es-MX"/>
        </w:rPr>
        <w:t>°</w:t>
      </w:r>
      <w:r w:rsidR="00C54374" w:rsidRPr="00037A62">
        <w:rPr>
          <w:rFonts w:ascii="Verdana" w:hAnsi="Verdana"/>
          <w:sz w:val="20"/>
          <w:szCs w:val="20"/>
          <w:lang w:val="es-MX"/>
        </w:rPr>
        <w:t xml:space="preserve"> Periodo Ordinario de Sesiones</w:t>
      </w:r>
      <w:r w:rsidR="004F7B3B">
        <w:rPr>
          <w:rFonts w:ascii="Verdana" w:hAnsi="Verdana"/>
          <w:sz w:val="20"/>
          <w:szCs w:val="20"/>
          <w:lang w:val="es-MX"/>
        </w:rPr>
        <w:t>,</w:t>
      </w:r>
      <w:r w:rsidR="00C54374" w:rsidRPr="00037A62">
        <w:rPr>
          <w:rFonts w:ascii="Verdana" w:hAnsi="Verdana"/>
          <w:sz w:val="20"/>
          <w:szCs w:val="20"/>
          <w:lang w:val="es-MX"/>
        </w:rPr>
        <w:t xml:space="preserve"> </w:t>
      </w:r>
      <w:r w:rsidR="00601BB5" w:rsidRPr="00037A62">
        <w:rPr>
          <w:rFonts w:ascii="Verdana" w:hAnsi="Verdana"/>
          <w:sz w:val="20"/>
          <w:szCs w:val="20"/>
          <w:lang w:val="es-MX"/>
        </w:rPr>
        <w:t>la cual se llevó a cabo de manera no presencial utilizando los medios tecnológicos</w:t>
      </w:r>
      <w:r w:rsidR="00920CEB" w:rsidRPr="00037A62">
        <w:rPr>
          <w:rStyle w:val="Refdenotaalpie"/>
          <w:rFonts w:ascii="Verdana" w:hAnsi="Verdana"/>
          <w:sz w:val="20"/>
          <w:szCs w:val="20"/>
          <w:lang w:val="es-MX"/>
        </w:rPr>
        <w:footnoteReference w:id="8"/>
      </w:r>
      <w:r w:rsidR="00C93475" w:rsidRPr="00037A62">
        <w:rPr>
          <w:rFonts w:ascii="Verdana" w:hAnsi="Verdana"/>
          <w:sz w:val="20"/>
          <w:szCs w:val="20"/>
          <w:lang w:val="es-MX"/>
        </w:rPr>
        <w:t>.</w:t>
      </w:r>
    </w:p>
    <w:p w14:paraId="2443DD9F" w14:textId="77777777" w:rsidR="00B12573" w:rsidRPr="00037A62" w:rsidRDefault="00B12573" w:rsidP="00253240">
      <w:pPr>
        <w:spacing w:before="120" w:after="120" w:line="240" w:lineRule="auto"/>
        <w:jc w:val="both"/>
        <w:rPr>
          <w:rFonts w:ascii="Verdana" w:hAnsi="Verdana"/>
          <w:b/>
          <w:sz w:val="20"/>
          <w:szCs w:val="20"/>
          <w:lang w:val="es-MX"/>
        </w:rPr>
      </w:pPr>
    </w:p>
    <w:p w14:paraId="7D0767F3" w14:textId="34BE6448" w:rsidR="001C3529" w:rsidRPr="00037A62" w:rsidRDefault="005921C0" w:rsidP="001C3529">
      <w:pPr>
        <w:spacing w:before="120" w:after="120" w:line="240" w:lineRule="auto"/>
        <w:jc w:val="both"/>
        <w:rPr>
          <w:rFonts w:ascii="Verdana" w:hAnsi="Verdana"/>
          <w:b/>
          <w:sz w:val="20"/>
          <w:szCs w:val="20"/>
          <w:lang w:val="es-MX"/>
        </w:rPr>
      </w:pPr>
      <w:r w:rsidRPr="00037A62">
        <w:rPr>
          <w:rFonts w:ascii="Verdana" w:hAnsi="Verdana"/>
          <w:b/>
          <w:sz w:val="20"/>
          <w:szCs w:val="20"/>
          <w:lang w:val="es-MX"/>
        </w:rPr>
        <w:t>C</w:t>
      </w:r>
      <w:r w:rsidR="008F5FD0" w:rsidRPr="00037A62">
        <w:rPr>
          <w:rFonts w:ascii="Verdana" w:hAnsi="Verdana"/>
          <w:b/>
          <w:sz w:val="20"/>
          <w:szCs w:val="20"/>
          <w:lang w:val="es-MX"/>
        </w:rPr>
        <w:t xml:space="preserve">ONSIDERANDO QUE: </w:t>
      </w:r>
    </w:p>
    <w:p w14:paraId="5F3A47C1" w14:textId="7BC19439" w:rsidR="002B625E" w:rsidRPr="00037A62" w:rsidRDefault="008F5FD0" w:rsidP="007047C8">
      <w:pPr>
        <w:pStyle w:val="Cuadrculamedia1-nfasis21"/>
        <w:numPr>
          <w:ilvl w:val="0"/>
          <w:numId w:val="3"/>
        </w:numPr>
        <w:spacing w:before="120" w:after="120" w:line="240" w:lineRule="auto"/>
        <w:ind w:left="0" w:firstLine="0"/>
        <w:contextualSpacing w:val="0"/>
        <w:jc w:val="both"/>
        <w:rPr>
          <w:rFonts w:ascii="Verdana" w:hAnsi="Verdana"/>
          <w:b/>
          <w:sz w:val="20"/>
          <w:szCs w:val="20"/>
          <w:lang w:val="es-MX"/>
        </w:rPr>
      </w:pPr>
      <w:r w:rsidRPr="00037A62">
        <w:rPr>
          <w:rFonts w:ascii="Verdana" w:hAnsi="Verdana"/>
          <w:sz w:val="20"/>
          <w:szCs w:val="20"/>
          <w:lang w:val="es-MX"/>
        </w:rPr>
        <w:t>En el ejercicio de su función jurisdiccional de supervisar el cumplimiento de sus decisiones</w:t>
      </w:r>
      <w:r w:rsidRPr="00037A62">
        <w:rPr>
          <w:rStyle w:val="Refdenotaalpie"/>
          <w:rFonts w:ascii="Verdana" w:hAnsi="Verdana"/>
          <w:sz w:val="20"/>
          <w:szCs w:val="20"/>
          <w:lang w:val="es-MX"/>
        </w:rPr>
        <w:footnoteReference w:id="9"/>
      </w:r>
      <w:r w:rsidRPr="00037A62">
        <w:rPr>
          <w:rFonts w:ascii="Verdana" w:hAnsi="Verdana"/>
          <w:sz w:val="20"/>
          <w:szCs w:val="20"/>
          <w:lang w:val="es-MX"/>
        </w:rPr>
        <w:t xml:space="preserve">, la Corte ha venido </w:t>
      </w:r>
      <w:r w:rsidR="00253240" w:rsidRPr="00037A62">
        <w:rPr>
          <w:rFonts w:ascii="Verdana" w:hAnsi="Verdana"/>
          <w:sz w:val="20"/>
          <w:szCs w:val="20"/>
          <w:lang w:val="es-MX"/>
        </w:rPr>
        <w:t>supervisando</w:t>
      </w:r>
      <w:r w:rsidRPr="00037A62">
        <w:rPr>
          <w:rFonts w:ascii="Verdana" w:hAnsi="Verdana"/>
          <w:sz w:val="20"/>
          <w:szCs w:val="20"/>
          <w:lang w:val="es-MX"/>
        </w:rPr>
        <w:t xml:space="preserve"> la ejecución de la</w:t>
      </w:r>
      <w:r w:rsidR="00CB1CDB" w:rsidRPr="00037A62">
        <w:rPr>
          <w:rFonts w:ascii="Verdana" w:hAnsi="Verdana"/>
          <w:sz w:val="20"/>
          <w:szCs w:val="20"/>
          <w:lang w:val="es-MX"/>
        </w:rPr>
        <w:t xml:space="preserve"> referida</w:t>
      </w:r>
      <w:r w:rsidR="00D718FB">
        <w:rPr>
          <w:rFonts w:ascii="Verdana" w:hAnsi="Verdana"/>
          <w:sz w:val="20"/>
          <w:szCs w:val="20"/>
          <w:lang w:val="es-MX"/>
        </w:rPr>
        <w:t>s</w:t>
      </w:r>
      <w:r w:rsidRPr="00037A62">
        <w:rPr>
          <w:rFonts w:ascii="Verdana" w:hAnsi="Verdana"/>
          <w:sz w:val="20"/>
          <w:szCs w:val="20"/>
          <w:lang w:val="es-MX"/>
        </w:rPr>
        <w:t xml:space="preserve"> Sentencia</w:t>
      </w:r>
      <w:r w:rsidR="00D718FB">
        <w:rPr>
          <w:rFonts w:ascii="Verdana" w:hAnsi="Verdana"/>
          <w:sz w:val="20"/>
          <w:szCs w:val="20"/>
          <w:lang w:val="es-MX"/>
        </w:rPr>
        <w:t>s</w:t>
      </w:r>
      <w:r w:rsidRPr="00037A62">
        <w:rPr>
          <w:rFonts w:ascii="Verdana" w:hAnsi="Verdana"/>
          <w:sz w:val="20"/>
          <w:szCs w:val="20"/>
          <w:lang w:val="es-MX"/>
        </w:rPr>
        <w:t xml:space="preserve"> emitida</w:t>
      </w:r>
      <w:r w:rsidR="00D718FB">
        <w:rPr>
          <w:rFonts w:ascii="Verdana" w:hAnsi="Verdana"/>
          <w:sz w:val="20"/>
          <w:szCs w:val="20"/>
          <w:lang w:val="es-MX"/>
        </w:rPr>
        <w:t>s</w:t>
      </w:r>
      <w:r w:rsidRPr="00037A62">
        <w:rPr>
          <w:rFonts w:ascii="Verdana" w:hAnsi="Verdana"/>
          <w:sz w:val="20"/>
          <w:szCs w:val="20"/>
          <w:lang w:val="es-MX"/>
        </w:rPr>
        <w:t xml:space="preserve"> en el </w:t>
      </w:r>
      <w:r w:rsidR="008D4CDC" w:rsidRPr="00037A62">
        <w:rPr>
          <w:rFonts w:ascii="Verdana" w:hAnsi="Verdana"/>
          <w:sz w:val="20"/>
          <w:szCs w:val="20"/>
          <w:lang w:val="es-MX"/>
        </w:rPr>
        <w:t>2015</w:t>
      </w:r>
      <w:r w:rsidR="00975B02" w:rsidRPr="00037A62">
        <w:rPr>
          <w:rFonts w:ascii="Verdana" w:hAnsi="Verdana"/>
          <w:sz w:val="20"/>
          <w:szCs w:val="20"/>
          <w:lang w:val="es-MX"/>
        </w:rPr>
        <w:t xml:space="preserve"> </w:t>
      </w:r>
      <w:r w:rsidRPr="00037A62">
        <w:rPr>
          <w:rFonts w:ascii="Verdana" w:hAnsi="Verdana"/>
          <w:sz w:val="20"/>
          <w:szCs w:val="20"/>
          <w:lang w:val="es-MX"/>
        </w:rPr>
        <w:t>(</w:t>
      </w:r>
      <w:r w:rsidRPr="00037A62">
        <w:rPr>
          <w:rFonts w:ascii="Verdana" w:hAnsi="Verdana"/>
          <w:i/>
          <w:sz w:val="20"/>
          <w:szCs w:val="20"/>
          <w:lang w:val="es-MX"/>
        </w:rPr>
        <w:t>supra</w:t>
      </w:r>
      <w:r w:rsidRPr="00037A62">
        <w:rPr>
          <w:rFonts w:ascii="Verdana" w:hAnsi="Verdana"/>
          <w:sz w:val="20"/>
          <w:szCs w:val="20"/>
          <w:lang w:val="es-MX"/>
        </w:rPr>
        <w:t xml:space="preserve"> Visto </w:t>
      </w:r>
      <w:r w:rsidR="008E283B" w:rsidRPr="00037A62">
        <w:rPr>
          <w:rFonts w:ascii="Verdana" w:hAnsi="Verdana"/>
          <w:sz w:val="20"/>
          <w:szCs w:val="20"/>
          <w:lang w:val="es-MX"/>
        </w:rPr>
        <w:t>1)</w:t>
      </w:r>
      <w:r w:rsidR="00D718FB">
        <w:rPr>
          <w:rFonts w:ascii="Verdana" w:hAnsi="Verdana"/>
          <w:sz w:val="20"/>
          <w:szCs w:val="20"/>
          <w:lang w:val="es-MX"/>
        </w:rPr>
        <w:t xml:space="preserve"> y también supervisa la implementaci</w:t>
      </w:r>
      <w:r w:rsidR="00137326">
        <w:rPr>
          <w:rFonts w:ascii="Verdana" w:hAnsi="Verdana"/>
          <w:sz w:val="20"/>
          <w:szCs w:val="20"/>
          <w:lang w:val="es-MX"/>
        </w:rPr>
        <w:t>ón de la</w:t>
      </w:r>
      <w:r w:rsidR="00D718FB">
        <w:rPr>
          <w:rFonts w:ascii="Verdana" w:hAnsi="Verdana"/>
          <w:sz w:val="20"/>
          <w:szCs w:val="20"/>
          <w:lang w:val="es-MX"/>
        </w:rPr>
        <w:t xml:space="preserve"> resolución que ordenó las medidas provisionales (</w:t>
      </w:r>
      <w:r w:rsidR="00D718FB" w:rsidRPr="00137326">
        <w:rPr>
          <w:rFonts w:ascii="Verdana" w:hAnsi="Verdana"/>
          <w:i/>
          <w:sz w:val="20"/>
          <w:szCs w:val="20"/>
          <w:lang w:val="es-MX"/>
        </w:rPr>
        <w:t>supra</w:t>
      </w:r>
      <w:r w:rsidR="00D718FB">
        <w:rPr>
          <w:rFonts w:ascii="Verdana" w:hAnsi="Verdana"/>
          <w:sz w:val="20"/>
          <w:szCs w:val="20"/>
          <w:lang w:val="es-MX"/>
        </w:rPr>
        <w:t xml:space="preserve"> Visto </w:t>
      </w:r>
      <w:r w:rsidR="00D53958">
        <w:rPr>
          <w:rFonts w:ascii="Verdana" w:hAnsi="Verdana"/>
          <w:sz w:val="20"/>
          <w:szCs w:val="20"/>
          <w:lang w:val="es-MX"/>
        </w:rPr>
        <w:t>5</w:t>
      </w:r>
      <w:r w:rsidR="00D718FB">
        <w:rPr>
          <w:rFonts w:ascii="Verdana" w:hAnsi="Verdana"/>
          <w:sz w:val="20"/>
          <w:szCs w:val="20"/>
          <w:lang w:val="es-MX"/>
        </w:rPr>
        <w:t>)</w:t>
      </w:r>
      <w:r w:rsidR="008E283B" w:rsidRPr="00037A62">
        <w:rPr>
          <w:rFonts w:ascii="Verdana" w:hAnsi="Verdana"/>
          <w:sz w:val="20"/>
          <w:szCs w:val="20"/>
          <w:lang w:val="es-MX"/>
        </w:rPr>
        <w:t>.</w:t>
      </w:r>
    </w:p>
    <w:p w14:paraId="59DFA149" w14:textId="77777777" w:rsidR="00253240" w:rsidRPr="00037A62" w:rsidRDefault="0028181B" w:rsidP="007047C8">
      <w:pPr>
        <w:pStyle w:val="Cuadrculamedia1-nfasis21"/>
        <w:numPr>
          <w:ilvl w:val="0"/>
          <w:numId w:val="3"/>
        </w:numPr>
        <w:spacing w:before="120" w:after="120" w:line="240" w:lineRule="auto"/>
        <w:ind w:left="0" w:firstLine="0"/>
        <w:contextualSpacing w:val="0"/>
        <w:jc w:val="both"/>
        <w:rPr>
          <w:rFonts w:ascii="Verdana" w:hAnsi="Verdana"/>
          <w:b/>
          <w:sz w:val="20"/>
          <w:szCs w:val="20"/>
          <w:lang w:val="es-MX"/>
        </w:rPr>
      </w:pPr>
      <w:r w:rsidRPr="00037A62">
        <w:rPr>
          <w:rFonts w:ascii="Verdana" w:hAnsi="Verdana"/>
          <w:sz w:val="20"/>
          <w:szCs w:val="20"/>
          <w:lang w:val="es-MX"/>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923F4" w:rsidRPr="00037A62">
        <w:rPr>
          <w:rStyle w:val="Refdenotaalpie"/>
          <w:rFonts w:ascii="Verdana" w:hAnsi="Verdana"/>
          <w:sz w:val="20"/>
          <w:szCs w:val="20"/>
          <w:lang w:val="es-MX"/>
        </w:rPr>
        <w:footnoteReference w:id="10"/>
      </w:r>
      <w:r w:rsidR="005923F4" w:rsidRPr="00037A62">
        <w:rPr>
          <w:rFonts w:ascii="Verdana" w:hAnsi="Verdana"/>
          <w:sz w:val="20"/>
          <w:szCs w:val="20"/>
          <w:lang w:val="es-MX"/>
        </w:rPr>
        <w:t>.</w:t>
      </w:r>
      <w:r w:rsidR="006A08FC" w:rsidRPr="00037A62">
        <w:rPr>
          <w:rFonts w:ascii="Verdana" w:hAnsi="Verdana"/>
          <w:sz w:val="20"/>
          <w:szCs w:val="20"/>
          <w:lang w:val="es-MX"/>
        </w:rPr>
        <w:t xml:space="preserve"> </w:t>
      </w:r>
      <w:r w:rsidR="00FB3834" w:rsidRPr="00037A62">
        <w:rPr>
          <w:rFonts w:ascii="Verdana" w:hAnsi="Verdana"/>
          <w:sz w:val="20"/>
          <w:szCs w:val="20"/>
          <w:lang w:val="es-MX"/>
        </w:rPr>
        <w:t>Los Estados Parte en la Convención deben garantizar el cumplimiento de las disposiciones convencionales y sus efectos propios (</w:t>
      </w:r>
      <w:proofErr w:type="spellStart"/>
      <w:r w:rsidR="00FB3834" w:rsidRPr="00037A62">
        <w:rPr>
          <w:rFonts w:ascii="Verdana" w:hAnsi="Verdana"/>
          <w:i/>
          <w:sz w:val="20"/>
          <w:szCs w:val="20"/>
          <w:lang w:val="es-MX"/>
        </w:rPr>
        <w:t>effet</w:t>
      </w:r>
      <w:proofErr w:type="spellEnd"/>
      <w:r w:rsidR="00FB3834" w:rsidRPr="00037A62">
        <w:rPr>
          <w:rFonts w:ascii="Verdana" w:hAnsi="Verdana"/>
          <w:i/>
          <w:sz w:val="20"/>
          <w:szCs w:val="20"/>
          <w:lang w:val="es-MX"/>
        </w:rPr>
        <w:t xml:space="preserve"> </w:t>
      </w:r>
      <w:proofErr w:type="spellStart"/>
      <w:r w:rsidR="00FB3834" w:rsidRPr="00037A62">
        <w:rPr>
          <w:rFonts w:ascii="Verdana" w:hAnsi="Verdana"/>
          <w:i/>
          <w:sz w:val="20"/>
          <w:szCs w:val="20"/>
          <w:lang w:val="es-MX"/>
        </w:rPr>
        <w:t>utile</w:t>
      </w:r>
      <w:proofErr w:type="spellEnd"/>
      <w:r w:rsidR="00FB3834" w:rsidRPr="00037A62">
        <w:rPr>
          <w:rFonts w:ascii="Verdana" w:hAnsi="Verdana"/>
          <w:sz w:val="20"/>
          <w:szCs w:val="20"/>
          <w:lang w:val="es-MX"/>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037A62">
        <w:rPr>
          <w:rStyle w:val="Refdenotaalpie"/>
          <w:rFonts w:ascii="Verdana" w:hAnsi="Verdana"/>
          <w:sz w:val="20"/>
          <w:szCs w:val="20"/>
          <w:lang w:val="es-MX"/>
        </w:rPr>
        <w:footnoteReference w:id="11"/>
      </w:r>
      <w:r w:rsidR="00FB3834" w:rsidRPr="00037A62">
        <w:rPr>
          <w:rFonts w:ascii="Verdana" w:hAnsi="Verdana"/>
          <w:sz w:val="20"/>
          <w:szCs w:val="20"/>
          <w:lang w:val="es-MX"/>
        </w:rPr>
        <w:t>.</w:t>
      </w:r>
    </w:p>
    <w:p w14:paraId="4663AC9E" w14:textId="3299DB10" w:rsidR="00F35D06" w:rsidRPr="00037A62" w:rsidRDefault="00E73EB4" w:rsidP="007047C8">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lastRenderedPageBreak/>
        <w:t xml:space="preserve">Tanto en las Sentencias de ambos casos como en la referida decisión de medidas provisionales, este Tribunal conoció de hechos de violencia contra integrantes de dichas </w:t>
      </w:r>
      <w:r w:rsidR="002B2018">
        <w:rPr>
          <w:rFonts w:ascii="Verdana" w:hAnsi="Verdana"/>
          <w:sz w:val="20"/>
          <w:szCs w:val="20"/>
          <w:lang w:val="es-MX"/>
        </w:rPr>
        <w:t>Comunidades Garífunas</w:t>
      </w:r>
      <w:r>
        <w:rPr>
          <w:rFonts w:ascii="Verdana" w:hAnsi="Verdana"/>
          <w:sz w:val="20"/>
          <w:szCs w:val="20"/>
          <w:lang w:val="es-MX"/>
        </w:rPr>
        <w:t>, íntimamente relacionados con el riesgo e inseguridad causado por la falta de garantía del derecho a la propiedad comunal</w:t>
      </w:r>
      <w:r w:rsidR="00857C34">
        <w:rPr>
          <w:rFonts w:ascii="Verdana" w:hAnsi="Verdana"/>
          <w:sz w:val="20"/>
          <w:szCs w:val="20"/>
          <w:lang w:val="es-MX"/>
        </w:rPr>
        <w:t>, los conflictos que ello genera</w:t>
      </w:r>
      <w:r>
        <w:rPr>
          <w:rFonts w:ascii="Verdana" w:hAnsi="Verdana"/>
          <w:sz w:val="20"/>
          <w:szCs w:val="20"/>
          <w:lang w:val="es-MX"/>
        </w:rPr>
        <w:t xml:space="preserve"> </w:t>
      </w:r>
      <w:r w:rsidR="00857C34">
        <w:rPr>
          <w:rFonts w:ascii="Verdana" w:hAnsi="Verdana"/>
          <w:sz w:val="20"/>
          <w:szCs w:val="20"/>
          <w:lang w:val="es-MX"/>
        </w:rPr>
        <w:t xml:space="preserve">en la zona </w:t>
      </w:r>
      <w:r>
        <w:rPr>
          <w:rFonts w:ascii="Verdana" w:hAnsi="Verdana"/>
          <w:sz w:val="20"/>
          <w:szCs w:val="20"/>
          <w:lang w:val="es-MX"/>
        </w:rPr>
        <w:t xml:space="preserve">y los reclamos que realizan </w:t>
      </w:r>
      <w:r w:rsidR="009D38BD">
        <w:rPr>
          <w:rFonts w:ascii="Verdana" w:hAnsi="Verdana"/>
          <w:sz w:val="20"/>
          <w:szCs w:val="20"/>
          <w:lang w:val="es-MX"/>
        </w:rPr>
        <w:t>los miembros de las C</w:t>
      </w:r>
      <w:r w:rsidR="00857C34">
        <w:rPr>
          <w:rFonts w:ascii="Verdana" w:hAnsi="Verdana"/>
          <w:sz w:val="20"/>
          <w:szCs w:val="20"/>
          <w:lang w:val="es-MX"/>
        </w:rPr>
        <w:t xml:space="preserve">omunidades </w:t>
      </w:r>
      <w:r>
        <w:rPr>
          <w:rFonts w:ascii="Verdana" w:hAnsi="Verdana"/>
          <w:sz w:val="20"/>
          <w:szCs w:val="20"/>
          <w:lang w:val="es-MX"/>
        </w:rPr>
        <w:t xml:space="preserve">en defensa de sus derechos. Es por ello que la </w:t>
      </w:r>
      <w:r w:rsidR="00137326">
        <w:rPr>
          <w:rFonts w:ascii="Verdana" w:hAnsi="Verdana"/>
          <w:sz w:val="20"/>
          <w:szCs w:val="20"/>
          <w:lang w:val="es-MX"/>
        </w:rPr>
        <w:t xml:space="preserve">presente Resolución tiene por objeto valorar la información recibida durante </w:t>
      </w:r>
      <w:r w:rsidR="00E7235A">
        <w:rPr>
          <w:rFonts w:ascii="Verdana" w:hAnsi="Verdana"/>
          <w:sz w:val="20"/>
          <w:szCs w:val="20"/>
          <w:lang w:val="es-MX"/>
        </w:rPr>
        <w:t xml:space="preserve">la audiencia pública celebrada el 4 de marzo de 2021 </w:t>
      </w:r>
      <w:r w:rsidR="00F7406C" w:rsidRPr="00037A62">
        <w:rPr>
          <w:rFonts w:ascii="Verdana" w:hAnsi="Verdana"/>
          <w:sz w:val="20"/>
          <w:szCs w:val="20"/>
          <w:lang w:val="es-MX"/>
        </w:rPr>
        <w:t>(</w:t>
      </w:r>
      <w:r w:rsidR="00F7406C" w:rsidRPr="00037A62">
        <w:rPr>
          <w:rFonts w:ascii="Verdana" w:hAnsi="Verdana"/>
          <w:i/>
          <w:sz w:val="20"/>
          <w:szCs w:val="20"/>
          <w:lang w:val="es-MX"/>
        </w:rPr>
        <w:t>supra</w:t>
      </w:r>
      <w:r w:rsidR="00137326">
        <w:rPr>
          <w:rFonts w:ascii="Verdana" w:hAnsi="Verdana"/>
          <w:i/>
          <w:sz w:val="20"/>
          <w:szCs w:val="20"/>
          <w:lang w:val="es-MX"/>
        </w:rPr>
        <w:t xml:space="preserve"> </w:t>
      </w:r>
      <w:r w:rsidR="00137326" w:rsidRPr="00137326">
        <w:rPr>
          <w:rFonts w:ascii="Verdana" w:hAnsi="Verdana"/>
          <w:sz w:val="20"/>
          <w:szCs w:val="20"/>
          <w:lang w:val="es-MX"/>
        </w:rPr>
        <w:t xml:space="preserve">Visto </w:t>
      </w:r>
      <w:r w:rsidR="00306148">
        <w:rPr>
          <w:rFonts w:ascii="Verdana" w:hAnsi="Verdana"/>
          <w:sz w:val="20"/>
          <w:szCs w:val="20"/>
          <w:lang w:val="es-MX"/>
        </w:rPr>
        <w:t>7</w:t>
      </w:r>
      <w:r w:rsidR="00F7406C" w:rsidRPr="00037A62">
        <w:rPr>
          <w:rFonts w:ascii="Verdana" w:hAnsi="Verdana"/>
          <w:sz w:val="20"/>
          <w:szCs w:val="20"/>
          <w:lang w:val="es-MX"/>
        </w:rPr>
        <w:t>)</w:t>
      </w:r>
      <w:r w:rsidR="00137326">
        <w:rPr>
          <w:rFonts w:ascii="Verdana" w:hAnsi="Verdana"/>
          <w:sz w:val="20"/>
          <w:szCs w:val="20"/>
          <w:lang w:val="es-MX"/>
        </w:rPr>
        <w:t>, así como de forma escrita previo a la misma (</w:t>
      </w:r>
      <w:r w:rsidR="00137326" w:rsidRPr="00137326">
        <w:rPr>
          <w:rFonts w:ascii="Verdana" w:hAnsi="Verdana"/>
          <w:i/>
          <w:sz w:val="20"/>
          <w:szCs w:val="20"/>
          <w:lang w:val="es-MX"/>
        </w:rPr>
        <w:t>supra</w:t>
      </w:r>
      <w:r w:rsidR="00137326">
        <w:rPr>
          <w:rFonts w:ascii="Verdana" w:hAnsi="Verdana"/>
          <w:sz w:val="20"/>
          <w:szCs w:val="20"/>
          <w:lang w:val="es-MX"/>
        </w:rPr>
        <w:t xml:space="preserve"> Vistos 3 y </w:t>
      </w:r>
      <w:r w:rsidR="00306148">
        <w:rPr>
          <w:rFonts w:ascii="Verdana" w:hAnsi="Verdana"/>
          <w:sz w:val="20"/>
          <w:szCs w:val="20"/>
          <w:lang w:val="es-MX"/>
        </w:rPr>
        <w:t>6</w:t>
      </w:r>
      <w:r w:rsidR="00137326">
        <w:rPr>
          <w:rFonts w:ascii="Verdana" w:hAnsi="Verdana"/>
          <w:sz w:val="20"/>
          <w:szCs w:val="20"/>
          <w:lang w:val="es-MX"/>
        </w:rPr>
        <w:t>),</w:t>
      </w:r>
      <w:r w:rsidR="003A474D" w:rsidRPr="00037A62">
        <w:rPr>
          <w:rFonts w:ascii="Verdana" w:hAnsi="Verdana"/>
          <w:sz w:val="20"/>
          <w:szCs w:val="20"/>
          <w:lang w:val="es-MX"/>
        </w:rPr>
        <w:t xml:space="preserve"> </w:t>
      </w:r>
      <w:r w:rsidR="00137326">
        <w:rPr>
          <w:rFonts w:ascii="Verdana" w:hAnsi="Verdana"/>
          <w:sz w:val="20"/>
          <w:szCs w:val="20"/>
          <w:lang w:val="es-MX"/>
        </w:rPr>
        <w:t xml:space="preserve">tanto sobre la implementación de las medidas provisionales </w:t>
      </w:r>
      <w:r w:rsidR="002B0D3C">
        <w:rPr>
          <w:rFonts w:ascii="Verdana" w:hAnsi="Verdana"/>
          <w:sz w:val="20"/>
          <w:szCs w:val="20"/>
          <w:lang w:val="es-MX"/>
        </w:rPr>
        <w:t xml:space="preserve">adoptadas en septiembre de 2020 </w:t>
      </w:r>
      <w:r w:rsidR="00AC4F19">
        <w:rPr>
          <w:rFonts w:ascii="Verdana" w:hAnsi="Verdana"/>
          <w:sz w:val="20"/>
          <w:szCs w:val="20"/>
          <w:lang w:val="es-MX"/>
        </w:rPr>
        <w:t>(</w:t>
      </w:r>
      <w:r w:rsidR="00306148" w:rsidRPr="004B392B">
        <w:rPr>
          <w:rFonts w:ascii="Verdana" w:hAnsi="Verdana"/>
          <w:i/>
          <w:iCs/>
          <w:sz w:val="20"/>
          <w:szCs w:val="20"/>
          <w:lang w:val="es-MX"/>
        </w:rPr>
        <w:t>supra</w:t>
      </w:r>
      <w:r w:rsidR="00306148">
        <w:rPr>
          <w:rFonts w:ascii="Verdana" w:hAnsi="Verdana"/>
          <w:sz w:val="20"/>
          <w:szCs w:val="20"/>
          <w:lang w:val="es-MX"/>
        </w:rPr>
        <w:t xml:space="preserve"> Visto 5</w:t>
      </w:r>
      <w:r w:rsidR="00AC4F19">
        <w:rPr>
          <w:rFonts w:ascii="Verdana" w:hAnsi="Verdana"/>
          <w:sz w:val="20"/>
          <w:szCs w:val="20"/>
          <w:lang w:val="es-MX"/>
        </w:rPr>
        <w:t xml:space="preserve">) </w:t>
      </w:r>
      <w:r w:rsidR="00137326">
        <w:rPr>
          <w:rFonts w:ascii="Verdana" w:hAnsi="Verdana"/>
          <w:sz w:val="20"/>
          <w:szCs w:val="20"/>
          <w:lang w:val="es-MX"/>
        </w:rPr>
        <w:t xml:space="preserve">como sobre el cumplimiento de cuatro reparaciones </w:t>
      </w:r>
      <w:r w:rsidR="002B0D3C">
        <w:rPr>
          <w:rFonts w:ascii="Verdana" w:hAnsi="Verdana"/>
          <w:sz w:val="20"/>
          <w:szCs w:val="20"/>
          <w:lang w:val="es-MX"/>
        </w:rPr>
        <w:t xml:space="preserve">ordenadas en las Sentencias de 2015 </w:t>
      </w:r>
      <w:r w:rsidR="00AC4F19">
        <w:rPr>
          <w:rFonts w:ascii="Verdana" w:hAnsi="Verdana"/>
          <w:sz w:val="20"/>
          <w:szCs w:val="20"/>
          <w:lang w:val="es-MX"/>
        </w:rPr>
        <w:t>(</w:t>
      </w:r>
      <w:r w:rsidR="00137326">
        <w:rPr>
          <w:rFonts w:ascii="Verdana" w:hAnsi="Verdana"/>
          <w:sz w:val="20"/>
          <w:szCs w:val="20"/>
          <w:lang w:val="es-MX"/>
        </w:rPr>
        <w:t xml:space="preserve">relativas a garantizar el derecho a la propiedad colectiva y la obligación de investigar las muertes de </w:t>
      </w:r>
      <w:r w:rsidR="00EC17FA">
        <w:rPr>
          <w:rFonts w:ascii="Verdana" w:hAnsi="Verdana"/>
          <w:sz w:val="20"/>
          <w:szCs w:val="20"/>
          <w:lang w:val="es-MX"/>
        </w:rPr>
        <w:t xml:space="preserve">cinco </w:t>
      </w:r>
      <w:r w:rsidR="00AC4F19">
        <w:rPr>
          <w:rFonts w:ascii="Verdana" w:hAnsi="Verdana"/>
          <w:sz w:val="20"/>
          <w:szCs w:val="20"/>
          <w:lang w:val="es-MX"/>
        </w:rPr>
        <w:t>miembros de la comunidad</w:t>
      </w:r>
      <w:r w:rsidR="00EC17FA">
        <w:rPr>
          <w:rFonts w:ascii="Verdana" w:hAnsi="Verdana"/>
          <w:sz w:val="20"/>
          <w:szCs w:val="20"/>
          <w:lang w:val="es-MX"/>
        </w:rPr>
        <w:t>)</w:t>
      </w:r>
      <w:r w:rsidR="00F7406C" w:rsidRPr="00037A62">
        <w:rPr>
          <w:rFonts w:ascii="Verdana" w:hAnsi="Verdana"/>
          <w:sz w:val="20"/>
          <w:szCs w:val="20"/>
          <w:lang w:val="es-MX"/>
        </w:rPr>
        <w:t>.</w:t>
      </w:r>
      <w:r w:rsidR="008B36B7" w:rsidRPr="00037A62">
        <w:rPr>
          <w:rFonts w:ascii="Verdana" w:hAnsi="Verdana"/>
          <w:sz w:val="20"/>
          <w:szCs w:val="20"/>
          <w:lang w:val="es-MX"/>
        </w:rPr>
        <w:t xml:space="preserve"> </w:t>
      </w:r>
      <w:r w:rsidR="002B0D3C">
        <w:rPr>
          <w:rFonts w:ascii="Verdana" w:hAnsi="Verdana"/>
          <w:sz w:val="20"/>
          <w:szCs w:val="20"/>
          <w:lang w:val="es-MX"/>
        </w:rPr>
        <w:t xml:space="preserve">En </w:t>
      </w:r>
      <w:r>
        <w:rPr>
          <w:rFonts w:ascii="Verdana" w:hAnsi="Verdana"/>
          <w:sz w:val="20"/>
          <w:szCs w:val="20"/>
          <w:lang w:val="es-MX"/>
        </w:rPr>
        <w:t xml:space="preserve">lo que respecta al cumplimiento de las restantes medidas de reparación ordenadas en las Sentencias de ambos casos, </w:t>
      </w:r>
      <w:r w:rsidR="002B0D3C">
        <w:rPr>
          <w:rFonts w:ascii="Verdana" w:hAnsi="Verdana"/>
          <w:sz w:val="20"/>
          <w:szCs w:val="20"/>
          <w:lang w:val="es-MX"/>
        </w:rPr>
        <w:t>l</w:t>
      </w:r>
      <w:r w:rsidR="00E7235A">
        <w:rPr>
          <w:rFonts w:ascii="Verdana" w:hAnsi="Verdana"/>
          <w:sz w:val="20"/>
          <w:szCs w:val="20"/>
          <w:lang w:val="es-MX"/>
        </w:rPr>
        <w:t>a C</w:t>
      </w:r>
      <w:r w:rsidR="00E85176">
        <w:rPr>
          <w:rFonts w:ascii="Verdana" w:hAnsi="Verdana"/>
          <w:sz w:val="20"/>
          <w:szCs w:val="20"/>
          <w:lang w:val="es-MX"/>
        </w:rPr>
        <w:t>orte se</w:t>
      </w:r>
      <w:r w:rsidR="00E7235A">
        <w:rPr>
          <w:rFonts w:ascii="Verdana" w:hAnsi="Verdana"/>
          <w:sz w:val="20"/>
          <w:szCs w:val="20"/>
          <w:lang w:val="es-MX"/>
        </w:rPr>
        <w:t xml:space="preserve"> está pronunciando </w:t>
      </w:r>
      <w:r>
        <w:rPr>
          <w:rFonts w:ascii="Verdana" w:hAnsi="Verdana"/>
          <w:sz w:val="20"/>
          <w:szCs w:val="20"/>
          <w:lang w:val="es-MX"/>
        </w:rPr>
        <w:t xml:space="preserve">en otra resolución </w:t>
      </w:r>
      <w:r w:rsidR="00AD5EF7">
        <w:rPr>
          <w:rFonts w:ascii="Verdana" w:hAnsi="Verdana"/>
          <w:sz w:val="20"/>
          <w:szCs w:val="20"/>
          <w:lang w:val="es-MX"/>
        </w:rPr>
        <w:t>separada,</w:t>
      </w:r>
      <w:r>
        <w:rPr>
          <w:rFonts w:ascii="Verdana" w:hAnsi="Verdana"/>
          <w:sz w:val="20"/>
          <w:szCs w:val="20"/>
          <w:lang w:val="es-MX"/>
        </w:rPr>
        <w:t xml:space="preserve"> y considera que </w:t>
      </w:r>
      <w:r w:rsidR="00E85176">
        <w:rPr>
          <w:rFonts w:ascii="Verdana" w:hAnsi="Verdana"/>
          <w:sz w:val="20"/>
          <w:szCs w:val="20"/>
          <w:lang w:val="es-MX"/>
        </w:rPr>
        <w:t>algunas presentan cumplimientos</w:t>
      </w:r>
      <w:r w:rsidR="00E7235A">
        <w:rPr>
          <w:rFonts w:ascii="Verdana" w:hAnsi="Verdana"/>
          <w:sz w:val="20"/>
          <w:szCs w:val="20"/>
          <w:lang w:val="es-MX"/>
        </w:rPr>
        <w:t xml:space="preserve">. </w:t>
      </w:r>
      <w:r w:rsidR="00FC5CBC" w:rsidRPr="00037A62">
        <w:rPr>
          <w:rFonts w:ascii="Verdana" w:hAnsi="Verdana"/>
          <w:sz w:val="20"/>
          <w:szCs w:val="20"/>
          <w:lang w:val="es-MX"/>
        </w:rPr>
        <w:t xml:space="preserve">El Tribunal estructurará sus consideraciones en el siguiente orden: </w:t>
      </w:r>
    </w:p>
    <w:p w14:paraId="78E1FCA4" w14:textId="77777777" w:rsidR="00BF61F7" w:rsidRPr="00FE6D62" w:rsidRDefault="00BF61F7" w:rsidP="00BF61F7">
      <w:pPr>
        <w:spacing w:before="120" w:after="120" w:line="240" w:lineRule="auto"/>
        <w:jc w:val="both"/>
        <w:rPr>
          <w:rFonts w:ascii="Verdana" w:hAnsi="Verdana"/>
          <w:sz w:val="16"/>
          <w:szCs w:val="16"/>
          <w:lang w:val="es-MX"/>
        </w:rPr>
      </w:pPr>
    </w:p>
    <w:p w14:paraId="46B08113" w14:textId="5DC99897" w:rsidR="00C14714" w:rsidRPr="00C14714" w:rsidRDefault="00202E30">
      <w:pPr>
        <w:pStyle w:val="TDC1"/>
        <w:rPr>
          <w:rFonts w:ascii="Verdana" w:eastAsiaTheme="minorEastAsia" w:hAnsi="Verdana" w:cstheme="minorBidi"/>
          <w:noProof/>
          <w:sz w:val="16"/>
          <w:szCs w:val="16"/>
          <w:lang w:val="es-CR" w:eastAsia="es-CR"/>
        </w:rPr>
      </w:pPr>
      <w:r w:rsidRPr="00C14714">
        <w:rPr>
          <w:rFonts w:ascii="Verdana" w:hAnsi="Verdana"/>
          <w:sz w:val="16"/>
          <w:szCs w:val="16"/>
          <w:lang w:val="es-MX"/>
        </w:rPr>
        <w:fldChar w:fldCharType="begin"/>
      </w:r>
      <w:r w:rsidRPr="00C14714">
        <w:rPr>
          <w:rFonts w:ascii="Verdana" w:hAnsi="Verdana"/>
          <w:sz w:val="16"/>
          <w:szCs w:val="16"/>
          <w:lang w:val="es-MX"/>
        </w:rPr>
        <w:instrText xml:space="preserve"> TOC \o "1-1" \h \z \u </w:instrText>
      </w:r>
      <w:r w:rsidRPr="00C14714">
        <w:rPr>
          <w:rFonts w:ascii="Verdana" w:hAnsi="Verdana"/>
          <w:sz w:val="16"/>
          <w:szCs w:val="16"/>
          <w:lang w:val="es-MX"/>
        </w:rPr>
        <w:fldChar w:fldCharType="separate"/>
      </w:r>
      <w:hyperlink w:anchor="_Toc68623335" w:history="1">
        <w:r w:rsidR="00C14714" w:rsidRPr="00C14714">
          <w:rPr>
            <w:rStyle w:val="Hipervnculo"/>
            <w:rFonts w:ascii="Verdana" w:hAnsi="Verdana"/>
            <w:i/>
            <w:noProof/>
            <w:sz w:val="16"/>
            <w:szCs w:val="16"/>
            <w:lang w:val="es-MX"/>
          </w:rPr>
          <w:t>I.</w:t>
        </w:r>
        <w:r w:rsidR="00C14714" w:rsidRPr="00C14714">
          <w:rPr>
            <w:rFonts w:ascii="Verdana" w:eastAsiaTheme="minorEastAsia" w:hAnsi="Verdana" w:cstheme="minorBidi"/>
            <w:noProof/>
            <w:sz w:val="16"/>
            <w:szCs w:val="16"/>
            <w:lang w:val="es-CR" w:eastAsia="es-CR"/>
          </w:rPr>
          <w:tab/>
        </w:r>
        <w:r w:rsidR="00C14714" w:rsidRPr="00C14714">
          <w:rPr>
            <w:rStyle w:val="Hipervnculo"/>
            <w:rFonts w:ascii="Verdana" w:hAnsi="Verdana"/>
            <w:i/>
            <w:noProof/>
            <w:sz w:val="16"/>
            <w:szCs w:val="16"/>
            <w:lang w:val="es-MX"/>
          </w:rPr>
          <w:t>SOBRE LA IMPLEMENTACIÓN DE LAS MEDIDAS PROVISIONALES</w:t>
        </w:r>
        <w:r w:rsidR="00C14714" w:rsidRPr="00C14714">
          <w:rPr>
            <w:rFonts w:ascii="Verdana" w:hAnsi="Verdana"/>
            <w:noProof/>
            <w:webHidden/>
            <w:sz w:val="16"/>
            <w:szCs w:val="16"/>
          </w:rPr>
          <w:tab/>
        </w:r>
        <w:r w:rsidR="00C14714" w:rsidRPr="00C14714">
          <w:rPr>
            <w:rFonts w:ascii="Verdana" w:hAnsi="Verdana"/>
            <w:noProof/>
            <w:webHidden/>
            <w:sz w:val="16"/>
            <w:szCs w:val="16"/>
          </w:rPr>
          <w:fldChar w:fldCharType="begin"/>
        </w:r>
        <w:r w:rsidR="00C14714" w:rsidRPr="00C14714">
          <w:rPr>
            <w:rFonts w:ascii="Verdana" w:hAnsi="Verdana"/>
            <w:noProof/>
            <w:webHidden/>
            <w:sz w:val="16"/>
            <w:szCs w:val="16"/>
          </w:rPr>
          <w:instrText xml:space="preserve"> PAGEREF _Toc68623335 \h </w:instrText>
        </w:r>
        <w:r w:rsidR="00C14714" w:rsidRPr="00C14714">
          <w:rPr>
            <w:rFonts w:ascii="Verdana" w:hAnsi="Verdana"/>
            <w:noProof/>
            <w:webHidden/>
            <w:sz w:val="16"/>
            <w:szCs w:val="16"/>
          </w:rPr>
        </w:r>
        <w:r w:rsidR="00C14714" w:rsidRPr="00C14714">
          <w:rPr>
            <w:rFonts w:ascii="Verdana" w:hAnsi="Verdana"/>
            <w:noProof/>
            <w:webHidden/>
            <w:sz w:val="16"/>
            <w:szCs w:val="16"/>
          </w:rPr>
          <w:fldChar w:fldCharType="separate"/>
        </w:r>
        <w:r w:rsidR="003714A9">
          <w:rPr>
            <w:rFonts w:ascii="Verdana" w:hAnsi="Verdana"/>
            <w:noProof/>
            <w:webHidden/>
            <w:sz w:val="16"/>
            <w:szCs w:val="16"/>
          </w:rPr>
          <w:t>4</w:t>
        </w:r>
        <w:r w:rsidR="00C14714" w:rsidRPr="00C14714">
          <w:rPr>
            <w:rFonts w:ascii="Verdana" w:hAnsi="Verdana"/>
            <w:noProof/>
            <w:webHidden/>
            <w:sz w:val="16"/>
            <w:szCs w:val="16"/>
          </w:rPr>
          <w:fldChar w:fldCharType="end"/>
        </w:r>
      </w:hyperlink>
    </w:p>
    <w:p w14:paraId="7C54882C" w14:textId="091A925A" w:rsidR="00C14714" w:rsidRPr="00517914" w:rsidRDefault="00CA647E">
      <w:pPr>
        <w:pStyle w:val="TDC1"/>
        <w:rPr>
          <w:rFonts w:ascii="Verdana" w:eastAsiaTheme="minorEastAsia" w:hAnsi="Verdana" w:cstheme="minorBidi"/>
          <w:noProof/>
          <w:sz w:val="16"/>
          <w:szCs w:val="16"/>
          <w:lang w:val="es-CR" w:eastAsia="es-CR"/>
        </w:rPr>
      </w:pPr>
      <w:hyperlink w:anchor="_Toc68623336" w:history="1">
        <w:r w:rsidR="00C14714" w:rsidRPr="00517914">
          <w:rPr>
            <w:rStyle w:val="Hipervnculo"/>
            <w:rFonts w:ascii="Verdana" w:hAnsi="Verdana"/>
            <w:i/>
            <w:noProof/>
            <w:sz w:val="16"/>
            <w:szCs w:val="16"/>
            <w:lang w:val="es-MX"/>
          </w:rPr>
          <w:t>II.</w:t>
        </w:r>
        <w:r w:rsidR="00C14714" w:rsidRPr="00517914">
          <w:rPr>
            <w:rFonts w:ascii="Verdana" w:eastAsiaTheme="minorEastAsia" w:hAnsi="Verdana" w:cstheme="minorBidi"/>
            <w:noProof/>
            <w:sz w:val="16"/>
            <w:szCs w:val="16"/>
            <w:lang w:val="es-CR" w:eastAsia="es-CR"/>
          </w:rPr>
          <w:tab/>
        </w:r>
        <w:r w:rsidR="00C14714" w:rsidRPr="00517914">
          <w:rPr>
            <w:rStyle w:val="Hipervnculo"/>
            <w:rFonts w:ascii="Verdana" w:hAnsi="Verdana"/>
            <w:i/>
            <w:noProof/>
            <w:sz w:val="16"/>
            <w:szCs w:val="16"/>
            <w:lang w:val="es-MX"/>
          </w:rPr>
          <w:t>SOBRE LA SUPERVISIÓN DE CUMPLIMIENTO DE REPARACIONES RELACIONADAS CON EL DERECHO A LA PROPIEDAD COMUNAL Y LA OBLIGACIÓN DE INVESTIGAR</w:t>
        </w:r>
        <w:r w:rsidR="00C14714" w:rsidRPr="00517914">
          <w:rPr>
            <w:rFonts w:ascii="Verdana" w:hAnsi="Verdana"/>
            <w:noProof/>
            <w:webHidden/>
            <w:sz w:val="16"/>
            <w:szCs w:val="16"/>
          </w:rPr>
          <w:tab/>
        </w:r>
        <w:r w:rsidR="00C14714" w:rsidRPr="004B392B">
          <w:rPr>
            <w:rFonts w:ascii="Verdana" w:hAnsi="Verdana"/>
            <w:noProof/>
            <w:webHidden/>
            <w:sz w:val="16"/>
            <w:szCs w:val="16"/>
          </w:rPr>
          <w:fldChar w:fldCharType="begin"/>
        </w:r>
        <w:r w:rsidR="00C14714" w:rsidRPr="00517914">
          <w:rPr>
            <w:rFonts w:ascii="Verdana" w:hAnsi="Verdana"/>
            <w:noProof/>
            <w:webHidden/>
            <w:sz w:val="16"/>
            <w:szCs w:val="16"/>
          </w:rPr>
          <w:instrText xml:space="preserve"> PAGEREF _Toc68623336 \h </w:instrText>
        </w:r>
        <w:r w:rsidR="00C14714" w:rsidRPr="004B392B">
          <w:rPr>
            <w:rFonts w:ascii="Verdana" w:hAnsi="Verdana"/>
            <w:noProof/>
            <w:webHidden/>
            <w:sz w:val="16"/>
            <w:szCs w:val="16"/>
          </w:rPr>
        </w:r>
        <w:r w:rsidR="00C14714" w:rsidRPr="004B392B">
          <w:rPr>
            <w:rFonts w:ascii="Verdana" w:hAnsi="Verdana"/>
            <w:noProof/>
            <w:webHidden/>
            <w:sz w:val="16"/>
            <w:szCs w:val="16"/>
          </w:rPr>
          <w:fldChar w:fldCharType="separate"/>
        </w:r>
        <w:r w:rsidR="003714A9">
          <w:rPr>
            <w:rFonts w:ascii="Verdana" w:hAnsi="Verdana"/>
            <w:noProof/>
            <w:webHidden/>
            <w:sz w:val="16"/>
            <w:szCs w:val="16"/>
          </w:rPr>
          <w:t>9</w:t>
        </w:r>
        <w:r w:rsidR="00C14714" w:rsidRPr="004B392B">
          <w:rPr>
            <w:rFonts w:ascii="Verdana" w:hAnsi="Verdana"/>
            <w:noProof/>
            <w:webHidden/>
            <w:sz w:val="16"/>
            <w:szCs w:val="16"/>
          </w:rPr>
          <w:fldChar w:fldCharType="end"/>
        </w:r>
      </w:hyperlink>
    </w:p>
    <w:p w14:paraId="51F8EAC2" w14:textId="0B5179A6" w:rsidR="00C14714" w:rsidRPr="00517914" w:rsidRDefault="00CA647E">
      <w:pPr>
        <w:pStyle w:val="TDC1"/>
        <w:rPr>
          <w:rFonts w:ascii="Verdana" w:eastAsiaTheme="minorEastAsia" w:hAnsi="Verdana" w:cstheme="minorBidi"/>
          <w:noProof/>
          <w:sz w:val="16"/>
          <w:szCs w:val="16"/>
          <w:lang w:val="es-CR" w:eastAsia="es-CR"/>
        </w:rPr>
      </w:pPr>
      <w:hyperlink w:anchor="_Toc68623337" w:history="1">
        <w:r w:rsidR="00C14714" w:rsidRPr="00517914">
          <w:rPr>
            <w:rStyle w:val="Hipervnculo"/>
            <w:rFonts w:ascii="Verdana" w:hAnsi="Verdana"/>
            <w:i/>
            <w:noProof/>
            <w:sz w:val="16"/>
            <w:szCs w:val="16"/>
            <w:lang w:val="es-MX"/>
          </w:rPr>
          <w:t>A.</w:t>
        </w:r>
        <w:r w:rsidR="00C14714" w:rsidRPr="00517914">
          <w:rPr>
            <w:rFonts w:ascii="Verdana" w:eastAsiaTheme="minorEastAsia" w:hAnsi="Verdana" w:cstheme="minorBidi"/>
            <w:noProof/>
            <w:sz w:val="16"/>
            <w:szCs w:val="16"/>
            <w:lang w:val="es-CR" w:eastAsia="es-CR"/>
          </w:rPr>
          <w:tab/>
        </w:r>
        <w:r w:rsidR="00C14714" w:rsidRPr="00517914">
          <w:rPr>
            <w:rStyle w:val="Hipervnculo"/>
            <w:rFonts w:ascii="Verdana" w:hAnsi="Verdana"/>
            <w:i/>
            <w:noProof/>
            <w:sz w:val="16"/>
            <w:szCs w:val="16"/>
            <w:lang w:val="es-MX"/>
          </w:rPr>
          <w:t>Medidas de restitución de tierras ordenadas a favor de las Comunidades Garífunas Punta Piedra y Triunfo de la Cruz</w:t>
        </w:r>
        <w:r w:rsidR="00C14714" w:rsidRPr="00517914">
          <w:rPr>
            <w:rFonts w:ascii="Verdana" w:hAnsi="Verdana"/>
            <w:noProof/>
            <w:webHidden/>
            <w:sz w:val="16"/>
            <w:szCs w:val="16"/>
          </w:rPr>
          <w:tab/>
        </w:r>
        <w:r w:rsidR="00C14714" w:rsidRPr="004B392B">
          <w:rPr>
            <w:rFonts w:ascii="Verdana" w:hAnsi="Verdana"/>
            <w:noProof/>
            <w:webHidden/>
            <w:sz w:val="16"/>
            <w:szCs w:val="16"/>
          </w:rPr>
          <w:fldChar w:fldCharType="begin"/>
        </w:r>
        <w:r w:rsidR="00C14714" w:rsidRPr="00517914">
          <w:rPr>
            <w:rFonts w:ascii="Verdana" w:hAnsi="Verdana"/>
            <w:noProof/>
            <w:webHidden/>
            <w:sz w:val="16"/>
            <w:szCs w:val="16"/>
          </w:rPr>
          <w:instrText xml:space="preserve"> PAGEREF _Toc68623337 \h </w:instrText>
        </w:r>
        <w:r w:rsidR="00C14714" w:rsidRPr="004B392B">
          <w:rPr>
            <w:rFonts w:ascii="Verdana" w:hAnsi="Verdana"/>
            <w:noProof/>
            <w:webHidden/>
            <w:sz w:val="16"/>
            <w:szCs w:val="16"/>
          </w:rPr>
        </w:r>
        <w:r w:rsidR="00C14714" w:rsidRPr="004B392B">
          <w:rPr>
            <w:rFonts w:ascii="Verdana" w:hAnsi="Verdana"/>
            <w:noProof/>
            <w:webHidden/>
            <w:sz w:val="16"/>
            <w:szCs w:val="16"/>
          </w:rPr>
          <w:fldChar w:fldCharType="separate"/>
        </w:r>
        <w:r w:rsidR="003714A9">
          <w:rPr>
            <w:rFonts w:ascii="Verdana" w:hAnsi="Verdana"/>
            <w:noProof/>
            <w:webHidden/>
            <w:sz w:val="16"/>
            <w:szCs w:val="16"/>
          </w:rPr>
          <w:t>9</w:t>
        </w:r>
        <w:r w:rsidR="00C14714" w:rsidRPr="004B392B">
          <w:rPr>
            <w:rFonts w:ascii="Verdana" w:hAnsi="Verdana"/>
            <w:noProof/>
            <w:webHidden/>
            <w:sz w:val="16"/>
            <w:szCs w:val="16"/>
          </w:rPr>
          <w:fldChar w:fldCharType="end"/>
        </w:r>
      </w:hyperlink>
    </w:p>
    <w:p w14:paraId="5552E82C" w14:textId="5A6C23C9" w:rsidR="00C14714" w:rsidRPr="00517914" w:rsidRDefault="00CA647E">
      <w:pPr>
        <w:pStyle w:val="TDC1"/>
        <w:rPr>
          <w:rFonts w:ascii="Verdana" w:eastAsiaTheme="minorEastAsia" w:hAnsi="Verdana" w:cstheme="minorBidi"/>
          <w:noProof/>
          <w:sz w:val="16"/>
          <w:szCs w:val="16"/>
          <w:lang w:val="es-CR" w:eastAsia="es-CR"/>
        </w:rPr>
      </w:pPr>
      <w:hyperlink w:anchor="_Toc68623338" w:history="1">
        <w:r w:rsidR="00C14714" w:rsidRPr="00517914">
          <w:rPr>
            <w:rStyle w:val="Hipervnculo"/>
            <w:rFonts w:ascii="Verdana" w:hAnsi="Verdana"/>
            <w:i/>
            <w:noProof/>
            <w:sz w:val="16"/>
            <w:szCs w:val="16"/>
            <w:lang w:val="es-MX"/>
          </w:rPr>
          <w:t>B.</w:t>
        </w:r>
        <w:r w:rsidR="00C14714" w:rsidRPr="00517914">
          <w:rPr>
            <w:rFonts w:ascii="Verdana" w:eastAsiaTheme="minorEastAsia" w:hAnsi="Verdana" w:cstheme="minorBidi"/>
            <w:noProof/>
            <w:sz w:val="16"/>
            <w:szCs w:val="16"/>
            <w:lang w:val="es-CR" w:eastAsia="es-CR"/>
          </w:rPr>
          <w:tab/>
        </w:r>
        <w:r w:rsidR="00C14714" w:rsidRPr="00517914">
          <w:rPr>
            <w:rStyle w:val="Hipervnculo"/>
            <w:rFonts w:ascii="Verdana" w:hAnsi="Verdana"/>
            <w:i/>
            <w:noProof/>
            <w:sz w:val="16"/>
            <w:szCs w:val="16"/>
            <w:lang w:val="es-MX"/>
          </w:rPr>
          <w:t>Garantizar el libre acceso, uso y goce de la propiedad colectiva por parte de la Comunidad Triunfo de la Cruz en la parte de su territorio que se sobrepone con un área del parque Nacional Punta Izopo</w:t>
        </w:r>
        <w:r w:rsidR="00C14714" w:rsidRPr="00517914">
          <w:rPr>
            <w:rFonts w:ascii="Verdana" w:hAnsi="Verdana"/>
            <w:noProof/>
            <w:webHidden/>
            <w:sz w:val="16"/>
            <w:szCs w:val="16"/>
          </w:rPr>
          <w:tab/>
        </w:r>
        <w:r w:rsidR="00C14714" w:rsidRPr="004B392B">
          <w:rPr>
            <w:rFonts w:ascii="Verdana" w:hAnsi="Verdana"/>
            <w:noProof/>
            <w:webHidden/>
            <w:sz w:val="16"/>
            <w:szCs w:val="16"/>
          </w:rPr>
          <w:fldChar w:fldCharType="begin"/>
        </w:r>
        <w:r w:rsidR="00C14714" w:rsidRPr="00517914">
          <w:rPr>
            <w:rFonts w:ascii="Verdana" w:hAnsi="Verdana"/>
            <w:noProof/>
            <w:webHidden/>
            <w:sz w:val="16"/>
            <w:szCs w:val="16"/>
          </w:rPr>
          <w:instrText xml:space="preserve"> PAGEREF _Toc68623338 \h </w:instrText>
        </w:r>
        <w:r w:rsidR="00C14714" w:rsidRPr="004B392B">
          <w:rPr>
            <w:rFonts w:ascii="Verdana" w:hAnsi="Verdana"/>
            <w:noProof/>
            <w:webHidden/>
            <w:sz w:val="16"/>
            <w:szCs w:val="16"/>
          </w:rPr>
        </w:r>
        <w:r w:rsidR="00C14714" w:rsidRPr="004B392B">
          <w:rPr>
            <w:rFonts w:ascii="Verdana" w:hAnsi="Verdana"/>
            <w:noProof/>
            <w:webHidden/>
            <w:sz w:val="16"/>
            <w:szCs w:val="16"/>
          </w:rPr>
          <w:fldChar w:fldCharType="separate"/>
        </w:r>
        <w:r w:rsidR="003714A9">
          <w:rPr>
            <w:rFonts w:ascii="Verdana" w:hAnsi="Verdana"/>
            <w:noProof/>
            <w:webHidden/>
            <w:sz w:val="16"/>
            <w:szCs w:val="16"/>
          </w:rPr>
          <w:t>14</w:t>
        </w:r>
        <w:r w:rsidR="00C14714" w:rsidRPr="004B392B">
          <w:rPr>
            <w:rFonts w:ascii="Verdana" w:hAnsi="Verdana"/>
            <w:noProof/>
            <w:webHidden/>
            <w:sz w:val="16"/>
            <w:szCs w:val="16"/>
          </w:rPr>
          <w:fldChar w:fldCharType="end"/>
        </w:r>
      </w:hyperlink>
    </w:p>
    <w:p w14:paraId="68A1B5B3" w14:textId="4F29DC22" w:rsidR="00C14714" w:rsidRPr="00517914" w:rsidRDefault="00CA647E">
      <w:pPr>
        <w:pStyle w:val="TDC1"/>
        <w:rPr>
          <w:rFonts w:ascii="Verdana" w:eastAsiaTheme="minorEastAsia" w:hAnsi="Verdana" w:cstheme="minorBidi"/>
          <w:noProof/>
          <w:sz w:val="16"/>
          <w:szCs w:val="16"/>
          <w:lang w:val="es-CR" w:eastAsia="es-CR"/>
        </w:rPr>
      </w:pPr>
      <w:hyperlink w:anchor="_Toc68623339" w:history="1">
        <w:r w:rsidR="00C14714" w:rsidRPr="00517914">
          <w:rPr>
            <w:rStyle w:val="Hipervnculo"/>
            <w:rFonts w:ascii="Verdana" w:hAnsi="Verdana"/>
            <w:i/>
            <w:noProof/>
            <w:sz w:val="16"/>
            <w:szCs w:val="16"/>
            <w:lang w:val="es-MX"/>
          </w:rPr>
          <w:t>C.</w:t>
        </w:r>
        <w:r w:rsidR="00C14714" w:rsidRPr="00517914">
          <w:rPr>
            <w:rFonts w:ascii="Verdana" w:eastAsiaTheme="minorEastAsia" w:hAnsi="Verdana" w:cstheme="minorBidi"/>
            <w:noProof/>
            <w:sz w:val="16"/>
            <w:szCs w:val="16"/>
            <w:lang w:val="es-CR" w:eastAsia="es-CR"/>
          </w:rPr>
          <w:tab/>
        </w:r>
        <w:r w:rsidR="00C14714" w:rsidRPr="00517914">
          <w:rPr>
            <w:rStyle w:val="Hipervnculo"/>
            <w:rFonts w:ascii="Verdana" w:hAnsi="Verdana"/>
            <w:i/>
            <w:noProof/>
            <w:sz w:val="16"/>
            <w:szCs w:val="16"/>
            <w:lang w:val="es-MX"/>
          </w:rPr>
          <w:t>Crear mecanismos adecuados para regular su sistema de Registro de Propiedad</w:t>
        </w:r>
        <w:r w:rsidR="00C14714" w:rsidRPr="00517914">
          <w:rPr>
            <w:rFonts w:ascii="Verdana" w:hAnsi="Verdana"/>
            <w:noProof/>
            <w:webHidden/>
            <w:sz w:val="16"/>
            <w:szCs w:val="16"/>
          </w:rPr>
          <w:tab/>
        </w:r>
        <w:r w:rsidR="00C14714" w:rsidRPr="004B392B">
          <w:rPr>
            <w:rFonts w:ascii="Verdana" w:hAnsi="Verdana"/>
            <w:noProof/>
            <w:webHidden/>
            <w:sz w:val="16"/>
            <w:szCs w:val="16"/>
          </w:rPr>
          <w:fldChar w:fldCharType="begin"/>
        </w:r>
        <w:r w:rsidR="00C14714" w:rsidRPr="00517914">
          <w:rPr>
            <w:rFonts w:ascii="Verdana" w:hAnsi="Verdana"/>
            <w:noProof/>
            <w:webHidden/>
            <w:sz w:val="16"/>
            <w:szCs w:val="16"/>
          </w:rPr>
          <w:instrText xml:space="preserve"> PAGEREF _Toc68623339 \h </w:instrText>
        </w:r>
        <w:r w:rsidR="00C14714" w:rsidRPr="004B392B">
          <w:rPr>
            <w:rFonts w:ascii="Verdana" w:hAnsi="Verdana"/>
            <w:noProof/>
            <w:webHidden/>
            <w:sz w:val="16"/>
            <w:szCs w:val="16"/>
          </w:rPr>
        </w:r>
        <w:r w:rsidR="00C14714" w:rsidRPr="004B392B">
          <w:rPr>
            <w:rFonts w:ascii="Verdana" w:hAnsi="Verdana"/>
            <w:noProof/>
            <w:webHidden/>
            <w:sz w:val="16"/>
            <w:szCs w:val="16"/>
          </w:rPr>
          <w:fldChar w:fldCharType="separate"/>
        </w:r>
        <w:r w:rsidR="003714A9">
          <w:rPr>
            <w:rFonts w:ascii="Verdana" w:hAnsi="Verdana"/>
            <w:noProof/>
            <w:webHidden/>
            <w:sz w:val="16"/>
            <w:szCs w:val="16"/>
          </w:rPr>
          <w:t>15</w:t>
        </w:r>
        <w:r w:rsidR="00C14714" w:rsidRPr="004B392B">
          <w:rPr>
            <w:rFonts w:ascii="Verdana" w:hAnsi="Verdana"/>
            <w:noProof/>
            <w:webHidden/>
            <w:sz w:val="16"/>
            <w:szCs w:val="16"/>
          </w:rPr>
          <w:fldChar w:fldCharType="end"/>
        </w:r>
      </w:hyperlink>
    </w:p>
    <w:p w14:paraId="1EC48C71" w14:textId="4DF43941" w:rsidR="00C14714" w:rsidRPr="00517914" w:rsidRDefault="00CA647E">
      <w:pPr>
        <w:pStyle w:val="TDC1"/>
        <w:rPr>
          <w:rFonts w:ascii="Verdana" w:eastAsiaTheme="minorEastAsia" w:hAnsi="Verdana" w:cstheme="minorBidi"/>
          <w:noProof/>
          <w:sz w:val="16"/>
          <w:szCs w:val="16"/>
          <w:lang w:val="es-CR" w:eastAsia="es-CR"/>
        </w:rPr>
      </w:pPr>
      <w:hyperlink w:anchor="_Toc68623340" w:history="1">
        <w:r w:rsidR="00C14714" w:rsidRPr="00517914">
          <w:rPr>
            <w:rStyle w:val="Hipervnculo"/>
            <w:rFonts w:ascii="Verdana" w:hAnsi="Verdana"/>
            <w:i/>
            <w:noProof/>
            <w:sz w:val="16"/>
            <w:szCs w:val="16"/>
            <w:lang w:val="es-MX"/>
          </w:rPr>
          <w:t>D.</w:t>
        </w:r>
        <w:r w:rsidR="00C14714" w:rsidRPr="00517914">
          <w:rPr>
            <w:rFonts w:ascii="Verdana" w:eastAsiaTheme="minorEastAsia" w:hAnsi="Verdana" w:cstheme="minorBidi"/>
            <w:noProof/>
            <w:sz w:val="16"/>
            <w:szCs w:val="16"/>
            <w:lang w:val="es-CR" w:eastAsia="es-CR"/>
          </w:rPr>
          <w:tab/>
        </w:r>
        <w:r w:rsidR="00C14714" w:rsidRPr="00517914">
          <w:rPr>
            <w:rStyle w:val="Hipervnculo"/>
            <w:rFonts w:ascii="Verdana" w:hAnsi="Verdana"/>
            <w:i/>
            <w:noProof/>
            <w:sz w:val="16"/>
            <w:szCs w:val="16"/>
            <w:lang w:val="es-MX"/>
          </w:rPr>
          <w:t>Obligación de investigar</w:t>
        </w:r>
        <w:r w:rsidR="00C14714" w:rsidRPr="00517914">
          <w:rPr>
            <w:rFonts w:ascii="Verdana" w:hAnsi="Verdana"/>
            <w:noProof/>
            <w:webHidden/>
            <w:sz w:val="16"/>
            <w:szCs w:val="16"/>
          </w:rPr>
          <w:tab/>
        </w:r>
        <w:r w:rsidR="00C14714" w:rsidRPr="004B392B">
          <w:rPr>
            <w:rFonts w:ascii="Verdana" w:hAnsi="Verdana"/>
            <w:noProof/>
            <w:webHidden/>
            <w:sz w:val="16"/>
            <w:szCs w:val="16"/>
          </w:rPr>
          <w:fldChar w:fldCharType="begin"/>
        </w:r>
        <w:r w:rsidR="00C14714" w:rsidRPr="00517914">
          <w:rPr>
            <w:rFonts w:ascii="Verdana" w:hAnsi="Verdana"/>
            <w:noProof/>
            <w:webHidden/>
            <w:sz w:val="16"/>
            <w:szCs w:val="16"/>
          </w:rPr>
          <w:instrText xml:space="preserve"> PAGEREF _Toc68623340 \h </w:instrText>
        </w:r>
        <w:r w:rsidR="00C14714" w:rsidRPr="004B392B">
          <w:rPr>
            <w:rFonts w:ascii="Verdana" w:hAnsi="Verdana"/>
            <w:noProof/>
            <w:webHidden/>
            <w:sz w:val="16"/>
            <w:szCs w:val="16"/>
          </w:rPr>
        </w:r>
        <w:r w:rsidR="00C14714" w:rsidRPr="004B392B">
          <w:rPr>
            <w:rFonts w:ascii="Verdana" w:hAnsi="Verdana"/>
            <w:noProof/>
            <w:webHidden/>
            <w:sz w:val="16"/>
            <w:szCs w:val="16"/>
          </w:rPr>
          <w:fldChar w:fldCharType="separate"/>
        </w:r>
        <w:r w:rsidR="003714A9">
          <w:rPr>
            <w:rFonts w:ascii="Verdana" w:hAnsi="Verdana"/>
            <w:noProof/>
            <w:webHidden/>
            <w:sz w:val="16"/>
            <w:szCs w:val="16"/>
          </w:rPr>
          <w:t>16</w:t>
        </w:r>
        <w:r w:rsidR="00C14714" w:rsidRPr="004B392B">
          <w:rPr>
            <w:rFonts w:ascii="Verdana" w:hAnsi="Verdana"/>
            <w:noProof/>
            <w:webHidden/>
            <w:sz w:val="16"/>
            <w:szCs w:val="16"/>
          </w:rPr>
          <w:fldChar w:fldCharType="end"/>
        </w:r>
      </w:hyperlink>
    </w:p>
    <w:p w14:paraId="754C7A8D" w14:textId="489F658F" w:rsidR="00C14714" w:rsidRPr="00517914" w:rsidRDefault="00C14714">
      <w:pPr>
        <w:pStyle w:val="TDC1"/>
        <w:rPr>
          <w:rFonts w:ascii="Verdana" w:eastAsiaTheme="minorEastAsia" w:hAnsi="Verdana" w:cstheme="minorBidi"/>
          <w:noProof/>
          <w:sz w:val="16"/>
          <w:szCs w:val="16"/>
          <w:lang w:val="es-CR" w:eastAsia="es-CR"/>
        </w:rPr>
      </w:pPr>
    </w:p>
    <w:p w14:paraId="795312F1" w14:textId="14095FE5" w:rsidR="00E7235A" w:rsidRDefault="00202E30" w:rsidP="00BD3684">
      <w:pPr>
        <w:pStyle w:val="Cuadrculamedia1-nfasis21"/>
        <w:spacing w:before="120" w:after="120" w:line="240" w:lineRule="auto"/>
        <w:ind w:left="0"/>
        <w:contextualSpacing w:val="0"/>
        <w:jc w:val="both"/>
        <w:rPr>
          <w:rFonts w:ascii="Verdana" w:hAnsi="Verdana"/>
          <w:sz w:val="16"/>
          <w:szCs w:val="16"/>
          <w:lang w:val="es-MX"/>
        </w:rPr>
      </w:pPr>
      <w:r w:rsidRPr="00C14714">
        <w:rPr>
          <w:rFonts w:ascii="Verdana" w:hAnsi="Verdana"/>
          <w:sz w:val="16"/>
          <w:szCs w:val="16"/>
          <w:lang w:val="es-MX"/>
        </w:rPr>
        <w:fldChar w:fldCharType="end"/>
      </w:r>
    </w:p>
    <w:p w14:paraId="6B1EE519" w14:textId="79C0C9F4" w:rsidR="00E7235A" w:rsidRPr="00750EA5" w:rsidRDefault="00E7235A" w:rsidP="00E7235A">
      <w:pPr>
        <w:numPr>
          <w:ilvl w:val="0"/>
          <w:numId w:val="1"/>
        </w:numPr>
        <w:spacing w:before="120" w:after="120" w:line="240" w:lineRule="auto"/>
        <w:jc w:val="both"/>
        <w:outlineLvl w:val="0"/>
        <w:rPr>
          <w:rFonts w:ascii="Verdana" w:hAnsi="Verdana"/>
          <w:b/>
          <w:i/>
          <w:sz w:val="20"/>
          <w:szCs w:val="20"/>
          <w:lang w:val="es-MX"/>
        </w:rPr>
      </w:pPr>
      <w:bookmarkStart w:id="0" w:name="_Toc68623335"/>
      <w:r>
        <w:rPr>
          <w:rFonts w:ascii="Verdana" w:hAnsi="Verdana"/>
          <w:b/>
          <w:i/>
          <w:sz w:val="20"/>
          <w:szCs w:val="20"/>
          <w:lang w:val="es-MX"/>
        </w:rPr>
        <w:t xml:space="preserve">SOBRE </w:t>
      </w:r>
      <w:r w:rsidR="004F7B3B">
        <w:rPr>
          <w:rFonts w:ascii="Verdana" w:hAnsi="Verdana"/>
          <w:b/>
          <w:i/>
          <w:sz w:val="20"/>
          <w:szCs w:val="20"/>
          <w:lang w:val="es-MX"/>
        </w:rPr>
        <w:t xml:space="preserve">LA IMPLEMENTACIÓN DE </w:t>
      </w:r>
      <w:r>
        <w:rPr>
          <w:rFonts w:ascii="Verdana" w:hAnsi="Verdana"/>
          <w:b/>
          <w:i/>
          <w:sz w:val="20"/>
          <w:szCs w:val="20"/>
          <w:lang w:val="es-MX"/>
        </w:rPr>
        <w:t>LAS MEDIDAS PROVISIONALES</w:t>
      </w:r>
      <w:bookmarkEnd w:id="0"/>
    </w:p>
    <w:p w14:paraId="1B47D5EA" w14:textId="77777777" w:rsidR="00E7235A" w:rsidRPr="00750EA5" w:rsidRDefault="00E7235A" w:rsidP="00E7235A">
      <w:pPr>
        <w:spacing w:before="120" w:after="120" w:line="240" w:lineRule="auto"/>
        <w:ind w:firstLine="720"/>
        <w:jc w:val="both"/>
        <w:rPr>
          <w:rFonts w:ascii="Verdana" w:hAnsi="Verdana"/>
          <w:b/>
          <w:i/>
          <w:sz w:val="20"/>
          <w:szCs w:val="20"/>
          <w:lang w:val="es-MX"/>
        </w:rPr>
      </w:pPr>
      <w:r>
        <w:rPr>
          <w:rFonts w:ascii="Verdana" w:hAnsi="Verdana"/>
          <w:b/>
          <w:i/>
          <w:sz w:val="20"/>
          <w:szCs w:val="20"/>
          <w:lang w:val="es-MX"/>
        </w:rPr>
        <w:t xml:space="preserve">A. </w:t>
      </w:r>
      <w:r w:rsidRPr="00750EA5">
        <w:rPr>
          <w:rFonts w:ascii="Verdana" w:hAnsi="Verdana"/>
          <w:b/>
          <w:i/>
          <w:sz w:val="20"/>
          <w:szCs w:val="20"/>
          <w:lang w:val="es-MX"/>
        </w:rPr>
        <w:t>Información presentada por las partes y la Comisión</w:t>
      </w:r>
    </w:p>
    <w:p w14:paraId="2DE61FCA" w14:textId="7DEF7CCA"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Con posterioridad a la adopción de las medidas provisionales por parte de la Corte, el </w:t>
      </w:r>
      <w:r w:rsidRPr="009D38BD">
        <w:rPr>
          <w:rFonts w:ascii="Verdana" w:hAnsi="Verdana"/>
          <w:bCs/>
          <w:i/>
          <w:iCs/>
          <w:sz w:val="20"/>
          <w:szCs w:val="20"/>
          <w:lang w:val="es-MX"/>
        </w:rPr>
        <w:t>Estado</w:t>
      </w:r>
      <w:r w:rsidRPr="00037A62">
        <w:rPr>
          <w:rFonts w:ascii="Verdana" w:hAnsi="Verdana"/>
          <w:b/>
          <w:bCs/>
          <w:i/>
          <w:iCs/>
          <w:sz w:val="20"/>
          <w:szCs w:val="20"/>
          <w:lang w:val="es-MX"/>
        </w:rPr>
        <w:t xml:space="preserve"> </w:t>
      </w:r>
      <w:r w:rsidRPr="00037A62">
        <w:rPr>
          <w:rFonts w:ascii="Verdana" w:hAnsi="Verdana"/>
          <w:sz w:val="20"/>
          <w:szCs w:val="20"/>
          <w:lang w:val="es-MX"/>
        </w:rPr>
        <w:t>presentó varios escritos entre septiembre de 2020 y febrero de 2021 en los cuales remitió oficios de distintas dependencias del Estado relacionados con la investigación sobre las desapariciones de los miembros de la comunidad Triunfo de la Cruz, así como sobre la toma de contacto con los líderes de las comunidades para realizar un análisis de riesgo y para recabar información sobre la identidad de las personas que serían beneficiarias de las medidas de protección. Esa información fue completada por el informe rendido durante la audiencia pública de supervisión de</w:t>
      </w:r>
      <w:r w:rsidR="004E37EE">
        <w:rPr>
          <w:rFonts w:ascii="Verdana" w:hAnsi="Verdana"/>
          <w:sz w:val="20"/>
          <w:szCs w:val="20"/>
          <w:lang w:val="es-MX"/>
        </w:rPr>
        <w:t xml:space="preserve"> la implementación de</w:t>
      </w:r>
      <w:r w:rsidRPr="00037A62">
        <w:rPr>
          <w:rFonts w:ascii="Verdana" w:hAnsi="Verdana"/>
          <w:sz w:val="20"/>
          <w:szCs w:val="20"/>
          <w:lang w:val="es-MX"/>
        </w:rPr>
        <w:t xml:space="preserve"> las medidas provisionales y de supervisión de cumplimiento de la Sentencia (</w:t>
      </w:r>
      <w:r w:rsidRPr="00037A62">
        <w:rPr>
          <w:rFonts w:ascii="Verdana" w:hAnsi="Verdana"/>
          <w:i/>
          <w:iCs/>
          <w:sz w:val="20"/>
          <w:szCs w:val="20"/>
          <w:lang w:val="es-MX"/>
        </w:rPr>
        <w:t>supra</w:t>
      </w:r>
      <w:r w:rsidRPr="00037A62">
        <w:rPr>
          <w:rFonts w:ascii="Verdana" w:hAnsi="Verdana"/>
          <w:sz w:val="20"/>
          <w:szCs w:val="20"/>
          <w:lang w:val="es-MX"/>
        </w:rPr>
        <w:t xml:space="preserve"> </w:t>
      </w:r>
      <w:r w:rsidR="00517914">
        <w:rPr>
          <w:rFonts w:ascii="Verdana" w:hAnsi="Verdana"/>
          <w:sz w:val="20"/>
          <w:szCs w:val="20"/>
          <w:lang w:val="es-MX"/>
        </w:rPr>
        <w:t>V</w:t>
      </w:r>
      <w:r w:rsidR="00517914" w:rsidRPr="00037A62">
        <w:rPr>
          <w:rFonts w:ascii="Verdana" w:hAnsi="Verdana"/>
          <w:sz w:val="20"/>
          <w:szCs w:val="20"/>
          <w:lang w:val="es-MX"/>
        </w:rPr>
        <w:t xml:space="preserve">isto </w:t>
      </w:r>
      <w:r w:rsidR="00517914">
        <w:rPr>
          <w:rFonts w:ascii="Verdana" w:hAnsi="Verdana"/>
          <w:sz w:val="20"/>
          <w:szCs w:val="20"/>
          <w:lang w:val="es-MX"/>
        </w:rPr>
        <w:t>7</w:t>
      </w:r>
      <w:r w:rsidR="00517914" w:rsidRPr="00037A62">
        <w:rPr>
          <w:rFonts w:ascii="Verdana" w:hAnsi="Verdana"/>
          <w:sz w:val="20"/>
          <w:szCs w:val="20"/>
          <w:lang w:val="es-MX"/>
        </w:rPr>
        <w:t>).</w:t>
      </w:r>
    </w:p>
    <w:p w14:paraId="705E618B" w14:textId="2AA59956"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En lo que concierne</w:t>
      </w:r>
      <w:r w:rsidR="00AD4AF6">
        <w:rPr>
          <w:rFonts w:ascii="Verdana" w:hAnsi="Verdana"/>
          <w:sz w:val="20"/>
          <w:szCs w:val="20"/>
          <w:lang w:val="es-MX"/>
        </w:rPr>
        <w:t xml:space="preserve"> a</w:t>
      </w:r>
      <w:r w:rsidRPr="00037A62">
        <w:rPr>
          <w:rFonts w:ascii="Verdana" w:hAnsi="Verdana"/>
          <w:sz w:val="20"/>
          <w:szCs w:val="20"/>
          <w:lang w:val="es-MX"/>
        </w:rPr>
        <w:t xml:space="preserve"> las medidas necesarias y adecuadas para determinar el paradero de Milton Joel Martínez Álvarez, </w:t>
      </w:r>
      <w:proofErr w:type="spellStart"/>
      <w:r w:rsidRPr="00037A62">
        <w:rPr>
          <w:rFonts w:ascii="Verdana" w:hAnsi="Verdana"/>
          <w:sz w:val="20"/>
          <w:szCs w:val="20"/>
          <w:lang w:val="es-MX"/>
        </w:rPr>
        <w:t>Suami</w:t>
      </w:r>
      <w:proofErr w:type="spellEnd"/>
      <w:r w:rsidRPr="00037A62">
        <w:rPr>
          <w:rFonts w:ascii="Verdana" w:hAnsi="Verdana"/>
          <w:sz w:val="20"/>
          <w:szCs w:val="20"/>
          <w:lang w:val="es-MX"/>
        </w:rPr>
        <w:t xml:space="preserve"> Aparicio Mejía García, Gerardo Misael Trochez Calix y Albert </w:t>
      </w:r>
      <w:proofErr w:type="spellStart"/>
      <w:r w:rsidRPr="00037A62">
        <w:rPr>
          <w:rFonts w:ascii="Verdana" w:hAnsi="Verdana"/>
          <w:sz w:val="20"/>
          <w:szCs w:val="20"/>
          <w:lang w:val="es-MX"/>
        </w:rPr>
        <w:t>Snaider</w:t>
      </w:r>
      <w:proofErr w:type="spellEnd"/>
      <w:r w:rsidRPr="00037A62">
        <w:rPr>
          <w:rFonts w:ascii="Verdana" w:hAnsi="Verdana"/>
          <w:sz w:val="20"/>
          <w:szCs w:val="20"/>
          <w:lang w:val="es-MX"/>
        </w:rPr>
        <w:t xml:space="preserve"> Centeno Thomas que se encuentran desaparecidos desde el 18 de julio de 2020, </w:t>
      </w:r>
      <w:r w:rsidR="00517914">
        <w:rPr>
          <w:rFonts w:ascii="Verdana" w:hAnsi="Verdana"/>
          <w:sz w:val="20"/>
          <w:szCs w:val="20"/>
          <w:lang w:val="es-MX"/>
        </w:rPr>
        <w:t xml:space="preserve">el Estado </w:t>
      </w:r>
      <w:r w:rsidRPr="00037A62">
        <w:rPr>
          <w:rFonts w:ascii="Verdana" w:hAnsi="Verdana"/>
          <w:sz w:val="20"/>
          <w:lang w:val="es-MX"/>
        </w:rPr>
        <w:t xml:space="preserve">rechazó el alegato según el cual esas personas </w:t>
      </w:r>
      <w:r w:rsidR="00517914">
        <w:rPr>
          <w:rFonts w:ascii="Verdana" w:hAnsi="Verdana"/>
          <w:sz w:val="20"/>
          <w:lang w:val="es-MX"/>
        </w:rPr>
        <w:t>se encuentran</w:t>
      </w:r>
      <w:r w:rsidR="00517914" w:rsidRPr="00037A62">
        <w:rPr>
          <w:rFonts w:ascii="Verdana" w:hAnsi="Verdana"/>
          <w:sz w:val="20"/>
          <w:lang w:val="es-MX"/>
        </w:rPr>
        <w:t xml:space="preserve"> </w:t>
      </w:r>
      <w:r w:rsidR="00AD4AF6">
        <w:rPr>
          <w:rFonts w:ascii="Verdana" w:hAnsi="Verdana"/>
          <w:sz w:val="20"/>
          <w:lang w:val="es-MX"/>
        </w:rPr>
        <w:t>sometidas a</w:t>
      </w:r>
      <w:r w:rsidR="00AD4AF6" w:rsidRPr="00037A62">
        <w:rPr>
          <w:rFonts w:ascii="Verdana" w:hAnsi="Verdana"/>
          <w:sz w:val="20"/>
          <w:lang w:val="es-MX"/>
        </w:rPr>
        <w:t xml:space="preserve"> </w:t>
      </w:r>
      <w:r w:rsidRPr="00037A62">
        <w:rPr>
          <w:rFonts w:ascii="Verdana" w:hAnsi="Verdana"/>
          <w:sz w:val="20"/>
          <w:lang w:val="es-MX"/>
        </w:rPr>
        <w:t xml:space="preserve">desapariciones forzosas. Por otra parte, </w:t>
      </w:r>
      <w:r w:rsidRPr="00037A62">
        <w:rPr>
          <w:rFonts w:ascii="Verdana" w:hAnsi="Verdana"/>
          <w:sz w:val="20"/>
          <w:szCs w:val="20"/>
          <w:lang w:val="es-MX"/>
        </w:rPr>
        <w:t xml:space="preserve">indicó que las diligencias de investigación sobre las desapariciones de los integrantes de la </w:t>
      </w:r>
      <w:r w:rsidR="002B2018">
        <w:rPr>
          <w:rFonts w:ascii="Verdana" w:hAnsi="Verdana"/>
          <w:sz w:val="20"/>
          <w:szCs w:val="20"/>
          <w:lang w:val="es-MX"/>
        </w:rPr>
        <w:t>C</w:t>
      </w:r>
      <w:r w:rsidR="002B2018" w:rsidRPr="00037A62">
        <w:rPr>
          <w:rFonts w:ascii="Verdana" w:hAnsi="Verdana"/>
          <w:sz w:val="20"/>
          <w:szCs w:val="20"/>
          <w:lang w:val="es-MX"/>
        </w:rPr>
        <w:t xml:space="preserve">omunidad </w:t>
      </w:r>
      <w:r w:rsidRPr="00037A62">
        <w:rPr>
          <w:rFonts w:ascii="Verdana" w:hAnsi="Verdana"/>
          <w:sz w:val="20"/>
          <w:szCs w:val="20"/>
          <w:lang w:val="es-MX"/>
        </w:rPr>
        <w:t xml:space="preserve">Triunfo de la Cruz se están llevando a cabo bajo la dirección de la Fiscalía Especial de Delitos Contra la Vida del Ministerio Público. También informó que en un primer momento se integraron 3 equipos especiales de búsqueda entre los cuales se encuentran: agentes de la unidad de antisecuestros de la </w:t>
      </w:r>
      <w:r w:rsidR="00517914" w:rsidRPr="00517914">
        <w:rPr>
          <w:rFonts w:ascii="Verdana" w:hAnsi="Verdana"/>
          <w:sz w:val="20"/>
          <w:szCs w:val="20"/>
          <w:lang w:val="es-MX"/>
        </w:rPr>
        <w:t xml:space="preserve">Dirección Policial </w:t>
      </w:r>
      <w:r w:rsidR="00517914" w:rsidRPr="00517914">
        <w:rPr>
          <w:rFonts w:ascii="Verdana" w:hAnsi="Verdana"/>
          <w:sz w:val="20"/>
          <w:szCs w:val="20"/>
          <w:lang w:val="es-MX"/>
        </w:rPr>
        <w:lastRenderedPageBreak/>
        <w:t>de Investigaciones</w:t>
      </w:r>
      <w:r w:rsidR="00517914">
        <w:rPr>
          <w:rFonts w:ascii="Verdana" w:hAnsi="Verdana"/>
          <w:sz w:val="20"/>
          <w:szCs w:val="20"/>
          <w:lang w:val="es-MX"/>
        </w:rPr>
        <w:t xml:space="preserve"> (en adelante también “</w:t>
      </w:r>
      <w:r w:rsidRPr="00037A62">
        <w:rPr>
          <w:rFonts w:ascii="Verdana" w:hAnsi="Verdana"/>
          <w:sz w:val="20"/>
          <w:szCs w:val="20"/>
          <w:lang w:val="es-MX"/>
        </w:rPr>
        <w:t>DPI</w:t>
      </w:r>
      <w:r w:rsidR="00517914">
        <w:rPr>
          <w:rFonts w:ascii="Verdana" w:hAnsi="Verdana"/>
          <w:sz w:val="20"/>
          <w:szCs w:val="20"/>
          <w:lang w:val="es-MX"/>
        </w:rPr>
        <w:t>”)</w:t>
      </w:r>
      <w:r w:rsidRPr="00037A62">
        <w:rPr>
          <w:rFonts w:ascii="Verdana" w:hAnsi="Verdana"/>
          <w:sz w:val="20"/>
          <w:szCs w:val="20"/>
          <w:lang w:val="es-MX"/>
        </w:rPr>
        <w:t xml:space="preserve">, de la </w:t>
      </w:r>
      <w:r w:rsidR="00517914" w:rsidRPr="00517914">
        <w:rPr>
          <w:rFonts w:ascii="Verdana" w:hAnsi="Verdana"/>
          <w:sz w:val="20"/>
          <w:szCs w:val="20"/>
          <w:lang w:val="es-MX"/>
        </w:rPr>
        <w:t>Dirección Nacional de Fuerzas Especiales</w:t>
      </w:r>
      <w:r w:rsidR="00517914">
        <w:rPr>
          <w:rFonts w:ascii="Verdana" w:hAnsi="Verdana"/>
          <w:sz w:val="20"/>
          <w:szCs w:val="20"/>
          <w:lang w:val="es-MX"/>
        </w:rPr>
        <w:t xml:space="preserve">, </w:t>
      </w:r>
      <w:r w:rsidR="00517914" w:rsidRPr="00517914">
        <w:rPr>
          <w:rFonts w:ascii="Verdana" w:hAnsi="Verdana"/>
          <w:sz w:val="20"/>
          <w:szCs w:val="20"/>
          <w:lang w:val="es-MX"/>
        </w:rPr>
        <w:t>Unidad de Toma Integral Gubernamental de Respuesta Especial de Seguridad (TIGRES)</w:t>
      </w:r>
      <w:r w:rsidRPr="00037A62">
        <w:rPr>
          <w:rFonts w:ascii="Verdana" w:hAnsi="Verdana"/>
          <w:sz w:val="20"/>
          <w:szCs w:val="20"/>
          <w:lang w:val="es-MX"/>
        </w:rPr>
        <w:t xml:space="preserve">, y de la </w:t>
      </w:r>
      <w:r w:rsidR="00517914" w:rsidRPr="00517914">
        <w:rPr>
          <w:rFonts w:ascii="Verdana" w:hAnsi="Verdana"/>
          <w:sz w:val="20"/>
          <w:szCs w:val="20"/>
          <w:lang w:val="es-MX"/>
        </w:rPr>
        <w:t>Dirección Nacional de Prevención y Seguridad Comunitaria</w:t>
      </w:r>
      <w:r w:rsidRPr="00037A62">
        <w:rPr>
          <w:rFonts w:ascii="Verdana" w:hAnsi="Verdana"/>
          <w:sz w:val="20"/>
          <w:szCs w:val="20"/>
          <w:lang w:val="es-MX"/>
        </w:rPr>
        <w:t xml:space="preserve">.  </w:t>
      </w:r>
    </w:p>
    <w:p w14:paraId="6FD1178A" w14:textId="2DF8487E"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Por otra parte, informó sobre diligencias en cuanto a la ubicación de testigos o personas con conocimiento de los hechos como también personas cercanas, así como con miembros del patronato del sector para poder recabar toda la información que sea necesari</w:t>
      </w:r>
      <w:r w:rsidR="00AD4AF6">
        <w:rPr>
          <w:rFonts w:ascii="Verdana" w:hAnsi="Verdana"/>
          <w:sz w:val="20"/>
          <w:szCs w:val="20"/>
          <w:lang w:val="es-MX"/>
        </w:rPr>
        <w:t>a</w:t>
      </w:r>
      <w:r w:rsidRPr="00037A62">
        <w:rPr>
          <w:rFonts w:ascii="Verdana" w:hAnsi="Verdana"/>
          <w:sz w:val="20"/>
          <w:szCs w:val="20"/>
          <w:lang w:val="es-MX"/>
        </w:rPr>
        <w:t xml:space="preserve"> para esclarec</w:t>
      </w:r>
      <w:r w:rsidR="00824A22">
        <w:rPr>
          <w:rFonts w:ascii="Verdana" w:hAnsi="Verdana"/>
          <w:sz w:val="20"/>
          <w:szCs w:val="20"/>
          <w:lang w:val="es-MX"/>
        </w:rPr>
        <w:t>er</w:t>
      </w:r>
      <w:r w:rsidRPr="00037A62">
        <w:rPr>
          <w:rFonts w:ascii="Verdana" w:hAnsi="Verdana"/>
          <w:sz w:val="20"/>
          <w:szCs w:val="20"/>
          <w:lang w:val="es-MX"/>
        </w:rPr>
        <w:t xml:space="preserve"> los hechos. Del mismo modo, se refirió a otras medidas de investigación, varias de las cuales habían sido tomadas e informadas a la Corte con anterioridad a la emisión de las medidas provisionales (</w:t>
      </w:r>
      <w:r w:rsidR="002B2018">
        <w:rPr>
          <w:rFonts w:ascii="Verdana" w:hAnsi="Verdana"/>
          <w:sz w:val="20"/>
          <w:szCs w:val="20"/>
          <w:lang w:val="es-MX"/>
        </w:rPr>
        <w:t xml:space="preserve">diligencias de </w:t>
      </w:r>
      <w:r w:rsidRPr="00037A62">
        <w:rPr>
          <w:rFonts w:ascii="Verdana" w:hAnsi="Verdana"/>
          <w:sz w:val="20"/>
          <w:szCs w:val="20"/>
          <w:lang w:val="es-MX"/>
        </w:rPr>
        <w:t>búsqueda y rescate, patrullajes de lanchas de rutina y de saturación, ordenamientos demorados, recolección de evidencia, detención judicial, celebración de audiencia judicial, asignación y juramentos de peritos, identificación de testigo protegido, exhumación). Resaltó que</w:t>
      </w:r>
      <w:r w:rsidR="007346FD">
        <w:rPr>
          <w:rFonts w:ascii="Verdana" w:hAnsi="Verdana"/>
          <w:sz w:val="20"/>
          <w:szCs w:val="20"/>
          <w:lang w:val="es-MX"/>
        </w:rPr>
        <w:t>,</w:t>
      </w:r>
      <w:r w:rsidRPr="00037A62">
        <w:rPr>
          <w:rFonts w:ascii="Verdana" w:hAnsi="Verdana"/>
          <w:sz w:val="20"/>
          <w:szCs w:val="20"/>
          <w:lang w:val="es-MX"/>
        </w:rPr>
        <w:t xml:space="preserve"> a lo largo de las investigaciones</w:t>
      </w:r>
      <w:r w:rsidR="007346FD">
        <w:rPr>
          <w:rFonts w:ascii="Verdana" w:hAnsi="Verdana"/>
          <w:sz w:val="20"/>
          <w:szCs w:val="20"/>
          <w:lang w:val="es-MX"/>
        </w:rPr>
        <w:t>,</w:t>
      </w:r>
      <w:r w:rsidRPr="00037A62">
        <w:rPr>
          <w:rFonts w:ascii="Verdana" w:hAnsi="Verdana"/>
          <w:sz w:val="20"/>
          <w:szCs w:val="20"/>
          <w:lang w:val="es-MX"/>
        </w:rPr>
        <w:t xml:space="preserve"> se ha hecho uso de técnicas especiales de investigación como ser: intervenciones de investigaciones privadas consistentes en escuchas telefónicas en tiempo real, </w:t>
      </w:r>
      <w:proofErr w:type="spellStart"/>
      <w:r w:rsidRPr="00037A62">
        <w:rPr>
          <w:rFonts w:ascii="Verdana" w:hAnsi="Verdana"/>
          <w:sz w:val="20"/>
          <w:szCs w:val="20"/>
          <w:lang w:val="es-MX"/>
        </w:rPr>
        <w:t>vaseados</w:t>
      </w:r>
      <w:proofErr w:type="spellEnd"/>
      <w:r w:rsidRPr="00037A62">
        <w:rPr>
          <w:rFonts w:ascii="Verdana" w:hAnsi="Verdana"/>
          <w:sz w:val="20"/>
          <w:szCs w:val="20"/>
          <w:lang w:val="es-MX"/>
        </w:rPr>
        <w:t xml:space="preserve"> telefónicos y extracciones de informaciones contenidas en aparatos telefónicos, declaraciones de testigos protegidos bajo la modalidad de pruebas anticipadas, reconocimiento de personas para elaborar la identificación de sospechosos, pericias consistentes en videos forenses, evaluación corporal, </w:t>
      </w:r>
      <w:proofErr w:type="spellStart"/>
      <w:r w:rsidRPr="00037A62">
        <w:rPr>
          <w:rFonts w:ascii="Verdana" w:hAnsi="Verdana"/>
          <w:sz w:val="20"/>
          <w:szCs w:val="20"/>
          <w:lang w:val="es-MX"/>
        </w:rPr>
        <w:t>lofoscopía</w:t>
      </w:r>
      <w:proofErr w:type="spellEnd"/>
      <w:r w:rsidRPr="00037A62">
        <w:rPr>
          <w:rFonts w:ascii="Verdana" w:hAnsi="Verdana"/>
          <w:sz w:val="20"/>
          <w:szCs w:val="20"/>
          <w:lang w:val="es-MX"/>
        </w:rPr>
        <w:t xml:space="preserve"> forense, fotografía forense, pericias de vinculaciones criminales, entre otras</w:t>
      </w:r>
      <w:r w:rsidR="007346FD">
        <w:rPr>
          <w:rFonts w:ascii="Verdana" w:hAnsi="Verdana"/>
          <w:sz w:val="20"/>
          <w:szCs w:val="20"/>
          <w:lang w:val="es-MX"/>
        </w:rPr>
        <w:t>.</w:t>
      </w:r>
    </w:p>
    <w:p w14:paraId="438107B0" w14:textId="34ABEA6C"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En lo que </w:t>
      </w:r>
      <w:r w:rsidR="002B2018">
        <w:rPr>
          <w:rFonts w:ascii="Verdana" w:hAnsi="Verdana"/>
          <w:sz w:val="20"/>
          <w:szCs w:val="20"/>
          <w:lang w:val="es-MX"/>
        </w:rPr>
        <w:t>concierne</w:t>
      </w:r>
      <w:r w:rsidR="002B2018" w:rsidRPr="00037A62">
        <w:rPr>
          <w:rFonts w:ascii="Verdana" w:hAnsi="Verdana"/>
          <w:sz w:val="20"/>
          <w:szCs w:val="20"/>
          <w:lang w:val="es-MX"/>
        </w:rPr>
        <w:t xml:space="preserve"> </w:t>
      </w:r>
      <w:r w:rsidRPr="00037A62">
        <w:rPr>
          <w:rFonts w:ascii="Verdana" w:hAnsi="Verdana"/>
          <w:sz w:val="20"/>
          <w:szCs w:val="20"/>
          <w:lang w:val="es-MX"/>
        </w:rPr>
        <w:t xml:space="preserve">las medidas </w:t>
      </w:r>
      <w:r w:rsidR="002B2018">
        <w:rPr>
          <w:rFonts w:ascii="Verdana" w:hAnsi="Verdana"/>
          <w:sz w:val="20"/>
          <w:szCs w:val="20"/>
          <w:lang w:val="es-MX"/>
        </w:rPr>
        <w:t xml:space="preserve">que deben ser implementadas </w:t>
      </w:r>
      <w:r w:rsidRPr="00037A62">
        <w:rPr>
          <w:rFonts w:ascii="Verdana" w:hAnsi="Verdana"/>
          <w:sz w:val="20"/>
          <w:szCs w:val="20"/>
          <w:lang w:val="es-MX"/>
        </w:rPr>
        <w:t>para proteger l</w:t>
      </w:r>
      <w:r w:rsidR="009E5722">
        <w:rPr>
          <w:rFonts w:ascii="Verdana" w:hAnsi="Verdana"/>
          <w:sz w:val="20"/>
          <w:szCs w:val="20"/>
          <w:lang w:val="es-MX"/>
        </w:rPr>
        <w:t>os</w:t>
      </w:r>
      <w:r w:rsidRPr="00037A62">
        <w:rPr>
          <w:rFonts w:ascii="Verdana" w:hAnsi="Verdana"/>
          <w:sz w:val="20"/>
          <w:szCs w:val="20"/>
          <w:lang w:val="es-MX"/>
        </w:rPr>
        <w:t xml:space="preserve"> derecho</w:t>
      </w:r>
      <w:r w:rsidR="009E5722">
        <w:rPr>
          <w:rFonts w:ascii="Verdana" w:hAnsi="Verdana"/>
          <w:sz w:val="20"/>
          <w:szCs w:val="20"/>
          <w:lang w:val="es-MX"/>
        </w:rPr>
        <w:t>s</w:t>
      </w:r>
      <w:r w:rsidRPr="00037A62">
        <w:rPr>
          <w:rFonts w:ascii="Verdana" w:hAnsi="Verdana"/>
          <w:sz w:val="20"/>
          <w:szCs w:val="20"/>
          <w:lang w:val="es-MX"/>
        </w:rPr>
        <w:t xml:space="preserve"> a la vida e integridad personal de los líderes y dirigentes comunitarios de la Comunidad Garífuna de Triunfo de la Cruz que desarrollan colectivamente acciones de defensa de los derechos del pueblo garífuna, el Estado hizo referencia a diversas diligencias de toma de contactos con la finalidad de organizar un análisis de riesgo a los integrantes de la Comunidad Triunfo de la Cruz. Indicó que los beneficiarios </w:t>
      </w:r>
      <w:r w:rsidR="002B2018">
        <w:rPr>
          <w:rFonts w:ascii="Verdana" w:hAnsi="Verdana"/>
          <w:sz w:val="20"/>
          <w:szCs w:val="20"/>
          <w:lang w:val="es-MX"/>
        </w:rPr>
        <w:t xml:space="preserve">de </w:t>
      </w:r>
      <w:r w:rsidRPr="00037A62">
        <w:rPr>
          <w:rFonts w:ascii="Verdana" w:hAnsi="Verdana"/>
          <w:sz w:val="20"/>
          <w:szCs w:val="20"/>
          <w:lang w:val="es-MX"/>
        </w:rPr>
        <w:t xml:space="preserve">las medidas no accedieron a brindar información o a participar a las reuniones con el analista de riesgo. Agregó que </w:t>
      </w:r>
      <w:r w:rsidRPr="00037A62">
        <w:rPr>
          <w:rFonts w:ascii="Verdana" w:hAnsi="Verdana"/>
          <w:sz w:val="20"/>
          <w:lang w:val="es-MX"/>
        </w:rPr>
        <w:t>el 28 de enero 2021 el expediente fue remitido por segunda ocasión a la unidad de análisis de riesgo con el fin de retomar el proceso de evaluación de riesgo colectivo el cual se encuentra en proceso de coordinar una nueva fecha.</w:t>
      </w:r>
    </w:p>
    <w:p w14:paraId="4810BCD5" w14:textId="4A7607D9"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En relación con </w:t>
      </w:r>
      <w:r w:rsidR="002B2018" w:rsidRPr="00037A62">
        <w:rPr>
          <w:rFonts w:ascii="Verdana" w:hAnsi="Verdana"/>
          <w:sz w:val="20"/>
          <w:szCs w:val="20"/>
          <w:lang w:val="es-MX"/>
        </w:rPr>
        <w:t xml:space="preserve">las medidas </w:t>
      </w:r>
      <w:r w:rsidR="002B2018">
        <w:rPr>
          <w:rFonts w:ascii="Verdana" w:hAnsi="Verdana"/>
          <w:sz w:val="20"/>
          <w:szCs w:val="20"/>
          <w:lang w:val="es-MX"/>
        </w:rPr>
        <w:t xml:space="preserve">que deben ser implementadas </w:t>
      </w:r>
      <w:r w:rsidR="002B2018" w:rsidRPr="00037A62">
        <w:rPr>
          <w:rFonts w:ascii="Verdana" w:hAnsi="Verdana"/>
          <w:sz w:val="20"/>
          <w:szCs w:val="20"/>
          <w:lang w:val="es-MX"/>
        </w:rPr>
        <w:t>para proteger l</w:t>
      </w:r>
      <w:r w:rsidR="002B2018">
        <w:rPr>
          <w:rFonts w:ascii="Verdana" w:hAnsi="Verdana"/>
          <w:sz w:val="20"/>
          <w:szCs w:val="20"/>
          <w:lang w:val="es-MX"/>
        </w:rPr>
        <w:t>os</w:t>
      </w:r>
      <w:r w:rsidR="002B2018" w:rsidRPr="00037A62">
        <w:rPr>
          <w:rFonts w:ascii="Verdana" w:hAnsi="Verdana"/>
          <w:sz w:val="20"/>
          <w:szCs w:val="20"/>
          <w:lang w:val="es-MX"/>
        </w:rPr>
        <w:t xml:space="preserve"> derecho</w:t>
      </w:r>
      <w:r w:rsidR="002B2018">
        <w:rPr>
          <w:rFonts w:ascii="Verdana" w:hAnsi="Verdana"/>
          <w:sz w:val="20"/>
          <w:szCs w:val="20"/>
          <w:lang w:val="es-MX"/>
        </w:rPr>
        <w:t>s</w:t>
      </w:r>
      <w:r w:rsidR="002B2018" w:rsidRPr="00037A62">
        <w:rPr>
          <w:rFonts w:ascii="Verdana" w:hAnsi="Verdana"/>
          <w:sz w:val="20"/>
          <w:szCs w:val="20"/>
          <w:lang w:val="es-MX"/>
        </w:rPr>
        <w:t xml:space="preserve"> a la vida e integridad personal de los líderes y dirigentes comunitarios de la </w:t>
      </w:r>
      <w:r w:rsidR="002B2018">
        <w:rPr>
          <w:rFonts w:ascii="Verdana" w:hAnsi="Verdana"/>
          <w:sz w:val="20"/>
          <w:szCs w:val="20"/>
          <w:lang w:val="es-MX"/>
        </w:rPr>
        <w:t>C</w:t>
      </w:r>
      <w:r w:rsidR="002B2018" w:rsidRPr="00037A62">
        <w:rPr>
          <w:rFonts w:ascii="Verdana" w:hAnsi="Verdana"/>
          <w:sz w:val="20"/>
          <w:szCs w:val="20"/>
          <w:lang w:val="es-MX"/>
        </w:rPr>
        <w:t xml:space="preserve">omunidad Garífuna de </w:t>
      </w:r>
      <w:r w:rsidRPr="00037A62">
        <w:rPr>
          <w:rFonts w:ascii="Verdana" w:hAnsi="Verdana"/>
          <w:sz w:val="20"/>
          <w:szCs w:val="20"/>
          <w:lang w:val="es-MX"/>
        </w:rPr>
        <w:t xml:space="preserve">Punta Piedra, </w:t>
      </w:r>
      <w:r w:rsidR="002B2018">
        <w:rPr>
          <w:rFonts w:ascii="Verdana" w:hAnsi="Verdana"/>
          <w:sz w:val="20"/>
          <w:szCs w:val="20"/>
          <w:lang w:val="es-MX"/>
        </w:rPr>
        <w:t xml:space="preserve">el Estado hizo referencia </w:t>
      </w:r>
      <w:r w:rsidRPr="00037A62">
        <w:rPr>
          <w:rFonts w:ascii="Verdana" w:hAnsi="Verdana"/>
          <w:sz w:val="20"/>
          <w:szCs w:val="20"/>
          <w:lang w:val="es-MX"/>
        </w:rPr>
        <w:t xml:space="preserve">a diligencias desarrolladas durante los años 2017, 2018 y 2019. Indicó </w:t>
      </w:r>
      <w:proofErr w:type="spellStart"/>
      <w:r w:rsidR="002B2018">
        <w:rPr>
          <w:rFonts w:ascii="Verdana" w:hAnsi="Verdana"/>
          <w:sz w:val="20"/>
          <w:szCs w:val="20"/>
          <w:lang w:val="es-MX"/>
        </w:rPr>
        <w:t>enparticuar</w:t>
      </w:r>
      <w:proofErr w:type="spellEnd"/>
      <w:r w:rsidR="002B2018">
        <w:rPr>
          <w:rFonts w:ascii="Verdana" w:hAnsi="Verdana"/>
          <w:sz w:val="20"/>
          <w:szCs w:val="20"/>
          <w:lang w:val="es-MX"/>
        </w:rPr>
        <w:t xml:space="preserve"> </w:t>
      </w:r>
      <w:r w:rsidRPr="00037A62">
        <w:rPr>
          <w:rFonts w:ascii="Verdana" w:hAnsi="Verdana"/>
          <w:sz w:val="20"/>
          <w:szCs w:val="20"/>
          <w:lang w:val="es-MX"/>
        </w:rPr>
        <w:t xml:space="preserve">que se había enviado una solicitud a la Secretaría de seguridad para que se realicen patrullajes en la comuna de Punta Piedra, en la zona del municipio de </w:t>
      </w:r>
      <w:proofErr w:type="spellStart"/>
      <w:r w:rsidRPr="00037A62">
        <w:rPr>
          <w:rFonts w:ascii="Verdana" w:hAnsi="Verdana"/>
          <w:sz w:val="20"/>
          <w:szCs w:val="20"/>
          <w:lang w:val="es-MX"/>
        </w:rPr>
        <w:t>Iriona</w:t>
      </w:r>
      <w:proofErr w:type="spellEnd"/>
      <w:r w:rsidRPr="00037A62">
        <w:rPr>
          <w:rFonts w:ascii="Verdana" w:hAnsi="Verdana"/>
          <w:sz w:val="20"/>
          <w:szCs w:val="20"/>
          <w:lang w:val="es-MX"/>
        </w:rPr>
        <w:t xml:space="preserve">, departamento de Colón. Además, indicó que se brindó </w:t>
      </w:r>
      <w:r w:rsidR="002B2018">
        <w:rPr>
          <w:rFonts w:ascii="Verdana" w:hAnsi="Verdana"/>
          <w:sz w:val="20"/>
          <w:szCs w:val="20"/>
          <w:lang w:val="es-MX"/>
        </w:rPr>
        <w:t>un</w:t>
      </w:r>
      <w:r w:rsidR="002B2018" w:rsidRPr="00037A62">
        <w:rPr>
          <w:rFonts w:ascii="Verdana" w:hAnsi="Verdana"/>
          <w:sz w:val="20"/>
          <w:szCs w:val="20"/>
          <w:lang w:val="es-MX"/>
        </w:rPr>
        <w:t xml:space="preserve"> </w:t>
      </w:r>
      <w:r w:rsidRPr="00037A62">
        <w:rPr>
          <w:rFonts w:ascii="Verdana" w:hAnsi="Verdana"/>
          <w:sz w:val="20"/>
          <w:szCs w:val="20"/>
          <w:lang w:val="es-MX"/>
        </w:rPr>
        <w:t xml:space="preserve">número de enlace del mecanismo de protección, para que, a través de éste, se coordinen acciones de respuesta ante situaciones de riesgo que pudiesen presentarse. Por otra parte, </w:t>
      </w:r>
      <w:r w:rsidR="00E61752">
        <w:rPr>
          <w:rFonts w:ascii="Verdana" w:hAnsi="Verdana"/>
          <w:sz w:val="20"/>
          <w:szCs w:val="20"/>
          <w:lang w:val="es-MX"/>
        </w:rPr>
        <w:t>señaló</w:t>
      </w:r>
      <w:r w:rsidR="00E61752" w:rsidRPr="00037A62">
        <w:rPr>
          <w:rFonts w:ascii="Verdana" w:hAnsi="Verdana"/>
          <w:sz w:val="20"/>
          <w:szCs w:val="20"/>
          <w:lang w:val="es-MX"/>
        </w:rPr>
        <w:t xml:space="preserve"> </w:t>
      </w:r>
      <w:r w:rsidRPr="00037A62">
        <w:rPr>
          <w:rFonts w:ascii="Verdana" w:hAnsi="Verdana"/>
          <w:sz w:val="20"/>
          <w:szCs w:val="20"/>
          <w:lang w:val="es-MX"/>
        </w:rPr>
        <w:t xml:space="preserve">que el </w:t>
      </w:r>
      <w:r w:rsidRPr="00037A62">
        <w:rPr>
          <w:rFonts w:ascii="Verdana" w:hAnsi="Verdana"/>
          <w:sz w:val="20"/>
          <w:lang w:val="es-MX"/>
        </w:rPr>
        <w:t>23 de febrero 2021</w:t>
      </w:r>
      <w:r w:rsidR="00E61752">
        <w:rPr>
          <w:rFonts w:ascii="Verdana" w:hAnsi="Verdana"/>
          <w:sz w:val="20"/>
          <w:lang w:val="es-MX"/>
        </w:rPr>
        <w:t>,</w:t>
      </w:r>
      <w:r w:rsidRPr="00037A62">
        <w:rPr>
          <w:rFonts w:ascii="Verdana" w:hAnsi="Verdana"/>
          <w:sz w:val="20"/>
          <w:lang w:val="es-MX"/>
        </w:rPr>
        <w:t xml:space="preserve"> mediante </w:t>
      </w:r>
      <w:r w:rsidRPr="00037A62">
        <w:rPr>
          <w:rFonts w:ascii="Verdana" w:hAnsi="Verdana"/>
          <w:sz w:val="20"/>
          <w:szCs w:val="20"/>
          <w:lang w:val="es-MX"/>
        </w:rPr>
        <w:t>comunicación</w:t>
      </w:r>
      <w:r w:rsidRPr="00037A62">
        <w:rPr>
          <w:rFonts w:ascii="Verdana" w:hAnsi="Verdana"/>
          <w:sz w:val="20"/>
          <w:lang w:val="es-MX"/>
        </w:rPr>
        <w:t xml:space="preserve"> telefónica</w:t>
      </w:r>
      <w:r w:rsidR="00E61752">
        <w:rPr>
          <w:rFonts w:ascii="Verdana" w:hAnsi="Verdana"/>
          <w:sz w:val="20"/>
          <w:lang w:val="es-MX"/>
        </w:rPr>
        <w:t>,</w:t>
      </w:r>
      <w:r w:rsidRPr="00037A62">
        <w:rPr>
          <w:rFonts w:ascii="Verdana" w:hAnsi="Verdana"/>
          <w:sz w:val="20"/>
          <w:lang w:val="es-MX"/>
        </w:rPr>
        <w:t xml:space="preserve"> la unidad de prevención y análisis de contexto realizó acercamiento con la tesorera del patronato, quien expresó su disposición </w:t>
      </w:r>
      <w:r w:rsidR="002B2018">
        <w:rPr>
          <w:rFonts w:ascii="Verdana" w:hAnsi="Verdana"/>
          <w:sz w:val="20"/>
          <w:lang w:val="es-MX"/>
        </w:rPr>
        <w:t>para</w:t>
      </w:r>
      <w:r w:rsidR="002B2018" w:rsidRPr="00037A62">
        <w:rPr>
          <w:rFonts w:ascii="Verdana" w:hAnsi="Verdana"/>
          <w:sz w:val="20"/>
          <w:lang w:val="es-MX"/>
        </w:rPr>
        <w:t xml:space="preserve"> </w:t>
      </w:r>
      <w:r w:rsidRPr="00037A62">
        <w:rPr>
          <w:rFonts w:ascii="Verdana" w:hAnsi="Verdana"/>
          <w:sz w:val="20"/>
          <w:lang w:val="es-MX"/>
        </w:rPr>
        <w:t xml:space="preserve">trabajar con la dirección. Agregó que actualmente el caso está a la espera de coordinar fecha para continuar </w:t>
      </w:r>
      <w:r w:rsidR="002B2018">
        <w:rPr>
          <w:rFonts w:ascii="Verdana" w:hAnsi="Verdana"/>
          <w:sz w:val="20"/>
          <w:lang w:val="es-MX"/>
        </w:rPr>
        <w:t xml:space="preserve">con </w:t>
      </w:r>
      <w:r w:rsidRPr="00037A62">
        <w:rPr>
          <w:rFonts w:ascii="Verdana" w:hAnsi="Verdana"/>
          <w:sz w:val="20"/>
          <w:lang w:val="es-MX"/>
        </w:rPr>
        <w:t xml:space="preserve">el proceso. </w:t>
      </w:r>
    </w:p>
    <w:p w14:paraId="1EF96642" w14:textId="7146B7F6" w:rsidR="0089394E" w:rsidRPr="004B392B"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lang w:val="es-MX"/>
        </w:rPr>
        <w:t xml:space="preserve">Por su parte, los </w:t>
      </w:r>
      <w:r w:rsidRPr="009D38BD">
        <w:rPr>
          <w:rFonts w:ascii="Verdana" w:hAnsi="Verdana"/>
          <w:bCs/>
          <w:i/>
          <w:iCs/>
          <w:sz w:val="20"/>
          <w:lang w:val="es-MX"/>
        </w:rPr>
        <w:t>representantes</w:t>
      </w:r>
      <w:r w:rsidRPr="00037A62">
        <w:rPr>
          <w:rFonts w:ascii="Verdana" w:hAnsi="Verdana"/>
          <w:sz w:val="20"/>
          <w:lang w:val="es-MX"/>
        </w:rPr>
        <w:t xml:space="preserve"> indicaron que no consideraban que se hubiesen tomado acciones eficaces para el cumplimiento de las medidas en el caso de las personas en condición de </w:t>
      </w:r>
      <w:r w:rsidR="00851CAB">
        <w:rPr>
          <w:rFonts w:ascii="Verdana" w:hAnsi="Verdana"/>
          <w:sz w:val="20"/>
          <w:lang w:val="es-MX"/>
        </w:rPr>
        <w:t>“</w:t>
      </w:r>
      <w:r w:rsidRPr="00037A62">
        <w:rPr>
          <w:rFonts w:ascii="Verdana" w:hAnsi="Verdana"/>
          <w:sz w:val="20"/>
          <w:lang w:val="es-MX"/>
        </w:rPr>
        <w:t>desaparición forzada</w:t>
      </w:r>
      <w:r w:rsidR="00851CAB">
        <w:rPr>
          <w:rFonts w:ascii="Verdana" w:hAnsi="Verdana"/>
          <w:sz w:val="20"/>
          <w:lang w:val="es-MX"/>
        </w:rPr>
        <w:t xml:space="preserve">”. Sostuvieron que transcurrieron más de </w:t>
      </w:r>
      <w:r w:rsidRPr="00037A62">
        <w:rPr>
          <w:rFonts w:ascii="Verdana" w:hAnsi="Verdana"/>
          <w:sz w:val="20"/>
          <w:lang w:val="es-MX"/>
        </w:rPr>
        <w:t>6 meses de</w:t>
      </w:r>
      <w:r w:rsidR="00851CAB">
        <w:rPr>
          <w:rFonts w:ascii="Verdana" w:hAnsi="Verdana"/>
          <w:sz w:val="20"/>
          <w:lang w:val="es-MX"/>
        </w:rPr>
        <w:t xml:space="preserve">sde que desaparecieron y que hasta el momento </w:t>
      </w:r>
      <w:r w:rsidRPr="00037A62">
        <w:rPr>
          <w:rFonts w:ascii="Verdana" w:hAnsi="Verdana"/>
          <w:sz w:val="20"/>
          <w:lang w:val="es-MX"/>
        </w:rPr>
        <w:t>no existen mayores avances en la investigación</w:t>
      </w:r>
      <w:r w:rsidR="00851CAB">
        <w:rPr>
          <w:rFonts w:ascii="Verdana" w:hAnsi="Verdana"/>
          <w:sz w:val="20"/>
          <w:lang w:val="es-MX"/>
        </w:rPr>
        <w:t xml:space="preserve"> para determinar su paradero</w:t>
      </w:r>
      <w:r w:rsidRPr="00037A62">
        <w:rPr>
          <w:rFonts w:ascii="Verdana" w:hAnsi="Verdana"/>
          <w:sz w:val="20"/>
          <w:lang w:val="es-MX"/>
        </w:rPr>
        <w:t>.</w:t>
      </w:r>
      <w:r w:rsidR="00851CAB">
        <w:rPr>
          <w:rFonts w:ascii="Verdana" w:hAnsi="Verdana"/>
          <w:sz w:val="20"/>
          <w:lang w:val="es-MX"/>
        </w:rPr>
        <w:t xml:space="preserve"> En particular c</w:t>
      </w:r>
      <w:r w:rsidRPr="00037A62">
        <w:rPr>
          <w:rFonts w:ascii="Verdana" w:hAnsi="Verdana"/>
          <w:sz w:val="20"/>
          <w:lang w:val="es-MX"/>
        </w:rPr>
        <w:t xml:space="preserve">onsideraron que </w:t>
      </w:r>
      <w:r w:rsidR="00851CAB">
        <w:rPr>
          <w:rFonts w:ascii="Verdana" w:hAnsi="Verdana"/>
          <w:sz w:val="20"/>
          <w:lang w:val="es-MX"/>
        </w:rPr>
        <w:t>las</w:t>
      </w:r>
      <w:r w:rsidRPr="00037A62">
        <w:rPr>
          <w:rFonts w:ascii="Verdana" w:hAnsi="Verdana"/>
          <w:sz w:val="20"/>
          <w:lang w:val="es-MX"/>
        </w:rPr>
        <w:t xml:space="preserve"> acciones</w:t>
      </w:r>
      <w:r w:rsidR="00851CAB">
        <w:rPr>
          <w:rFonts w:ascii="Verdana" w:hAnsi="Verdana"/>
          <w:sz w:val="20"/>
          <w:lang w:val="es-MX"/>
        </w:rPr>
        <w:t xml:space="preserve"> implementadas</w:t>
      </w:r>
      <w:r w:rsidRPr="00037A62">
        <w:rPr>
          <w:rFonts w:ascii="Verdana" w:hAnsi="Verdana"/>
          <w:sz w:val="20"/>
          <w:lang w:val="es-MX"/>
        </w:rPr>
        <w:t xml:space="preserve"> </w:t>
      </w:r>
      <w:r w:rsidR="008E2D9E">
        <w:rPr>
          <w:rFonts w:ascii="Verdana" w:hAnsi="Verdana"/>
          <w:sz w:val="20"/>
          <w:lang w:val="es-MX"/>
        </w:rPr>
        <w:t>d</w:t>
      </w:r>
      <w:r w:rsidRPr="00037A62">
        <w:rPr>
          <w:rFonts w:ascii="Verdana" w:hAnsi="Verdana"/>
          <w:sz w:val="20"/>
          <w:lang w:val="es-MX"/>
        </w:rPr>
        <w:t xml:space="preserve">el Estado son puntuales, sin contexto y sin resultado alguno. Afirmaron que las mismas no cumplen con los estándares internacionales en materia de desaparición forzada y la línea de investigación que se está llevando no está relacionada con el contexto de los conflictos territoriales de ambas </w:t>
      </w:r>
      <w:r w:rsidR="00851CAB">
        <w:rPr>
          <w:rFonts w:ascii="Verdana" w:hAnsi="Verdana"/>
          <w:sz w:val="20"/>
          <w:szCs w:val="20"/>
          <w:lang w:val="es-MX"/>
        </w:rPr>
        <w:t>C</w:t>
      </w:r>
      <w:r w:rsidR="00851CAB" w:rsidRPr="00037A62">
        <w:rPr>
          <w:rFonts w:ascii="Verdana" w:hAnsi="Verdana"/>
          <w:sz w:val="20"/>
          <w:szCs w:val="20"/>
          <w:lang w:val="es-MX"/>
        </w:rPr>
        <w:t>omunidades</w:t>
      </w:r>
      <w:r w:rsidRPr="00037A62">
        <w:rPr>
          <w:rFonts w:ascii="Verdana" w:hAnsi="Verdana"/>
          <w:sz w:val="20"/>
          <w:lang w:val="es-MX"/>
        </w:rPr>
        <w:t xml:space="preserve">. </w:t>
      </w:r>
      <w:r w:rsidR="00851CAB">
        <w:rPr>
          <w:rFonts w:ascii="Verdana" w:hAnsi="Verdana"/>
          <w:sz w:val="20"/>
          <w:lang w:val="es-MX"/>
        </w:rPr>
        <w:t xml:space="preserve">Agregaron que </w:t>
      </w:r>
      <w:r w:rsidRPr="00037A62">
        <w:rPr>
          <w:rFonts w:ascii="Verdana" w:hAnsi="Verdana"/>
          <w:sz w:val="20"/>
          <w:lang w:val="es-MX"/>
        </w:rPr>
        <w:t xml:space="preserve">el Estado presentó una serie de acciones </w:t>
      </w:r>
      <w:r w:rsidR="00851CAB">
        <w:rPr>
          <w:rFonts w:ascii="Verdana" w:hAnsi="Verdana"/>
          <w:sz w:val="20"/>
          <w:lang w:val="es-MX"/>
        </w:rPr>
        <w:t>“</w:t>
      </w:r>
      <w:r w:rsidRPr="00037A62">
        <w:rPr>
          <w:rFonts w:ascii="Verdana" w:hAnsi="Verdana"/>
          <w:sz w:val="20"/>
          <w:lang w:val="es-MX"/>
        </w:rPr>
        <w:t>irrisorias</w:t>
      </w:r>
      <w:r w:rsidR="00851CAB">
        <w:rPr>
          <w:rFonts w:ascii="Verdana" w:hAnsi="Verdana"/>
          <w:sz w:val="20"/>
          <w:lang w:val="es-MX"/>
        </w:rPr>
        <w:t>”</w:t>
      </w:r>
      <w:r w:rsidRPr="00037A62">
        <w:rPr>
          <w:rFonts w:ascii="Verdana" w:hAnsi="Verdana"/>
          <w:sz w:val="20"/>
          <w:lang w:val="es-MX"/>
        </w:rPr>
        <w:t xml:space="preserve"> que no constituyen avances, como por ejemplo </w:t>
      </w:r>
      <w:r w:rsidR="00851CAB">
        <w:rPr>
          <w:rFonts w:ascii="Verdana" w:hAnsi="Verdana"/>
          <w:sz w:val="20"/>
          <w:lang w:val="es-MX"/>
        </w:rPr>
        <w:t>“</w:t>
      </w:r>
      <w:r w:rsidRPr="00037A62">
        <w:rPr>
          <w:rFonts w:ascii="Verdana" w:hAnsi="Verdana"/>
          <w:sz w:val="20"/>
          <w:lang w:val="es-MX"/>
        </w:rPr>
        <w:t xml:space="preserve">solicitudes administrativas, </w:t>
      </w:r>
      <w:r w:rsidRPr="00037A62">
        <w:rPr>
          <w:rFonts w:ascii="Verdana" w:hAnsi="Verdana"/>
          <w:sz w:val="20"/>
          <w:lang w:val="es-MX"/>
        </w:rPr>
        <w:lastRenderedPageBreak/>
        <w:t>solicitudes de video, solicitudes de que se haga un requerimiento, solicitudes de que se me informe, solicitudes de una reunión</w:t>
      </w:r>
      <w:r w:rsidR="00851CAB">
        <w:rPr>
          <w:rFonts w:ascii="Verdana" w:hAnsi="Verdana"/>
          <w:sz w:val="20"/>
          <w:lang w:val="es-MX"/>
        </w:rPr>
        <w:t>”</w:t>
      </w:r>
      <w:r w:rsidRPr="00037A62">
        <w:rPr>
          <w:rFonts w:ascii="Verdana" w:hAnsi="Verdana"/>
          <w:sz w:val="20"/>
          <w:lang w:val="es-MX"/>
        </w:rPr>
        <w:t xml:space="preserve">. Estimaron que estos no son puntos esenciales y no cumplen con estándares mínimos para temas de investigación de desaparición forzada, y que el Estado sigue negando la participación de agentes estatales en </w:t>
      </w:r>
      <w:r w:rsidR="00851CAB">
        <w:rPr>
          <w:rFonts w:ascii="Verdana" w:hAnsi="Verdana"/>
          <w:sz w:val="20"/>
          <w:lang w:val="es-MX"/>
        </w:rPr>
        <w:t>esos hechos</w:t>
      </w:r>
      <w:r w:rsidRPr="00037A62">
        <w:rPr>
          <w:rFonts w:ascii="Verdana" w:hAnsi="Verdana"/>
          <w:sz w:val="20"/>
          <w:lang w:val="es-MX"/>
        </w:rPr>
        <w:t xml:space="preserve">. Del mismo modo, informaron </w:t>
      </w:r>
      <w:r w:rsidR="00851CAB" w:rsidRPr="00037A62">
        <w:rPr>
          <w:rFonts w:ascii="Verdana" w:hAnsi="Verdana"/>
          <w:sz w:val="20"/>
          <w:lang w:val="es-MX"/>
        </w:rPr>
        <w:t>que</w:t>
      </w:r>
      <w:r w:rsidR="00851CAB">
        <w:rPr>
          <w:rFonts w:ascii="Verdana" w:hAnsi="Verdana"/>
          <w:sz w:val="20"/>
          <w:lang w:val="es-MX"/>
        </w:rPr>
        <w:t>.</w:t>
      </w:r>
      <w:r w:rsidR="00851CAB" w:rsidRPr="00037A62">
        <w:rPr>
          <w:rFonts w:ascii="Verdana" w:hAnsi="Verdana"/>
          <w:sz w:val="20"/>
          <w:lang w:val="es-MX"/>
        </w:rPr>
        <w:t xml:space="preserve"> el 11 de noviembre del 2020</w:t>
      </w:r>
      <w:r w:rsidR="00851CAB">
        <w:rPr>
          <w:rFonts w:ascii="Verdana" w:hAnsi="Verdana"/>
          <w:sz w:val="20"/>
          <w:lang w:val="es-MX"/>
        </w:rPr>
        <w:t>,</w:t>
      </w:r>
      <w:r w:rsidR="00851CAB" w:rsidRPr="00037A62">
        <w:rPr>
          <w:rFonts w:ascii="Verdana" w:hAnsi="Verdana"/>
          <w:sz w:val="20"/>
          <w:lang w:val="es-MX"/>
        </w:rPr>
        <w:t xml:space="preserve"> </w:t>
      </w:r>
      <w:r w:rsidRPr="00037A62">
        <w:rPr>
          <w:rFonts w:ascii="Verdana" w:hAnsi="Verdana"/>
          <w:sz w:val="20"/>
          <w:szCs w:val="20"/>
          <w:lang w:val="es-MX"/>
        </w:rPr>
        <w:t xml:space="preserve">la </w:t>
      </w:r>
      <w:r w:rsidR="002B2018">
        <w:rPr>
          <w:rFonts w:ascii="Verdana" w:hAnsi="Verdana"/>
          <w:sz w:val="20"/>
          <w:szCs w:val="20"/>
          <w:lang w:val="es-MX"/>
        </w:rPr>
        <w:t>C</w:t>
      </w:r>
      <w:r w:rsidR="002B2018" w:rsidRPr="00037A62">
        <w:rPr>
          <w:rFonts w:ascii="Verdana" w:hAnsi="Verdana"/>
          <w:sz w:val="20"/>
          <w:szCs w:val="20"/>
          <w:lang w:val="es-MX"/>
        </w:rPr>
        <w:t xml:space="preserve">omunidad </w:t>
      </w:r>
      <w:r w:rsidRPr="00037A62">
        <w:rPr>
          <w:rFonts w:ascii="Verdana" w:hAnsi="Verdana"/>
          <w:sz w:val="20"/>
          <w:szCs w:val="20"/>
          <w:lang w:val="es-MX"/>
        </w:rPr>
        <w:t xml:space="preserve">Garífuna en Asamblea </w:t>
      </w:r>
      <w:r w:rsidR="00851CAB">
        <w:rPr>
          <w:rFonts w:ascii="Verdana" w:hAnsi="Verdana"/>
          <w:sz w:val="20"/>
          <w:szCs w:val="20"/>
          <w:lang w:val="es-MX"/>
        </w:rPr>
        <w:t>en la cual</w:t>
      </w:r>
      <w:r w:rsidRPr="00037A62">
        <w:rPr>
          <w:rFonts w:ascii="Verdana" w:hAnsi="Verdana"/>
          <w:sz w:val="20"/>
          <w:szCs w:val="20"/>
          <w:lang w:val="es-MX"/>
        </w:rPr>
        <w:t xml:space="preserve"> particip</w:t>
      </w:r>
      <w:r w:rsidR="00851CAB">
        <w:rPr>
          <w:rFonts w:ascii="Verdana" w:hAnsi="Verdana"/>
          <w:sz w:val="20"/>
          <w:szCs w:val="20"/>
          <w:lang w:val="es-MX"/>
        </w:rPr>
        <w:t>aron</w:t>
      </w:r>
      <w:r w:rsidRPr="00037A62">
        <w:rPr>
          <w:rFonts w:ascii="Verdana" w:hAnsi="Verdana"/>
          <w:sz w:val="20"/>
          <w:szCs w:val="20"/>
          <w:lang w:val="es-MX"/>
        </w:rPr>
        <w:t xml:space="preserve"> los familiares </w:t>
      </w:r>
      <w:r w:rsidRPr="00037A62">
        <w:rPr>
          <w:rFonts w:ascii="Verdana" w:hAnsi="Verdana"/>
          <w:sz w:val="20"/>
          <w:lang w:val="es-MX"/>
        </w:rPr>
        <w:t xml:space="preserve">de los desaparecidos, procedió a la conformación del Comité Garífuna de Investigación y Búsqueda de los Desaparecidos de Triunfo de la Cruz (en </w:t>
      </w:r>
      <w:r w:rsidR="00851CAB">
        <w:rPr>
          <w:rFonts w:ascii="Verdana" w:hAnsi="Verdana"/>
          <w:sz w:val="20"/>
          <w:lang w:val="es-MX"/>
        </w:rPr>
        <w:t xml:space="preserve">lengua </w:t>
      </w:r>
      <w:r w:rsidRPr="00037A62">
        <w:rPr>
          <w:rFonts w:ascii="Verdana" w:hAnsi="Verdana"/>
          <w:sz w:val="20"/>
          <w:lang w:val="es-MX"/>
        </w:rPr>
        <w:t xml:space="preserve">Garífuna </w:t>
      </w:r>
      <w:r w:rsidR="00851CAB">
        <w:rPr>
          <w:rFonts w:ascii="Verdana" w:hAnsi="Verdana"/>
          <w:sz w:val="20"/>
          <w:lang w:val="es-MX"/>
        </w:rPr>
        <w:t>“</w:t>
      </w:r>
      <w:r w:rsidRPr="00037A62">
        <w:rPr>
          <w:rFonts w:ascii="Verdana" w:hAnsi="Verdana"/>
          <w:sz w:val="20"/>
          <w:lang w:val="es-MX"/>
        </w:rPr>
        <w:t>SUNLA</w:t>
      </w:r>
      <w:r w:rsidR="00851CAB">
        <w:rPr>
          <w:rFonts w:ascii="Verdana" w:hAnsi="Verdana"/>
          <w:sz w:val="20"/>
          <w:lang w:val="es-MX"/>
        </w:rPr>
        <w:t>”</w:t>
      </w:r>
      <w:r w:rsidRPr="00037A62">
        <w:rPr>
          <w:rFonts w:ascii="Verdana" w:hAnsi="Verdana"/>
          <w:sz w:val="20"/>
          <w:lang w:val="es-MX"/>
        </w:rPr>
        <w:t>),</w:t>
      </w:r>
      <w:r w:rsidRPr="00037A62">
        <w:rPr>
          <w:rFonts w:ascii="Verdana" w:hAnsi="Verdana"/>
          <w:sz w:val="20"/>
          <w:szCs w:val="20"/>
          <w:lang w:val="es-MX"/>
        </w:rPr>
        <w:t xml:space="preserve"> con el objetivo de </w:t>
      </w:r>
      <w:r w:rsidR="0089394E">
        <w:rPr>
          <w:rFonts w:ascii="Verdana" w:hAnsi="Verdana"/>
          <w:sz w:val="20"/>
          <w:szCs w:val="20"/>
          <w:lang w:val="es-MX"/>
        </w:rPr>
        <w:t>“</w:t>
      </w:r>
      <w:r w:rsidRPr="00037A62">
        <w:rPr>
          <w:rFonts w:ascii="Verdana" w:hAnsi="Verdana"/>
          <w:sz w:val="20"/>
          <w:szCs w:val="20"/>
          <w:lang w:val="es-MX"/>
        </w:rPr>
        <w:t>investigar y ejecutar la búsqueda de la desaparición forzada</w:t>
      </w:r>
      <w:r w:rsidR="0089394E">
        <w:rPr>
          <w:rFonts w:ascii="Verdana" w:hAnsi="Verdana"/>
          <w:sz w:val="20"/>
          <w:szCs w:val="20"/>
          <w:lang w:val="es-MX"/>
        </w:rPr>
        <w:t>”</w:t>
      </w:r>
      <w:r w:rsidRPr="00037A62">
        <w:rPr>
          <w:rFonts w:ascii="Verdana" w:hAnsi="Verdana"/>
          <w:sz w:val="20"/>
          <w:szCs w:val="20"/>
          <w:lang w:val="es-MX"/>
        </w:rPr>
        <w:t xml:space="preserve"> </w:t>
      </w:r>
      <w:r w:rsidRPr="0089394E">
        <w:rPr>
          <w:rFonts w:ascii="Verdana" w:hAnsi="Verdana"/>
          <w:sz w:val="20"/>
          <w:szCs w:val="20"/>
          <w:lang w:val="es-MX"/>
        </w:rPr>
        <w:t xml:space="preserve">de </w:t>
      </w:r>
      <w:r w:rsidR="0089394E" w:rsidRPr="0089394E">
        <w:rPr>
          <w:rFonts w:ascii="Verdana" w:hAnsi="Verdana"/>
          <w:sz w:val="20"/>
          <w:szCs w:val="20"/>
          <w:lang w:val="es-MX"/>
        </w:rPr>
        <w:t xml:space="preserve">Albert </w:t>
      </w:r>
      <w:proofErr w:type="spellStart"/>
      <w:r w:rsidR="0089394E" w:rsidRPr="0089394E">
        <w:rPr>
          <w:rFonts w:ascii="Verdana" w:hAnsi="Verdana"/>
          <w:sz w:val="20"/>
          <w:szCs w:val="20"/>
          <w:lang w:val="es-MX"/>
        </w:rPr>
        <w:t>Snaider</w:t>
      </w:r>
      <w:proofErr w:type="spellEnd"/>
      <w:r w:rsidR="0089394E" w:rsidRPr="0089394E">
        <w:rPr>
          <w:rFonts w:ascii="Verdana" w:hAnsi="Verdana"/>
          <w:sz w:val="20"/>
          <w:szCs w:val="20"/>
          <w:lang w:val="es-MX"/>
        </w:rPr>
        <w:t xml:space="preserve"> Centeno</w:t>
      </w:r>
      <w:r w:rsidRPr="0089394E">
        <w:rPr>
          <w:rFonts w:ascii="Verdana" w:hAnsi="Verdana"/>
          <w:sz w:val="20"/>
          <w:szCs w:val="20"/>
          <w:lang w:val="es-MX"/>
        </w:rPr>
        <w:t xml:space="preserve">, Milton Joel Martínez Álvarez, </w:t>
      </w:r>
      <w:r w:rsidR="000C2BEA">
        <w:rPr>
          <w:rFonts w:ascii="Verdana" w:hAnsi="Verdana"/>
          <w:sz w:val="20"/>
          <w:szCs w:val="20"/>
          <w:lang w:val="es-MX"/>
        </w:rPr>
        <w:t xml:space="preserve">y </w:t>
      </w:r>
      <w:r w:rsidRPr="0089394E">
        <w:rPr>
          <w:rFonts w:ascii="Verdana" w:hAnsi="Verdana"/>
          <w:sz w:val="20"/>
          <w:szCs w:val="20"/>
          <w:lang w:val="es-MX"/>
        </w:rPr>
        <w:t xml:space="preserve">Aparicio Mejía García, </w:t>
      </w:r>
      <w:r w:rsidR="000C2BEA">
        <w:rPr>
          <w:rFonts w:ascii="Verdana" w:hAnsi="Verdana"/>
          <w:sz w:val="20"/>
          <w:szCs w:val="20"/>
          <w:lang w:val="es-MX"/>
        </w:rPr>
        <w:t xml:space="preserve">y </w:t>
      </w:r>
      <w:r w:rsidRPr="0089394E">
        <w:rPr>
          <w:rFonts w:ascii="Verdana" w:hAnsi="Verdana"/>
          <w:sz w:val="20"/>
          <w:szCs w:val="20"/>
          <w:lang w:val="es-MX"/>
        </w:rPr>
        <w:t>Gerardo Misael Trochez Calix</w:t>
      </w:r>
      <w:r w:rsidRPr="00037A62">
        <w:rPr>
          <w:rFonts w:ascii="Verdana" w:hAnsi="Verdana"/>
          <w:sz w:val="20"/>
          <w:szCs w:val="20"/>
          <w:lang w:val="es-MX"/>
        </w:rPr>
        <w:t>.</w:t>
      </w:r>
      <w:r w:rsidR="0089394E" w:rsidRPr="00037A62">
        <w:rPr>
          <w:rFonts w:ascii="Verdana" w:hAnsi="Verdana"/>
          <w:color w:val="000000"/>
          <w:sz w:val="20"/>
          <w:szCs w:val="20"/>
          <w:shd w:val="clear" w:color="auto" w:fill="FFFFFF"/>
          <w:lang w:val="es-MX"/>
        </w:rPr>
        <w:t xml:space="preserve"> </w:t>
      </w:r>
    </w:p>
    <w:p w14:paraId="452925AC" w14:textId="3A055AFF"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Solicitaron a la Corte que requiera al Estado la incorporación del SUNLA en la investigación y búsqueda de los desaparecidos de Triunfo de la Cruz </w:t>
      </w:r>
      <w:r w:rsidR="000C2BEA">
        <w:rPr>
          <w:rFonts w:ascii="Verdana" w:hAnsi="Verdana"/>
          <w:sz w:val="20"/>
          <w:szCs w:val="20"/>
          <w:lang w:val="es-MX"/>
        </w:rPr>
        <w:t xml:space="preserve">y que en ese marco se los considere </w:t>
      </w:r>
      <w:r w:rsidRPr="00037A62">
        <w:rPr>
          <w:rFonts w:ascii="Verdana" w:hAnsi="Verdana"/>
          <w:sz w:val="20"/>
          <w:szCs w:val="20"/>
          <w:lang w:val="es-MX"/>
        </w:rPr>
        <w:t xml:space="preserve">como la representación legitima y natural de los familiares y </w:t>
      </w:r>
      <w:r w:rsidR="00336D48">
        <w:rPr>
          <w:rFonts w:ascii="Verdana" w:hAnsi="Verdana"/>
          <w:sz w:val="20"/>
          <w:szCs w:val="20"/>
          <w:lang w:val="es-MX"/>
        </w:rPr>
        <w:t xml:space="preserve">de </w:t>
      </w:r>
      <w:r w:rsidRPr="00037A62">
        <w:rPr>
          <w:rFonts w:ascii="Verdana" w:hAnsi="Verdana"/>
          <w:sz w:val="20"/>
          <w:szCs w:val="20"/>
          <w:lang w:val="es-MX"/>
        </w:rPr>
        <w:t xml:space="preserve">la </w:t>
      </w:r>
      <w:r w:rsidR="00336D48">
        <w:rPr>
          <w:rFonts w:ascii="Verdana" w:hAnsi="Verdana"/>
          <w:sz w:val="20"/>
          <w:szCs w:val="20"/>
          <w:lang w:val="es-MX"/>
        </w:rPr>
        <w:t>C</w:t>
      </w:r>
      <w:r w:rsidR="00336D48" w:rsidRPr="00037A62">
        <w:rPr>
          <w:rFonts w:ascii="Verdana" w:hAnsi="Verdana"/>
          <w:sz w:val="20"/>
          <w:szCs w:val="20"/>
          <w:lang w:val="es-MX"/>
        </w:rPr>
        <w:t>omunidad</w:t>
      </w:r>
      <w:r w:rsidRPr="00037A62">
        <w:rPr>
          <w:rFonts w:ascii="Verdana" w:hAnsi="Verdana"/>
          <w:sz w:val="20"/>
          <w:szCs w:val="20"/>
          <w:lang w:val="es-MX"/>
        </w:rPr>
        <w:t xml:space="preserve">. Sobre la persona que está detenida en relación con esas desapariciones, indicaron </w:t>
      </w:r>
      <w:r w:rsidRPr="00037A62">
        <w:rPr>
          <w:rFonts w:ascii="Verdana" w:hAnsi="Verdana"/>
          <w:sz w:val="20"/>
          <w:lang w:val="es-MX"/>
        </w:rPr>
        <w:t xml:space="preserve">que no tendría una relación directa con los hechos pues se trata de una persona detenida por uso de indumentaria militar y por </w:t>
      </w:r>
      <w:r w:rsidR="00382617" w:rsidRPr="00037A62">
        <w:rPr>
          <w:rFonts w:ascii="Verdana" w:hAnsi="Verdana"/>
          <w:sz w:val="20"/>
          <w:lang w:val="es-MX"/>
        </w:rPr>
        <w:t>port</w:t>
      </w:r>
      <w:r w:rsidR="00382617">
        <w:rPr>
          <w:rFonts w:ascii="Verdana" w:hAnsi="Verdana"/>
          <w:sz w:val="20"/>
          <w:lang w:val="es-MX"/>
        </w:rPr>
        <w:t>e</w:t>
      </w:r>
      <w:r w:rsidR="00382617" w:rsidRPr="00037A62">
        <w:rPr>
          <w:rFonts w:ascii="Verdana" w:hAnsi="Verdana"/>
          <w:sz w:val="20"/>
          <w:lang w:val="es-MX"/>
        </w:rPr>
        <w:t xml:space="preserve"> </w:t>
      </w:r>
      <w:r w:rsidRPr="00037A62">
        <w:rPr>
          <w:rFonts w:ascii="Verdana" w:hAnsi="Verdana"/>
          <w:sz w:val="20"/>
          <w:lang w:val="es-MX"/>
        </w:rPr>
        <w:t>ilegal de arma.</w:t>
      </w:r>
    </w:p>
    <w:p w14:paraId="56971FB5" w14:textId="607A094D"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En cuanto a las medidas para proteger l</w:t>
      </w:r>
      <w:r w:rsidR="001715A2">
        <w:rPr>
          <w:rFonts w:ascii="Verdana" w:hAnsi="Verdana"/>
          <w:sz w:val="20"/>
          <w:szCs w:val="20"/>
          <w:lang w:val="es-MX"/>
        </w:rPr>
        <w:t>os</w:t>
      </w:r>
      <w:r w:rsidRPr="00037A62">
        <w:rPr>
          <w:rFonts w:ascii="Verdana" w:hAnsi="Verdana"/>
          <w:sz w:val="20"/>
          <w:szCs w:val="20"/>
          <w:lang w:val="es-MX"/>
        </w:rPr>
        <w:t xml:space="preserve"> derecho</w:t>
      </w:r>
      <w:r w:rsidR="001715A2">
        <w:rPr>
          <w:rFonts w:ascii="Verdana" w:hAnsi="Verdana"/>
          <w:sz w:val="20"/>
          <w:szCs w:val="20"/>
          <w:lang w:val="es-MX"/>
        </w:rPr>
        <w:t>s</w:t>
      </w:r>
      <w:r w:rsidRPr="00037A62">
        <w:rPr>
          <w:rFonts w:ascii="Verdana" w:hAnsi="Verdana"/>
          <w:sz w:val="20"/>
          <w:szCs w:val="20"/>
          <w:lang w:val="es-MX"/>
        </w:rPr>
        <w:t xml:space="preserve"> a la vida e integridad personal de los líderes y dirigentes comunitarios de la</w:t>
      </w:r>
      <w:r w:rsidR="000546DF">
        <w:rPr>
          <w:rFonts w:ascii="Verdana" w:hAnsi="Verdana"/>
          <w:sz w:val="20"/>
          <w:szCs w:val="20"/>
          <w:lang w:val="es-MX"/>
        </w:rPr>
        <w:t>s</w:t>
      </w:r>
      <w:r w:rsidRPr="00037A62">
        <w:rPr>
          <w:rFonts w:ascii="Verdana" w:hAnsi="Verdana"/>
          <w:sz w:val="20"/>
          <w:szCs w:val="20"/>
          <w:lang w:val="es-MX"/>
        </w:rPr>
        <w:t xml:space="preserve"> Comunidad</w:t>
      </w:r>
      <w:r w:rsidR="000546DF">
        <w:rPr>
          <w:rFonts w:ascii="Verdana" w:hAnsi="Verdana"/>
          <w:sz w:val="20"/>
          <w:szCs w:val="20"/>
          <w:lang w:val="es-MX"/>
        </w:rPr>
        <w:t>es</w:t>
      </w:r>
      <w:r w:rsidRPr="00037A62">
        <w:rPr>
          <w:rFonts w:ascii="Verdana" w:hAnsi="Verdana"/>
          <w:sz w:val="20"/>
          <w:szCs w:val="20"/>
          <w:lang w:val="es-MX"/>
        </w:rPr>
        <w:t xml:space="preserve"> Garífuna</w:t>
      </w:r>
      <w:r w:rsidR="000546DF">
        <w:rPr>
          <w:rFonts w:ascii="Verdana" w:hAnsi="Verdana"/>
          <w:sz w:val="20"/>
          <w:szCs w:val="20"/>
          <w:lang w:val="es-MX"/>
        </w:rPr>
        <w:t>s</w:t>
      </w:r>
      <w:r w:rsidRPr="00037A62">
        <w:rPr>
          <w:rFonts w:ascii="Verdana" w:hAnsi="Verdana"/>
          <w:sz w:val="20"/>
          <w:szCs w:val="20"/>
          <w:lang w:val="es-MX"/>
        </w:rPr>
        <w:t xml:space="preserve"> de Triunfo de la Cruz y </w:t>
      </w:r>
      <w:r w:rsidR="000546DF">
        <w:rPr>
          <w:rFonts w:ascii="Verdana" w:hAnsi="Verdana"/>
          <w:sz w:val="20"/>
          <w:szCs w:val="20"/>
          <w:lang w:val="es-MX"/>
        </w:rPr>
        <w:t xml:space="preserve">de </w:t>
      </w:r>
      <w:r w:rsidRPr="00037A62">
        <w:rPr>
          <w:rFonts w:ascii="Verdana" w:hAnsi="Verdana"/>
          <w:sz w:val="20"/>
          <w:szCs w:val="20"/>
          <w:lang w:val="es-MX"/>
        </w:rPr>
        <w:t xml:space="preserve">Punta Piedra que desarrollan colectivamente acciones de defensa de los derechos del pueblo </w:t>
      </w:r>
      <w:r w:rsidR="00935B08">
        <w:rPr>
          <w:rFonts w:ascii="Verdana" w:hAnsi="Verdana"/>
          <w:sz w:val="20"/>
          <w:szCs w:val="20"/>
          <w:lang w:val="es-MX"/>
        </w:rPr>
        <w:t>G</w:t>
      </w:r>
      <w:r w:rsidR="00935B08" w:rsidRPr="00037A62">
        <w:rPr>
          <w:rFonts w:ascii="Verdana" w:hAnsi="Verdana"/>
          <w:sz w:val="20"/>
          <w:szCs w:val="20"/>
          <w:lang w:val="es-MX"/>
        </w:rPr>
        <w:t>arífuna</w:t>
      </w:r>
      <w:r w:rsidRPr="00037A62">
        <w:rPr>
          <w:rFonts w:ascii="Verdana" w:hAnsi="Verdana"/>
          <w:sz w:val="20"/>
          <w:szCs w:val="20"/>
          <w:lang w:val="es-MX"/>
        </w:rPr>
        <w:t xml:space="preserve">, sostuvieron que Honduras no ha implementado ninguna medida </w:t>
      </w:r>
      <w:r w:rsidR="00935B08" w:rsidRPr="00037A62">
        <w:rPr>
          <w:rFonts w:ascii="Verdana" w:hAnsi="Verdana"/>
          <w:sz w:val="20"/>
          <w:szCs w:val="20"/>
          <w:lang w:val="es-MX"/>
        </w:rPr>
        <w:t xml:space="preserve">de oficio </w:t>
      </w:r>
      <w:r w:rsidR="00935B08">
        <w:rPr>
          <w:rFonts w:ascii="Verdana" w:hAnsi="Verdana"/>
          <w:sz w:val="20"/>
          <w:szCs w:val="20"/>
          <w:lang w:val="es-MX"/>
        </w:rPr>
        <w:t xml:space="preserve">que sea </w:t>
      </w:r>
      <w:r w:rsidRPr="00037A62">
        <w:rPr>
          <w:rFonts w:ascii="Verdana" w:hAnsi="Verdana"/>
          <w:sz w:val="20"/>
          <w:szCs w:val="20"/>
          <w:lang w:val="es-MX"/>
        </w:rPr>
        <w:t xml:space="preserve">eficaz para la protección de los derechos e intereses de los miembros de las </w:t>
      </w:r>
      <w:r w:rsidR="00935B08">
        <w:rPr>
          <w:rFonts w:ascii="Verdana" w:hAnsi="Verdana"/>
          <w:sz w:val="20"/>
          <w:szCs w:val="20"/>
          <w:lang w:val="es-MX"/>
        </w:rPr>
        <w:t>C</w:t>
      </w:r>
      <w:r w:rsidR="00935B08" w:rsidRPr="00037A62">
        <w:rPr>
          <w:rFonts w:ascii="Verdana" w:hAnsi="Verdana"/>
          <w:sz w:val="20"/>
          <w:szCs w:val="20"/>
          <w:lang w:val="es-MX"/>
        </w:rPr>
        <w:t>omunidades</w:t>
      </w:r>
      <w:r w:rsidRPr="00037A62">
        <w:rPr>
          <w:rFonts w:ascii="Verdana" w:hAnsi="Verdana"/>
          <w:sz w:val="20"/>
          <w:szCs w:val="20"/>
          <w:lang w:val="es-MX"/>
        </w:rPr>
        <w:t xml:space="preserve">. </w:t>
      </w:r>
      <w:r w:rsidR="000C2BEA">
        <w:rPr>
          <w:rFonts w:ascii="Verdana" w:hAnsi="Verdana"/>
          <w:sz w:val="20"/>
          <w:szCs w:val="20"/>
          <w:lang w:val="es-MX"/>
        </w:rPr>
        <w:t>Señalaron</w:t>
      </w:r>
      <w:r w:rsidR="000C2BEA" w:rsidRPr="00037A62">
        <w:rPr>
          <w:rFonts w:ascii="Verdana" w:hAnsi="Verdana"/>
          <w:sz w:val="20"/>
          <w:szCs w:val="20"/>
          <w:lang w:val="es-MX"/>
        </w:rPr>
        <w:t xml:space="preserve"> </w:t>
      </w:r>
      <w:r w:rsidRPr="00037A62">
        <w:rPr>
          <w:rFonts w:ascii="Verdana" w:hAnsi="Verdana"/>
          <w:sz w:val="20"/>
          <w:szCs w:val="20"/>
          <w:lang w:val="es-MX"/>
        </w:rPr>
        <w:t xml:space="preserve">que el Estado actúa de forma </w:t>
      </w:r>
      <w:r w:rsidR="000C2BEA">
        <w:rPr>
          <w:rFonts w:ascii="Verdana" w:hAnsi="Verdana"/>
          <w:sz w:val="20"/>
          <w:szCs w:val="20"/>
          <w:lang w:val="es-MX"/>
        </w:rPr>
        <w:t>“</w:t>
      </w:r>
      <w:r w:rsidRPr="00037A62">
        <w:rPr>
          <w:rFonts w:ascii="Verdana" w:hAnsi="Verdana"/>
          <w:sz w:val="20"/>
          <w:szCs w:val="20"/>
          <w:lang w:val="es-MX"/>
        </w:rPr>
        <w:t>dispersa y descoordinada</w:t>
      </w:r>
      <w:r w:rsidR="000C2BEA">
        <w:rPr>
          <w:rFonts w:ascii="Verdana" w:hAnsi="Verdana"/>
          <w:sz w:val="20"/>
          <w:szCs w:val="20"/>
          <w:lang w:val="es-MX"/>
        </w:rPr>
        <w:t>”</w:t>
      </w:r>
      <w:r w:rsidRPr="00037A62">
        <w:rPr>
          <w:rFonts w:ascii="Verdana" w:hAnsi="Verdana"/>
          <w:sz w:val="20"/>
          <w:szCs w:val="20"/>
          <w:lang w:val="es-MX"/>
        </w:rPr>
        <w:t xml:space="preserve"> </w:t>
      </w:r>
      <w:r w:rsidR="000C2BEA">
        <w:rPr>
          <w:rFonts w:ascii="Verdana" w:hAnsi="Verdana"/>
          <w:sz w:val="20"/>
          <w:szCs w:val="20"/>
          <w:lang w:val="es-MX"/>
        </w:rPr>
        <w:t xml:space="preserve">y </w:t>
      </w:r>
      <w:r w:rsidRPr="00037A62">
        <w:rPr>
          <w:rFonts w:ascii="Verdana" w:hAnsi="Verdana"/>
          <w:sz w:val="20"/>
          <w:szCs w:val="20"/>
          <w:lang w:val="es-MX"/>
        </w:rPr>
        <w:t>que la representación estatal ante la Corte se limit</w:t>
      </w:r>
      <w:r w:rsidR="000C2BEA">
        <w:rPr>
          <w:rFonts w:ascii="Verdana" w:hAnsi="Verdana"/>
          <w:sz w:val="20"/>
          <w:szCs w:val="20"/>
          <w:lang w:val="es-MX"/>
        </w:rPr>
        <w:t>ó</w:t>
      </w:r>
      <w:r w:rsidRPr="00037A62">
        <w:rPr>
          <w:rFonts w:ascii="Verdana" w:hAnsi="Verdana"/>
          <w:sz w:val="20"/>
          <w:szCs w:val="20"/>
          <w:lang w:val="es-MX"/>
        </w:rPr>
        <w:t xml:space="preserve"> a remitir </w:t>
      </w:r>
      <w:r w:rsidR="000C2BEA">
        <w:rPr>
          <w:rFonts w:ascii="Verdana" w:hAnsi="Verdana"/>
          <w:sz w:val="20"/>
          <w:szCs w:val="20"/>
          <w:lang w:val="es-MX"/>
        </w:rPr>
        <w:t>“</w:t>
      </w:r>
      <w:r w:rsidRPr="00037A62">
        <w:rPr>
          <w:rFonts w:ascii="Verdana" w:hAnsi="Verdana"/>
          <w:sz w:val="20"/>
          <w:szCs w:val="20"/>
          <w:lang w:val="es-MX"/>
        </w:rPr>
        <w:t>una serie de oficios sin contenido esencial</w:t>
      </w:r>
      <w:r w:rsidR="000C2BEA">
        <w:rPr>
          <w:rFonts w:ascii="Verdana" w:hAnsi="Verdana"/>
          <w:sz w:val="20"/>
          <w:szCs w:val="20"/>
          <w:lang w:val="es-MX"/>
        </w:rPr>
        <w:t>”</w:t>
      </w:r>
      <w:r w:rsidRPr="00037A62">
        <w:rPr>
          <w:rFonts w:ascii="Verdana" w:hAnsi="Verdana"/>
          <w:sz w:val="20"/>
          <w:szCs w:val="20"/>
          <w:lang w:val="es-MX"/>
        </w:rPr>
        <w:t xml:space="preserve"> y no inform</w:t>
      </w:r>
      <w:r w:rsidR="000C2BEA">
        <w:rPr>
          <w:rFonts w:ascii="Verdana" w:hAnsi="Verdana"/>
          <w:sz w:val="20"/>
          <w:szCs w:val="20"/>
          <w:lang w:val="es-MX"/>
        </w:rPr>
        <w:t>ó sobre</w:t>
      </w:r>
      <w:r w:rsidRPr="00037A62">
        <w:rPr>
          <w:rFonts w:ascii="Verdana" w:hAnsi="Verdana"/>
          <w:sz w:val="20"/>
          <w:szCs w:val="20"/>
          <w:lang w:val="es-MX"/>
        </w:rPr>
        <w:t xml:space="preserve"> medidas concretas para el cumplimiento de la orden de esta Corte. Agregaron que las agencias estatales pretenden trasladar la responsabilidad de la implementación de medidas de protección a los miembros de las </w:t>
      </w:r>
      <w:r w:rsidR="000C2BEA">
        <w:rPr>
          <w:rFonts w:ascii="Verdana" w:hAnsi="Verdana"/>
          <w:sz w:val="20"/>
          <w:szCs w:val="20"/>
          <w:lang w:val="es-MX"/>
        </w:rPr>
        <w:t>C</w:t>
      </w:r>
      <w:r w:rsidR="000C2BEA" w:rsidRPr="00037A62">
        <w:rPr>
          <w:rFonts w:ascii="Verdana" w:hAnsi="Verdana"/>
          <w:sz w:val="20"/>
          <w:szCs w:val="20"/>
          <w:lang w:val="es-MX"/>
        </w:rPr>
        <w:t>omunidades</w:t>
      </w:r>
      <w:r w:rsidRPr="00037A62">
        <w:rPr>
          <w:rFonts w:ascii="Verdana" w:hAnsi="Verdana"/>
          <w:sz w:val="20"/>
          <w:szCs w:val="20"/>
          <w:lang w:val="es-MX"/>
        </w:rPr>
        <w:t xml:space="preserve">. </w:t>
      </w:r>
    </w:p>
    <w:p w14:paraId="7EA855FD" w14:textId="44C3B0D4"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Finalmente</w:t>
      </w:r>
      <w:r w:rsidR="00DA6F2E">
        <w:rPr>
          <w:rFonts w:ascii="Verdana" w:hAnsi="Verdana"/>
          <w:sz w:val="20"/>
          <w:szCs w:val="20"/>
          <w:lang w:val="es-MX"/>
        </w:rPr>
        <w:t>,</w:t>
      </w:r>
      <w:r w:rsidRPr="00037A62">
        <w:rPr>
          <w:rFonts w:ascii="Verdana" w:hAnsi="Verdana"/>
          <w:sz w:val="20"/>
          <w:szCs w:val="20"/>
          <w:lang w:val="es-MX"/>
        </w:rPr>
        <w:t xml:space="preserve"> arguyeron que las medidas de charlas, talleres y patrullajes policiales resultan insuficientes e ineficaces, siendo necesaria la ubicación con vida de los líderes desaparecidos; la investigación seria, oportuna e imparcial de los hechos que motivan los conflictos que ponen en riesgo a las </w:t>
      </w:r>
      <w:r w:rsidR="000C2BEA">
        <w:rPr>
          <w:rFonts w:ascii="Verdana" w:hAnsi="Verdana"/>
          <w:sz w:val="20"/>
          <w:szCs w:val="20"/>
          <w:lang w:val="es-MX"/>
        </w:rPr>
        <w:t>C</w:t>
      </w:r>
      <w:r w:rsidR="000C2BEA" w:rsidRPr="00037A62">
        <w:rPr>
          <w:rFonts w:ascii="Verdana" w:hAnsi="Verdana"/>
          <w:sz w:val="20"/>
          <w:szCs w:val="20"/>
          <w:lang w:val="es-MX"/>
        </w:rPr>
        <w:t xml:space="preserve">omunidades </w:t>
      </w:r>
      <w:r w:rsidRPr="00037A62">
        <w:rPr>
          <w:rFonts w:ascii="Verdana" w:hAnsi="Verdana"/>
          <w:sz w:val="20"/>
          <w:szCs w:val="20"/>
          <w:lang w:val="es-MX"/>
        </w:rPr>
        <w:t>y sus líderes, y la implementación de las sentencias de la Corte Interamericana que pongan fin a la situación de conflicto con terceros como otro elemento garantía.</w:t>
      </w:r>
    </w:p>
    <w:p w14:paraId="1AF7D90D" w14:textId="4436D4FE" w:rsidR="00E7235A" w:rsidRPr="00037A62" w:rsidRDefault="00E7235A" w:rsidP="00E7235A">
      <w:pPr>
        <w:numPr>
          <w:ilvl w:val="0"/>
          <w:numId w:val="3"/>
        </w:numPr>
        <w:spacing w:before="120" w:after="120" w:line="240" w:lineRule="auto"/>
        <w:ind w:left="0" w:firstLine="0"/>
        <w:jc w:val="both"/>
        <w:rPr>
          <w:rFonts w:ascii="Verdana" w:hAnsi="Verdana"/>
          <w:sz w:val="20"/>
          <w:lang w:val="es-MX"/>
        </w:rPr>
      </w:pPr>
      <w:r w:rsidRPr="00037A62">
        <w:rPr>
          <w:rFonts w:ascii="Verdana" w:hAnsi="Verdana"/>
          <w:sz w:val="20"/>
          <w:szCs w:val="20"/>
          <w:lang w:val="es-MX"/>
        </w:rPr>
        <w:t xml:space="preserve">La </w:t>
      </w:r>
      <w:r w:rsidRPr="009D38BD">
        <w:rPr>
          <w:rFonts w:ascii="Verdana" w:hAnsi="Verdana"/>
          <w:bCs/>
          <w:i/>
          <w:iCs/>
          <w:sz w:val="20"/>
          <w:szCs w:val="20"/>
          <w:lang w:val="es-MX"/>
        </w:rPr>
        <w:t>Comisión</w:t>
      </w:r>
      <w:r w:rsidRPr="00037A62">
        <w:rPr>
          <w:rFonts w:ascii="Verdana" w:hAnsi="Verdana"/>
          <w:sz w:val="20"/>
          <w:szCs w:val="20"/>
          <w:lang w:val="es-MX"/>
        </w:rPr>
        <w:t xml:space="preserve"> recordó </w:t>
      </w:r>
      <w:r w:rsidRPr="00037A62">
        <w:rPr>
          <w:rFonts w:ascii="Verdana" w:hAnsi="Verdana"/>
          <w:sz w:val="20"/>
          <w:lang w:val="es-MX"/>
        </w:rPr>
        <w:t>que las personas garífunas están desaparecidas desde el 18 de julio 2020 luego de haber sido sustraíd</w:t>
      </w:r>
      <w:r w:rsidR="00DA6F2E">
        <w:rPr>
          <w:rFonts w:ascii="Verdana" w:hAnsi="Verdana"/>
          <w:sz w:val="20"/>
          <w:lang w:val="es-MX"/>
        </w:rPr>
        <w:t>a</w:t>
      </w:r>
      <w:r w:rsidRPr="00037A62">
        <w:rPr>
          <w:rFonts w:ascii="Verdana" w:hAnsi="Verdana"/>
          <w:sz w:val="20"/>
          <w:lang w:val="es-MX"/>
        </w:rPr>
        <w:t xml:space="preserve">s de sus casas por personas fuertemente armadas que se desplazaban en vehículos durante la restricción vehicular debido a las medidas tomadas </w:t>
      </w:r>
      <w:r w:rsidRPr="00037A62">
        <w:rPr>
          <w:rFonts w:ascii="Verdana" w:hAnsi="Verdana"/>
          <w:sz w:val="20"/>
          <w:szCs w:val="20"/>
          <w:lang w:val="es-MX"/>
        </w:rPr>
        <w:t>contra</w:t>
      </w:r>
      <w:r w:rsidRPr="00037A62">
        <w:rPr>
          <w:rFonts w:ascii="Verdana" w:hAnsi="Verdana"/>
          <w:sz w:val="20"/>
          <w:lang w:val="es-MX"/>
        </w:rPr>
        <w:t xml:space="preserve"> la pandemia, llevaban chalecos blindados que porteaban la sigla de la </w:t>
      </w:r>
      <w:r w:rsidR="000C2BEA">
        <w:rPr>
          <w:rFonts w:ascii="Verdana" w:hAnsi="Verdana"/>
          <w:sz w:val="20"/>
          <w:lang w:val="es-MX"/>
        </w:rPr>
        <w:t>DPI</w:t>
      </w:r>
      <w:r w:rsidRPr="00037A62">
        <w:rPr>
          <w:rFonts w:ascii="Verdana" w:hAnsi="Verdana"/>
          <w:sz w:val="20"/>
          <w:lang w:val="es-MX"/>
        </w:rPr>
        <w:t xml:space="preserve">. Observó que, si bien se han practicado algunas diligencias, no se ha demostrado que se </w:t>
      </w:r>
      <w:r w:rsidR="000C2BEA">
        <w:rPr>
          <w:rFonts w:ascii="Verdana" w:hAnsi="Verdana"/>
          <w:sz w:val="20"/>
          <w:lang w:val="es-MX"/>
        </w:rPr>
        <w:t>hubiese</w:t>
      </w:r>
      <w:r w:rsidR="000C2BEA" w:rsidRPr="00037A62">
        <w:rPr>
          <w:rFonts w:ascii="Verdana" w:hAnsi="Verdana"/>
          <w:sz w:val="20"/>
          <w:lang w:val="es-MX"/>
        </w:rPr>
        <w:t xml:space="preserve"> </w:t>
      </w:r>
      <w:r w:rsidRPr="00037A62">
        <w:rPr>
          <w:rFonts w:ascii="Verdana" w:hAnsi="Verdana"/>
          <w:sz w:val="20"/>
          <w:lang w:val="es-MX"/>
        </w:rPr>
        <w:t xml:space="preserve">emprendido una investigación inmediata y exhaustiva, ni se tiene información sobre la existencia de un plan de búsqueda en marcha. La Comisión reiteró que </w:t>
      </w:r>
      <w:r w:rsidR="000C2BEA">
        <w:rPr>
          <w:rFonts w:ascii="Verdana" w:hAnsi="Verdana"/>
          <w:sz w:val="20"/>
          <w:lang w:val="es-MX"/>
        </w:rPr>
        <w:t>al</w:t>
      </w:r>
      <w:r w:rsidR="000C2BEA" w:rsidRPr="00037A62">
        <w:rPr>
          <w:rFonts w:ascii="Verdana" w:hAnsi="Verdana"/>
          <w:sz w:val="20"/>
          <w:lang w:val="es-MX"/>
        </w:rPr>
        <w:t xml:space="preserve"> </w:t>
      </w:r>
      <w:r w:rsidRPr="00037A62">
        <w:rPr>
          <w:rFonts w:ascii="Verdana" w:hAnsi="Verdana"/>
          <w:sz w:val="20"/>
          <w:lang w:val="es-MX"/>
        </w:rPr>
        <w:t xml:space="preserve">no actuar con debida diligencia tales omisiones pueden a su vez traducirse en un indicio más respecto de una posible desaparición forzada. Ante esta </w:t>
      </w:r>
      <w:r w:rsidR="000C2BEA">
        <w:rPr>
          <w:rFonts w:ascii="Verdana" w:hAnsi="Verdana"/>
          <w:sz w:val="20"/>
          <w:lang w:val="es-MX"/>
        </w:rPr>
        <w:t>“</w:t>
      </w:r>
      <w:r w:rsidRPr="00037A62">
        <w:rPr>
          <w:rFonts w:ascii="Verdana" w:hAnsi="Verdana"/>
          <w:sz w:val="20"/>
          <w:lang w:val="es-MX"/>
        </w:rPr>
        <w:t>inacción estatal</w:t>
      </w:r>
      <w:r w:rsidR="000C2BEA">
        <w:rPr>
          <w:rFonts w:ascii="Verdana" w:hAnsi="Verdana"/>
          <w:sz w:val="20"/>
          <w:lang w:val="es-MX"/>
        </w:rPr>
        <w:t>”</w:t>
      </w:r>
      <w:r w:rsidR="00DA6F2E">
        <w:rPr>
          <w:rFonts w:ascii="Verdana" w:hAnsi="Verdana"/>
          <w:sz w:val="20"/>
          <w:lang w:val="es-MX"/>
        </w:rPr>
        <w:t>,</w:t>
      </w:r>
      <w:r w:rsidRPr="00037A62">
        <w:rPr>
          <w:rFonts w:ascii="Verdana" w:hAnsi="Verdana"/>
          <w:sz w:val="20"/>
          <w:lang w:val="es-MX"/>
        </w:rPr>
        <w:t xml:space="preserve"> la Comisión observó que las propias </w:t>
      </w:r>
      <w:r w:rsidR="000C2BEA">
        <w:rPr>
          <w:rFonts w:ascii="Verdana" w:hAnsi="Verdana"/>
          <w:sz w:val="20"/>
          <w:lang w:val="es-MX"/>
        </w:rPr>
        <w:t>C</w:t>
      </w:r>
      <w:r w:rsidR="000C2BEA" w:rsidRPr="00037A62">
        <w:rPr>
          <w:rFonts w:ascii="Verdana" w:hAnsi="Verdana"/>
          <w:sz w:val="20"/>
          <w:lang w:val="es-MX"/>
        </w:rPr>
        <w:t xml:space="preserve">omunidades </w:t>
      </w:r>
      <w:r w:rsidRPr="00037A62">
        <w:rPr>
          <w:rFonts w:ascii="Verdana" w:hAnsi="Verdana"/>
          <w:sz w:val="20"/>
          <w:lang w:val="es-MX"/>
        </w:rPr>
        <w:t xml:space="preserve">han procedido la conformación del SUNLA, con el objetivo de investigar y ejecutar por ellos mismos la búsqueda de los desaparecidos. </w:t>
      </w:r>
    </w:p>
    <w:p w14:paraId="314E913B" w14:textId="013CC73D" w:rsidR="00E7235A" w:rsidRDefault="00E7235A" w:rsidP="00E7235A">
      <w:pPr>
        <w:numPr>
          <w:ilvl w:val="0"/>
          <w:numId w:val="3"/>
        </w:numPr>
        <w:spacing w:before="120" w:after="120" w:line="240" w:lineRule="auto"/>
        <w:ind w:left="0" w:firstLine="0"/>
        <w:jc w:val="both"/>
        <w:rPr>
          <w:rFonts w:ascii="Verdana" w:hAnsi="Verdana"/>
          <w:sz w:val="20"/>
          <w:lang w:val="es-MX"/>
        </w:rPr>
      </w:pPr>
      <w:r w:rsidRPr="00037A62">
        <w:rPr>
          <w:rFonts w:ascii="Verdana" w:hAnsi="Verdana"/>
          <w:sz w:val="20"/>
          <w:lang w:val="es-MX"/>
        </w:rPr>
        <w:t>Respecto a los demás beneficiarios de las medidas</w:t>
      </w:r>
      <w:r w:rsidR="00DA6F2E">
        <w:rPr>
          <w:rFonts w:ascii="Verdana" w:hAnsi="Verdana"/>
          <w:sz w:val="20"/>
          <w:lang w:val="es-MX"/>
        </w:rPr>
        <w:t>,</w:t>
      </w:r>
      <w:r w:rsidRPr="00037A62">
        <w:rPr>
          <w:rFonts w:ascii="Verdana" w:hAnsi="Verdana"/>
          <w:sz w:val="20"/>
          <w:lang w:val="es-MX"/>
        </w:rPr>
        <w:t xml:space="preserve"> indicó que los hechos de riesgo continúan existiendo y se han reproducido en el presente. Recordó que en la </w:t>
      </w:r>
      <w:r w:rsidR="000C2BEA">
        <w:rPr>
          <w:rFonts w:ascii="Verdana" w:hAnsi="Verdana"/>
          <w:sz w:val="20"/>
          <w:lang w:val="es-MX"/>
        </w:rPr>
        <w:t>C</w:t>
      </w:r>
      <w:r w:rsidR="000C2BEA" w:rsidRPr="00037A62">
        <w:rPr>
          <w:rFonts w:ascii="Verdana" w:hAnsi="Verdana"/>
          <w:sz w:val="20"/>
          <w:lang w:val="es-MX"/>
        </w:rPr>
        <w:t xml:space="preserve">omunidad </w:t>
      </w:r>
      <w:r w:rsidRPr="00037A62">
        <w:rPr>
          <w:rFonts w:ascii="Verdana" w:hAnsi="Verdana"/>
          <w:sz w:val="20"/>
          <w:lang w:val="es-MX"/>
        </w:rPr>
        <w:t xml:space="preserve">Punta Piedra se produjo el homicidio del líder comunal Antonio Bernárdez en el mes de julio de 2020, y que ese homicidio no es un hecho aislado y se enmarca en una serie de hechos de violencia contra integrantes de la </w:t>
      </w:r>
      <w:r w:rsidR="000C2BEA">
        <w:rPr>
          <w:rFonts w:ascii="Verdana" w:hAnsi="Verdana"/>
          <w:sz w:val="20"/>
          <w:lang w:val="es-MX"/>
        </w:rPr>
        <w:t>C</w:t>
      </w:r>
      <w:r w:rsidR="000C2BEA" w:rsidRPr="00037A62">
        <w:rPr>
          <w:rFonts w:ascii="Verdana" w:hAnsi="Verdana"/>
          <w:sz w:val="20"/>
          <w:lang w:val="es-MX"/>
        </w:rPr>
        <w:t xml:space="preserve">omunidad </w:t>
      </w:r>
      <w:r w:rsidR="000C2BEA">
        <w:rPr>
          <w:rFonts w:ascii="Verdana" w:hAnsi="Verdana"/>
          <w:sz w:val="20"/>
          <w:lang w:val="es-MX"/>
        </w:rPr>
        <w:t>G</w:t>
      </w:r>
      <w:r w:rsidR="000C2BEA" w:rsidRPr="00037A62">
        <w:rPr>
          <w:rFonts w:ascii="Verdana" w:hAnsi="Verdana"/>
          <w:sz w:val="20"/>
          <w:lang w:val="es-MX"/>
        </w:rPr>
        <w:t>arífuna</w:t>
      </w:r>
      <w:r w:rsidRPr="00037A62">
        <w:rPr>
          <w:rFonts w:ascii="Verdana" w:hAnsi="Verdana"/>
          <w:sz w:val="20"/>
          <w:lang w:val="es-MX"/>
        </w:rPr>
        <w:t xml:space="preserve">. Además, advirtió que no se cuenta con información que indique que se hayan adoptado medidas de protección que tengan un enfoque étnico colectivo. Notó que existe una falta de coordinación y confianza entre </w:t>
      </w:r>
      <w:r w:rsidRPr="00037A62">
        <w:rPr>
          <w:rFonts w:ascii="Verdana" w:hAnsi="Verdana"/>
          <w:sz w:val="20"/>
          <w:lang w:val="es-MX"/>
        </w:rPr>
        <w:lastRenderedPageBreak/>
        <w:t xml:space="preserve">beneficiarios y autoridades estatales </w:t>
      </w:r>
      <w:r w:rsidR="00562EB3">
        <w:rPr>
          <w:rFonts w:ascii="Verdana" w:hAnsi="Verdana"/>
          <w:sz w:val="20"/>
          <w:lang w:val="es-MX"/>
        </w:rPr>
        <w:t xml:space="preserve">el cual </w:t>
      </w:r>
      <w:r w:rsidRPr="00037A62">
        <w:rPr>
          <w:rFonts w:ascii="Verdana" w:hAnsi="Verdana"/>
          <w:sz w:val="20"/>
          <w:lang w:val="es-MX"/>
        </w:rPr>
        <w:t xml:space="preserve">persiste a la fecha, siendo que por ahora la única medida de protección que se ha conocido es la de un patrullaje propio de las funciones regulares de seguridad ciudadana. </w:t>
      </w:r>
    </w:p>
    <w:p w14:paraId="13B4178D" w14:textId="4922A255" w:rsidR="009D38BD" w:rsidRDefault="009D38BD" w:rsidP="009D38BD">
      <w:pPr>
        <w:spacing w:before="120" w:after="120" w:line="240" w:lineRule="auto"/>
        <w:jc w:val="both"/>
        <w:rPr>
          <w:rFonts w:ascii="Verdana" w:hAnsi="Verdana"/>
          <w:sz w:val="20"/>
          <w:lang w:val="es-MX"/>
        </w:rPr>
      </w:pPr>
    </w:p>
    <w:p w14:paraId="50BA84CC" w14:textId="77777777" w:rsidR="009D38BD" w:rsidRPr="00037A62" w:rsidRDefault="009D38BD" w:rsidP="009D38BD">
      <w:pPr>
        <w:spacing w:before="120" w:after="120" w:line="240" w:lineRule="auto"/>
        <w:jc w:val="both"/>
        <w:rPr>
          <w:rFonts w:ascii="Verdana" w:hAnsi="Verdana"/>
          <w:sz w:val="20"/>
          <w:lang w:val="es-MX"/>
        </w:rPr>
      </w:pPr>
    </w:p>
    <w:p w14:paraId="2E263F2E" w14:textId="77777777" w:rsidR="00E7235A" w:rsidRPr="00037A62" w:rsidRDefault="00E7235A" w:rsidP="00E7235A">
      <w:pPr>
        <w:spacing w:before="120" w:after="120" w:line="240" w:lineRule="auto"/>
        <w:ind w:firstLine="720"/>
        <w:jc w:val="both"/>
        <w:rPr>
          <w:rFonts w:ascii="Verdana" w:hAnsi="Verdana"/>
          <w:b/>
          <w:i/>
          <w:sz w:val="20"/>
          <w:szCs w:val="20"/>
          <w:lang w:val="es-MX"/>
        </w:rPr>
      </w:pPr>
      <w:r>
        <w:rPr>
          <w:rFonts w:ascii="Verdana" w:hAnsi="Verdana"/>
          <w:b/>
          <w:i/>
          <w:sz w:val="20"/>
          <w:szCs w:val="20"/>
          <w:lang w:val="es-MX"/>
        </w:rPr>
        <w:t xml:space="preserve">B. </w:t>
      </w:r>
      <w:r w:rsidRPr="00037A62">
        <w:rPr>
          <w:rFonts w:ascii="Verdana" w:hAnsi="Verdana"/>
          <w:b/>
          <w:i/>
          <w:sz w:val="20"/>
          <w:szCs w:val="20"/>
          <w:lang w:val="es-MX"/>
        </w:rPr>
        <w:t>Consideraciones de la Corte</w:t>
      </w:r>
    </w:p>
    <w:p w14:paraId="0C528AC6" w14:textId="505643AD"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cs="Verdana"/>
          <w:sz w:val="20"/>
          <w:szCs w:val="20"/>
          <w:lang w:val="es-MX"/>
        </w:rPr>
        <w:t xml:space="preserve">En la Resolución </w:t>
      </w:r>
      <w:r w:rsidRPr="00037A62">
        <w:rPr>
          <w:rFonts w:ascii="Verdana" w:hAnsi="Verdana"/>
          <w:sz w:val="20"/>
          <w:szCs w:val="20"/>
          <w:lang w:val="es-MX"/>
        </w:rPr>
        <w:t>de Medidas Provisionales adoptada por la Corte</w:t>
      </w:r>
      <w:r w:rsidRPr="00037A62">
        <w:rPr>
          <w:rFonts w:ascii="Verdana" w:hAnsi="Verdana" w:cs="Verdana"/>
          <w:sz w:val="20"/>
          <w:szCs w:val="20"/>
          <w:lang w:val="es-MX"/>
        </w:rPr>
        <w:t xml:space="preserve"> el 2 de septiembre de 2020, se ordenó al Estado de Honduras que </w:t>
      </w:r>
      <w:r w:rsidRPr="00037A62">
        <w:rPr>
          <w:rFonts w:ascii="Verdana" w:hAnsi="Verdana"/>
          <w:sz w:val="20"/>
          <w:szCs w:val="20"/>
          <w:lang w:val="es-MX"/>
        </w:rPr>
        <w:t xml:space="preserve">adopte a) todas las medidas necesarias y adecuadas para determinar el paradero de Milton Joel Martínez Álvarez, </w:t>
      </w:r>
      <w:proofErr w:type="spellStart"/>
      <w:r w:rsidRPr="00037A62">
        <w:rPr>
          <w:rFonts w:ascii="Verdana" w:hAnsi="Verdana"/>
          <w:sz w:val="20"/>
          <w:szCs w:val="20"/>
          <w:lang w:val="es-MX"/>
        </w:rPr>
        <w:t>Suami</w:t>
      </w:r>
      <w:proofErr w:type="spellEnd"/>
      <w:r w:rsidRPr="00037A62">
        <w:rPr>
          <w:rFonts w:ascii="Verdana" w:hAnsi="Verdana"/>
          <w:sz w:val="20"/>
          <w:szCs w:val="20"/>
          <w:lang w:val="es-MX"/>
        </w:rPr>
        <w:t xml:space="preserve"> Aparicio Mejía García, Gerardo Misael Trochez Calix y Albert </w:t>
      </w:r>
      <w:proofErr w:type="spellStart"/>
      <w:r w:rsidRPr="00037A62">
        <w:rPr>
          <w:rFonts w:ascii="Verdana" w:hAnsi="Verdana"/>
          <w:sz w:val="20"/>
          <w:szCs w:val="20"/>
          <w:lang w:val="es-MX"/>
        </w:rPr>
        <w:t>Snaider</w:t>
      </w:r>
      <w:proofErr w:type="spellEnd"/>
      <w:r w:rsidRPr="00037A62">
        <w:rPr>
          <w:rFonts w:ascii="Verdana" w:hAnsi="Verdana"/>
          <w:sz w:val="20"/>
          <w:szCs w:val="20"/>
          <w:lang w:val="es-MX"/>
        </w:rPr>
        <w:t xml:space="preserve"> Centeno Thomas </w:t>
      </w:r>
      <w:r w:rsidRPr="00037A62">
        <w:rPr>
          <w:rFonts w:ascii="Verdana" w:hAnsi="Verdana"/>
          <w:sz w:val="20"/>
          <w:lang w:val="es-MX"/>
        </w:rPr>
        <w:t>que</w:t>
      </w:r>
      <w:r w:rsidRPr="00037A62">
        <w:rPr>
          <w:rFonts w:ascii="Verdana" w:hAnsi="Verdana"/>
          <w:sz w:val="20"/>
          <w:szCs w:val="20"/>
          <w:lang w:val="es-MX"/>
        </w:rPr>
        <w:t xml:space="preserve"> se encuentran </w:t>
      </w:r>
      <w:r w:rsidRPr="00037A62">
        <w:rPr>
          <w:rFonts w:ascii="Verdana" w:hAnsi="Verdana"/>
          <w:sz w:val="20"/>
          <w:lang w:val="es-MX"/>
        </w:rPr>
        <w:t>desaparecidos</w:t>
      </w:r>
      <w:r w:rsidRPr="00037A62">
        <w:rPr>
          <w:rFonts w:ascii="Verdana" w:hAnsi="Verdana"/>
          <w:sz w:val="20"/>
          <w:szCs w:val="20"/>
          <w:lang w:val="es-MX"/>
        </w:rPr>
        <w:t xml:space="preserve"> desde el 18 de julio de 2020, y b) todas las medidas adecuadas para proteger efectivamente los derechos a la vida, e integridad personal de los integrantes de las Comunidades Garífuna de Triunfo de la Cruz y de Punta Piedra que desarrollan colectivamente acciones de defensa de los derechos del pueblo</w:t>
      </w:r>
      <w:r w:rsidR="00562EB3">
        <w:rPr>
          <w:rFonts w:ascii="Verdana" w:hAnsi="Verdana"/>
          <w:sz w:val="20"/>
          <w:szCs w:val="20"/>
          <w:lang w:val="es-MX"/>
        </w:rPr>
        <w:t xml:space="preserve"> (</w:t>
      </w:r>
      <w:r w:rsidR="00562EB3" w:rsidRPr="004B392B">
        <w:rPr>
          <w:rFonts w:ascii="Verdana" w:hAnsi="Verdana"/>
          <w:i/>
          <w:iCs/>
          <w:sz w:val="20"/>
          <w:szCs w:val="20"/>
          <w:lang w:val="es-MX"/>
        </w:rPr>
        <w:t>supra</w:t>
      </w:r>
      <w:r w:rsidR="00562EB3">
        <w:rPr>
          <w:rFonts w:ascii="Verdana" w:hAnsi="Verdana"/>
          <w:sz w:val="20"/>
          <w:szCs w:val="20"/>
          <w:lang w:val="es-MX"/>
        </w:rPr>
        <w:t xml:space="preserve"> Visto 5)</w:t>
      </w:r>
      <w:r w:rsidRPr="00037A62">
        <w:rPr>
          <w:rFonts w:ascii="Verdana" w:hAnsi="Verdana"/>
          <w:sz w:val="20"/>
          <w:szCs w:val="20"/>
          <w:lang w:val="es-MX"/>
        </w:rPr>
        <w:t>.</w:t>
      </w:r>
    </w:p>
    <w:p w14:paraId="55A29735" w14:textId="181CEB8D"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El artículo 63.2 de la Convención Americana sobre Derechos Humanos (en adelante “la Convención Americana” o “la Convención”) dispone que “[e]n casos de extrema gravedad y urgencia, y cuando se haga necesario evitar daños irreparables a las personas, la Corte, en los asuntos que esté conociendo, podrá tomar las medidas provisionales que considere pertinentes”. Esta disposición está a su vez regulada en el artículo 27 del Reglamento de la Corte (en adelante “el Reglamento”). </w:t>
      </w:r>
    </w:p>
    <w:p w14:paraId="598FBED1" w14:textId="77777777"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Las medidas provisionales tienen una naturaleza temporal y un carácter excepcional y son dictadas siempre y cuando se reúnan los requisitos básicos de extrema </w:t>
      </w:r>
      <w:r w:rsidRPr="00037A62">
        <w:rPr>
          <w:rFonts w:ascii="Verdana" w:hAnsi="Verdana"/>
          <w:sz w:val="20"/>
          <w:lang w:val="es-MX"/>
        </w:rPr>
        <w:t>gravedad</w:t>
      </w:r>
      <w:r w:rsidRPr="00037A62">
        <w:rPr>
          <w:rFonts w:ascii="Verdana" w:hAnsi="Verdana"/>
          <w:sz w:val="20"/>
          <w:szCs w:val="20"/>
          <w:lang w:val="es-MX"/>
        </w:rPr>
        <w:t>, urgencia, y necesidad de evitar daños irreparables a las personas. Estos tres requisitos son coexistentes y deben persistir para que la Corte mantenga la protección ordenada; si uno de ellos ha dejado de tener vigencia, corresponderá al Tribunal valorar la pertinencia de su continuación</w:t>
      </w:r>
      <w:r w:rsidRPr="00037A62">
        <w:rPr>
          <w:rStyle w:val="Refdenotaalpie"/>
          <w:sz w:val="20"/>
          <w:szCs w:val="20"/>
          <w:lang w:val="es-MX"/>
        </w:rPr>
        <w:footnoteReference w:id="12"/>
      </w:r>
      <w:r w:rsidRPr="00037A62">
        <w:rPr>
          <w:rFonts w:ascii="Verdana" w:hAnsi="Verdana"/>
          <w:sz w:val="20"/>
          <w:szCs w:val="20"/>
          <w:lang w:val="es-MX"/>
        </w:rPr>
        <w:t>. Así, a efectos de decidir si se mantiene la vigencia de las medidas provisionales, el Tribunal debe analizar si persiste la situación que determinó su adopción, o bien si nuevas circunstancias igualmente graves y urgentes ameritan su mantenimiento</w:t>
      </w:r>
      <w:r w:rsidRPr="00037A62">
        <w:rPr>
          <w:rStyle w:val="Refdenotaalpie"/>
          <w:sz w:val="20"/>
          <w:szCs w:val="20"/>
          <w:lang w:val="es-MX"/>
        </w:rPr>
        <w:footnoteReference w:id="13"/>
      </w:r>
      <w:r w:rsidRPr="00037A62">
        <w:rPr>
          <w:rFonts w:ascii="Verdana" w:hAnsi="Verdana"/>
          <w:sz w:val="20"/>
          <w:szCs w:val="20"/>
          <w:lang w:val="es-MX"/>
        </w:rPr>
        <w:t xml:space="preserve">. </w:t>
      </w:r>
    </w:p>
    <w:p w14:paraId="7A984DB6" w14:textId="4D570789" w:rsidR="00E7235A" w:rsidRPr="00037A62" w:rsidRDefault="00E7235A" w:rsidP="00E7235A">
      <w:pPr>
        <w:numPr>
          <w:ilvl w:val="0"/>
          <w:numId w:val="3"/>
        </w:numPr>
        <w:spacing w:before="120" w:after="120" w:line="240" w:lineRule="auto"/>
        <w:ind w:left="0" w:firstLine="0"/>
        <w:jc w:val="both"/>
        <w:rPr>
          <w:rFonts w:ascii="Verdana" w:hAnsi="Verdana" w:cs="Verdana"/>
          <w:color w:val="000000"/>
          <w:sz w:val="20"/>
          <w:szCs w:val="20"/>
          <w:lang w:val="es-MX"/>
        </w:rPr>
      </w:pPr>
      <w:r w:rsidRPr="00037A62">
        <w:rPr>
          <w:rFonts w:ascii="Verdana" w:hAnsi="Verdana"/>
          <w:sz w:val="20"/>
          <w:szCs w:val="20"/>
          <w:lang w:val="es-MX"/>
        </w:rPr>
        <w:t xml:space="preserve">En lo que respecta la determinación del paradero de Milton Joel Martínez Álvarez, </w:t>
      </w:r>
      <w:proofErr w:type="spellStart"/>
      <w:r w:rsidRPr="00037A62">
        <w:rPr>
          <w:rFonts w:ascii="Verdana" w:hAnsi="Verdana"/>
          <w:sz w:val="20"/>
          <w:szCs w:val="20"/>
          <w:lang w:val="es-MX"/>
        </w:rPr>
        <w:t>Suami</w:t>
      </w:r>
      <w:proofErr w:type="spellEnd"/>
      <w:r w:rsidRPr="00037A62">
        <w:rPr>
          <w:rFonts w:ascii="Verdana" w:hAnsi="Verdana"/>
          <w:sz w:val="20"/>
          <w:szCs w:val="20"/>
          <w:lang w:val="es-MX"/>
        </w:rPr>
        <w:t xml:space="preserve"> Aparicio Mejía García, Gerardo Misael Trochez Calix y Albert </w:t>
      </w:r>
      <w:proofErr w:type="spellStart"/>
      <w:r w:rsidRPr="00037A62">
        <w:rPr>
          <w:rFonts w:ascii="Verdana" w:hAnsi="Verdana"/>
          <w:sz w:val="20"/>
          <w:szCs w:val="20"/>
          <w:lang w:val="es-MX"/>
        </w:rPr>
        <w:t>Snaider</w:t>
      </w:r>
      <w:proofErr w:type="spellEnd"/>
      <w:r w:rsidRPr="00037A62">
        <w:rPr>
          <w:rFonts w:ascii="Verdana" w:hAnsi="Verdana"/>
          <w:sz w:val="20"/>
          <w:szCs w:val="20"/>
          <w:lang w:val="es-MX"/>
        </w:rPr>
        <w:t xml:space="preserve"> Centeno Thomas que se encuentran desaparecidos desde el 18 de julio de 2020, esta Corte observa que si bien el Estado informó sobre algunas diligencias que fueron desarrolladas (</w:t>
      </w:r>
      <w:r w:rsidRPr="00037A62">
        <w:rPr>
          <w:rFonts w:ascii="Verdana" w:hAnsi="Verdana"/>
          <w:i/>
          <w:iCs/>
          <w:sz w:val="20"/>
          <w:szCs w:val="20"/>
          <w:lang w:val="es-MX"/>
        </w:rPr>
        <w:t>supra</w:t>
      </w:r>
      <w:r w:rsidRPr="00037A62">
        <w:rPr>
          <w:rFonts w:ascii="Verdana" w:hAnsi="Verdana"/>
          <w:sz w:val="20"/>
          <w:szCs w:val="20"/>
          <w:lang w:val="es-MX"/>
        </w:rPr>
        <w:t xml:space="preserve"> Considerando</w:t>
      </w:r>
      <w:r w:rsidR="00AF0BA9">
        <w:rPr>
          <w:rFonts w:ascii="Verdana" w:hAnsi="Verdana"/>
          <w:sz w:val="20"/>
          <w:szCs w:val="20"/>
          <w:lang w:val="es-MX"/>
        </w:rPr>
        <w:t>s 5 y 6</w:t>
      </w:r>
      <w:r w:rsidRPr="00037A62">
        <w:rPr>
          <w:rFonts w:ascii="Verdana" w:hAnsi="Verdana"/>
          <w:sz w:val="20"/>
          <w:szCs w:val="20"/>
          <w:lang w:val="es-MX"/>
        </w:rPr>
        <w:t>), varias de las cuales habían sido adoptadas con anterioridad a la adopción de las medidas urgentes por parte de la Presidenta de la Corte el 6 de agosto de 2020 (</w:t>
      </w:r>
      <w:r w:rsidRPr="00037A62">
        <w:rPr>
          <w:rFonts w:ascii="Verdana" w:hAnsi="Verdana"/>
          <w:i/>
          <w:iCs/>
          <w:sz w:val="20"/>
          <w:szCs w:val="20"/>
          <w:lang w:val="es-MX"/>
        </w:rPr>
        <w:t>supra</w:t>
      </w:r>
      <w:r w:rsidRPr="00037A62">
        <w:rPr>
          <w:rFonts w:ascii="Verdana" w:hAnsi="Verdana"/>
          <w:sz w:val="20"/>
          <w:szCs w:val="20"/>
          <w:lang w:val="es-MX"/>
        </w:rPr>
        <w:t xml:space="preserve"> </w:t>
      </w:r>
      <w:r w:rsidR="00AF0BA9">
        <w:rPr>
          <w:rFonts w:ascii="Verdana" w:hAnsi="Verdana"/>
          <w:sz w:val="20"/>
          <w:szCs w:val="20"/>
          <w:lang w:val="es-MX"/>
        </w:rPr>
        <w:t>Visto</w:t>
      </w:r>
      <w:r w:rsidR="00AF0BA9" w:rsidRPr="00037A62">
        <w:rPr>
          <w:rFonts w:ascii="Verdana" w:hAnsi="Verdana"/>
          <w:sz w:val="20"/>
          <w:szCs w:val="20"/>
          <w:lang w:val="es-MX"/>
        </w:rPr>
        <w:t xml:space="preserve"> </w:t>
      </w:r>
      <w:r w:rsidR="00AF0BA9">
        <w:rPr>
          <w:rFonts w:ascii="Verdana" w:hAnsi="Verdana"/>
          <w:sz w:val="20"/>
          <w:szCs w:val="20"/>
          <w:lang w:val="es-MX"/>
        </w:rPr>
        <w:t>5</w:t>
      </w:r>
      <w:r w:rsidRPr="00037A62">
        <w:rPr>
          <w:rFonts w:ascii="Verdana" w:hAnsi="Verdana"/>
          <w:sz w:val="20"/>
          <w:szCs w:val="20"/>
          <w:lang w:val="es-MX"/>
        </w:rPr>
        <w:t xml:space="preserve">), hasta el momento, esas cuatro personas siguen desaparecidas. </w:t>
      </w:r>
    </w:p>
    <w:p w14:paraId="3FEA2DA3" w14:textId="1BA8BFAD" w:rsidR="00E7235A" w:rsidRPr="00037A62" w:rsidRDefault="00E7235A" w:rsidP="00E7235A">
      <w:pPr>
        <w:numPr>
          <w:ilvl w:val="0"/>
          <w:numId w:val="3"/>
        </w:numPr>
        <w:spacing w:before="120" w:after="120" w:line="240" w:lineRule="auto"/>
        <w:ind w:left="0" w:firstLine="0"/>
        <w:jc w:val="both"/>
        <w:rPr>
          <w:rFonts w:ascii="Verdana" w:hAnsi="Verdana" w:cs="Verdana"/>
          <w:color w:val="000000"/>
          <w:sz w:val="20"/>
          <w:szCs w:val="20"/>
          <w:lang w:val="es-MX"/>
        </w:rPr>
      </w:pPr>
      <w:r w:rsidRPr="00037A62">
        <w:rPr>
          <w:rFonts w:ascii="Verdana" w:hAnsi="Verdana"/>
          <w:sz w:val="20"/>
          <w:szCs w:val="20"/>
          <w:lang w:val="es-MX"/>
        </w:rPr>
        <w:t xml:space="preserve">Por otra parte, este Tribunal constata que esas desapariciones se </w:t>
      </w:r>
      <w:r w:rsidR="0034575B">
        <w:rPr>
          <w:rFonts w:ascii="Verdana" w:hAnsi="Verdana"/>
          <w:sz w:val="20"/>
          <w:szCs w:val="20"/>
          <w:lang w:val="es-MX"/>
        </w:rPr>
        <w:t>produjeron</w:t>
      </w:r>
      <w:r w:rsidR="0034575B" w:rsidRPr="00037A62">
        <w:rPr>
          <w:rFonts w:ascii="Verdana" w:hAnsi="Verdana"/>
          <w:sz w:val="20"/>
          <w:szCs w:val="20"/>
          <w:lang w:val="es-MX"/>
        </w:rPr>
        <w:t xml:space="preserve"> </w:t>
      </w:r>
      <w:r w:rsidRPr="00037A62">
        <w:rPr>
          <w:rFonts w:ascii="Verdana" w:hAnsi="Verdana"/>
          <w:sz w:val="20"/>
          <w:szCs w:val="20"/>
          <w:lang w:val="es-MX"/>
        </w:rPr>
        <w:t>en un marco en el cual se produjeron otros hechos de violencia e intimidaciones contra integrantes de las Comunidades</w:t>
      </w:r>
      <w:r w:rsidRPr="00037A62">
        <w:rPr>
          <w:rFonts w:ascii="Verdana" w:hAnsi="Verdana"/>
          <w:i/>
          <w:iCs/>
          <w:sz w:val="20"/>
          <w:szCs w:val="20"/>
          <w:lang w:val="es-MX"/>
        </w:rPr>
        <w:t xml:space="preserve"> </w:t>
      </w:r>
      <w:r w:rsidRPr="00037A62">
        <w:rPr>
          <w:rFonts w:ascii="Verdana" w:hAnsi="Verdana"/>
          <w:sz w:val="20"/>
          <w:szCs w:val="20"/>
          <w:lang w:val="es-MX"/>
        </w:rPr>
        <w:t>Triunfo de la Cruz y Punta Piedra que habían sido analizados por la Corte y para los cuales se ordenó llevar a cabo investigaciones</w:t>
      </w:r>
      <w:r w:rsidRPr="00037A62">
        <w:rPr>
          <w:rStyle w:val="Refdenotaalpie"/>
          <w:sz w:val="20"/>
          <w:szCs w:val="20"/>
          <w:lang w:val="es-MX"/>
        </w:rPr>
        <w:footnoteReference w:id="14"/>
      </w:r>
      <w:r w:rsidRPr="00037A62">
        <w:rPr>
          <w:rFonts w:ascii="Verdana" w:hAnsi="Verdana"/>
          <w:sz w:val="20"/>
          <w:szCs w:val="20"/>
          <w:lang w:val="es-MX"/>
        </w:rPr>
        <w:t>.</w:t>
      </w:r>
    </w:p>
    <w:p w14:paraId="15E59D0F" w14:textId="77777777"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Corresponde recordar que en esos contextos surge un deber de debida diligencia frente a denuncias de desaparición, respecto a su búsqueda durante las primeras horas y los </w:t>
      </w:r>
      <w:r w:rsidRPr="00037A62">
        <w:rPr>
          <w:rFonts w:ascii="Verdana" w:hAnsi="Verdana"/>
          <w:sz w:val="20"/>
          <w:szCs w:val="20"/>
          <w:lang w:val="es-MX"/>
        </w:rPr>
        <w:lastRenderedPageBreak/>
        <w:t xml:space="preserve">primeros días. Esta obligación de medio, exige la realización exhaustiva de actividades de búsqueda. En particular, es imprescindible la </w:t>
      </w:r>
      <w:r w:rsidRPr="00037A62">
        <w:rPr>
          <w:rFonts w:ascii="Verdana" w:hAnsi="Verdana" w:cs="Calibri"/>
          <w:sz w:val="20"/>
          <w:szCs w:val="20"/>
          <w:lang w:val="es-MX"/>
        </w:rPr>
        <w:t>actuación</w:t>
      </w:r>
      <w:r w:rsidRPr="00037A62">
        <w:rPr>
          <w:rFonts w:ascii="Verdana" w:hAnsi="Verdana"/>
          <w:sz w:val="20"/>
          <w:szCs w:val="20"/>
          <w:lang w:val="es-MX"/>
        </w:rPr>
        <w:t xml:space="preserve"> pronta e inmediata de las autoridades policiales, fiscales y judiciales ordenando medidas oportunas y necesarias dirigidas a la determinación del paradero de las víctimas. A su vez, las autoridades deben presumir que la persona desaparecida sigue con vida hasta que se ponga fin a la incertidumbre sobre la suerte que ha corrido</w:t>
      </w:r>
      <w:r w:rsidRPr="00037A62">
        <w:rPr>
          <w:rStyle w:val="Refdenotaalpie"/>
          <w:sz w:val="20"/>
          <w:szCs w:val="20"/>
          <w:lang w:val="es-MX"/>
        </w:rPr>
        <w:footnoteReference w:id="15"/>
      </w:r>
      <w:r w:rsidRPr="00037A62">
        <w:rPr>
          <w:rFonts w:ascii="Verdana" w:hAnsi="Verdana"/>
          <w:sz w:val="20"/>
          <w:szCs w:val="20"/>
          <w:lang w:val="es-MX"/>
        </w:rPr>
        <w:t xml:space="preserve">. </w:t>
      </w:r>
    </w:p>
    <w:p w14:paraId="24C70FEF" w14:textId="0395BF7B" w:rsidR="00E7235A" w:rsidRPr="00037A62" w:rsidRDefault="00E7235A" w:rsidP="00E7235A">
      <w:pPr>
        <w:numPr>
          <w:ilvl w:val="0"/>
          <w:numId w:val="3"/>
        </w:numPr>
        <w:spacing w:before="120" w:after="120" w:line="240" w:lineRule="auto"/>
        <w:ind w:left="0" w:firstLine="0"/>
        <w:jc w:val="both"/>
        <w:rPr>
          <w:rFonts w:ascii="Verdana" w:hAnsi="Verdana"/>
          <w:sz w:val="20"/>
          <w:lang w:val="es-MX"/>
        </w:rPr>
      </w:pPr>
      <w:r w:rsidRPr="00037A62">
        <w:rPr>
          <w:rFonts w:ascii="Verdana" w:hAnsi="Verdana"/>
          <w:sz w:val="20"/>
          <w:szCs w:val="20"/>
          <w:lang w:val="es-MX"/>
        </w:rPr>
        <w:t xml:space="preserve">Sobre este punto, el Tribunal ya había indicado en su resolución de 2 de septiembre de 2020 que los hechos reportados por los representantes son recientes, involucran posibles desapariciones forzadas de personas, las cuales se encontrarían </w:t>
      </w:r>
      <w:r w:rsidRPr="00037A62">
        <w:rPr>
          <w:rFonts w:ascii="Verdana" w:hAnsi="Verdana"/>
          <w:i/>
          <w:sz w:val="20"/>
          <w:lang w:val="es-MX"/>
        </w:rPr>
        <w:t>prima facie</w:t>
      </w:r>
      <w:r w:rsidRPr="00037A62">
        <w:rPr>
          <w:rFonts w:ascii="Verdana" w:hAnsi="Verdana"/>
          <w:sz w:val="20"/>
          <w:lang w:val="es-MX"/>
        </w:rPr>
        <w:t xml:space="preserve"> en una situación de extrema gravedad y urgencia, con la perspectiva de sufrir un daño irreparable, puesto que su vida, libertad personal e integridad personal estarían amenazadas (</w:t>
      </w:r>
      <w:r w:rsidRPr="00037A62">
        <w:rPr>
          <w:rFonts w:ascii="Verdana" w:hAnsi="Verdana"/>
          <w:i/>
          <w:iCs/>
          <w:sz w:val="20"/>
          <w:lang w:val="es-MX"/>
        </w:rPr>
        <w:t>supra</w:t>
      </w:r>
      <w:r w:rsidRPr="00037A62">
        <w:rPr>
          <w:rFonts w:ascii="Verdana" w:hAnsi="Verdana"/>
          <w:sz w:val="20"/>
          <w:lang w:val="es-MX"/>
        </w:rPr>
        <w:t xml:space="preserve"> </w:t>
      </w:r>
      <w:r w:rsidR="0034575B">
        <w:rPr>
          <w:rFonts w:ascii="Verdana" w:hAnsi="Verdana"/>
          <w:sz w:val="20"/>
          <w:szCs w:val="20"/>
          <w:lang w:val="es-MX"/>
        </w:rPr>
        <w:t>Visto</w:t>
      </w:r>
      <w:r w:rsidR="0034575B" w:rsidRPr="00037A62">
        <w:rPr>
          <w:rFonts w:ascii="Verdana" w:hAnsi="Verdana"/>
          <w:sz w:val="20"/>
          <w:szCs w:val="20"/>
          <w:lang w:val="es-MX"/>
        </w:rPr>
        <w:t xml:space="preserve"> </w:t>
      </w:r>
      <w:r w:rsidR="0034575B">
        <w:rPr>
          <w:rFonts w:ascii="Verdana" w:hAnsi="Verdana"/>
          <w:sz w:val="20"/>
          <w:szCs w:val="20"/>
          <w:lang w:val="es-MX"/>
        </w:rPr>
        <w:t>6</w:t>
      </w:r>
      <w:r w:rsidRPr="00037A62">
        <w:rPr>
          <w:rFonts w:ascii="Verdana" w:hAnsi="Verdana"/>
          <w:sz w:val="20"/>
          <w:szCs w:val="20"/>
          <w:lang w:val="es-MX"/>
        </w:rPr>
        <w:t>)</w:t>
      </w:r>
      <w:r w:rsidRPr="00037A62">
        <w:rPr>
          <w:rFonts w:ascii="Verdana" w:hAnsi="Verdana"/>
          <w:sz w:val="20"/>
          <w:lang w:val="es-MX"/>
        </w:rPr>
        <w:t xml:space="preserve">. Esa situación no ha cambiado desde que la Corte ordenó la adopción de medidas provisionales, por lo que corresponde que las mismas se mantengan en vigencia. </w:t>
      </w:r>
    </w:p>
    <w:p w14:paraId="03BB023E" w14:textId="37A9C97F"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Para cumplir con estas medidas, el Estado deberá presentar un informe en el que documente las acciones que haya implementado y prevea implementar para dar cumplimiento a las mismas</w:t>
      </w:r>
      <w:r w:rsidR="0034575B">
        <w:rPr>
          <w:rFonts w:ascii="Verdana" w:hAnsi="Verdana"/>
          <w:sz w:val="20"/>
          <w:szCs w:val="20"/>
          <w:lang w:val="es-MX"/>
        </w:rPr>
        <w:t>. Además, el Estado deberá</w:t>
      </w:r>
      <w:r w:rsidRPr="00037A62">
        <w:rPr>
          <w:rFonts w:ascii="Verdana" w:hAnsi="Verdana"/>
          <w:sz w:val="20"/>
          <w:szCs w:val="20"/>
          <w:lang w:val="es-MX"/>
        </w:rPr>
        <w:t xml:space="preserve"> present</w:t>
      </w:r>
      <w:r w:rsidR="0034575B">
        <w:rPr>
          <w:rFonts w:ascii="Verdana" w:hAnsi="Verdana"/>
          <w:sz w:val="20"/>
          <w:szCs w:val="20"/>
          <w:lang w:val="es-MX"/>
        </w:rPr>
        <w:t>ar</w:t>
      </w:r>
      <w:r w:rsidRPr="00037A62">
        <w:rPr>
          <w:rFonts w:ascii="Verdana" w:hAnsi="Verdana"/>
          <w:sz w:val="20"/>
          <w:szCs w:val="20"/>
          <w:lang w:val="es-MX"/>
        </w:rPr>
        <w:t xml:space="preserve"> de forma </w:t>
      </w:r>
      <w:r w:rsidRPr="00037A62">
        <w:rPr>
          <w:rFonts w:ascii="Verdana" w:hAnsi="Verdana"/>
          <w:sz w:val="20"/>
          <w:lang w:val="es-MX"/>
        </w:rPr>
        <w:t>urgente un plan de búsqueda de las personas desaparecidas</w:t>
      </w:r>
      <w:r w:rsidRPr="00037A62">
        <w:rPr>
          <w:rFonts w:ascii="Verdana" w:hAnsi="Verdana"/>
          <w:sz w:val="20"/>
          <w:szCs w:val="20"/>
          <w:lang w:val="es-MX"/>
        </w:rPr>
        <w:t xml:space="preserve"> y expli</w:t>
      </w:r>
      <w:r w:rsidR="0034575B">
        <w:rPr>
          <w:rFonts w:ascii="Verdana" w:hAnsi="Verdana"/>
          <w:sz w:val="20"/>
          <w:szCs w:val="20"/>
          <w:lang w:val="es-MX"/>
        </w:rPr>
        <w:t>car</w:t>
      </w:r>
      <w:r w:rsidRPr="00037A62">
        <w:rPr>
          <w:rFonts w:ascii="Verdana" w:hAnsi="Verdana"/>
          <w:sz w:val="20"/>
          <w:szCs w:val="20"/>
          <w:lang w:val="es-MX"/>
        </w:rPr>
        <w:t xml:space="preserve"> en particular, en qué etapa de ejecución se encuentras las diligencias de investigación ante la entidad estatal que ha sido designada para tales efectos. </w:t>
      </w:r>
    </w:p>
    <w:p w14:paraId="3851C3C4" w14:textId="34B02434"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Asimismo, esta Corte constata que los integrantes de la </w:t>
      </w:r>
      <w:r w:rsidR="0034575B">
        <w:rPr>
          <w:rFonts w:ascii="Verdana" w:hAnsi="Verdana"/>
          <w:sz w:val="20"/>
          <w:szCs w:val="20"/>
          <w:lang w:val="es-MX"/>
        </w:rPr>
        <w:t xml:space="preserve">Comunidad </w:t>
      </w:r>
      <w:r w:rsidRPr="00037A62">
        <w:rPr>
          <w:rFonts w:ascii="Verdana" w:hAnsi="Verdana"/>
          <w:sz w:val="20"/>
          <w:szCs w:val="20"/>
          <w:lang w:val="es-MX"/>
        </w:rPr>
        <w:t xml:space="preserve">Garífuna en Asamblea y con la participación de los familiares </w:t>
      </w:r>
      <w:r w:rsidRPr="00037A62">
        <w:rPr>
          <w:rFonts w:ascii="Verdana" w:hAnsi="Verdana"/>
          <w:sz w:val="20"/>
          <w:lang w:val="es-MX"/>
        </w:rPr>
        <w:t xml:space="preserve">de los desaparecidos, conformaron un Comité Garífuna de </w:t>
      </w:r>
      <w:r w:rsidRPr="00037A62">
        <w:rPr>
          <w:rFonts w:ascii="Verdana" w:hAnsi="Verdana"/>
          <w:sz w:val="20"/>
          <w:szCs w:val="20"/>
          <w:lang w:val="es-MX"/>
        </w:rPr>
        <w:t>Investigación</w:t>
      </w:r>
      <w:r w:rsidRPr="00037A62">
        <w:rPr>
          <w:rFonts w:ascii="Verdana" w:hAnsi="Verdana"/>
          <w:sz w:val="20"/>
          <w:lang w:val="es-MX"/>
        </w:rPr>
        <w:t xml:space="preserve"> y Búsqueda de los Desaparecidos de Triunfo de la Cruz (SUNLA),</w:t>
      </w:r>
      <w:r w:rsidRPr="00037A62">
        <w:rPr>
          <w:rFonts w:ascii="Verdana" w:hAnsi="Verdana"/>
          <w:sz w:val="20"/>
          <w:szCs w:val="20"/>
          <w:lang w:val="es-MX"/>
        </w:rPr>
        <w:t xml:space="preserve"> con el objetivo de investigar y ejecutar la búsqueda de la desaparición de esas personas. En vista de la falta de avance de las investigaciones para determinar el paradero de los integrantes de la Comunidad Triunfo de la Cruz que se encuentran desaparecidos, y de la importancia que reviste la participación de los familiares de víctimas en las investigaciones, a juicio de esta Corte, sería importante que las autoridades puedan coordinar con el SUNLA las diligencias de investigación que se están implementando para determinar el paradero de las personas desaparecidas. En ese sentido, el Estado deberá detallar en sus informes la forma en que sus diligencias de investigación se coordinarán con el SUNLA.</w:t>
      </w:r>
    </w:p>
    <w:p w14:paraId="33CFF55E" w14:textId="6469A0C0"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A su vez, a la hora de definir las líneas de investigación, las autoridades deberían tener presente que esas desapariciones se enmarcan en un contexto de violencia contra los integrantes de las Comunidades Garífunas y se inscriben en un marco de conflictos territoriales que ya fueron analizados por esta Corte (</w:t>
      </w:r>
      <w:r w:rsidRPr="00037A62">
        <w:rPr>
          <w:rFonts w:ascii="Verdana" w:hAnsi="Verdana"/>
          <w:i/>
          <w:iCs/>
          <w:sz w:val="20"/>
          <w:szCs w:val="20"/>
          <w:lang w:val="es-MX"/>
        </w:rPr>
        <w:t>supra</w:t>
      </w:r>
      <w:r w:rsidRPr="00037A62">
        <w:rPr>
          <w:rFonts w:ascii="Verdana" w:hAnsi="Verdana"/>
          <w:sz w:val="20"/>
          <w:szCs w:val="20"/>
          <w:lang w:val="es-MX"/>
        </w:rPr>
        <w:t xml:space="preserve"> Considerando </w:t>
      </w:r>
      <w:r w:rsidR="0034575B">
        <w:rPr>
          <w:rFonts w:ascii="Verdana" w:hAnsi="Verdana"/>
          <w:sz w:val="20"/>
          <w:szCs w:val="20"/>
          <w:lang w:val="es-MX"/>
        </w:rPr>
        <w:t>19</w:t>
      </w:r>
      <w:r w:rsidR="0034575B" w:rsidRPr="00037A62">
        <w:rPr>
          <w:rFonts w:ascii="Verdana" w:hAnsi="Verdana"/>
          <w:sz w:val="20"/>
          <w:szCs w:val="20"/>
          <w:lang w:val="es-MX"/>
        </w:rPr>
        <w:t>).</w:t>
      </w:r>
    </w:p>
    <w:p w14:paraId="4C04F5B5" w14:textId="5CB949AF"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Por otra parte, en lo que se refiere a las medidas adecuadas para proteger efectivamente los derechos a la vida, e integridad personal de los integrantes de las Comunidades Garífuna de Triunfo de la Cruz y de Punta Piedra que desarrollan colectivamente acciones de defensa de los derechos del pueblo, este Tribunal constata que las medidas adoptadas por el Estado se encuentran aún en sus fases iniciales sobre el análisis del riesgo y que se presentaron varios problemas de coordinación entre las autoridades y las Comunidades (</w:t>
      </w:r>
      <w:r w:rsidRPr="00037A62">
        <w:rPr>
          <w:rFonts w:ascii="Verdana" w:hAnsi="Verdana"/>
          <w:i/>
          <w:iCs/>
          <w:sz w:val="20"/>
          <w:szCs w:val="20"/>
          <w:lang w:val="es-MX"/>
        </w:rPr>
        <w:t>supra</w:t>
      </w:r>
      <w:r w:rsidRPr="00037A62">
        <w:rPr>
          <w:rFonts w:ascii="Verdana" w:hAnsi="Verdana"/>
          <w:sz w:val="20"/>
          <w:szCs w:val="20"/>
          <w:lang w:val="es-MX"/>
        </w:rPr>
        <w:t xml:space="preserve"> Considerandos </w:t>
      </w:r>
      <w:r w:rsidR="0034575B">
        <w:rPr>
          <w:rFonts w:ascii="Verdana" w:hAnsi="Verdana"/>
          <w:sz w:val="20"/>
          <w:szCs w:val="20"/>
          <w:lang w:val="es-MX"/>
        </w:rPr>
        <w:t>7</w:t>
      </w:r>
      <w:r w:rsidR="0034575B" w:rsidRPr="00037A62">
        <w:rPr>
          <w:rFonts w:ascii="Verdana" w:hAnsi="Verdana"/>
          <w:sz w:val="20"/>
          <w:szCs w:val="20"/>
          <w:lang w:val="es-MX"/>
        </w:rPr>
        <w:t xml:space="preserve"> </w:t>
      </w:r>
      <w:r w:rsidRPr="00037A62">
        <w:rPr>
          <w:rFonts w:ascii="Verdana" w:hAnsi="Verdana"/>
          <w:sz w:val="20"/>
          <w:szCs w:val="20"/>
          <w:lang w:val="es-MX"/>
        </w:rPr>
        <w:t xml:space="preserve">y </w:t>
      </w:r>
      <w:r w:rsidR="0034575B">
        <w:rPr>
          <w:rFonts w:ascii="Verdana" w:hAnsi="Verdana"/>
          <w:sz w:val="20"/>
          <w:szCs w:val="20"/>
          <w:lang w:val="es-MX"/>
        </w:rPr>
        <w:t>8</w:t>
      </w:r>
      <w:r w:rsidR="0034575B" w:rsidRPr="00037A62">
        <w:rPr>
          <w:rFonts w:ascii="Verdana" w:hAnsi="Verdana"/>
          <w:sz w:val="20"/>
          <w:szCs w:val="20"/>
          <w:lang w:val="es-MX"/>
        </w:rPr>
        <w:t>).</w:t>
      </w:r>
    </w:p>
    <w:p w14:paraId="7553036E" w14:textId="1552551C" w:rsidR="00E7235A" w:rsidRPr="00037A62" w:rsidRDefault="00E7235A" w:rsidP="00E7235A">
      <w:pPr>
        <w:numPr>
          <w:ilvl w:val="0"/>
          <w:numId w:val="3"/>
        </w:numPr>
        <w:spacing w:before="120" w:after="120" w:line="240" w:lineRule="auto"/>
        <w:ind w:left="0" w:firstLine="0"/>
        <w:jc w:val="both"/>
        <w:rPr>
          <w:lang w:val="es-MX"/>
        </w:rPr>
      </w:pPr>
      <w:r w:rsidRPr="00037A62">
        <w:rPr>
          <w:rFonts w:ascii="Verdana" w:hAnsi="Verdana"/>
          <w:sz w:val="20"/>
          <w:szCs w:val="20"/>
          <w:lang w:val="es-MX"/>
        </w:rPr>
        <w:t xml:space="preserve">En ese sentido, frente a los escasos avances en la implementación de esta medida, y a la situación de violencia contra integrantes de las Comunidades, esta Corte concluye que la situación de los beneficiarios reviste aún las características de extrema gravedad y urgencia </w:t>
      </w:r>
      <w:r w:rsidRPr="00037A62">
        <w:rPr>
          <w:rFonts w:ascii="Verdana" w:hAnsi="Verdana"/>
          <w:sz w:val="20"/>
          <w:szCs w:val="20"/>
          <w:lang w:val="es-MX"/>
        </w:rPr>
        <w:lastRenderedPageBreak/>
        <w:t>que justifican mantener las medidas de protección con el fin de evitar daños irreparables en su perjuicio.</w:t>
      </w:r>
      <w:r w:rsidR="000B3179">
        <w:rPr>
          <w:rFonts w:ascii="Verdana" w:hAnsi="Verdana"/>
          <w:sz w:val="20"/>
          <w:szCs w:val="20"/>
          <w:lang w:val="es-MX"/>
        </w:rPr>
        <w:t xml:space="preserve"> </w:t>
      </w:r>
    </w:p>
    <w:p w14:paraId="0CB79BA2" w14:textId="012BAC12"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cs="Arial"/>
          <w:sz w:val="20"/>
          <w:szCs w:val="20"/>
          <w:lang w:val="es-MX"/>
        </w:rPr>
        <w:t xml:space="preserve">Por tanto, </w:t>
      </w:r>
      <w:r w:rsidRPr="00037A62">
        <w:rPr>
          <w:rFonts w:ascii="Verdana" w:hAnsi="Verdana"/>
          <w:sz w:val="20"/>
          <w:szCs w:val="20"/>
          <w:lang w:val="es-MX"/>
        </w:rPr>
        <w:t>la Corte considera que, resulta indispensable que el Estado adopte los pasos necesarios para la debida implementación de medidas pertinentes respecto de</w:t>
      </w:r>
      <w:r w:rsidR="0034575B">
        <w:rPr>
          <w:rFonts w:ascii="Verdana" w:hAnsi="Verdana"/>
          <w:sz w:val="20"/>
          <w:szCs w:val="20"/>
          <w:lang w:val="es-MX"/>
        </w:rPr>
        <w:t xml:space="preserve"> </w:t>
      </w:r>
      <w:r w:rsidR="0034575B" w:rsidRPr="0034575B">
        <w:rPr>
          <w:rFonts w:ascii="Verdana" w:hAnsi="Verdana"/>
          <w:sz w:val="20"/>
          <w:szCs w:val="20"/>
          <w:lang w:val="es-MX"/>
        </w:rPr>
        <w:t>los integrantes de las Comunidades Garífuna de Triunfo de la Cruz y de Punta Piedra que desarrollan colectivamente acciones de defensa de los derechos del pueblo</w:t>
      </w:r>
      <w:r w:rsidR="0034575B">
        <w:rPr>
          <w:rFonts w:ascii="Verdana" w:hAnsi="Verdana"/>
          <w:sz w:val="20"/>
          <w:szCs w:val="20"/>
          <w:lang w:val="es-MX"/>
        </w:rPr>
        <w:t>. Para tales efectos, deber</w:t>
      </w:r>
      <w:r w:rsidR="00287B1D">
        <w:rPr>
          <w:rFonts w:ascii="Verdana" w:hAnsi="Verdana"/>
          <w:sz w:val="20"/>
          <w:szCs w:val="20"/>
          <w:lang w:val="es-MX"/>
        </w:rPr>
        <w:t>á</w:t>
      </w:r>
      <w:r w:rsidRPr="00037A62">
        <w:rPr>
          <w:rFonts w:ascii="Verdana" w:hAnsi="Verdana"/>
          <w:sz w:val="20"/>
          <w:szCs w:val="20"/>
          <w:lang w:val="es-MX"/>
        </w:rPr>
        <w:t>: a) realizar evaluaciones periódicas del riesgo de los beneficiarios</w:t>
      </w:r>
      <w:r w:rsidR="000B3179">
        <w:rPr>
          <w:rFonts w:ascii="Verdana" w:hAnsi="Verdana"/>
          <w:sz w:val="20"/>
          <w:szCs w:val="20"/>
          <w:lang w:val="es-MX"/>
        </w:rPr>
        <w:t xml:space="preserve"> de forma coordin</w:t>
      </w:r>
      <w:r w:rsidR="00644045">
        <w:rPr>
          <w:rFonts w:ascii="Verdana" w:hAnsi="Verdana"/>
          <w:sz w:val="20"/>
          <w:szCs w:val="20"/>
          <w:lang w:val="es-MX"/>
        </w:rPr>
        <w:t>a</w:t>
      </w:r>
      <w:r w:rsidR="000B3179">
        <w:rPr>
          <w:rFonts w:ascii="Verdana" w:hAnsi="Verdana"/>
          <w:sz w:val="20"/>
          <w:szCs w:val="20"/>
          <w:lang w:val="es-MX"/>
        </w:rPr>
        <w:t xml:space="preserve">da y en consulta con los líderes de las </w:t>
      </w:r>
      <w:r w:rsidR="0034575B">
        <w:rPr>
          <w:rFonts w:ascii="Verdana" w:hAnsi="Verdana"/>
          <w:sz w:val="20"/>
          <w:szCs w:val="20"/>
          <w:lang w:val="es-MX"/>
        </w:rPr>
        <w:t>Comunidades</w:t>
      </w:r>
      <w:r w:rsidRPr="00037A62">
        <w:rPr>
          <w:rFonts w:ascii="Verdana" w:hAnsi="Verdana"/>
          <w:sz w:val="20"/>
          <w:szCs w:val="20"/>
          <w:lang w:val="es-MX"/>
        </w:rPr>
        <w:t>; b) garantizar la integridad personal y la vida de los beneficiarios</w:t>
      </w:r>
      <w:r w:rsidR="0034575B">
        <w:rPr>
          <w:rFonts w:ascii="Verdana" w:hAnsi="Verdana"/>
          <w:sz w:val="20"/>
          <w:szCs w:val="20"/>
          <w:lang w:val="es-MX"/>
        </w:rPr>
        <w:t>;</w:t>
      </w:r>
      <w:r w:rsidR="0034575B" w:rsidRPr="00037A62">
        <w:rPr>
          <w:rFonts w:ascii="Verdana" w:hAnsi="Verdana"/>
          <w:sz w:val="20"/>
          <w:szCs w:val="20"/>
          <w:lang w:val="es-MX"/>
        </w:rPr>
        <w:t xml:space="preserve"> </w:t>
      </w:r>
      <w:r w:rsidRPr="00037A62">
        <w:rPr>
          <w:rFonts w:ascii="Verdana" w:hAnsi="Verdana"/>
          <w:sz w:val="20"/>
          <w:szCs w:val="20"/>
          <w:lang w:val="es-MX"/>
        </w:rPr>
        <w:t xml:space="preserve">c) </w:t>
      </w:r>
      <w:r w:rsidR="00287B1D" w:rsidRPr="00037A62">
        <w:rPr>
          <w:rFonts w:ascii="Verdana" w:hAnsi="Verdana"/>
          <w:sz w:val="20"/>
          <w:szCs w:val="20"/>
          <w:lang w:val="es-MX"/>
        </w:rPr>
        <w:t>inform</w:t>
      </w:r>
      <w:r w:rsidR="00287B1D">
        <w:rPr>
          <w:rFonts w:ascii="Verdana" w:hAnsi="Verdana"/>
          <w:sz w:val="20"/>
          <w:szCs w:val="20"/>
          <w:lang w:val="es-MX"/>
        </w:rPr>
        <w:t>ar</w:t>
      </w:r>
      <w:r w:rsidR="00287B1D" w:rsidRPr="00037A62">
        <w:rPr>
          <w:rFonts w:ascii="Verdana" w:hAnsi="Verdana"/>
          <w:sz w:val="20"/>
          <w:szCs w:val="20"/>
          <w:lang w:val="es-MX"/>
        </w:rPr>
        <w:t xml:space="preserve"> </w:t>
      </w:r>
      <w:r w:rsidRPr="00037A62">
        <w:rPr>
          <w:rFonts w:ascii="Verdana" w:hAnsi="Verdana"/>
          <w:sz w:val="20"/>
          <w:szCs w:val="20"/>
          <w:lang w:val="es-MX"/>
        </w:rPr>
        <w:t xml:space="preserve">a la Corte sobre las acciones emprendidas y </w:t>
      </w:r>
      <w:r w:rsidR="0034575B">
        <w:rPr>
          <w:rFonts w:ascii="Verdana" w:hAnsi="Verdana"/>
          <w:sz w:val="20"/>
          <w:szCs w:val="20"/>
          <w:lang w:val="es-MX"/>
        </w:rPr>
        <w:t xml:space="preserve">sobre los </w:t>
      </w:r>
      <w:r w:rsidRPr="00037A62">
        <w:rPr>
          <w:rFonts w:ascii="Verdana" w:hAnsi="Verdana"/>
          <w:sz w:val="20"/>
          <w:szCs w:val="20"/>
          <w:lang w:val="es-MX"/>
        </w:rPr>
        <w:t xml:space="preserve">avances alcanzados, y d) presentar un </w:t>
      </w:r>
      <w:r w:rsidRPr="00037A62">
        <w:rPr>
          <w:rFonts w:ascii="Verdana" w:hAnsi="Verdana"/>
          <w:sz w:val="20"/>
          <w:lang w:val="es-MX"/>
        </w:rPr>
        <w:t>cronograma de las medidas que serán adoptadas para proteger los beneficiarios de las medidas provisionales.</w:t>
      </w:r>
    </w:p>
    <w:p w14:paraId="7F490A1B" w14:textId="6D5454BA" w:rsidR="00E7235A" w:rsidRDefault="00E7235A" w:rsidP="00BD3684">
      <w:pPr>
        <w:pStyle w:val="Cuadrculamedia1-nfasis21"/>
        <w:spacing w:before="120" w:after="120" w:line="240" w:lineRule="auto"/>
        <w:ind w:left="0"/>
        <w:contextualSpacing w:val="0"/>
        <w:jc w:val="both"/>
        <w:rPr>
          <w:rFonts w:ascii="Verdana" w:hAnsi="Verdana"/>
          <w:sz w:val="16"/>
          <w:szCs w:val="16"/>
          <w:lang w:val="es-MX"/>
        </w:rPr>
      </w:pPr>
    </w:p>
    <w:p w14:paraId="7A55F2DC" w14:textId="26A9317D" w:rsidR="00E7235A" w:rsidRPr="00870E27" w:rsidRDefault="00E7235A" w:rsidP="00E7235A">
      <w:pPr>
        <w:numPr>
          <w:ilvl w:val="0"/>
          <w:numId w:val="1"/>
        </w:numPr>
        <w:spacing w:before="120" w:after="120" w:line="240" w:lineRule="auto"/>
        <w:jc w:val="both"/>
        <w:outlineLvl w:val="0"/>
        <w:rPr>
          <w:rFonts w:ascii="Verdana" w:hAnsi="Verdana"/>
          <w:b/>
          <w:i/>
          <w:sz w:val="20"/>
          <w:szCs w:val="20"/>
          <w:lang w:val="es-MX"/>
        </w:rPr>
      </w:pPr>
      <w:bookmarkStart w:id="1" w:name="_Toc68623336"/>
      <w:r>
        <w:rPr>
          <w:rFonts w:ascii="Verdana" w:hAnsi="Verdana"/>
          <w:b/>
          <w:i/>
          <w:sz w:val="20"/>
          <w:szCs w:val="20"/>
          <w:lang w:val="es-MX"/>
        </w:rPr>
        <w:t>SOBRE LA SUPERVISIÓN DE CUMPLIMIENTO</w:t>
      </w:r>
      <w:r w:rsidR="004F7B3B">
        <w:rPr>
          <w:rFonts w:ascii="Verdana" w:hAnsi="Verdana"/>
          <w:b/>
          <w:i/>
          <w:sz w:val="20"/>
          <w:szCs w:val="20"/>
          <w:lang w:val="es-MX"/>
        </w:rPr>
        <w:t xml:space="preserve"> DE REPARACIONES</w:t>
      </w:r>
      <w:r w:rsidR="00FB74F8">
        <w:rPr>
          <w:rFonts w:ascii="Verdana" w:hAnsi="Verdana"/>
          <w:b/>
          <w:i/>
          <w:sz w:val="20"/>
          <w:szCs w:val="20"/>
          <w:lang w:val="es-MX"/>
        </w:rPr>
        <w:t xml:space="preserve"> RELACIONADAS CON EL DERECHO A LA PROPIEDAD COMUNAL Y LA OBLIGACIÓN DE INVESTIGAR</w:t>
      </w:r>
      <w:bookmarkEnd w:id="1"/>
    </w:p>
    <w:p w14:paraId="4E52CB32" w14:textId="5B0B0B52" w:rsidR="00E7235A" w:rsidRPr="00037A62" w:rsidRDefault="00E7235A" w:rsidP="00E7235A">
      <w:pPr>
        <w:pStyle w:val="Cuadrculamedia1-nfasis21"/>
        <w:numPr>
          <w:ilvl w:val="0"/>
          <w:numId w:val="19"/>
        </w:numPr>
        <w:spacing w:before="120" w:after="120" w:line="240" w:lineRule="auto"/>
        <w:contextualSpacing w:val="0"/>
        <w:jc w:val="both"/>
        <w:outlineLvl w:val="0"/>
        <w:rPr>
          <w:rFonts w:ascii="Verdana" w:hAnsi="Verdana"/>
          <w:b/>
          <w:i/>
          <w:sz w:val="20"/>
          <w:szCs w:val="20"/>
          <w:lang w:val="es-MX"/>
        </w:rPr>
      </w:pPr>
      <w:bookmarkStart w:id="2" w:name="_Toc68623337"/>
      <w:r w:rsidRPr="00037A62">
        <w:rPr>
          <w:rFonts w:ascii="Verdana" w:hAnsi="Verdana"/>
          <w:b/>
          <w:i/>
          <w:sz w:val="20"/>
          <w:szCs w:val="20"/>
          <w:lang w:val="es-MX"/>
        </w:rPr>
        <w:t xml:space="preserve">Medidas </w:t>
      </w:r>
      <w:r w:rsidR="00B352C5">
        <w:rPr>
          <w:rFonts w:ascii="Verdana" w:hAnsi="Verdana"/>
          <w:b/>
          <w:i/>
          <w:sz w:val="20"/>
          <w:szCs w:val="20"/>
          <w:lang w:val="es-MX"/>
        </w:rPr>
        <w:t>para garantizar el derecho a la propiedad comunal</w:t>
      </w:r>
      <w:bookmarkEnd w:id="2"/>
    </w:p>
    <w:p w14:paraId="594A1EF2" w14:textId="77777777" w:rsidR="00E7235A" w:rsidRPr="00037A62" w:rsidRDefault="00E7235A" w:rsidP="00E7235A">
      <w:pPr>
        <w:pStyle w:val="Cuadrculamedia1-nfasis21"/>
        <w:spacing w:before="120" w:after="120" w:line="240" w:lineRule="auto"/>
        <w:contextualSpacing w:val="0"/>
        <w:jc w:val="both"/>
        <w:rPr>
          <w:rFonts w:ascii="Verdana" w:hAnsi="Verdana"/>
          <w:i/>
          <w:sz w:val="20"/>
          <w:szCs w:val="20"/>
          <w:lang w:val="es-MX"/>
        </w:rPr>
      </w:pPr>
      <w:r w:rsidRPr="00037A62">
        <w:rPr>
          <w:rFonts w:ascii="Verdana" w:hAnsi="Verdana"/>
          <w:i/>
          <w:sz w:val="20"/>
          <w:szCs w:val="20"/>
          <w:lang w:val="es-MX"/>
        </w:rPr>
        <w:t>A.1. Medidas ordenadas por la Corte y supervisión realizada en resolución anterior</w:t>
      </w:r>
    </w:p>
    <w:p w14:paraId="09401802" w14:textId="6B1F571A" w:rsidR="00101DD9" w:rsidRPr="00E81E33" w:rsidRDefault="00101DD9" w:rsidP="003A0D3B">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Con respecto a la reparación relat</w:t>
      </w:r>
      <w:r w:rsidR="00AD5EF7">
        <w:rPr>
          <w:rFonts w:ascii="Verdana" w:hAnsi="Verdana"/>
          <w:sz w:val="20"/>
          <w:szCs w:val="20"/>
          <w:lang w:val="es-MX"/>
        </w:rPr>
        <w:t xml:space="preserve">iva a garantizar el uso y goce </w:t>
      </w:r>
      <w:r>
        <w:rPr>
          <w:rFonts w:ascii="Verdana" w:hAnsi="Verdana"/>
          <w:sz w:val="20"/>
          <w:szCs w:val="20"/>
          <w:lang w:val="es-MX"/>
        </w:rPr>
        <w:t xml:space="preserve">de las tierras tradicionales </w:t>
      </w:r>
      <w:r w:rsidR="00E7235A" w:rsidRPr="00EF7615">
        <w:rPr>
          <w:rFonts w:ascii="Verdana" w:hAnsi="Verdana"/>
          <w:sz w:val="20"/>
          <w:szCs w:val="20"/>
          <w:lang w:val="es-MX"/>
        </w:rPr>
        <w:t>d</w:t>
      </w:r>
      <w:r>
        <w:rPr>
          <w:rFonts w:ascii="Verdana" w:hAnsi="Verdana"/>
          <w:sz w:val="20"/>
          <w:szCs w:val="20"/>
          <w:lang w:val="es-MX"/>
        </w:rPr>
        <w:t>e la Comunidad de</w:t>
      </w:r>
      <w:r w:rsidR="00E7235A" w:rsidRPr="00EF7615">
        <w:rPr>
          <w:rFonts w:ascii="Verdana" w:hAnsi="Verdana"/>
          <w:sz w:val="20"/>
          <w:szCs w:val="20"/>
          <w:lang w:val="es-MX"/>
        </w:rPr>
        <w:t xml:space="preserve"> </w:t>
      </w:r>
      <w:r w:rsidR="00E7235A" w:rsidRPr="00101DD9">
        <w:rPr>
          <w:rFonts w:ascii="Verdana" w:hAnsi="Verdana"/>
          <w:sz w:val="20"/>
          <w:szCs w:val="20"/>
          <w:lang w:val="es-MX"/>
        </w:rPr>
        <w:t>Punta Piedra</w:t>
      </w:r>
      <w:r w:rsidR="00E7235A" w:rsidRPr="00037A62">
        <w:rPr>
          <w:rStyle w:val="Refdenotaalpie"/>
          <w:rFonts w:ascii="Verdana" w:hAnsi="Verdana"/>
          <w:sz w:val="20"/>
          <w:szCs w:val="20"/>
          <w:lang w:val="es-MX"/>
        </w:rPr>
        <w:footnoteReference w:id="16"/>
      </w:r>
      <w:r>
        <w:rPr>
          <w:rFonts w:ascii="Verdana" w:hAnsi="Verdana"/>
          <w:i/>
          <w:sz w:val="20"/>
          <w:szCs w:val="20"/>
          <w:lang w:val="es-MX"/>
        </w:rPr>
        <w:t xml:space="preserve">, </w:t>
      </w:r>
      <w:r w:rsidR="003A0D3B">
        <w:rPr>
          <w:rFonts w:ascii="Verdana" w:hAnsi="Verdana"/>
          <w:sz w:val="20"/>
          <w:szCs w:val="20"/>
          <w:lang w:val="es-MX"/>
        </w:rPr>
        <w:t>en la Resolución de 201</w:t>
      </w:r>
      <w:r w:rsidR="004C268E">
        <w:rPr>
          <w:rFonts w:ascii="Verdana" w:hAnsi="Verdana"/>
          <w:sz w:val="20"/>
          <w:szCs w:val="20"/>
          <w:lang w:val="es-MX"/>
        </w:rPr>
        <w:t>9</w:t>
      </w:r>
      <w:r w:rsidR="003A0D3B">
        <w:rPr>
          <w:rFonts w:ascii="Verdana" w:hAnsi="Verdana"/>
          <w:sz w:val="20"/>
          <w:szCs w:val="20"/>
          <w:lang w:val="es-MX"/>
        </w:rPr>
        <w:t xml:space="preserve"> la Corte consideró</w:t>
      </w:r>
      <w:r w:rsidR="003A0D3B" w:rsidRPr="00037A62">
        <w:rPr>
          <w:rFonts w:ascii="Verdana" w:hAnsi="Verdana"/>
          <w:sz w:val="20"/>
          <w:szCs w:val="20"/>
          <w:lang w:val="es-MX"/>
        </w:rPr>
        <w:t xml:space="preserve"> que las acciones emprendidas por el Estado </w:t>
      </w:r>
      <w:r w:rsidR="003A0D3B">
        <w:rPr>
          <w:rFonts w:ascii="Verdana" w:hAnsi="Verdana"/>
          <w:sz w:val="20"/>
          <w:szCs w:val="20"/>
          <w:lang w:val="es-MX"/>
        </w:rPr>
        <w:t xml:space="preserve">para avanzar con el saneamiento de las tierras eran </w:t>
      </w:r>
      <w:r w:rsidR="003A0D3B" w:rsidRPr="00037A62">
        <w:rPr>
          <w:rFonts w:ascii="Verdana" w:hAnsi="Verdana"/>
          <w:sz w:val="20"/>
          <w:szCs w:val="20"/>
          <w:lang w:val="es-MX"/>
        </w:rPr>
        <w:t>insuficientes</w:t>
      </w:r>
      <w:r w:rsidR="003A0D3B">
        <w:rPr>
          <w:rStyle w:val="Refdenotaalpie"/>
          <w:rFonts w:ascii="Verdana" w:hAnsi="Verdana"/>
          <w:sz w:val="20"/>
          <w:szCs w:val="20"/>
          <w:lang w:val="es-MX"/>
        </w:rPr>
        <w:footnoteReference w:id="17"/>
      </w:r>
      <w:r w:rsidR="003A0D3B" w:rsidRPr="00037A62">
        <w:rPr>
          <w:rFonts w:ascii="Verdana" w:hAnsi="Verdana"/>
          <w:sz w:val="20"/>
          <w:szCs w:val="20"/>
          <w:lang w:val="es-MX"/>
        </w:rPr>
        <w:t>.</w:t>
      </w:r>
    </w:p>
    <w:p w14:paraId="0B920555" w14:textId="0E6EDD27" w:rsidR="00E7235A" w:rsidRPr="00EF7615" w:rsidRDefault="003A0D3B"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En cuanto a las reparaciones relativas a </w:t>
      </w:r>
      <w:r w:rsidRPr="00EF7615">
        <w:rPr>
          <w:rFonts w:ascii="Verdana" w:hAnsi="Verdana"/>
          <w:sz w:val="20"/>
          <w:szCs w:val="20"/>
          <w:lang w:val="es-MX"/>
        </w:rPr>
        <w:t xml:space="preserve">demarcar las tierras </w:t>
      </w:r>
      <w:r>
        <w:rPr>
          <w:rFonts w:ascii="Verdana" w:hAnsi="Verdana"/>
          <w:sz w:val="20"/>
          <w:szCs w:val="20"/>
          <w:lang w:val="es-MX"/>
        </w:rPr>
        <w:t xml:space="preserve">que han sido reconocidas como </w:t>
      </w:r>
      <w:r w:rsidRPr="00EF7615">
        <w:rPr>
          <w:rFonts w:ascii="Verdana" w:hAnsi="Verdana"/>
          <w:sz w:val="20"/>
          <w:szCs w:val="20"/>
          <w:lang w:val="es-MX"/>
        </w:rPr>
        <w:t>propiedad colectiva a la Comunidad Triunfo de la Cruz</w:t>
      </w:r>
      <w:r>
        <w:rPr>
          <w:rStyle w:val="Refdenotaalpie"/>
          <w:rFonts w:ascii="Verdana" w:hAnsi="Verdana"/>
          <w:sz w:val="20"/>
          <w:szCs w:val="20"/>
          <w:lang w:val="es-MX"/>
        </w:rPr>
        <w:footnoteReference w:id="18"/>
      </w:r>
      <w:r w:rsidR="00E81E33">
        <w:rPr>
          <w:rFonts w:ascii="Verdana" w:hAnsi="Verdana"/>
          <w:sz w:val="20"/>
          <w:szCs w:val="20"/>
          <w:lang w:val="es-MX"/>
        </w:rPr>
        <w:t xml:space="preserve"> y a </w:t>
      </w:r>
      <w:r w:rsidRPr="00EF7615">
        <w:rPr>
          <w:rFonts w:ascii="Verdana" w:hAnsi="Verdana"/>
          <w:sz w:val="20"/>
          <w:szCs w:val="20"/>
          <w:lang w:val="es-MX"/>
        </w:rPr>
        <w:t>otorgar</w:t>
      </w:r>
      <w:r>
        <w:rPr>
          <w:rFonts w:ascii="Verdana" w:hAnsi="Verdana"/>
          <w:sz w:val="20"/>
          <w:szCs w:val="20"/>
          <w:lang w:val="es-MX"/>
        </w:rPr>
        <w:t>le</w:t>
      </w:r>
      <w:r w:rsidRPr="00EF7615">
        <w:rPr>
          <w:rFonts w:ascii="Verdana" w:hAnsi="Verdana"/>
          <w:sz w:val="20"/>
          <w:szCs w:val="20"/>
          <w:lang w:val="es-MX"/>
        </w:rPr>
        <w:t xml:space="preserve"> un título de propiedad colectiva sobre el área denominada “Lote A1”</w:t>
      </w:r>
      <w:r w:rsidRPr="00037A62">
        <w:rPr>
          <w:rStyle w:val="Refdenotaalpie"/>
          <w:rFonts w:ascii="Verdana" w:hAnsi="Verdana"/>
          <w:sz w:val="20"/>
          <w:szCs w:val="20"/>
          <w:lang w:val="es-MX"/>
        </w:rPr>
        <w:footnoteReference w:id="19"/>
      </w:r>
      <w:r>
        <w:rPr>
          <w:rFonts w:ascii="Verdana" w:hAnsi="Verdana"/>
          <w:sz w:val="20"/>
          <w:szCs w:val="20"/>
          <w:lang w:val="es-MX"/>
        </w:rPr>
        <w:t>, en la Resolu</w:t>
      </w:r>
      <w:r w:rsidR="00077CD7">
        <w:rPr>
          <w:rFonts w:ascii="Verdana" w:hAnsi="Verdana"/>
          <w:sz w:val="20"/>
          <w:szCs w:val="20"/>
          <w:lang w:val="es-MX"/>
        </w:rPr>
        <w:t>ción de 2019</w:t>
      </w:r>
      <w:r>
        <w:rPr>
          <w:rFonts w:ascii="Verdana" w:hAnsi="Verdana"/>
          <w:sz w:val="20"/>
          <w:szCs w:val="20"/>
          <w:lang w:val="es-MX"/>
        </w:rPr>
        <w:t xml:space="preserve"> </w:t>
      </w:r>
      <w:r w:rsidRPr="00037A62">
        <w:rPr>
          <w:rFonts w:ascii="Verdana" w:hAnsi="Verdana"/>
          <w:sz w:val="20"/>
          <w:szCs w:val="20"/>
          <w:lang w:val="es-MX"/>
        </w:rPr>
        <w:t xml:space="preserve">el Tribunal </w:t>
      </w:r>
      <w:r w:rsidR="00E81E33">
        <w:rPr>
          <w:rFonts w:ascii="Verdana" w:hAnsi="Verdana"/>
          <w:sz w:val="20"/>
          <w:szCs w:val="20"/>
          <w:lang w:val="es-MX"/>
        </w:rPr>
        <w:t xml:space="preserve">concluyó que no se había probado </w:t>
      </w:r>
      <w:r w:rsidRPr="00037A62">
        <w:rPr>
          <w:rFonts w:ascii="Verdana" w:hAnsi="Verdana"/>
          <w:sz w:val="20"/>
          <w:szCs w:val="20"/>
          <w:lang w:val="es-MX"/>
        </w:rPr>
        <w:t xml:space="preserve">un avance significativo en el </w:t>
      </w:r>
      <w:r w:rsidR="00E81E33">
        <w:rPr>
          <w:rFonts w:ascii="Verdana" w:hAnsi="Verdana"/>
          <w:sz w:val="20"/>
          <w:szCs w:val="20"/>
          <w:lang w:val="es-MX"/>
        </w:rPr>
        <w:t>cumplimiento de estas reparaciones, a pesar de que había vencido el plazo para su cumplimiento</w:t>
      </w:r>
      <w:r w:rsidR="00E81E33">
        <w:rPr>
          <w:rStyle w:val="Refdenotaalpie"/>
          <w:rFonts w:ascii="Verdana" w:hAnsi="Verdana"/>
          <w:sz w:val="20"/>
          <w:szCs w:val="20"/>
          <w:lang w:val="es-MX"/>
        </w:rPr>
        <w:footnoteReference w:id="20"/>
      </w:r>
      <w:r w:rsidR="00E81E33">
        <w:rPr>
          <w:rFonts w:ascii="Verdana" w:hAnsi="Verdana"/>
          <w:sz w:val="20"/>
          <w:szCs w:val="20"/>
          <w:lang w:val="es-MX"/>
        </w:rPr>
        <w:t>.</w:t>
      </w:r>
    </w:p>
    <w:p w14:paraId="5604AC1D" w14:textId="29744C93" w:rsidR="00E7235A"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lastRenderedPageBreak/>
        <w:t xml:space="preserve">En </w:t>
      </w:r>
      <w:r w:rsidR="00E81E33">
        <w:rPr>
          <w:rFonts w:ascii="Verdana" w:hAnsi="Verdana"/>
          <w:sz w:val="20"/>
          <w:szCs w:val="20"/>
          <w:lang w:val="es-MX"/>
        </w:rPr>
        <w:t xml:space="preserve">la supervisión de cumplimiento de ambos casos, la Corte hizo notar que los cronogramas de trabajo elaborados por el Estado no se cumplían. La Corte también resaltó que </w:t>
      </w:r>
      <w:r w:rsidRPr="00E7235A">
        <w:rPr>
          <w:rFonts w:ascii="Verdana" w:hAnsi="Verdana"/>
          <w:sz w:val="20"/>
          <w:szCs w:val="20"/>
          <w:lang w:val="es-MX"/>
        </w:rPr>
        <w:t xml:space="preserve">la demarcación y delimitación de las tierras es una obligación en cabeza del Estado, </w:t>
      </w:r>
      <w:r w:rsidR="00E81E33">
        <w:rPr>
          <w:rFonts w:ascii="Verdana" w:hAnsi="Verdana"/>
          <w:sz w:val="20"/>
          <w:szCs w:val="20"/>
          <w:lang w:val="es-MX"/>
        </w:rPr>
        <w:t xml:space="preserve">el cual debe </w:t>
      </w:r>
      <w:r w:rsidRPr="00E7235A">
        <w:rPr>
          <w:rFonts w:ascii="Verdana" w:hAnsi="Verdana"/>
          <w:sz w:val="20"/>
          <w:szCs w:val="20"/>
          <w:lang w:val="es-MX"/>
        </w:rPr>
        <w:t xml:space="preserve">adoptar todas las medidas necesarias a los fines de </w:t>
      </w:r>
      <w:r w:rsidR="00B352C5">
        <w:rPr>
          <w:rFonts w:ascii="Verdana" w:hAnsi="Verdana"/>
          <w:sz w:val="20"/>
          <w:szCs w:val="20"/>
          <w:lang w:val="es-MX"/>
        </w:rPr>
        <w:t>cumplirla</w:t>
      </w:r>
      <w:r w:rsidR="00256517">
        <w:rPr>
          <w:rFonts w:ascii="Verdana" w:hAnsi="Verdana"/>
          <w:sz w:val="20"/>
          <w:szCs w:val="20"/>
          <w:lang w:val="es-MX"/>
        </w:rPr>
        <w:t xml:space="preserve"> </w:t>
      </w:r>
      <w:r w:rsidRPr="00E7235A">
        <w:rPr>
          <w:rFonts w:ascii="Verdana" w:hAnsi="Verdana"/>
          <w:sz w:val="20"/>
          <w:szCs w:val="20"/>
          <w:lang w:val="es-MX"/>
        </w:rPr>
        <w:t xml:space="preserve">diligentemente. </w:t>
      </w:r>
      <w:r w:rsidR="00E81E33">
        <w:rPr>
          <w:rFonts w:ascii="Verdana" w:hAnsi="Verdana"/>
          <w:sz w:val="20"/>
          <w:szCs w:val="20"/>
          <w:lang w:val="es-MX"/>
        </w:rPr>
        <w:t>Tomando en cuenta las objeciones de los representantes de las víctimas</w:t>
      </w:r>
      <w:r w:rsidR="00256517">
        <w:rPr>
          <w:rFonts w:ascii="Verdana" w:hAnsi="Verdana"/>
          <w:sz w:val="20"/>
          <w:szCs w:val="20"/>
          <w:lang w:val="es-MX"/>
        </w:rPr>
        <w:t xml:space="preserve"> respecto a las acciones para garantizar el derecho a la propiedad comunal</w:t>
      </w:r>
      <w:r w:rsidR="00E81E33">
        <w:rPr>
          <w:rFonts w:ascii="Verdana" w:hAnsi="Verdana"/>
          <w:sz w:val="20"/>
          <w:szCs w:val="20"/>
          <w:lang w:val="es-MX"/>
        </w:rPr>
        <w:t xml:space="preserve">, la Corte </w:t>
      </w:r>
      <w:r w:rsidRPr="00037A62">
        <w:rPr>
          <w:rFonts w:ascii="Verdana" w:hAnsi="Verdana"/>
          <w:sz w:val="20"/>
          <w:szCs w:val="20"/>
          <w:lang w:val="es-MX"/>
        </w:rPr>
        <w:t>solicitó a Honduras explicar y aportar elementos probatorios respecto al procedimiento utilizado para reali</w:t>
      </w:r>
      <w:r w:rsidR="00E81E33">
        <w:rPr>
          <w:rFonts w:ascii="Verdana" w:hAnsi="Verdana"/>
          <w:sz w:val="20"/>
          <w:szCs w:val="20"/>
          <w:lang w:val="es-MX"/>
        </w:rPr>
        <w:t xml:space="preserve">zar </w:t>
      </w:r>
      <w:r w:rsidRPr="00037A62">
        <w:rPr>
          <w:rFonts w:ascii="Verdana" w:hAnsi="Verdana"/>
          <w:sz w:val="20"/>
          <w:szCs w:val="20"/>
          <w:lang w:val="es-MX"/>
        </w:rPr>
        <w:t>avalúos en cuanto a la determinación de un precio de acuerdo a lo dispuesto en la normativa interna.</w:t>
      </w:r>
    </w:p>
    <w:p w14:paraId="0F1A216B" w14:textId="77777777" w:rsidR="00077CD7" w:rsidRPr="00EF7615" w:rsidRDefault="00077CD7" w:rsidP="00077CD7">
      <w:pPr>
        <w:spacing w:before="120" w:after="120" w:line="240" w:lineRule="auto"/>
        <w:jc w:val="both"/>
        <w:rPr>
          <w:rFonts w:ascii="Verdana" w:hAnsi="Verdana"/>
          <w:sz w:val="20"/>
          <w:szCs w:val="20"/>
          <w:lang w:val="es-MX"/>
        </w:rPr>
      </w:pPr>
    </w:p>
    <w:p w14:paraId="0C4BAAC8" w14:textId="0180FB46" w:rsidR="00E7235A" w:rsidRPr="00037A62" w:rsidRDefault="00E7235A" w:rsidP="00E7235A">
      <w:pPr>
        <w:pStyle w:val="Cuadrculamedia1-nfasis21"/>
        <w:spacing w:before="120" w:after="120" w:line="240" w:lineRule="auto"/>
        <w:contextualSpacing w:val="0"/>
        <w:jc w:val="both"/>
        <w:rPr>
          <w:rFonts w:ascii="Verdana" w:hAnsi="Verdana"/>
          <w:i/>
          <w:sz w:val="20"/>
          <w:szCs w:val="20"/>
          <w:lang w:val="es-MX"/>
        </w:rPr>
      </w:pPr>
      <w:r w:rsidRPr="00037A62">
        <w:rPr>
          <w:rFonts w:ascii="Verdana" w:hAnsi="Verdana"/>
          <w:i/>
          <w:sz w:val="20"/>
          <w:szCs w:val="20"/>
          <w:lang w:val="es-MX"/>
        </w:rPr>
        <w:t xml:space="preserve">A.2. Información </w:t>
      </w:r>
      <w:r w:rsidR="009847DF">
        <w:rPr>
          <w:rFonts w:ascii="Verdana" w:hAnsi="Verdana"/>
          <w:i/>
          <w:sz w:val="20"/>
          <w:szCs w:val="20"/>
          <w:lang w:val="es-MX"/>
        </w:rPr>
        <w:t xml:space="preserve">y observaciones </w:t>
      </w:r>
      <w:r w:rsidRPr="00037A62">
        <w:rPr>
          <w:rFonts w:ascii="Verdana" w:hAnsi="Verdana"/>
          <w:i/>
          <w:sz w:val="20"/>
          <w:szCs w:val="20"/>
          <w:lang w:val="es-MX"/>
        </w:rPr>
        <w:t>de las partes y la Comisión</w:t>
      </w:r>
    </w:p>
    <w:p w14:paraId="04344CDC" w14:textId="44448D7A" w:rsidR="00D159A6" w:rsidRDefault="00E67865" w:rsidP="00E67865">
      <w:pPr>
        <w:numPr>
          <w:ilvl w:val="0"/>
          <w:numId w:val="3"/>
        </w:numPr>
        <w:spacing w:before="120" w:after="120" w:line="240" w:lineRule="auto"/>
        <w:ind w:left="0" w:firstLine="0"/>
        <w:jc w:val="both"/>
        <w:rPr>
          <w:rFonts w:ascii="Verdana" w:hAnsi="Verdana"/>
          <w:sz w:val="20"/>
          <w:lang w:val="es-MX"/>
        </w:rPr>
      </w:pPr>
      <w:r>
        <w:rPr>
          <w:rFonts w:ascii="Verdana" w:hAnsi="Verdana"/>
          <w:sz w:val="20"/>
          <w:szCs w:val="20"/>
          <w:lang w:val="es-MX"/>
        </w:rPr>
        <w:t xml:space="preserve">Con respecto al saneamiento de las tierras tituladas a favor de la </w:t>
      </w:r>
      <w:r w:rsidRPr="00E67865">
        <w:rPr>
          <w:rFonts w:ascii="Verdana" w:hAnsi="Verdana"/>
          <w:sz w:val="20"/>
          <w:szCs w:val="20"/>
          <w:lang w:val="es-MX"/>
        </w:rPr>
        <w:t>Comunidad Garífuna Punta Piedra,</w:t>
      </w:r>
      <w:r w:rsidR="00077CD7">
        <w:rPr>
          <w:rFonts w:ascii="Verdana" w:hAnsi="Verdana"/>
          <w:sz w:val="20"/>
          <w:szCs w:val="20"/>
          <w:lang w:val="es-MX"/>
        </w:rPr>
        <w:t xml:space="preserve"> luego de la Resolución de 2019,</w:t>
      </w:r>
      <w:r>
        <w:rPr>
          <w:rFonts w:ascii="Verdana" w:hAnsi="Verdana"/>
          <w:sz w:val="20"/>
          <w:szCs w:val="20"/>
          <w:lang w:val="es-MX"/>
        </w:rPr>
        <w:t xml:space="preserve"> </w:t>
      </w:r>
      <w:r w:rsidRPr="004A3EC4">
        <w:rPr>
          <w:rFonts w:ascii="Verdana" w:hAnsi="Verdana"/>
          <w:i/>
          <w:sz w:val="20"/>
          <w:szCs w:val="20"/>
          <w:lang w:val="es-MX"/>
        </w:rPr>
        <w:t>Honduras</w:t>
      </w:r>
      <w:r>
        <w:rPr>
          <w:rFonts w:ascii="Verdana" w:hAnsi="Verdana"/>
          <w:sz w:val="20"/>
          <w:szCs w:val="20"/>
          <w:lang w:val="es-MX"/>
        </w:rPr>
        <w:t xml:space="preserve"> </w:t>
      </w:r>
      <w:r w:rsidR="00077CD7">
        <w:rPr>
          <w:rFonts w:ascii="Verdana" w:hAnsi="Verdana"/>
          <w:sz w:val="20"/>
          <w:szCs w:val="20"/>
          <w:lang w:val="es-MX"/>
        </w:rPr>
        <w:t>informó que había optado por ofrecer tierras alternativas a los pobladores de Río Miel, modificando así su postura anterior, que consistía en ofrecer tierras alternativas a la Comunidad Garífuna Punta Piedra.</w:t>
      </w:r>
      <w:r>
        <w:rPr>
          <w:rFonts w:ascii="Verdana" w:hAnsi="Verdana"/>
          <w:sz w:val="20"/>
          <w:szCs w:val="20"/>
          <w:lang w:val="es-MX"/>
        </w:rPr>
        <w:t xml:space="preserve"> Sin embargo,</w:t>
      </w:r>
      <w:r w:rsidR="00D159A6">
        <w:rPr>
          <w:rFonts w:ascii="Verdana" w:hAnsi="Verdana"/>
          <w:sz w:val="20"/>
          <w:szCs w:val="20"/>
          <w:lang w:val="es-MX"/>
        </w:rPr>
        <w:t xml:space="preserve"> refirió que </w:t>
      </w:r>
      <w:r w:rsidR="00CD6830">
        <w:rPr>
          <w:rFonts w:ascii="Verdana" w:hAnsi="Verdana"/>
          <w:sz w:val="20"/>
          <w:szCs w:val="20"/>
          <w:lang w:val="es-MX"/>
        </w:rPr>
        <w:t xml:space="preserve">el saneamiento </w:t>
      </w:r>
      <w:r w:rsidR="00D159A6">
        <w:rPr>
          <w:rFonts w:ascii="Verdana" w:hAnsi="Verdana"/>
          <w:sz w:val="20"/>
          <w:szCs w:val="20"/>
          <w:lang w:val="es-MX"/>
        </w:rPr>
        <w:t xml:space="preserve">se encontraba “en suspenso” </w:t>
      </w:r>
      <w:r w:rsidR="00D159A6" w:rsidRPr="00037A62">
        <w:rPr>
          <w:rFonts w:ascii="Verdana" w:hAnsi="Verdana"/>
          <w:sz w:val="20"/>
          <w:szCs w:val="20"/>
          <w:lang w:val="es-MX"/>
        </w:rPr>
        <w:t xml:space="preserve">debido a </w:t>
      </w:r>
      <w:r w:rsidR="00A550D6">
        <w:rPr>
          <w:rFonts w:ascii="Verdana" w:hAnsi="Verdana"/>
          <w:sz w:val="20"/>
          <w:szCs w:val="20"/>
          <w:lang w:val="es-MX"/>
        </w:rPr>
        <w:t>“</w:t>
      </w:r>
      <w:r w:rsidR="00D159A6" w:rsidRPr="00037A62">
        <w:rPr>
          <w:rFonts w:ascii="Verdana" w:hAnsi="Verdana"/>
          <w:sz w:val="20"/>
          <w:szCs w:val="20"/>
          <w:lang w:val="es-MX"/>
        </w:rPr>
        <w:t xml:space="preserve">la conflictividad social imperante en la zona, generada por los miembros de la Comunidad de Río Miel”. </w:t>
      </w:r>
      <w:r w:rsidR="00A550D6">
        <w:rPr>
          <w:rFonts w:ascii="Verdana" w:hAnsi="Verdana"/>
          <w:sz w:val="20"/>
          <w:szCs w:val="20"/>
          <w:lang w:val="es-MX"/>
        </w:rPr>
        <w:t xml:space="preserve">Según el plan de trabajo </w:t>
      </w:r>
      <w:r w:rsidR="00CD6830">
        <w:rPr>
          <w:rFonts w:ascii="Verdana" w:hAnsi="Verdana"/>
          <w:sz w:val="20"/>
          <w:szCs w:val="20"/>
          <w:lang w:val="es-MX"/>
        </w:rPr>
        <w:t xml:space="preserve">más reciente remitido por el Estado, </w:t>
      </w:r>
      <w:r w:rsidR="00A550D6">
        <w:rPr>
          <w:rFonts w:ascii="Verdana" w:hAnsi="Verdana"/>
          <w:sz w:val="20"/>
          <w:szCs w:val="20"/>
          <w:lang w:val="es-MX"/>
        </w:rPr>
        <w:t xml:space="preserve">en septiembre de 2020, </w:t>
      </w:r>
      <w:r w:rsidR="00CD6830">
        <w:rPr>
          <w:rFonts w:ascii="Verdana" w:hAnsi="Verdana"/>
          <w:sz w:val="20"/>
          <w:szCs w:val="20"/>
          <w:lang w:val="es-MX"/>
        </w:rPr>
        <w:t>Honduras</w:t>
      </w:r>
      <w:r w:rsidR="00A550D6">
        <w:rPr>
          <w:rFonts w:ascii="Verdana" w:hAnsi="Verdana"/>
          <w:sz w:val="20"/>
          <w:szCs w:val="20"/>
          <w:lang w:val="es-MX"/>
        </w:rPr>
        <w:t xml:space="preserve"> se encontraba </w:t>
      </w:r>
      <w:r w:rsidR="00CD6830">
        <w:rPr>
          <w:rFonts w:ascii="Verdana" w:hAnsi="Verdana"/>
          <w:sz w:val="20"/>
          <w:szCs w:val="20"/>
          <w:lang w:val="es-MX"/>
        </w:rPr>
        <w:t>buscando</w:t>
      </w:r>
      <w:r w:rsidR="00B2535E">
        <w:rPr>
          <w:rFonts w:ascii="Verdana" w:hAnsi="Verdana"/>
          <w:sz w:val="20"/>
          <w:szCs w:val="20"/>
          <w:lang w:val="es-MX"/>
        </w:rPr>
        <w:t xml:space="preserve"> “oportunidades para la generación de procesos de diálogo entre los miembros de [la comunidad] Río Miel”, </w:t>
      </w:r>
      <w:r>
        <w:rPr>
          <w:rFonts w:ascii="Verdana" w:hAnsi="Verdana"/>
          <w:sz w:val="20"/>
          <w:szCs w:val="20"/>
          <w:lang w:val="es-MX"/>
        </w:rPr>
        <w:t xml:space="preserve">quienes se negaban a aceptar las tierras alternativas, </w:t>
      </w:r>
      <w:r w:rsidR="00B2535E">
        <w:rPr>
          <w:rFonts w:ascii="Verdana" w:hAnsi="Verdana"/>
          <w:sz w:val="20"/>
          <w:szCs w:val="20"/>
          <w:lang w:val="es-MX"/>
        </w:rPr>
        <w:t>así como “</w:t>
      </w:r>
      <w:r w:rsidR="00A550D6">
        <w:rPr>
          <w:rFonts w:ascii="Verdana" w:hAnsi="Verdana"/>
          <w:sz w:val="20"/>
          <w:szCs w:val="20"/>
          <w:lang w:val="es-MX"/>
        </w:rPr>
        <w:t>identifica</w:t>
      </w:r>
      <w:r w:rsidR="00B2535E">
        <w:rPr>
          <w:rFonts w:ascii="Verdana" w:hAnsi="Verdana"/>
          <w:sz w:val="20"/>
          <w:szCs w:val="20"/>
          <w:lang w:val="es-MX"/>
        </w:rPr>
        <w:t>[</w:t>
      </w:r>
      <w:proofErr w:type="spellStart"/>
      <w:r w:rsidR="00B2535E">
        <w:rPr>
          <w:rFonts w:ascii="Verdana" w:hAnsi="Verdana"/>
          <w:sz w:val="20"/>
          <w:szCs w:val="20"/>
          <w:lang w:val="es-MX"/>
        </w:rPr>
        <w:t>ndo</w:t>
      </w:r>
      <w:proofErr w:type="spellEnd"/>
      <w:r w:rsidR="00B2535E">
        <w:rPr>
          <w:rFonts w:ascii="Verdana" w:hAnsi="Verdana"/>
          <w:sz w:val="20"/>
          <w:szCs w:val="20"/>
          <w:lang w:val="es-MX"/>
        </w:rPr>
        <w:t>]</w:t>
      </w:r>
      <w:r w:rsidR="00A550D6">
        <w:rPr>
          <w:rFonts w:ascii="Verdana" w:hAnsi="Verdana"/>
          <w:sz w:val="20"/>
          <w:szCs w:val="20"/>
          <w:lang w:val="es-MX"/>
        </w:rPr>
        <w:t xml:space="preserve"> tierras para la reubicación de los pobladores de </w:t>
      </w:r>
      <w:r w:rsidR="00B352C5">
        <w:rPr>
          <w:rFonts w:ascii="Verdana" w:hAnsi="Verdana"/>
          <w:sz w:val="20"/>
          <w:szCs w:val="20"/>
          <w:lang w:val="es-MX"/>
        </w:rPr>
        <w:t>[dicha]</w:t>
      </w:r>
      <w:r w:rsidR="00A550D6">
        <w:rPr>
          <w:rFonts w:ascii="Verdana" w:hAnsi="Verdana"/>
          <w:sz w:val="20"/>
          <w:szCs w:val="20"/>
          <w:lang w:val="es-MX"/>
        </w:rPr>
        <w:t>comunidad</w:t>
      </w:r>
      <w:r w:rsidR="00B2535E">
        <w:rPr>
          <w:rFonts w:ascii="Verdana" w:hAnsi="Verdana"/>
          <w:sz w:val="20"/>
          <w:szCs w:val="20"/>
          <w:lang w:val="es-MX"/>
        </w:rPr>
        <w:t xml:space="preserve">”. </w:t>
      </w:r>
      <w:r w:rsidR="00CD6830">
        <w:rPr>
          <w:rFonts w:ascii="Verdana" w:hAnsi="Verdana"/>
          <w:sz w:val="20"/>
          <w:szCs w:val="20"/>
          <w:lang w:val="es-MX"/>
        </w:rPr>
        <w:t>E</w:t>
      </w:r>
      <w:r w:rsidR="00A550D6">
        <w:rPr>
          <w:rFonts w:ascii="Verdana" w:hAnsi="Verdana"/>
          <w:sz w:val="20"/>
          <w:szCs w:val="20"/>
          <w:lang w:val="es-MX"/>
        </w:rPr>
        <w:t xml:space="preserve">ntre marzo y junio de 2021 </w:t>
      </w:r>
      <w:r w:rsidR="00AE16C3">
        <w:rPr>
          <w:rFonts w:ascii="Verdana" w:hAnsi="Verdana"/>
          <w:sz w:val="20"/>
          <w:szCs w:val="20"/>
          <w:lang w:val="es-MX"/>
        </w:rPr>
        <w:t>estaba</w:t>
      </w:r>
      <w:r w:rsidR="00CD6830">
        <w:rPr>
          <w:rFonts w:ascii="Verdana" w:hAnsi="Verdana"/>
          <w:sz w:val="20"/>
          <w:szCs w:val="20"/>
          <w:lang w:val="es-MX"/>
        </w:rPr>
        <w:t xml:space="preserve"> previsto</w:t>
      </w:r>
      <w:r w:rsidR="00A550D6">
        <w:rPr>
          <w:rFonts w:ascii="Verdana" w:hAnsi="Verdana"/>
          <w:sz w:val="20"/>
          <w:szCs w:val="20"/>
          <w:lang w:val="es-MX"/>
        </w:rPr>
        <w:t xml:space="preserve"> </w:t>
      </w:r>
      <w:r w:rsidR="00CD6830">
        <w:rPr>
          <w:rFonts w:ascii="Verdana" w:hAnsi="Verdana"/>
          <w:sz w:val="20"/>
          <w:szCs w:val="20"/>
          <w:lang w:val="es-MX"/>
        </w:rPr>
        <w:t xml:space="preserve">llevar </w:t>
      </w:r>
      <w:r w:rsidR="00A550D6">
        <w:rPr>
          <w:rFonts w:ascii="Verdana" w:hAnsi="Verdana"/>
          <w:sz w:val="20"/>
          <w:szCs w:val="20"/>
          <w:lang w:val="es-MX"/>
        </w:rPr>
        <w:t xml:space="preserve">a </w:t>
      </w:r>
      <w:r w:rsidR="00B2535E">
        <w:rPr>
          <w:rFonts w:ascii="Verdana" w:hAnsi="Verdana"/>
          <w:sz w:val="20"/>
          <w:szCs w:val="20"/>
          <w:lang w:val="es-MX"/>
        </w:rPr>
        <w:t>cabo el</w:t>
      </w:r>
      <w:r w:rsidR="00A550D6">
        <w:rPr>
          <w:rFonts w:ascii="Verdana" w:hAnsi="Verdana"/>
          <w:sz w:val="20"/>
          <w:szCs w:val="20"/>
          <w:lang w:val="es-MX"/>
        </w:rPr>
        <w:t xml:space="preserve"> proceso de avalúos de títulos y mejoras en posesión de </w:t>
      </w:r>
      <w:r w:rsidR="00AE16C3">
        <w:rPr>
          <w:rFonts w:ascii="Verdana" w:hAnsi="Verdana"/>
          <w:sz w:val="20"/>
          <w:szCs w:val="20"/>
          <w:lang w:val="es-MX"/>
        </w:rPr>
        <w:t xml:space="preserve">los </w:t>
      </w:r>
      <w:r w:rsidR="00A550D6">
        <w:rPr>
          <w:rFonts w:ascii="Verdana" w:hAnsi="Verdana"/>
          <w:sz w:val="20"/>
          <w:szCs w:val="20"/>
          <w:lang w:val="es-MX"/>
        </w:rPr>
        <w:t xml:space="preserve">pobladores de </w:t>
      </w:r>
      <w:r w:rsidR="00AE16C3">
        <w:rPr>
          <w:rFonts w:ascii="Verdana" w:hAnsi="Verdana"/>
          <w:sz w:val="20"/>
          <w:szCs w:val="20"/>
          <w:lang w:val="es-MX"/>
        </w:rPr>
        <w:t>Río Miel</w:t>
      </w:r>
      <w:r w:rsidR="00CD6830">
        <w:rPr>
          <w:rStyle w:val="Refdenotaalpie"/>
          <w:rFonts w:ascii="Verdana" w:hAnsi="Verdana"/>
          <w:sz w:val="20"/>
          <w:szCs w:val="20"/>
          <w:lang w:val="es-MX"/>
        </w:rPr>
        <w:footnoteReference w:id="21"/>
      </w:r>
      <w:r w:rsidR="00CD6830">
        <w:rPr>
          <w:rFonts w:ascii="Verdana" w:hAnsi="Verdana"/>
          <w:sz w:val="20"/>
          <w:szCs w:val="20"/>
          <w:lang w:val="es-MX"/>
        </w:rPr>
        <w:t xml:space="preserve">, </w:t>
      </w:r>
      <w:r w:rsidR="00B352C5">
        <w:rPr>
          <w:rFonts w:ascii="Verdana" w:hAnsi="Verdana"/>
          <w:sz w:val="20"/>
          <w:szCs w:val="20"/>
          <w:lang w:val="es-MX"/>
        </w:rPr>
        <w:t xml:space="preserve">y </w:t>
      </w:r>
      <w:r w:rsidR="00CD6830">
        <w:rPr>
          <w:rFonts w:ascii="Verdana" w:hAnsi="Verdana"/>
          <w:sz w:val="20"/>
          <w:szCs w:val="20"/>
          <w:lang w:val="es-MX"/>
        </w:rPr>
        <w:t xml:space="preserve">se estimaba completar </w:t>
      </w:r>
      <w:r w:rsidR="00A550D6">
        <w:rPr>
          <w:rFonts w:ascii="Verdana" w:hAnsi="Verdana"/>
          <w:sz w:val="20"/>
          <w:szCs w:val="20"/>
          <w:lang w:val="es-MX"/>
        </w:rPr>
        <w:t xml:space="preserve">el proceso de saneamiento en junio de 2022. </w:t>
      </w:r>
      <w:r w:rsidR="000C5570">
        <w:rPr>
          <w:rFonts w:ascii="Verdana" w:hAnsi="Verdana"/>
          <w:sz w:val="20"/>
          <w:szCs w:val="20"/>
          <w:lang w:val="es-MX"/>
        </w:rPr>
        <w:t>E</w:t>
      </w:r>
      <w:r w:rsidR="00D159A6">
        <w:rPr>
          <w:rFonts w:ascii="Verdana" w:hAnsi="Verdana"/>
          <w:sz w:val="20"/>
          <w:szCs w:val="20"/>
          <w:lang w:val="es-MX"/>
        </w:rPr>
        <w:t xml:space="preserve">n la audiencia celebrada el 4 de marzo de 2021, indicó que </w:t>
      </w:r>
      <w:r w:rsidR="00D159A6" w:rsidRPr="00037A62">
        <w:rPr>
          <w:rFonts w:ascii="Verdana" w:hAnsi="Verdana"/>
          <w:sz w:val="20"/>
          <w:lang w:val="es-MX"/>
        </w:rPr>
        <w:t>“continua[</w:t>
      </w:r>
      <w:proofErr w:type="spellStart"/>
      <w:r w:rsidR="00D159A6" w:rsidRPr="00037A62">
        <w:rPr>
          <w:rFonts w:ascii="Verdana" w:hAnsi="Verdana"/>
          <w:sz w:val="20"/>
          <w:lang w:val="es-MX"/>
        </w:rPr>
        <w:t>ba</w:t>
      </w:r>
      <w:proofErr w:type="spellEnd"/>
      <w:r w:rsidR="00D159A6" w:rsidRPr="00037A62">
        <w:rPr>
          <w:rFonts w:ascii="Verdana" w:hAnsi="Verdana"/>
          <w:sz w:val="20"/>
          <w:lang w:val="es-MX"/>
        </w:rPr>
        <w:t xml:space="preserve">] la oposición manifiesta por parte de los miembros de [la] población [Río Miel] para el saneamiento de [las] tierras” tituladas a favor de la </w:t>
      </w:r>
      <w:r w:rsidR="00D159A6" w:rsidRPr="00EB1FFB">
        <w:rPr>
          <w:rFonts w:ascii="Verdana" w:hAnsi="Verdana"/>
          <w:sz w:val="20"/>
          <w:lang w:val="es-MX"/>
        </w:rPr>
        <w:t>Comunidad Garífuna Punta Piedra</w:t>
      </w:r>
      <w:r w:rsidR="00D159A6" w:rsidRPr="00037A62">
        <w:rPr>
          <w:rFonts w:ascii="Verdana" w:hAnsi="Verdana"/>
          <w:sz w:val="20"/>
          <w:lang w:val="es-MX"/>
        </w:rPr>
        <w:t>, por lo que</w:t>
      </w:r>
      <w:r w:rsidR="00D159A6" w:rsidRPr="00037A62">
        <w:rPr>
          <w:rFonts w:ascii="Verdana" w:hAnsi="Verdana" w:cs="BookAntiqua"/>
          <w:sz w:val="20"/>
          <w:szCs w:val="20"/>
          <w:lang w:val="es-MX"/>
        </w:rPr>
        <w:t xml:space="preserve"> el plan de trabajo para el cumplimiento de este punto se ejecutaría “</w:t>
      </w:r>
      <w:r w:rsidR="00D159A6" w:rsidRPr="00037A62">
        <w:rPr>
          <w:rFonts w:ascii="Verdana" w:hAnsi="Verdana"/>
          <w:sz w:val="20"/>
          <w:lang w:val="es-MX"/>
        </w:rPr>
        <w:t>una vez solucionado el problema de acceso a los técnicos para la</w:t>
      </w:r>
      <w:r w:rsidR="00AE16C3">
        <w:rPr>
          <w:rFonts w:ascii="Verdana" w:hAnsi="Verdana"/>
          <w:sz w:val="20"/>
          <w:lang w:val="es-MX"/>
        </w:rPr>
        <w:t>s</w:t>
      </w:r>
      <w:r w:rsidR="00D159A6" w:rsidRPr="00037A62">
        <w:rPr>
          <w:rFonts w:ascii="Verdana" w:hAnsi="Verdana"/>
          <w:sz w:val="20"/>
          <w:lang w:val="es-MX"/>
        </w:rPr>
        <w:t xml:space="preserve"> prácticas de los avalúos de tierras y mejoras en las de Rio Miel”</w:t>
      </w:r>
      <w:r w:rsidR="00A550D6">
        <w:rPr>
          <w:rFonts w:ascii="Verdana" w:hAnsi="Verdana"/>
          <w:sz w:val="20"/>
          <w:lang w:val="es-MX"/>
        </w:rPr>
        <w:t>. En particular, detalló</w:t>
      </w:r>
      <w:r w:rsidR="00D159A6" w:rsidRPr="00037A62">
        <w:rPr>
          <w:rFonts w:ascii="Verdana" w:hAnsi="Verdana"/>
          <w:sz w:val="20"/>
          <w:lang w:val="es-MX"/>
        </w:rPr>
        <w:t xml:space="preserve"> que “[u]na vez obtenida la anuencia de los pobladores, proceder[</w:t>
      </w:r>
      <w:proofErr w:type="spellStart"/>
      <w:r w:rsidR="00D159A6" w:rsidRPr="00037A62">
        <w:rPr>
          <w:rFonts w:ascii="Verdana" w:hAnsi="Verdana"/>
          <w:sz w:val="20"/>
          <w:lang w:val="es-MX"/>
        </w:rPr>
        <w:t>ía</w:t>
      </w:r>
      <w:proofErr w:type="spellEnd"/>
      <w:r w:rsidR="00D159A6" w:rsidRPr="00037A62">
        <w:rPr>
          <w:rFonts w:ascii="Verdana" w:hAnsi="Verdana"/>
          <w:sz w:val="20"/>
          <w:lang w:val="es-MX"/>
        </w:rPr>
        <w:t>] a la ejecución de los avalúos y mejoras de tierras para un apropiado pago e indemnización y simultáneamente la adquisición de un predio en donde reasentar a los pobladores para sus viviendas”</w:t>
      </w:r>
      <w:r w:rsidR="00AE16C3">
        <w:rPr>
          <w:rStyle w:val="Refdenotaalpie"/>
          <w:rFonts w:ascii="Verdana" w:hAnsi="Verdana"/>
          <w:sz w:val="20"/>
          <w:lang w:val="es-MX"/>
        </w:rPr>
        <w:footnoteReference w:id="22"/>
      </w:r>
      <w:r w:rsidR="00D159A6" w:rsidRPr="00037A62">
        <w:rPr>
          <w:rFonts w:ascii="Verdana" w:hAnsi="Verdana"/>
          <w:sz w:val="20"/>
          <w:lang w:val="es-MX"/>
        </w:rPr>
        <w:t>.</w:t>
      </w:r>
    </w:p>
    <w:p w14:paraId="4DE370C1" w14:textId="25ADE8FC" w:rsidR="00E7235A" w:rsidRPr="001F378A" w:rsidRDefault="00A550D6" w:rsidP="00E67865">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Con respecto a </w:t>
      </w:r>
      <w:r w:rsidRPr="00037A62">
        <w:rPr>
          <w:rFonts w:ascii="Verdana" w:hAnsi="Verdana"/>
          <w:sz w:val="20"/>
          <w:szCs w:val="20"/>
          <w:lang w:val="es-MX"/>
        </w:rPr>
        <w:t>las reparaciones</w:t>
      </w:r>
      <w:r w:rsidR="00626E5C">
        <w:rPr>
          <w:rFonts w:ascii="Verdana" w:hAnsi="Verdana"/>
          <w:sz w:val="20"/>
          <w:szCs w:val="20"/>
          <w:lang w:val="es-MX"/>
        </w:rPr>
        <w:t xml:space="preserve"> ordenadas</w:t>
      </w:r>
      <w:r w:rsidRPr="00037A62">
        <w:rPr>
          <w:rFonts w:ascii="Verdana" w:hAnsi="Verdana"/>
          <w:sz w:val="20"/>
          <w:szCs w:val="20"/>
          <w:lang w:val="es-MX"/>
        </w:rPr>
        <w:t xml:space="preserve"> </w:t>
      </w:r>
      <w:r>
        <w:rPr>
          <w:rFonts w:ascii="Verdana" w:hAnsi="Verdana"/>
          <w:sz w:val="20"/>
          <w:szCs w:val="20"/>
          <w:lang w:val="es-MX"/>
        </w:rPr>
        <w:t>a favor de la</w:t>
      </w:r>
      <w:r w:rsidRPr="00037A62">
        <w:rPr>
          <w:rFonts w:ascii="Verdana" w:hAnsi="Verdana"/>
          <w:sz w:val="20"/>
          <w:szCs w:val="20"/>
          <w:lang w:val="es-MX"/>
        </w:rPr>
        <w:t xml:space="preserve"> </w:t>
      </w:r>
      <w:r w:rsidRPr="001F378A">
        <w:rPr>
          <w:rFonts w:ascii="Verdana" w:hAnsi="Verdana"/>
          <w:sz w:val="20"/>
          <w:szCs w:val="20"/>
          <w:lang w:val="es-MX"/>
        </w:rPr>
        <w:t>Comunidad Garífuna Triunfo de la Cruz</w:t>
      </w:r>
      <w:r>
        <w:rPr>
          <w:rFonts w:ascii="Verdana" w:hAnsi="Verdana"/>
          <w:sz w:val="20"/>
          <w:szCs w:val="20"/>
          <w:lang w:val="es-MX"/>
        </w:rPr>
        <w:t xml:space="preserve">, el </w:t>
      </w:r>
      <w:r w:rsidRPr="00256517">
        <w:rPr>
          <w:rFonts w:ascii="Verdana" w:hAnsi="Verdana"/>
          <w:i/>
          <w:sz w:val="20"/>
          <w:szCs w:val="20"/>
          <w:lang w:val="es-MX"/>
        </w:rPr>
        <w:t>Estado</w:t>
      </w:r>
      <w:r>
        <w:rPr>
          <w:rFonts w:ascii="Verdana" w:hAnsi="Verdana"/>
          <w:sz w:val="20"/>
          <w:szCs w:val="20"/>
          <w:lang w:val="es-MX"/>
        </w:rPr>
        <w:t xml:space="preserve"> </w:t>
      </w:r>
      <w:r w:rsidR="00AE16C3">
        <w:rPr>
          <w:rFonts w:ascii="Verdana" w:hAnsi="Verdana"/>
          <w:sz w:val="20"/>
          <w:szCs w:val="20"/>
          <w:lang w:val="es-MX"/>
        </w:rPr>
        <w:t xml:space="preserve">informó que </w:t>
      </w:r>
      <w:r w:rsidR="00C0376F">
        <w:rPr>
          <w:rFonts w:ascii="Verdana" w:hAnsi="Verdana"/>
          <w:sz w:val="20"/>
          <w:szCs w:val="20"/>
          <w:lang w:val="es-MX"/>
        </w:rPr>
        <w:t>había decidido</w:t>
      </w:r>
      <w:r w:rsidR="00AE16C3">
        <w:rPr>
          <w:rFonts w:ascii="Verdana" w:hAnsi="Verdana"/>
          <w:sz w:val="20"/>
          <w:szCs w:val="20"/>
          <w:lang w:val="es-MX"/>
        </w:rPr>
        <w:t xml:space="preserve"> </w:t>
      </w:r>
      <w:r w:rsidR="008A52F2">
        <w:rPr>
          <w:rFonts w:ascii="Verdana" w:hAnsi="Verdana"/>
          <w:sz w:val="20"/>
          <w:szCs w:val="20"/>
          <w:lang w:val="es-MX"/>
        </w:rPr>
        <w:t xml:space="preserve">indemnizar a los terceros poseedores de títulos de propiedad individual que traslapaban con las tierras </w:t>
      </w:r>
      <w:r w:rsidR="00A26C2B">
        <w:rPr>
          <w:rFonts w:ascii="Verdana" w:hAnsi="Verdana"/>
          <w:sz w:val="20"/>
          <w:szCs w:val="20"/>
          <w:lang w:val="es-MX"/>
        </w:rPr>
        <w:t>comunales</w:t>
      </w:r>
      <w:r w:rsidR="008A52F2">
        <w:rPr>
          <w:rFonts w:ascii="Verdana" w:hAnsi="Verdana"/>
          <w:sz w:val="20"/>
          <w:szCs w:val="20"/>
          <w:lang w:val="es-MX"/>
        </w:rPr>
        <w:t>. P</w:t>
      </w:r>
      <w:r w:rsidR="00A44DC7">
        <w:rPr>
          <w:rFonts w:ascii="Verdana" w:hAnsi="Verdana"/>
          <w:sz w:val="20"/>
          <w:szCs w:val="20"/>
          <w:lang w:val="es-MX"/>
        </w:rPr>
        <w:t>or eso</w:t>
      </w:r>
      <w:r w:rsidR="008A52F2">
        <w:rPr>
          <w:rFonts w:ascii="Verdana" w:hAnsi="Verdana"/>
          <w:sz w:val="20"/>
          <w:szCs w:val="20"/>
          <w:lang w:val="es-MX"/>
        </w:rPr>
        <w:t xml:space="preserve">, en </w:t>
      </w:r>
      <w:r w:rsidR="00B352C5">
        <w:rPr>
          <w:rFonts w:ascii="Verdana" w:hAnsi="Verdana"/>
          <w:sz w:val="20"/>
          <w:szCs w:val="20"/>
          <w:lang w:val="es-MX"/>
        </w:rPr>
        <w:t xml:space="preserve">el </w:t>
      </w:r>
      <w:r>
        <w:rPr>
          <w:rFonts w:ascii="Verdana" w:hAnsi="Verdana"/>
          <w:sz w:val="20"/>
          <w:szCs w:val="20"/>
          <w:lang w:val="es-MX"/>
        </w:rPr>
        <w:t>2018</w:t>
      </w:r>
      <w:r w:rsidR="00AE16C3">
        <w:rPr>
          <w:rFonts w:ascii="Verdana" w:hAnsi="Verdana"/>
          <w:sz w:val="20"/>
          <w:szCs w:val="20"/>
          <w:lang w:val="es-MX"/>
        </w:rPr>
        <w:t>,</w:t>
      </w:r>
      <w:r w:rsidR="008A52F2">
        <w:rPr>
          <w:rFonts w:ascii="Verdana" w:hAnsi="Verdana"/>
          <w:sz w:val="20"/>
          <w:szCs w:val="20"/>
          <w:lang w:val="es-MX"/>
        </w:rPr>
        <w:t xml:space="preserve"> emprendió un proceso de avalúo de tierras</w:t>
      </w:r>
      <w:r w:rsidR="00A44DC7">
        <w:rPr>
          <w:rFonts w:ascii="Verdana" w:hAnsi="Verdana"/>
          <w:sz w:val="20"/>
          <w:szCs w:val="20"/>
          <w:lang w:val="es-MX"/>
        </w:rPr>
        <w:t xml:space="preserve">, para lo cual </w:t>
      </w:r>
      <w:r w:rsidR="008A52F2">
        <w:rPr>
          <w:rFonts w:ascii="Verdana" w:hAnsi="Verdana"/>
          <w:sz w:val="20"/>
          <w:szCs w:val="20"/>
          <w:lang w:val="es-MX"/>
        </w:rPr>
        <w:t xml:space="preserve">inicialmente </w:t>
      </w:r>
      <w:r w:rsidR="00637484">
        <w:rPr>
          <w:rFonts w:ascii="Verdana" w:hAnsi="Verdana"/>
          <w:sz w:val="20"/>
          <w:szCs w:val="20"/>
          <w:lang w:val="es-MX"/>
        </w:rPr>
        <w:t>solicitó a los terceros poseedor</w:t>
      </w:r>
      <w:r w:rsidR="00A26C2B">
        <w:rPr>
          <w:rFonts w:ascii="Verdana" w:hAnsi="Verdana"/>
          <w:sz w:val="20"/>
          <w:szCs w:val="20"/>
          <w:lang w:val="es-MX"/>
        </w:rPr>
        <w:t xml:space="preserve">es de lotes comprendidos en el </w:t>
      </w:r>
      <w:r w:rsidR="00637484">
        <w:rPr>
          <w:rFonts w:ascii="Verdana" w:hAnsi="Verdana"/>
          <w:sz w:val="20"/>
          <w:szCs w:val="20"/>
          <w:lang w:val="es-MX"/>
        </w:rPr>
        <w:t>Lote A1 que presentaran declaraciones juradas</w:t>
      </w:r>
      <w:r w:rsidR="00E67865">
        <w:rPr>
          <w:rFonts w:ascii="Verdana" w:hAnsi="Verdana"/>
          <w:sz w:val="20"/>
          <w:szCs w:val="20"/>
          <w:lang w:val="es-MX"/>
        </w:rPr>
        <w:t>, tal como fue constatado en la Resolución de 2019</w:t>
      </w:r>
      <w:r w:rsidR="00637484">
        <w:rPr>
          <w:rFonts w:ascii="Verdana" w:hAnsi="Verdana"/>
          <w:sz w:val="20"/>
          <w:szCs w:val="20"/>
          <w:lang w:val="es-MX"/>
        </w:rPr>
        <w:t>. Sin embargo, en la audiencia pública celebrada el 4 de marzo</w:t>
      </w:r>
      <w:r w:rsidR="00B352C5">
        <w:rPr>
          <w:rFonts w:ascii="Verdana" w:hAnsi="Verdana"/>
          <w:sz w:val="20"/>
          <w:szCs w:val="20"/>
          <w:lang w:val="es-MX"/>
        </w:rPr>
        <w:t xml:space="preserve"> de 2021</w:t>
      </w:r>
      <w:r w:rsidR="00637484">
        <w:rPr>
          <w:rFonts w:ascii="Verdana" w:hAnsi="Verdana"/>
          <w:sz w:val="20"/>
          <w:szCs w:val="20"/>
          <w:lang w:val="es-MX"/>
        </w:rPr>
        <w:t xml:space="preserve">, </w:t>
      </w:r>
      <w:r w:rsidR="00053F84">
        <w:rPr>
          <w:rFonts w:ascii="Verdana" w:hAnsi="Verdana"/>
          <w:sz w:val="20"/>
          <w:szCs w:val="20"/>
          <w:lang w:val="es-MX"/>
        </w:rPr>
        <w:t>precisó</w:t>
      </w:r>
      <w:r w:rsidR="00637484">
        <w:rPr>
          <w:rFonts w:ascii="Verdana" w:hAnsi="Verdana"/>
          <w:sz w:val="20"/>
          <w:szCs w:val="20"/>
          <w:lang w:val="es-MX"/>
        </w:rPr>
        <w:t xml:space="preserve"> que </w:t>
      </w:r>
      <w:r w:rsidR="00637484" w:rsidRPr="00037A62">
        <w:rPr>
          <w:rFonts w:ascii="Verdana" w:hAnsi="Verdana"/>
          <w:sz w:val="20"/>
          <w:lang w:val="es-MX"/>
        </w:rPr>
        <w:t xml:space="preserve">“los avalúos que serán tomados en cuenta para efectos de </w:t>
      </w:r>
      <w:r w:rsidR="00637484">
        <w:rPr>
          <w:rFonts w:ascii="Verdana" w:hAnsi="Verdana"/>
          <w:sz w:val="20"/>
          <w:lang w:val="es-MX"/>
        </w:rPr>
        <w:t xml:space="preserve">la </w:t>
      </w:r>
      <w:r w:rsidR="00637484" w:rsidRPr="00037A62">
        <w:rPr>
          <w:rFonts w:ascii="Verdana" w:hAnsi="Verdana"/>
          <w:sz w:val="20"/>
          <w:lang w:val="es-MX"/>
        </w:rPr>
        <w:t>indemnización</w:t>
      </w:r>
      <w:r w:rsidR="00AE16C3">
        <w:rPr>
          <w:rFonts w:ascii="Verdana" w:hAnsi="Verdana"/>
          <w:sz w:val="20"/>
          <w:lang w:val="es-MX"/>
        </w:rPr>
        <w:t>,</w:t>
      </w:r>
      <w:r w:rsidR="00637484" w:rsidRPr="00037A62">
        <w:rPr>
          <w:rFonts w:ascii="Verdana" w:hAnsi="Verdana"/>
          <w:sz w:val="20"/>
          <w:lang w:val="es-MX"/>
        </w:rPr>
        <w:t xml:space="preserve"> serán los elaborados por [</w:t>
      </w:r>
      <w:r w:rsidR="00637484">
        <w:rPr>
          <w:rFonts w:ascii="Verdana" w:hAnsi="Verdana"/>
          <w:sz w:val="20"/>
          <w:lang w:val="es-MX"/>
        </w:rPr>
        <w:t xml:space="preserve">el </w:t>
      </w:r>
      <w:r w:rsidR="00637484" w:rsidRPr="00037A62">
        <w:rPr>
          <w:rFonts w:ascii="Verdana" w:hAnsi="Verdana"/>
          <w:sz w:val="20"/>
          <w:lang w:val="es-MX"/>
        </w:rPr>
        <w:t>Instituto Nacional Agrario]</w:t>
      </w:r>
      <w:r w:rsidR="00AE16C3">
        <w:rPr>
          <w:rFonts w:ascii="Verdana" w:hAnsi="Verdana"/>
          <w:sz w:val="20"/>
          <w:lang w:val="es-MX"/>
        </w:rPr>
        <w:t>,</w:t>
      </w:r>
      <w:r w:rsidR="00637484" w:rsidRPr="00037A62">
        <w:rPr>
          <w:rFonts w:ascii="Verdana" w:hAnsi="Verdana"/>
          <w:sz w:val="20"/>
          <w:lang w:val="es-MX"/>
        </w:rPr>
        <w:t xml:space="preserve"> y no los presentados por los particulares en sus declaraciones juradas”</w:t>
      </w:r>
      <w:r w:rsidR="00053F84">
        <w:rPr>
          <w:rFonts w:ascii="Verdana" w:hAnsi="Verdana"/>
          <w:sz w:val="20"/>
          <w:lang w:val="es-MX"/>
        </w:rPr>
        <w:t>, sin especificar si se refería exclusivamente a los</w:t>
      </w:r>
      <w:r w:rsidR="00A26C2B">
        <w:rPr>
          <w:rFonts w:ascii="Verdana" w:hAnsi="Verdana"/>
          <w:sz w:val="20"/>
          <w:lang w:val="es-MX"/>
        </w:rPr>
        <w:t xml:space="preserve"> lotes comprendidos dentro del Lote A1</w:t>
      </w:r>
      <w:r w:rsidR="00053F84">
        <w:rPr>
          <w:rFonts w:ascii="Verdana" w:hAnsi="Verdana"/>
          <w:sz w:val="20"/>
          <w:lang w:val="es-MX"/>
        </w:rPr>
        <w:t xml:space="preserve"> o a todos los lotes que traslapan con el territorio de la Comunidad</w:t>
      </w:r>
      <w:r w:rsidR="00637484" w:rsidRPr="00037A62">
        <w:rPr>
          <w:rFonts w:ascii="Verdana" w:hAnsi="Verdana"/>
          <w:sz w:val="20"/>
          <w:lang w:val="es-MX"/>
        </w:rPr>
        <w:t>.</w:t>
      </w:r>
      <w:r w:rsidR="00637484">
        <w:rPr>
          <w:rFonts w:ascii="Verdana" w:hAnsi="Verdana"/>
          <w:sz w:val="20"/>
          <w:szCs w:val="20"/>
          <w:lang w:val="es-MX"/>
        </w:rPr>
        <w:t xml:space="preserve"> </w:t>
      </w:r>
      <w:r w:rsidR="00053F84">
        <w:rPr>
          <w:rFonts w:ascii="Verdana" w:hAnsi="Verdana"/>
          <w:sz w:val="20"/>
          <w:szCs w:val="20"/>
          <w:lang w:val="es-MX"/>
        </w:rPr>
        <w:t xml:space="preserve">Además, en </w:t>
      </w:r>
      <w:r w:rsidR="00B352C5">
        <w:rPr>
          <w:rFonts w:ascii="Verdana" w:hAnsi="Verdana"/>
          <w:sz w:val="20"/>
          <w:szCs w:val="20"/>
          <w:lang w:val="es-MX"/>
        </w:rPr>
        <w:t xml:space="preserve">el </w:t>
      </w:r>
      <w:r w:rsidR="00053F84">
        <w:rPr>
          <w:rFonts w:ascii="Verdana" w:hAnsi="Verdana"/>
          <w:sz w:val="20"/>
          <w:szCs w:val="20"/>
          <w:lang w:val="es-MX"/>
        </w:rPr>
        <w:t xml:space="preserve">2020 el Estado </w:t>
      </w:r>
      <w:r w:rsidR="006E0D35">
        <w:rPr>
          <w:rFonts w:ascii="Verdana" w:hAnsi="Verdana"/>
          <w:sz w:val="20"/>
          <w:szCs w:val="20"/>
          <w:lang w:val="es-MX"/>
        </w:rPr>
        <w:t xml:space="preserve">se </w:t>
      </w:r>
      <w:r w:rsidR="00053F84">
        <w:rPr>
          <w:rFonts w:ascii="Verdana" w:hAnsi="Verdana"/>
          <w:sz w:val="20"/>
          <w:szCs w:val="20"/>
          <w:lang w:val="es-MX"/>
        </w:rPr>
        <w:t xml:space="preserve">refirió </w:t>
      </w:r>
      <w:r w:rsidR="006E0D35">
        <w:rPr>
          <w:rFonts w:ascii="Verdana" w:hAnsi="Verdana"/>
          <w:sz w:val="20"/>
          <w:szCs w:val="20"/>
          <w:lang w:val="es-MX"/>
        </w:rPr>
        <w:t xml:space="preserve">genéricamente a las reparaciones ordenadas en los puntos resolutivos sexto, séptimo, décimo primero y décimo segundo de la Sentencia, indicando </w:t>
      </w:r>
      <w:r w:rsidR="00053F84">
        <w:rPr>
          <w:rFonts w:ascii="Verdana" w:hAnsi="Verdana"/>
          <w:sz w:val="20"/>
          <w:szCs w:val="20"/>
          <w:lang w:val="es-MX"/>
        </w:rPr>
        <w:t>que las actividades de “avalúo y saneamiento” desarrolladas durante el año 2018 tenían un avance del 60</w:t>
      </w:r>
      <w:r w:rsidR="00A44DC7">
        <w:rPr>
          <w:rFonts w:ascii="Verdana" w:hAnsi="Verdana"/>
          <w:sz w:val="20"/>
          <w:szCs w:val="20"/>
          <w:lang w:val="es-MX"/>
        </w:rPr>
        <w:t xml:space="preserve">% y que </w:t>
      </w:r>
      <w:r w:rsidR="00A44DC7" w:rsidRPr="00037A62">
        <w:rPr>
          <w:rFonts w:ascii="Verdana" w:hAnsi="Verdana"/>
          <w:sz w:val="20"/>
          <w:szCs w:val="20"/>
          <w:lang w:val="es-MX"/>
        </w:rPr>
        <w:t xml:space="preserve">el Instituto Nacional </w:t>
      </w:r>
      <w:r w:rsidR="00A44DC7" w:rsidRPr="00037A62">
        <w:rPr>
          <w:rFonts w:ascii="Verdana" w:hAnsi="Verdana"/>
          <w:sz w:val="20"/>
          <w:szCs w:val="20"/>
          <w:lang w:val="es-MX"/>
        </w:rPr>
        <w:lastRenderedPageBreak/>
        <w:t xml:space="preserve">Agrario </w:t>
      </w:r>
      <w:r w:rsidR="00A44DC7" w:rsidRPr="00037A62">
        <w:rPr>
          <w:rFonts w:ascii="Verdana" w:hAnsi="Verdana" w:cs="BookAntiqua"/>
          <w:sz w:val="20"/>
          <w:szCs w:val="20"/>
          <w:lang w:val="es-MX"/>
        </w:rPr>
        <w:t>se encontraba “liquidando el desembolso de los fondos que le habían sido acreditados</w:t>
      </w:r>
      <w:r w:rsidR="00A44DC7">
        <w:rPr>
          <w:rFonts w:ascii="Verdana" w:hAnsi="Verdana" w:cs="BookAntiqua"/>
          <w:sz w:val="20"/>
          <w:szCs w:val="20"/>
          <w:lang w:val="es-MX"/>
        </w:rPr>
        <w:t>”, agregando</w:t>
      </w:r>
      <w:r w:rsidR="00A44DC7" w:rsidRPr="00037A62">
        <w:rPr>
          <w:rFonts w:ascii="Verdana" w:hAnsi="Verdana" w:cs="BookAntiqua"/>
          <w:sz w:val="20"/>
          <w:szCs w:val="20"/>
          <w:lang w:val="es-MX"/>
        </w:rPr>
        <w:t xml:space="preserve"> que “una vez que dicha información sea corroborada se procederá al segundo desembolso</w:t>
      </w:r>
      <w:r w:rsidR="00A44DC7">
        <w:rPr>
          <w:rFonts w:ascii="Verdana" w:hAnsi="Verdana" w:cs="BookAntiqua"/>
          <w:sz w:val="20"/>
          <w:szCs w:val="20"/>
          <w:lang w:val="es-MX"/>
        </w:rPr>
        <w:t>”</w:t>
      </w:r>
      <w:r w:rsidR="00A44DC7" w:rsidRPr="00037A62">
        <w:rPr>
          <w:rStyle w:val="Refdenotaalpie"/>
          <w:rFonts w:ascii="Verdana" w:hAnsi="Verdana" w:cs="BookAntiqua"/>
          <w:sz w:val="20"/>
          <w:szCs w:val="20"/>
          <w:lang w:val="es-MX"/>
        </w:rPr>
        <w:footnoteReference w:id="23"/>
      </w:r>
      <w:r w:rsidR="00A44DC7" w:rsidRPr="00037A62">
        <w:rPr>
          <w:rFonts w:ascii="Verdana" w:hAnsi="Verdana" w:cs="BookAntiqua"/>
          <w:sz w:val="20"/>
          <w:szCs w:val="20"/>
          <w:lang w:val="es-MX"/>
        </w:rPr>
        <w:t>.</w:t>
      </w:r>
      <w:r w:rsidR="00DA7BDF">
        <w:rPr>
          <w:rFonts w:ascii="Verdana" w:hAnsi="Verdana"/>
          <w:sz w:val="20"/>
          <w:szCs w:val="20"/>
          <w:lang w:val="es-MX"/>
        </w:rPr>
        <w:t xml:space="preserve"> </w:t>
      </w:r>
      <w:r w:rsidR="00A44DC7">
        <w:rPr>
          <w:rFonts w:ascii="Verdana" w:hAnsi="Verdana"/>
          <w:sz w:val="20"/>
          <w:szCs w:val="20"/>
          <w:lang w:val="es-MX"/>
        </w:rPr>
        <w:t>E</w:t>
      </w:r>
      <w:r w:rsidR="006E0D35">
        <w:rPr>
          <w:rFonts w:ascii="Verdana" w:hAnsi="Verdana" w:cs="BookAntiqua"/>
          <w:sz w:val="20"/>
          <w:szCs w:val="20"/>
          <w:lang w:val="es-MX"/>
        </w:rPr>
        <w:t>n la audiencia pública celebrada el 4 de marzo de 2021</w:t>
      </w:r>
      <w:r w:rsidR="00E67865">
        <w:rPr>
          <w:rFonts w:ascii="Verdana" w:hAnsi="Verdana" w:cs="BookAntiqua"/>
          <w:sz w:val="20"/>
          <w:szCs w:val="20"/>
          <w:lang w:val="es-MX"/>
        </w:rPr>
        <w:t>, Honduras</w:t>
      </w:r>
      <w:r w:rsidR="00A44DC7">
        <w:rPr>
          <w:rFonts w:ascii="Verdana" w:hAnsi="Verdana" w:cs="BookAntiqua"/>
          <w:sz w:val="20"/>
          <w:szCs w:val="20"/>
          <w:lang w:val="es-MX"/>
        </w:rPr>
        <w:t xml:space="preserve"> </w:t>
      </w:r>
      <w:r w:rsidR="006E0D35">
        <w:rPr>
          <w:rFonts w:ascii="Verdana" w:hAnsi="Verdana" w:cs="BookAntiqua"/>
          <w:sz w:val="20"/>
          <w:szCs w:val="20"/>
          <w:lang w:val="es-MX"/>
        </w:rPr>
        <w:t xml:space="preserve">informó que </w:t>
      </w:r>
      <w:r w:rsidR="00A44DC7">
        <w:rPr>
          <w:rFonts w:ascii="Verdana" w:hAnsi="Verdana" w:cs="BookAntiqua"/>
          <w:sz w:val="20"/>
          <w:szCs w:val="20"/>
          <w:lang w:val="es-MX"/>
        </w:rPr>
        <w:t xml:space="preserve">el restante 40% aún estaba pendiente, y que los valores correspondientes al 60% ya avaluado </w:t>
      </w:r>
      <w:r w:rsidR="006E0D35">
        <w:rPr>
          <w:rFonts w:ascii="Verdana" w:hAnsi="Verdana" w:cs="BookAntiqua"/>
          <w:sz w:val="20"/>
          <w:szCs w:val="20"/>
          <w:lang w:val="es-MX"/>
        </w:rPr>
        <w:t xml:space="preserve">requerían ser actualizados debido al tiempo transcurrido desde que se había efectuado </w:t>
      </w:r>
      <w:r w:rsidR="00A44DC7">
        <w:rPr>
          <w:rFonts w:ascii="Verdana" w:hAnsi="Verdana" w:cs="BookAntiqua"/>
          <w:sz w:val="20"/>
          <w:szCs w:val="20"/>
          <w:lang w:val="es-MX"/>
        </w:rPr>
        <w:t xml:space="preserve">dicho </w:t>
      </w:r>
      <w:r w:rsidR="006E0D35">
        <w:rPr>
          <w:rFonts w:ascii="Verdana" w:hAnsi="Verdana" w:cs="BookAntiqua"/>
          <w:sz w:val="20"/>
          <w:szCs w:val="20"/>
          <w:lang w:val="es-MX"/>
        </w:rPr>
        <w:t>trabajo en el “Lote A1”, lo cual había generado “</w:t>
      </w:r>
      <w:r w:rsidR="006E0D35" w:rsidRPr="00037A62">
        <w:rPr>
          <w:rFonts w:ascii="Verdana" w:hAnsi="Verdana"/>
          <w:sz w:val="20"/>
          <w:lang w:val="es-MX"/>
        </w:rPr>
        <w:t>variaciones de valores que deben ser tomados en cuenta […] por ser un pago de indemnización y no valores de expropiación</w:t>
      </w:r>
      <w:r w:rsidR="006E0D35">
        <w:rPr>
          <w:rFonts w:ascii="Verdana" w:hAnsi="Verdana"/>
          <w:sz w:val="20"/>
          <w:lang w:val="es-MX"/>
        </w:rPr>
        <w:t>”.</w:t>
      </w:r>
      <w:r w:rsidR="00A44DC7">
        <w:rPr>
          <w:rFonts w:ascii="Verdana" w:hAnsi="Verdana"/>
          <w:sz w:val="20"/>
          <w:lang w:val="es-MX"/>
        </w:rPr>
        <w:t xml:space="preserve"> </w:t>
      </w:r>
      <w:r w:rsidR="0048138F">
        <w:rPr>
          <w:rFonts w:ascii="Verdana" w:hAnsi="Verdana"/>
          <w:sz w:val="20"/>
          <w:lang w:val="es-MX"/>
        </w:rPr>
        <w:t>Con respecto al deslinde y amojonamiento del lote A1 y de los demás lotes ya titulados a favor de la Comunidad</w:t>
      </w:r>
      <w:r w:rsidR="00A44DC7">
        <w:rPr>
          <w:rFonts w:ascii="Verdana" w:hAnsi="Verdana"/>
          <w:sz w:val="20"/>
          <w:lang w:val="es-MX"/>
        </w:rPr>
        <w:t xml:space="preserve">, </w:t>
      </w:r>
      <w:r w:rsidR="0048138F">
        <w:rPr>
          <w:rFonts w:ascii="Verdana" w:hAnsi="Verdana"/>
          <w:sz w:val="20"/>
          <w:lang w:val="es-MX"/>
        </w:rPr>
        <w:t xml:space="preserve">indicó que el cronograma de trabajo contemplaba </w:t>
      </w:r>
      <w:r w:rsidR="0048138F">
        <w:rPr>
          <w:rFonts w:ascii="Verdana" w:hAnsi="Verdana"/>
          <w:i/>
          <w:sz w:val="20"/>
          <w:lang w:val="es-MX"/>
        </w:rPr>
        <w:t>“</w:t>
      </w:r>
      <w:r w:rsidR="0048138F" w:rsidRPr="00037A62">
        <w:rPr>
          <w:rFonts w:ascii="Verdana" w:hAnsi="Verdana"/>
          <w:sz w:val="20"/>
          <w:lang w:val="es-MX"/>
        </w:rPr>
        <w:t>un término de 4 meses para realizar los trabajos de campo y de gabinete”</w:t>
      </w:r>
      <w:r w:rsidR="0048138F">
        <w:rPr>
          <w:rFonts w:ascii="Verdana" w:hAnsi="Verdana"/>
          <w:sz w:val="20"/>
          <w:lang w:val="es-MX"/>
        </w:rPr>
        <w:t xml:space="preserve">, </w:t>
      </w:r>
      <w:r w:rsidR="007D485B">
        <w:rPr>
          <w:rFonts w:ascii="Verdana" w:hAnsi="Verdana"/>
          <w:sz w:val="20"/>
          <w:lang w:val="es-MX"/>
        </w:rPr>
        <w:t xml:space="preserve">y que para ello resultaba necesaria la </w:t>
      </w:r>
      <w:r w:rsidR="007D485B">
        <w:rPr>
          <w:rFonts w:ascii="Verdana" w:hAnsi="Verdana"/>
          <w:sz w:val="20"/>
          <w:lang w:val="es-ES_tradnl"/>
        </w:rPr>
        <w:t xml:space="preserve">presencia de los miembros de la Comunidad </w:t>
      </w:r>
      <w:r w:rsidR="007D485B" w:rsidRPr="007D485B">
        <w:rPr>
          <w:rFonts w:ascii="Verdana" w:hAnsi="Verdana"/>
          <w:sz w:val="20"/>
          <w:lang w:val="es-ES_tradnl"/>
        </w:rPr>
        <w:t xml:space="preserve">para </w:t>
      </w:r>
      <w:r w:rsidR="007D485B">
        <w:rPr>
          <w:rFonts w:ascii="Verdana" w:hAnsi="Verdana"/>
          <w:sz w:val="20"/>
          <w:lang w:val="es-ES_tradnl"/>
        </w:rPr>
        <w:t>“</w:t>
      </w:r>
      <w:r w:rsidR="007D485B" w:rsidRPr="007D485B">
        <w:rPr>
          <w:rFonts w:ascii="Verdana" w:hAnsi="Verdana"/>
          <w:sz w:val="20"/>
          <w:lang w:val="es-ES_tradnl"/>
        </w:rPr>
        <w:t>definir los límites y colindancias de los lotes y la colocación de los mojones</w:t>
      </w:r>
      <w:r w:rsidR="007D485B">
        <w:rPr>
          <w:rFonts w:ascii="Verdana" w:hAnsi="Verdana"/>
          <w:sz w:val="20"/>
          <w:lang w:val="es-ES_tradnl"/>
        </w:rPr>
        <w:t xml:space="preserve">”, lo cual no había sido posible </w:t>
      </w:r>
      <w:r w:rsidR="00A44DC7">
        <w:rPr>
          <w:rFonts w:ascii="Verdana" w:hAnsi="Verdana"/>
          <w:sz w:val="20"/>
          <w:lang w:val="es-MX"/>
        </w:rPr>
        <w:t>“</w:t>
      </w:r>
      <w:r w:rsidR="00A44DC7" w:rsidRPr="00A44DC7">
        <w:rPr>
          <w:rFonts w:ascii="Verdana" w:hAnsi="Verdana"/>
          <w:sz w:val="20"/>
          <w:lang w:val="es-ES_tradnl"/>
        </w:rPr>
        <w:t>por diferencia</w:t>
      </w:r>
      <w:r w:rsidR="00A44DC7">
        <w:rPr>
          <w:rFonts w:ascii="Verdana" w:hAnsi="Verdana"/>
          <w:sz w:val="20"/>
          <w:lang w:val="es-ES_tradnl"/>
        </w:rPr>
        <w:t>s de opinión con la C</w:t>
      </w:r>
      <w:r w:rsidR="00A44DC7" w:rsidRPr="00A44DC7">
        <w:rPr>
          <w:rFonts w:ascii="Verdana" w:hAnsi="Verdana"/>
          <w:sz w:val="20"/>
          <w:lang w:val="es-ES_tradnl"/>
        </w:rPr>
        <w:t xml:space="preserve">omisión de </w:t>
      </w:r>
      <w:r w:rsidR="00A44DC7">
        <w:rPr>
          <w:rFonts w:ascii="Verdana" w:hAnsi="Verdana"/>
          <w:sz w:val="20"/>
          <w:lang w:val="es-ES_tradnl"/>
        </w:rPr>
        <w:t>T</w:t>
      </w:r>
      <w:r w:rsidR="00A44DC7" w:rsidRPr="00A44DC7">
        <w:rPr>
          <w:rFonts w:ascii="Verdana" w:hAnsi="Verdana"/>
          <w:sz w:val="20"/>
          <w:lang w:val="es-ES_tradnl"/>
        </w:rPr>
        <w:t xml:space="preserve">ierras del </w:t>
      </w:r>
      <w:r w:rsidR="00A44DC7">
        <w:rPr>
          <w:rFonts w:ascii="Verdana" w:hAnsi="Verdana"/>
          <w:sz w:val="20"/>
          <w:lang w:val="es-ES_tradnl"/>
        </w:rPr>
        <w:t>P</w:t>
      </w:r>
      <w:r w:rsidR="00A44DC7" w:rsidRPr="00A44DC7">
        <w:rPr>
          <w:rFonts w:ascii="Verdana" w:hAnsi="Verdana"/>
          <w:sz w:val="20"/>
          <w:lang w:val="es-ES_tradnl"/>
        </w:rPr>
        <w:t xml:space="preserve">atronato de la Comunidad </w:t>
      </w:r>
      <w:r w:rsidR="00A44DC7">
        <w:rPr>
          <w:rFonts w:ascii="Verdana" w:hAnsi="Verdana"/>
          <w:sz w:val="20"/>
          <w:lang w:val="es-ES_tradnl"/>
        </w:rPr>
        <w:t>[…]</w:t>
      </w:r>
      <w:r w:rsidR="00A44DC7" w:rsidRPr="00A44DC7">
        <w:rPr>
          <w:rFonts w:ascii="Verdana" w:hAnsi="Verdana"/>
          <w:sz w:val="20"/>
          <w:lang w:val="es-ES_tradnl"/>
        </w:rPr>
        <w:t xml:space="preserve"> en cuan</w:t>
      </w:r>
      <w:r w:rsidR="00A44DC7">
        <w:rPr>
          <w:rFonts w:ascii="Verdana" w:hAnsi="Verdana"/>
          <w:sz w:val="20"/>
          <w:lang w:val="es-ES_tradnl"/>
        </w:rPr>
        <w:t>t</w:t>
      </w:r>
      <w:r w:rsidR="00A44DC7" w:rsidRPr="00A44DC7">
        <w:rPr>
          <w:rFonts w:ascii="Verdana" w:hAnsi="Verdana"/>
          <w:sz w:val="20"/>
          <w:lang w:val="es-ES_tradnl"/>
        </w:rPr>
        <w:t xml:space="preserve">o a deslindar y amojonar un predio fuera de lo dispuesto en la </w:t>
      </w:r>
      <w:r w:rsidR="00A44DC7">
        <w:rPr>
          <w:rFonts w:ascii="Verdana" w:hAnsi="Verdana"/>
          <w:sz w:val="20"/>
          <w:lang w:val="es-ES_tradnl"/>
        </w:rPr>
        <w:t>S</w:t>
      </w:r>
      <w:r w:rsidR="00A44DC7" w:rsidRPr="00A44DC7">
        <w:rPr>
          <w:rFonts w:ascii="Verdana" w:hAnsi="Verdana"/>
          <w:sz w:val="20"/>
          <w:lang w:val="es-ES_tradnl"/>
        </w:rPr>
        <w:t>entencia</w:t>
      </w:r>
      <w:r w:rsidR="00A44DC7">
        <w:rPr>
          <w:rFonts w:ascii="Verdana" w:hAnsi="Verdana"/>
          <w:sz w:val="20"/>
          <w:lang w:val="es-ES_tradnl"/>
        </w:rPr>
        <w:t>”</w:t>
      </w:r>
      <w:r w:rsidR="00A44DC7">
        <w:rPr>
          <w:rStyle w:val="Refdenotaalpie"/>
          <w:rFonts w:ascii="Verdana" w:hAnsi="Verdana"/>
          <w:sz w:val="20"/>
          <w:lang w:val="es-ES_tradnl"/>
        </w:rPr>
        <w:footnoteReference w:id="24"/>
      </w:r>
      <w:r w:rsidR="00A44DC7">
        <w:rPr>
          <w:rFonts w:ascii="Verdana" w:hAnsi="Verdana"/>
          <w:sz w:val="20"/>
          <w:lang w:val="es-ES_tradnl"/>
        </w:rPr>
        <w:t xml:space="preserve">. </w:t>
      </w:r>
      <w:r w:rsidR="0048138F">
        <w:rPr>
          <w:rFonts w:ascii="Verdana" w:hAnsi="Verdana"/>
          <w:sz w:val="20"/>
          <w:lang w:val="es-ES_tradnl"/>
        </w:rPr>
        <w:t xml:space="preserve">Finalmente, </w:t>
      </w:r>
      <w:r w:rsidR="001F378A" w:rsidRPr="00037A62">
        <w:rPr>
          <w:rFonts w:ascii="Verdana" w:hAnsi="Verdana"/>
          <w:sz w:val="20"/>
          <w:lang w:val="es-MX"/>
        </w:rPr>
        <w:t xml:space="preserve">solicitó la realización de una visita </w:t>
      </w:r>
      <w:r w:rsidR="001F378A" w:rsidRPr="00037A62">
        <w:rPr>
          <w:rFonts w:ascii="Verdana" w:hAnsi="Verdana"/>
          <w:i/>
          <w:sz w:val="20"/>
          <w:lang w:val="es-MX"/>
        </w:rPr>
        <w:t>in situ</w:t>
      </w:r>
      <w:r w:rsidR="001F378A" w:rsidRPr="00037A62">
        <w:rPr>
          <w:rFonts w:ascii="Verdana" w:hAnsi="Verdana"/>
          <w:sz w:val="20"/>
          <w:lang w:val="es-MX"/>
        </w:rPr>
        <w:t xml:space="preserve"> para que la Corte pueda “constatar de primera mano la situación que se presenta para la ejecución de [la] Sentencia”.</w:t>
      </w:r>
    </w:p>
    <w:p w14:paraId="5B1DE95C" w14:textId="508E03EE" w:rsidR="00E7235A" w:rsidRPr="004268C3" w:rsidRDefault="00101DD9" w:rsidP="004268C3">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L</w:t>
      </w:r>
      <w:r w:rsidR="00E7235A" w:rsidRPr="00037A62">
        <w:rPr>
          <w:rFonts w:ascii="Verdana" w:hAnsi="Verdana"/>
          <w:sz w:val="20"/>
          <w:szCs w:val="20"/>
          <w:lang w:val="es-MX"/>
        </w:rPr>
        <w:t xml:space="preserve">os </w:t>
      </w:r>
      <w:r w:rsidR="00E7235A" w:rsidRPr="00907450">
        <w:rPr>
          <w:rFonts w:ascii="Verdana" w:hAnsi="Verdana"/>
          <w:i/>
          <w:sz w:val="20"/>
          <w:szCs w:val="20"/>
          <w:lang w:val="es-MX"/>
        </w:rPr>
        <w:t>representantes</w:t>
      </w:r>
      <w:r w:rsidR="00E7235A" w:rsidRPr="00037A62">
        <w:rPr>
          <w:rFonts w:ascii="Verdana" w:hAnsi="Verdana"/>
          <w:sz w:val="20"/>
          <w:szCs w:val="20"/>
          <w:lang w:val="es-MX"/>
        </w:rPr>
        <w:t xml:space="preserve"> señalaron la “falta de voluntad política” del Estado para dar </w:t>
      </w:r>
      <w:r w:rsidR="00E7235A" w:rsidRPr="00037A62">
        <w:rPr>
          <w:rFonts w:ascii="Verdana" w:hAnsi="Verdana" w:cs="BookAntiqua"/>
          <w:sz w:val="20"/>
          <w:szCs w:val="20"/>
          <w:lang w:val="es-MX"/>
        </w:rPr>
        <w:t>cumplimiento</w:t>
      </w:r>
      <w:r w:rsidR="009F1FB0">
        <w:rPr>
          <w:rFonts w:ascii="Verdana" w:hAnsi="Verdana"/>
          <w:sz w:val="20"/>
          <w:szCs w:val="20"/>
          <w:lang w:val="es-MX"/>
        </w:rPr>
        <w:t xml:space="preserve"> a ambas Sentencias y</w:t>
      </w:r>
      <w:r w:rsidR="00E7235A" w:rsidRPr="00037A62">
        <w:rPr>
          <w:rFonts w:ascii="Verdana" w:hAnsi="Verdana"/>
          <w:sz w:val="20"/>
          <w:szCs w:val="20"/>
          <w:lang w:val="es-MX"/>
        </w:rPr>
        <w:t xml:space="preserve"> </w:t>
      </w:r>
      <w:r w:rsidR="009F1FB0">
        <w:rPr>
          <w:rFonts w:ascii="Verdana" w:hAnsi="Verdana"/>
          <w:sz w:val="20"/>
          <w:szCs w:val="20"/>
          <w:lang w:val="es-MX"/>
        </w:rPr>
        <w:t>s</w:t>
      </w:r>
      <w:r w:rsidR="006F63D9">
        <w:rPr>
          <w:rFonts w:ascii="Verdana" w:hAnsi="Verdana"/>
          <w:sz w:val="20"/>
          <w:szCs w:val="20"/>
          <w:lang w:val="es-MX"/>
        </w:rPr>
        <w:t xml:space="preserve">ostuvieron que, </w:t>
      </w:r>
      <w:r w:rsidR="009F1FB0">
        <w:rPr>
          <w:rFonts w:ascii="Verdana" w:hAnsi="Verdana"/>
          <w:sz w:val="20"/>
          <w:szCs w:val="20"/>
          <w:lang w:val="es-MX"/>
        </w:rPr>
        <w:t>a cinco años de su</w:t>
      </w:r>
      <w:r w:rsidR="006F63D9" w:rsidRPr="00037A62">
        <w:rPr>
          <w:rFonts w:ascii="Verdana" w:hAnsi="Verdana"/>
          <w:sz w:val="20"/>
          <w:szCs w:val="20"/>
          <w:lang w:val="es-MX"/>
        </w:rPr>
        <w:t xml:space="preserve"> emisión, no ha habido “ningún </w:t>
      </w:r>
      <w:r w:rsidR="006F63D9" w:rsidRPr="00037A62">
        <w:rPr>
          <w:rFonts w:ascii="Verdana" w:hAnsi="Verdana"/>
          <w:sz w:val="20"/>
          <w:lang w:val="es-MX"/>
        </w:rPr>
        <w:t>avance</w:t>
      </w:r>
      <w:r w:rsidR="006F63D9" w:rsidRPr="00037A62">
        <w:rPr>
          <w:rFonts w:ascii="Verdana" w:hAnsi="Verdana"/>
          <w:sz w:val="20"/>
          <w:szCs w:val="20"/>
          <w:lang w:val="es-MX"/>
        </w:rPr>
        <w:t xml:space="preserve"> sustancial en el </w:t>
      </w:r>
      <w:r w:rsidR="006F63D9" w:rsidRPr="00037A62">
        <w:rPr>
          <w:rFonts w:ascii="Verdana" w:hAnsi="Verdana"/>
          <w:sz w:val="20"/>
          <w:lang w:val="es-MX"/>
        </w:rPr>
        <w:t>cumplimiento de los puntos resolutivos más importantes”</w:t>
      </w:r>
      <w:r w:rsidR="006F63D9">
        <w:rPr>
          <w:rFonts w:ascii="Verdana" w:hAnsi="Verdana"/>
          <w:sz w:val="20"/>
          <w:lang w:val="es-MX"/>
        </w:rPr>
        <w:t xml:space="preserve">. </w:t>
      </w:r>
      <w:r w:rsidR="00E67865">
        <w:rPr>
          <w:rFonts w:ascii="Verdana" w:hAnsi="Verdana"/>
          <w:sz w:val="20"/>
          <w:lang w:val="es-MX"/>
        </w:rPr>
        <w:t xml:space="preserve">Señalaron que </w:t>
      </w:r>
      <w:r w:rsidR="00E7235A" w:rsidRPr="00037A62">
        <w:rPr>
          <w:rFonts w:ascii="Verdana" w:hAnsi="Verdana"/>
          <w:sz w:val="20"/>
          <w:szCs w:val="20"/>
          <w:lang w:val="es-MX"/>
        </w:rPr>
        <w:t>los planes de trabajo indicados por el Estado</w:t>
      </w:r>
      <w:r w:rsidR="00E67865">
        <w:rPr>
          <w:rFonts w:ascii="Verdana" w:hAnsi="Verdana"/>
          <w:sz w:val="20"/>
          <w:szCs w:val="20"/>
          <w:lang w:val="es-MX"/>
        </w:rPr>
        <w:t xml:space="preserve"> </w:t>
      </w:r>
      <w:r w:rsidR="00E7235A">
        <w:rPr>
          <w:rFonts w:ascii="Verdana" w:hAnsi="Verdana"/>
          <w:sz w:val="20"/>
          <w:szCs w:val="20"/>
          <w:lang w:val="es-MX"/>
        </w:rPr>
        <w:t>se desactualizan</w:t>
      </w:r>
      <w:r w:rsidR="00E7235A" w:rsidRPr="00037A62">
        <w:rPr>
          <w:rFonts w:ascii="Verdana" w:hAnsi="Verdana"/>
          <w:sz w:val="20"/>
          <w:szCs w:val="20"/>
          <w:lang w:val="es-MX"/>
        </w:rPr>
        <w:t xml:space="preserve"> constantemente debido a la desidia estatal, y que “en gran medida las acciones [allí] propuestas [… son] acciones propias del poder de imperio del Estado que no requieren participación de las comunidades ni de los representantes”</w:t>
      </w:r>
      <w:r w:rsidR="00E7235A" w:rsidRPr="00037A62">
        <w:rPr>
          <w:rStyle w:val="Refdenotaalpie"/>
          <w:rFonts w:ascii="Verdana" w:hAnsi="Verdana"/>
          <w:sz w:val="20"/>
          <w:szCs w:val="20"/>
          <w:lang w:val="es-MX"/>
        </w:rPr>
        <w:footnoteReference w:id="25"/>
      </w:r>
      <w:r w:rsidR="00E7235A" w:rsidRPr="00037A62">
        <w:rPr>
          <w:rFonts w:ascii="Verdana" w:hAnsi="Verdana"/>
          <w:sz w:val="20"/>
          <w:szCs w:val="20"/>
          <w:lang w:val="es-MX"/>
        </w:rPr>
        <w:t xml:space="preserve">. </w:t>
      </w:r>
      <w:r w:rsidR="00E67865">
        <w:rPr>
          <w:rFonts w:ascii="Verdana" w:hAnsi="Verdana"/>
          <w:sz w:val="20"/>
          <w:szCs w:val="20"/>
          <w:lang w:val="es-MX"/>
        </w:rPr>
        <w:t>En</w:t>
      </w:r>
      <w:r w:rsidR="00533F4B">
        <w:rPr>
          <w:rFonts w:ascii="Verdana" w:hAnsi="Verdana"/>
          <w:sz w:val="20"/>
          <w:szCs w:val="20"/>
          <w:lang w:val="es-MX"/>
        </w:rPr>
        <w:t xml:space="preserve"> sus escritos de observaciones, así como en</w:t>
      </w:r>
      <w:r w:rsidR="00E67865">
        <w:rPr>
          <w:rFonts w:ascii="Verdana" w:hAnsi="Verdana"/>
          <w:sz w:val="20"/>
          <w:szCs w:val="20"/>
          <w:lang w:val="es-MX"/>
        </w:rPr>
        <w:t xml:space="preserve"> la audiencia pública celebrada el 4 de marzo de 2021, </w:t>
      </w:r>
      <w:r w:rsidR="004268C3">
        <w:rPr>
          <w:rFonts w:ascii="Verdana" w:hAnsi="Verdana"/>
          <w:sz w:val="20"/>
          <w:lang w:val="es-MX"/>
        </w:rPr>
        <w:t>refirieron que</w:t>
      </w:r>
      <w:r w:rsidR="00E67865" w:rsidRPr="00037A62">
        <w:rPr>
          <w:rFonts w:ascii="Verdana" w:hAnsi="Verdana"/>
          <w:sz w:val="20"/>
          <w:lang w:val="es-MX"/>
        </w:rPr>
        <w:t xml:space="preserve"> la realización de los avalúos mediante procesos de indemnización </w:t>
      </w:r>
      <w:r w:rsidR="004268C3">
        <w:rPr>
          <w:rFonts w:ascii="Verdana" w:hAnsi="Verdana"/>
          <w:sz w:val="20"/>
          <w:lang w:val="es-MX"/>
        </w:rPr>
        <w:t>era</w:t>
      </w:r>
      <w:r w:rsidR="00E67865">
        <w:rPr>
          <w:rFonts w:ascii="Verdana" w:hAnsi="Verdana"/>
          <w:sz w:val="20"/>
          <w:lang w:val="es-MX"/>
        </w:rPr>
        <w:t xml:space="preserve"> </w:t>
      </w:r>
      <w:r w:rsidR="00E67865" w:rsidRPr="00037A62">
        <w:rPr>
          <w:rFonts w:ascii="Verdana" w:hAnsi="Verdana"/>
          <w:sz w:val="20"/>
          <w:lang w:val="es-MX"/>
        </w:rPr>
        <w:t>una “estrategia dilatoria</w:t>
      </w:r>
      <w:r w:rsidR="00E67865">
        <w:rPr>
          <w:rFonts w:ascii="Verdana" w:hAnsi="Verdana"/>
          <w:sz w:val="20"/>
          <w:lang w:val="es-MX"/>
        </w:rPr>
        <w:t>”</w:t>
      </w:r>
      <w:r w:rsidR="00533F4B">
        <w:rPr>
          <w:rFonts w:ascii="Verdana" w:hAnsi="Verdana"/>
          <w:sz w:val="20"/>
          <w:lang w:val="es-MX"/>
        </w:rPr>
        <w:t>,</w:t>
      </w:r>
      <w:r w:rsidR="004268C3">
        <w:rPr>
          <w:rFonts w:ascii="Verdana" w:hAnsi="Verdana"/>
          <w:sz w:val="20"/>
          <w:lang w:val="es-MX"/>
        </w:rPr>
        <w:t xml:space="preserve"> en tanto dicho </w:t>
      </w:r>
      <w:r w:rsidR="004268C3" w:rsidRPr="004268C3">
        <w:rPr>
          <w:rFonts w:ascii="Verdana" w:hAnsi="Verdana"/>
          <w:sz w:val="20"/>
          <w:lang w:val="es-MX"/>
        </w:rPr>
        <w:t>mecanismo requería que el monto por indemnizar fuera aceptado por los terceros en posesión de títulos individuales, luego de lo cual “habría que esperar un año para que se aprueben los fondos para las indemnizaciones” y se incluyan en el presupuesto anual, con el consecuente riesgo de que dichos avalúos se desactualicen durante el proceso</w:t>
      </w:r>
      <w:r w:rsidR="00AA35BA">
        <w:rPr>
          <w:rFonts w:ascii="Verdana" w:hAnsi="Verdana"/>
          <w:sz w:val="20"/>
          <w:lang w:val="es-MX"/>
        </w:rPr>
        <w:t>.</w:t>
      </w:r>
      <w:r w:rsidR="004268C3">
        <w:rPr>
          <w:rFonts w:ascii="Verdana" w:hAnsi="Verdana"/>
          <w:sz w:val="20"/>
          <w:szCs w:val="20"/>
          <w:lang w:val="es-MX"/>
        </w:rPr>
        <w:t xml:space="preserve"> </w:t>
      </w:r>
      <w:r w:rsidR="00533F4B" w:rsidRPr="004268C3">
        <w:rPr>
          <w:rFonts w:ascii="Verdana" w:hAnsi="Verdana"/>
          <w:sz w:val="20"/>
          <w:szCs w:val="20"/>
          <w:lang w:val="es-MX"/>
        </w:rPr>
        <w:t xml:space="preserve">Por ello, </w:t>
      </w:r>
      <w:r w:rsidR="004268C3">
        <w:rPr>
          <w:rFonts w:ascii="Verdana" w:hAnsi="Verdana"/>
          <w:sz w:val="20"/>
          <w:szCs w:val="20"/>
          <w:lang w:val="es-MX"/>
        </w:rPr>
        <w:t>concluyeron</w:t>
      </w:r>
      <w:r w:rsidR="00533F4B" w:rsidRPr="004268C3">
        <w:rPr>
          <w:rFonts w:ascii="Verdana" w:hAnsi="Verdana"/>
          <w:sz w:val="20"/>
          <w:szCs w:val="20"/>
          <w:lang w:val="es-MX"/>
        </w:rPr>
        <w:t xml:space="preserve"> que el Estado debía “</w:t>
      </w:r>
      <w:proofErr w:type="spellStart"/>
      <w:r w:rsidR="00533F4B" w:rsidRPr="004268C3">
        <w:rPr>
          <w:rFonts w:ascii="Verdana" w:hAnsi="Verdana"/>
          <w:sz w:val="20"/>
          <w:szCs w:val="20"/>
          <w:lang w:val="es-MX"/>
        </w:rPr>
        <w:t>utili</w:t>
      </w:r>
      <w:proofErr w:type="spellEnd"/>
      <w:r w:rsidR="00533F4B" w:rsidRPr="004268C3">
        <w:rPr>
          <w:rFonts w:ascii="Verdana" w:hAnsi="Verdana"/>
          <w:sz w:val="20"/>
          <w:szCs w:val="20"/>
          <w:lang w:val="es-MX"/>
        </w:rPr>
        <w:t xml:space="preserve">[zar] los mecanismos de expropiación” y aprobar un </w:t>
      </w:r>
      <w:r w:rsidR="004268C3">
        <w:rPr>
          <w:rFonts w:ascii="Verdana" w:hAnsi="Verdana"/>
          <w:sz w:val="20"/>
          <w:szCs w:val="20"/>
          <w:lang w:val="es-MX"/>
        </w:rPr>
        <w:t>“</w:t>
      </w:r>
      <w:r w:rsidR="00533F4B" w:rsidRPr="004268C3">
        <w:rPr>
          <w:rFonts w:ascii="Verdana" w:hAnsi="Verdana"/>
          <w:sz w:val="20"/>
          <w:szCs w:val="20"/>
          <w:lang w:val="es-MX"/>
        </w:rPr>
        <w:t>presupuesto previo y suficiente para poder hacer frente a cualquier inconveniente</w:t>
      </w:r>
      <w:r w:rsidR="004268C3">
        <w:rPr>
          <w:rFonts w:ascii="Verdana" w:hAnsi="Verdana"/>
          <w:sz w:val="20"/>
          <w:szCs w:val="20"/>
          <w:lang w:val="es-MX"/>
        </w:rPr>
        <w:t>”</w:t>
      </w:r>
      <w:r w:rsidR="00533F4B" w:rsidRPr="004268C3">
        <w:rPr>
          <w:rFonts w:ascii="Verdana" w:hAnsi="Verdana"/>
          <w:sz w:val="20"/>
          <w:szCs w:val="20"/>
          <w:lang w:val="es-MX"/>
        </w:rPr>
        <w:t xml:space="preserve">. </w:t>
      </w:r>
      <w:r w:rsidR="00533F4B" w:rsidRPr="004268C3">
        <w:rPr>
          <w:rFonts w:ascii="Verdana" w:hAnsi="Verdana"/>
          <w:sz w:val="20"/>
          <w:lang w:val="es-MX"/>
        </w:rPr>
        <w:t>También “rechaza[ron] contundentemente las afirmaciones de que ha habido negativa de [los representantes] o los miembros de la Comunidad en participar en las acciones que lleven al cumplimiento de la Sentencia”. En particular, respecto de lo afirmado por el Estado en cuanto a que no había sido posible ejecutar el deslinde y amojonamiento de los lotes “por diferencias de opinión” (</w:t>
      </w:r>
      <w:r w:rsidR="00533F4B" w:rsidRPr="004268C3">
        <w:rPr>
          <w:rFonts w:ascii="Verdana" w:hAnsi="Verdana"/>
          <w:i/>
          <w:sz w:val="20"/>
          <w:lang w:val="es-MX"/>
        </w:rPr>
        <w:t xml:space="preserve">supra </w:t>
      </w:r>
      <w:r w:rsidR="00533F4B" w:rsidRPr="004268C3">
        <w:rPr>
          <w:rFonts w:ascii="Verdana" w:hAnsi="Verdana"/>
          <w:sz w:val="20"/>
          <w:lang w:val="es-MX"/>
        </w:rPr>
        <w:t xml:space="preserve">Considerando </w:t>
      </w:r>
      <w:r w:rsidR="00945133">
        <w:rPr>
          <w:rFonts w:ascii="Verdana" w:hAnsi="Verdana"/>
          <w:sz w:val="20"/>
          <w:lang w:val="es-MX"/>
        </w:rPr>
        <w:t>32</w:t>
      </w:r>
      <w:r w:rsidR="00533F4B" w:rsidRPr="004268C3">
        <w:rPr>
          <w:rFonts w:ascii="Verdana" w:hAnsi="Verdana"/>
          <w:sz w:val="20"/>
          <w:lang w:val="es-MX"/>
        </w:rPr>
        <w:t>), refirieron que el Estado estaba “descontextualizando” la situación, en tanto “la Sentencia es clara al decir que lo que se ordenó […] es sin perjuicio de otros reclamos o de otras reivindicaciones de las comunidades”.</w:t>
      </w:r>
      <w:r w:rsidR="004268C3">
        <w:rPr>
          <w:rFonts w:ascii="Verdana" w:hAnsi="Verdana"/>
          <w:sz w:val="20"/>
          <w:szCs w:val="20"/>
          <w:lang w:val="es-MX"/>
        </w:rPr>
        <w:t xml:space="preserve"> </w:t>
      </w:r>
      <w:r w:rsidR="003378FC" w:rsidRPr="004268C3">
        <w:rPr>
          <w:rFonts w:ascii="Verdana" w:hAnsi="Verdana"/>
          <w:sz w:val="20"/>
          <w:szCs w:val="20"/>
          <w:lang w:val="es-MX"/>
        </w:rPr>
        <w:t xml:space="preserve">También </w:t>
      </w:r>
      <w:r w:rsidR="004268C3">
        <w:rPr>
          <w:rFonts w:ascii="Verdana" w:hAnsi="Verdana"/>
          <w:sz w:val="20"/>
          <w:szCs w:val="20"/>
          <w:lang w:val="es-MX"/>
        </w:rPr>
        <w:t>calificaron como</w:t>
      </w:r>
      <w:r w:rsidR="00E7235A" w:rsidRPr="004268C3">
        <w:rPr>
          <w:rFonts w:ascii="Verdana" w:hAnsi="Verdana"/>
          <w:sz w:val="20"/>
          <w:lang w:val="es-MX"/>
        </w:rPr>
        <w:t xml:space="preserve"> “preocupante […] que […] el Estado […] insiste en su posición de buscar tierras alternativas para las Comunidades”, haciendo notar que Honduras “no ha cumplido con los mínimos que establecen los estándares […] para poder acudir a esa vía, que […] es excepcionalísima”. Por último, </w:t>
      </w:r>
      <w:r w:rsidR="00E7235A" w:rsidRPr="004268C3">
        <w:rPr>
          <w:rFonts w:ascii="Verdana" w:hAnsi="Verdana"/>
          <w:sz w:val="20"/>
          <w:lang w:val="es-MX"/>
        </w:rPr>
        <w:lastRenderedPageBreak/>
        <w:t>“</w:t>
      </w:r>
      <w:proofErr w:type="gramStart"/>
      <w:r w:rsidR="00E7235A" w:rsidRPr="004268C3">
        <w:rPr>
          <w:rFonts w:ascii="Verdana" w:hAnsi="Verdana"/>
          <w:sz w:val="20"/>
          <w:lang w:val="es-MX"/>
        </w:rPr>
        <w:t>rechaza[</w:t>
      </w:r>
      <w:proofErr w:type="gramEnd"/>
      <w:r w:rsidR="00E7235A" w:rsidRPr="004268C3">
        <w:rPr>
          <w:rFonts w:ascii="Verdana" w:hAnsi="Verdana"/>
          <w:sz w:val="20"/>
          <w:lang w:val="es-MX"/>
        </w:rPr>
        <w:t xml:space="preserve">ron[ categóricamente” la realización de una visita </w:t>
      </w:r>
      <w:r w:rsidR="00E7235A" w:rsidRPr="004268C3">
        <w:rPr>
          <w:rFonts w:ascii="Verdana" w:hAnsi="Verdana"/>
          <w:i/>
          <w:sz w:val="20"/>
          <w:lang w:val="es-MX"/>
        </w:rPr>
        <w:t xml:space="preserve">in situ </w:t>
      </w:r>
      <w:r w:rsidR="00E7235A" w:rsidRPr="004268C3">
        <w:rPr>
          <w:rFonts w:ascii="Verdana" w:hAnsi="Verdana"/>
          <w:sz w:val="20"/>
          <w:lang w:val="es-MX"/>
        </w:rPr>
        <w:t xml:space="preserve">argumentando que “no hay ningún avance que </w:t>
      </w:r>
      <w:r w:rsidR="00945133">
        <w:rPr>
          <w:rFonts w:ascii="Verdana" w:hAnsi="Verdana"/>
          <w:sz w:val="20"/>
          <w:lang w:val="es-MX"/>
        </w:rPr>
        <w:t xml:space="preserve">[…] </w:t>
      </w:r>
      <w:r w:rsidR="00E7235A" w:rsidRPr="004268C3">
        <w:rPr>
          <w:rFonts w:ascii="Verdana" w:hAnsi="Verdana"/>
          <w:sz w:val="20"/>
          <w:lang w:val="es-MX"/>
        </w:rPr>
        <w:t xml:space="preserve">medir”. </w:t>
      </w:r>
    </w:p>
    <w:p w14:paraId="258E585F" w14:textId="270D05A2" w:rsidR="00E7235A" w:rsidRPr="00140319" w:rsidRDefault="00AA35BA"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E</w:t>
      </w:r>
      <w:r w:rsidRPr="00AA35BA">
        <w:rPr>
          <w:rFonts w:ascii="Verdana" w:hAnsi="Verdana"/>
          <w:sz w:val="20"/>
          <w:szCs w:val="20"/>
          <w:lang w:val="es-MX"/>
        </w:rPr>
        <w:t>n la audiencia pública celebrada el 4 de marzo de 2021</w:t>
      </w:r>
      <w:r>
        <w:rPr>
          <w:rFonts w:ascii="Verdana" w:hAnsi="Verdana"/>
          <w:sz w:val="20"/>
          <w:szCs w:val="20"/>
          <w:lang w:val="es-MX"/>
        </w:rPr>
        <w:t>, l</w:t>
      </w:r>
      <w:r w:rsidR="00E7235A" w:rsidRPr="00037A62">
        <w:rPr>
          <w:rFonts w:ascii="Verdana" w:hAnsi="Verdana"/>
          <w:sz w:val="20"/>
          <w:szCs w:val="20"/>
          <w:lang w:val="es-MX"/>
        </w:rPr>
        <w:t xml:space="preserve">a </w:t>
      </w:r>
      <w:r w:rsidR="00E7235A" w:rsidRPr="003378FC">
        <w:rPr>
          <w:rFonts w:ascii="Verdana" w:hAnsi="Verdana"/>
          <w:i/>
          <w:sz w:val="20"/>
          <w:szCs w:val="20"/>
          <w:lang w:val="es-MX"/>
        </w:rPr>
        <w:t>Comisión</w:t>
      </w:r>
      <w:r w:rsidR="003378FC">
        <w:rPr>
          <w:rFonts w:ascii="Verdana" w:hAnsi="Verdana"/>
          <w:sz w:val="20"/>
          <w:szCs w:val="20"/>
          <w:lang w:val="es-MX"/>
        </w:rPr>
        <w:t xml:space="preserve"> </w:t>
      </w:r>
      <w:r w:rsidR="00C90F35">
        <w:rPr>
          <w:rFonts w:ascii="Verdana" w:hAnsi="Verdana"/>
          <w:sz w:val="20"/>
          <w:lang w:val="es-MX"/>
        </w:rPr>
        <w:t>e</w:t>
      </w:r>
      <w:r w:rsidR="003378FC">
        <w:rPr>
          <w:rFonts w:ascii="Verdana" w:hAnsi="Verdana"/>
          <w:sz w:val="20"/>
          <w:lang w:val="es-MX"/>
        </w:rPr>
        <w:t>xpres</w:t>
      </w:r>
      <w:r w:rsidR="00393F1D">
        <w:rPr>
          <w:rFonts w:ascii="Verdana" w:hAnsi="Verdana"/>
          <w:sz w:val="20"/>
          <w:lang w:val="es-MX"/>
        </w:rPr>
        <w:t>ó</w:t>
      </w:r>
      <w:r w:rsidR="00945133">
        <w:rPr>
          <w:rFonts w:ascii="Verdana" w:hAnsi="Verdana"/>
          <w:sz w:val="20"/>
          <w:lang w:val="es-MX"/>
        </w:rPr>
        <w:t xml:space="preserve"> </w:t>
      </w:r>
      <w:r w:rsidR="003378FC">
        <w:rPr>
          <w:rFonts w:ascii="Verdana" w:hAnsi="Verdana"/>
          <w:sz w:val="20"/>
          <w:lang w:val="es-MX"/>
        </w:rPr>
        <w:t xml:space="preserve">que </w:t>
      </w:r>
      <w:r w:rsidR="00E7235A" w:rsidRPr="00037A62">
        <w:rPr>
          <w:rFonts w:ascii="Verdana" w:hAnsi="Verdana"/>
          <w:sz w:val="20"/>
          <w:lang w:val="es-MX"/>
        </w:rPr>
        <w:t>“el escenario es bastante similar al existente cuando la Corte emitió su Sentencia”, de modo que “mientras [las reparaciones ordenadas] no sean cumplidas, la vulneración continúa generando daños”. Hizo énfasis en la “especial relación entre la protección del territorio y la existencia misma de las comunidades</w:t>
      </w:r>
      <w:r w:rsidR="003378FC">
        <w:rPr>
          <w:rFonts w:ascii="Verdana" w:hAnsi="Verdana"/>
          <w:sz w:val="20"/>
          <w:lang w:val="es-MX"/>
        </w:rPr>
        <w:t xml:space="preserve">”. </w:t>
      </w:r>
      <w:r w:rsidR="00E7235A" w:rsidRPr="00037A62">
        <w:rPr>
          <w:rFonts w:ascii="Verdana" w:hAnsi="Verdana"/>
          <w:sz w:val="20"/>
          <w:lang w:val="es-MX"/>
        </w:rPr>
        <w:t xml:space="preserve">Además, refirió que “entiende los obstáculos que ha representado la situación de la pandemia, pero dado el paso del tiempo esto no alcanza </w:t>
      </w:r>
      <w:r w:rsidR="004268C3">
        <w:rPr>
          <w:rFonts w:ascii="Verdana" w:hAnsi="Verdana"/>
          <w:sz w:val="20"/>
          <w:lang w:val="es-MX"/>
        </w:rPr>
        <w:t>a</w:t>
      </w:r>
      <w:r w:rsidR="00E7235A" w:rsidRPr="00037A62">
        <w:rPr>
          <w:rFonts w:ascii="Verdana" w:hAnsi="Verdana"/>
          <w:sz w:val="20"/>
          <w:lang w:val="es-MX"/>
        </w:rPr>
        <w:t xml:space="preserve"> justificar la falta de avances y el reiterado incumplimiento por la sentencia de varios años”.</w:t>
      </w:r>
    </w:p>
    <w:p w14:paraId="60E10834" w14:textId="77777777" w:rsidR="00E7235A" w:rsidRPr="00037A62" w:rsidRDefault="00E7235A" w:rsidP="00E7235A">
      <w:pPr>
        <w:pStyle w:val="Cuadrculamedia1-nfasis21"/>
        <w:spacing w:before="120" w:after="120" w:line="240" w:lineRule="auto"/>
        <w:contextualSpacing w:val="0"/>
        <w:jc w:val="both"/>
        <w:rPr>
          <w:rFonts w:ascii="Verdana" w:hAnsi="Verdana"/>
          <w:i/>
          <w:sz w:val="20"/>
          <w:szCs w:val="20"/>
          <w:lang w:val="es-MX"/>
        </w:rPr>
      </w:pPr>
      <w:r w:rsidRPr="00037A62">
        <w:rPr>
          <w:rFonts w:ascii="Verdana" w:hAnsi="Verdana"/>
          <w:i/>
          <w:sz w:val="20"/>
          <w:szCs w:val="20"/>
          <w:lang w:val="es-MX"/>
        </w:rPr>
        <w:t>A.3. Consideraciones de la Corte</w:t>
      </w:r>
    </w:p>
    <w:p w14:paraId="1B8CF4B6" w14:textId="529C7A9F" w:rsidR="00635C41" w:rsidRPr="00272376" w:rsidRDefault="00E330C7" w:rsidP="00561282">
      <w:pPr>
        <w:numPr>
          <w:ilvl w:val="0"/>
          <w:numId w:val="3"/>
        </w:numPr>
        <w:spacing w:before="120" w:after="120" w:line="240" w:lineRule="auto"/>
        <w:ind w:left="0" w:firstLine="0"/>
        <w:jc w:val="both"/>
        <w:rPr>
          <w:rFonts w:ascii="Verdana" w:hAnsi="Verdana"/>
          <w:sz w:val="20"/>
          <w:szCs w:val="20"/>
          <w:lang w:val="es-MX"/>
        </w:rPr>
      </w:pPr>
      <w:r w:rsidRPr="006A5B3F">
        <w:rPr>
          <w:rFonts w:ascii="Verdana" w:hAnsi="Verdana"/>
          <w:sz w:val="20"/>
          <w:szCs w:val="20"/>
          <w:lang w:val="es-MX"/>
        </w:rPr>
        <w:t xml:space="preserve">Este Tribunal valora </w:t>
      </w:r>
      <w:r w:rsidR="00635C41">
        <w:rPr>
          <w:rFonts w:ascii="Verdana" w:hAnsi="Verdana"/>
          <w:sz w:val="20"/>
          <w:szCs w:val="20"/>
          <w:lang w:val="es-MX"/>
        </w:rPr>
        <w:t xml:space="preserve">como positivo </w:t>
      </w:r>
      <w:r w:rsidRPr="006A5B3F">
        <w:rPr>
          <w:rFonts w:ascii="Verdana" w:hAnsi="Verdana"/>
          <w:sz w:val="20"/>
          <w:szCs w:val="20"/>
          <w:lang w:val="es-MX"/>
        </w:rPr>
        <w:t xml:space="preserve">que Honduras haya modificado su postura expresada </w:t>
      </w:r>
      <w:r w:rsidR="00A26C2B">
        <w:rPr>
          <w:rFonts w:ascii="Verdana" w:hAnsi="Verdana"/>
          <w:sz w:val="20"/>
          <w:szCs w:val="20"/>
          <w:lang w:val="es-MX"/>
        </w:rPr>
        <w:t xml:space="preserve">con anterioridad a </w:t>
      </w:r>
      <w:r w:rsidRPr="006A5B3F">
        <w:rPr>
          <w:rFonts w:ascii="Verdana" w:hAnsi="Verdana"/>
          <w:sz w:val="20"/>
          <w:szCs w:val="20"/>
          <w:lang w:val="es-MX"/>
        </w:rPr>
        <w:t>las Resoluciones de 2019 respecto del ofrecimiento de tierras alternativas a las Comunidades y</w:t>
      </w:r>
      <w:r w:rsidR="00AA35BA">
        <w:rPr>
          <w:rFonts w:ascii="Verdana" w:hAnsi="Verdana"/>
          <w:sz w:val="20"/>
          <w:szCs w:val="20"/>
          <w:lang w:val="es-MX"/>
        </w:rPr>
        <w:t>,</w:t>
      </w:r>
      <w:r w:rsidRPr="006A5B3F">
        <w:rPr>
          <w:rFonts w:ascii="Verdana" w:hAnsi="Verdana"/>
          <w:sz w:val="20"/>
          <w:szCs w:val="20"/>
          <w:lang w:val="es-MX"/>
        </w:rPr>
        <w:t xml:space="preserve"> </w:t>
      </w:r>
      <w:r w:rsidR="00A26C2B">
        <w:rPr>
          <w:rFonts w:ascii="Verdana" w:hAnsi="Verdana"/>
          <w:sz w:val="20"/>
          <w:szCs w:val="20"/>
          <w:lang w:val="es-MX"/>
        </w:rPr>
        <w:t>en cambio</w:t>
      </w:r>
      <w:r w:rsidR="00AA35BA">
        <w:rPr>
          <w:rFonts w:ascii="Verdana" w:hAnsi="Verdana"/>
          <w:sz w:val="20"/>
          <w:szCs w:val="20"/>
          <w:lang w:val="es-MX"/>
        </w:rPr>
        <w:t>,</w:t>
      </w:r>
      <w:r w:rsidR="00A26C2B">
        <w:rPr>
          <w:rFonts w:ascii="Verdana" w:hAnsi="Verdana"/>
          <w:sz w:val="20"/>
          <w:szCs w:val="20"/>
          <w:lang w:val="es-MX"/>
        </w:rPr>
        <w:t xml:space="preserve"> </w:t>
      </w:r>
      <w:r w:rsidRPr="006A5B3F">
        <w:rPr>
          <w:rFonts w:ascii="Verdana" w:hAnsi="Verdana"/>
          <w:sz w:val="20"/>
          <w:szCs w:val="20"/>
          <w:lang w:val="es-MX"/>
        </w:rPr>
        <w:t>haya decidido proceder a la titulación y saneamiento de las tierras</w:t>
      </w:r>
      <w:r w:rsidR="00AA35BA">
        <w:rPr>
          <w:rFonts w:ascii="Verdana" w:hAnsi="Verdana"/>
          <w:sz w:val="20"/>
          <w:szCs w:val="20"/>
          <w:lang w:val="es-MX"/>
        </w:rPr>
        <w:t>,</w:t>
      </w:r>
      <w:r w:rsidRPr="006A5B3F">
        <w:rPr>
          <w:rFonts w:ascii="Verdana" w:hAnsi="Verdana"/>
          <w:sz w:val="20"/>
          <w:szCs w:val="20"/>
          <w:lang w:val="es-MX"/>
        </w:rPr>
        <w:t xml:space="preserve"> a través de procesos de indemnización y ofrecimiento de tierras alternativas a terceros. Sin embargo, </w:t>
      </w:r>
      <w:r w:rsidR="00635C41">
        <w:rPr>
          <w:rFonts w:ascii="Verdana" w:hAnsi="Verdana"/>
          <w:sz w:val="20"/>
          <w:szCs w:val="20"/>
          <w:lang w:val="es-MX"/>
        </w:rPr>
        <w:t>llama la atención que</w:t>
      </w:r>
      <w:r w:rsidR="000A7375">
        <w:rPr>
          <w:rFonts w:ascii="Verdana" w:hAnsi="Verdana"/>
          <w:sz w:val="20"/>
          <w:szCs w:val="20"/>
          <w:lang w:val="es-MX"/>
        </w:rPr>
        <w:t>,</w:t>
      </w:r>
      <w:r w:rsidR="00635C41">
        <w:rPr>
          <w:rFonts w:ascii="Verdana" w:hAnsi="Verdana"/>
          <w:sz w:val="20"/>
          <w:szCs w:val="20"/>
          <w:lang w:val="es-MX"/>
        </w:rPr>
        <w:t xml:space="preserve"> en la audiencia celebrada el 4 de marzo de 2021</w:t>
      </w:r>
      <w:r w:rsidR="000A7375">
        <w:rPr>
          <w:rFonts w:ascii="Verdana" w:hAnsi="Verdana"/>
          <w:sz w:val="20"/>
          <w:szCs w:val="20"/>
          <w:lang w:val="es-MX"/>
        </w:rPr>
        <w:t>,</w:t>
      </w:r>
      <w:r w:rsidR="00635C41">
        <w:rPr>
          <w:rFonts w:ascii="Verdana" w:hAnsi="Verdana"/>
          <w:sz w:val="20"/>
          <w:szCs w:val="20"/>
          <w:lang w:val="es-MX"/>
        </w:rPr>
        <w:t xml:space="preserve"> los representantes afirmaron que el Estado “</w:t>
      </w:r>
      <w:r w:rsidR="00635C41" w:rsidRPr="00D52CD7">
        <w:rPr>
          <w:rFonts w:ascii="Verdana" w:hAnsi="Verdana"/>
          <w:sz w:val="20"/>
          <w:lang w:val="es-CR"/>
        </w:rPr>
        <w:t>insiste en su posición de buscar tierras alternativas para las Comunidades</w:t>
      </w:r>
      <w:r w:rsidR="00635C41" w:rsidRPr="00272376">
        <w:rPr>
          <w:rFonts w:ascii="Verdana" w:hAnsi="Verdana"/>
          <w:sz w:val="20"/>
          <w:szCs w:val="20"/>
          <w:lang w:val="es-MX"/>
        </w:rPr>
        <w:t>”. En este sentido, se requiere a las partes qu</w:t>
      </w:r>
      <w:r w:rsidR="004A3EC4">
        <w:rPr>
          <w:rFonts w:ascii="Verdana" w:hAnsi="Verdana"/>
          <w:sz w:val="20"/>
          <w:szCs w:val="20"/>
          <w:lang w:val="es-MX"/>
        </w:rPr>
        <w:t>e</w:t>
      </w:r>
      <w:r w:rsidR="00635C41" w:rsidRPr="00272376">
        <w:rPr>
          <w:rFonts w:ascii="Verdana" w:hAnsi="Verdana"/>
          <w:sz w:val="20"/>
          <w:szCs w:val="20"/>
          <w:lang w:val="es-MX"/>
        </w:rPr>
        <w:t xml:space="preserve"> aclaren cuál es la posición actual</w:t>
      </w:r>
      <w:r w:rsidR="00A26C2B">
        <w:rPr>
          <w:rFonts w:ascii="Verdana" w:hAnsi="Verdana"/>
          <w:sz w:val="20"/>
          <w:szCs w:val="20"/>
          <w:lang w:val="es-MX"/>
        </w:rPr>
        <w:t xml:space="preserve"> sobre este punto</w:t>
      </w:r>
      <w:r w:rsidR="00635C41" w:rsidRPr="00272376">
        <w:rPr>
          <w:rFonts w:ascii="Verdana" w:hAnsi="Verdana"/>
          <w:sz w:val="20"/>
          <w:szCs w:val="20"/>
          <w:lang w:val="es-MX"/>
        </w:rPr>
        <w:t xml:space="preserve">. </w:t>
      </w:r>
    </w:p>
    <w:p w14:paraId="40E3C052" w14:textId="7335F227" w:rsidR="00816734" w:rsidRPr="00272376" w:rsidRDefault="007E2728" w:rsidP="00941696">
      <w:pPr>
        <w:numPr>
          <w:ilvl w:val="0"/>
          <w:numId w:val="3"/>
        </w:numPr>
        <w:spacing w:before="120" w:after="120" w:line="240" w:lineRule="auto"/>
        <w:ind w:left="0" w:firstLine="0"/>
        <w:jc w:val="both"/>
        <w:rPr>
          <w:rFonts w:ascii="Verdana" w:hAnsi="Verdana"/>
          <w:sz w:val="20"/>
          <w:szCs w:val="20"/>
          <w:lang w:val="es-MX"/>
        </w:rPr>
      </w:pPr>
      <w:r w:rsidRPr="00272376">
        <w:rPr>
          <w:rFonts w:ascii="Verdana" w:hAnsi="Verdana"/>
          <w:sz w:val="20"/>
          <w:szCs w:val="20"/>
          <w:lang w:val="es-MX"/>
        </w:rPr>
        <w:t>E</w:t>
      </w:r>
      <w:r w:rsidR="00E512F4" w:rsidRPr="00272376">
        <w:rPr>
          <w:rFonts w:ascii="Verdana" w:hAnsi="Verdana"/>
          <w:sz w:val="20"/>
          <w:szCs w:val="20"/>
          <w:lang w:val="es-MX"/>
        </w:rPr>
        <w:t xml:space="preserve">sta Corte considera que </w:t>
      </w:r>
      <w:r w:rsidRPr="00272376">
        <w:rPr>
          <w:rFonts w:ascii="Verdana" w:hAnsi="Verdana"/>
          <w:sz w:val="20"/>
          <w:szCs w:val="20"/>
          <w:lang w:val="es-MX"/>
        </w:rPr>
        <w:t xml:space="preserve">las acciones llevadas a cabo por Honduras para dar cumplimiento a las medidas de restitución de tierras ordenadas en favor de ambas Comunidades resultan insuficientes, y </w:t>
      </w:r>
      <w:r w:rsidR="00E512F4" w:rsidRPr="00272376">
        <w:rPr>
          <w:rFonts w:ascii="Verdana" w:hAnsi="Verdana"/>
          <w:sz w:val="20"/>
          <w:szCs w:val="20"/>
          <w:lang w:val="es-MX"/>
        </w:rPr>
        <w:t xml:space="preserve">los mecanismos escogidos por el Estado para </w:t>
      </w:r>
      <w:r w:rsidRPr="00272376">
        <w:rPr>
          <w:rFonts w:ascii="Verdana" w:hAnsi="Verdana"/>
          <w:sz w:val="20"/>
          <w:szCs w:val="20"/>
          <w:lang w:val="es-MX"/>
        </w:rPr>
        <w:t>tal fin</w:t>
      </w:r>
      <w:r w:rsidR="00E512F4" w:rsidRPr="00272376">
        <w:rPr>
          <w:rFonts w:ascii="Verdana" w:hAnsi="Verdana"/>
          <w:sz w:val="20"/>
          <w:szCs w:val="20"/>
          <w:lang w:val="es-MX"/>
        </w:rPr>
        <w:t xml:space="preserve"> han resultado demasiado lentos. </w:t>
      </w:r>
      <w:r w:rsidRPr="00272376">
        <w:rPr>
          <w:rFonts w:ascii="Verdana" w:hAnsi="Verdana"/>
          <w:sz w:val="20"/>
          <w:szCs w:val="20"/>
          <w:lang w:val="es-MX"/>
        </w:rPr>
        <w:t>A más de cinco años desde la emisión y notificación de la Sentencia, no surge de la información aportada por las partes que las acciones adoptadas puedan llegar a permitir que se dé cumplimiento a lo ordenado</w:t>
      </w:r>
      <w:r w:rsidR="00272376" w:rsidRPr="00272376">
        <w:rPr>
          <w:rFonts w:ascii="Verdana" w:hAnsi="Verdana"/>
          <w:sz w:val="20"/>
          <w:szCs w:val="20"/>
          <w:lang w:val="es-MX"/>
        </w:rPr>
        <w:t xml:space="preserve"> en un corto o siquiera </w:t>
      </w:r>
      <w:r w:rsidR="00272376">
        <w:rPr>
          <w:rFonts w:ascii="Verdana" w:hAnsi="Verdana"/>
          <w:sz w:val="20"/>
          <w:szCs w:val="20"/>
          <w:lang w:val="es-MX"/>
        </w:rPr>
        <w:t xml:space="preserve">en un </w:t>
      </w:r>
      <w:r w:rsidR="00272376" w:rsidRPr="00272376">
        <w:rPr>
          <w:rFonts w:ascii="Verdana" w:hAnsi="Verdana"/>
          <w:sz w:val="20"/>
          <w:szCs w:val="20"/>
          <w:lang w:val="es-MX"/>
        </w:rPr>
        <w:t>mediano plazo</w:t>
      </w:r>
      <w:r w:rsidRPr="00272376">
        <w:rPr>
          <w:rFonts w:ascii="Verdana" w:hAnsi="Verdana"/>
          <w:sz w:val="20"/>
          <w:szCs w:val="20"/>
          <w:lang w:val="es-MX"/>
        </w:rPr>
        <w:t>. El Estado sigue sosteniendo que el avance del saneamiento de las tierras tituladas a favor de la Comunidad Punta Piedra se encuentra supeditado a obtener la anuencia de los pobladores de Río Miel</w:t>
      </w:r>
      <w:r w:rsidRPr="00272376">
        <w:rPr>
          <w:rStyle w:val="Refdenotaalpie"/>
          <w:rFonts w:ascii="Verdana" w:hAnsi="Verdana"/>
          <w:sz w:val="20"/>
          <w:szCs w:val="20"/>
          <w:lang w:val="es-MX"/>
        </w:rPr>
        <w:footnoteReference w:id="26"/>
      </w:r>
      <w:r w:rsidRPr="00272376">
        <w:rPr>
          <w:rFonts w:ascii="Verdana" w:hAnsi="Verdana"/>
          <w:sz w:val="20"/>
          <w:szCs w:val="20"/>
          <w:lang w:val="es-MX"/>
        </w:rPr>
        <w:t xml:space="preserve">, y </w:t>
      </w:r>
      <w:r w:rsidR="00A26C2B">
        <w:rPr>
          <w:rFonts w:ascii="Verdana" w:hAnsi="Verdana"/>
          <w:sz w:val="20"/>
          <w:szCs w:val="20"/>
          <w:lang w:val="es-MX"/>
        </w:rPr>
        <w:t xml:space="preserve">aún </w:t>
      </w:r>
      <w:r w:rsidRPr="00272376">
        <w:rPr>
          <w:rFonts w:ascii="Verdana" w:hAnsi="Verdana"/>
          <w:sz w:val="20"/>
          <w:szCs w:val="20"/>
          <w:lang w:val="es-MX"/>
        </w:rPr>
        <w:t>no ha presentado la información que le fue solicitada en el Considerando 15 de la Resolución de 2019</w:t>
      </w:r>
      <w:r w:rsidRPr="00272376">
        <w:rPr>
          <w:rFonts w:ascii="Verdana" w:hAnsi="Verdana"/>
          <w:sz w:val="20"/>
          <w:szCs w:val="20"/>
          <w:vertAlign w:val="superscript"/>
          <w:lang w:val="es-MX"/>
        </w:rPr>
        <w:footnoteReference w:id="27"/>
      </w:r>
      <w:r w:rsidRPr="00272376">
        <w:rPr>
          <w:rFonts w:ascii="Verdana" w:hAnsi="Verdana"/>
          <w:sz w:val="20"/>
          <w:szCs w:val="20"/>
          <w:lang w:val="es-MX"/>
        </w:rPr>
        <w:t xml:space="preserve">. Asimismo, </w:t>
      </w:r>
      <w:r w:rsidR="00A26C2B">
        <w:rPr>
          <w:rFonts w:ascii="Verdana" w:hAnsi="Verdana"/>
          <w:sz w:val="20"/>
          <w:szCs w:val="20"/>
          <w:lang w:val="es-MX"/>
        </w:rPr>
        <w:t xml:space="preserve">Honduras reiteró que no había podido </w:t>
      </w:r>
      <w:r w:rsidRPr="00272376">
        <w:rPr>
          <w:rFonts w:ascii="Verdana" w:hAnsi="Verdana"/>
          <w:sz w:val="20"/>
          <w:szCs w:val="20"/>
          <w:lang w:val="es-MX"/>
        </w:rPr>
        <w:t>realizar los trabajos de campo para la demarcación del Lote A1 y de las tierras tituladas a favor de la Comunidad Triunfo de la Cruz</w:t>
      </w:r>
      <w:r w:rsidR="00A26C2B">
        <w:rPr>
          <w:rFonts w:ascii="Verdana" w:hAnsi="Verdana"/>
          <w:sz w:val="20"/>
          <w:szCs w:val="20"/>
          <w:lang w:val="es-MX"/>
        </w:rPr>
        <w:t xml:space="preserve"> por diferencias de opinión en cuanto a la extensión del territorio a deslindar y amojonar</w:t>
      </w:r>
      <w:r w:rsidRPr="00272376">
        <w:rPr>
          <w:rStyle w:val="Refdenotaalpie"/>
          <w:rFonts w:ascii="Verdana" w:hAnsi="Verdana"/>
          <w:sz w:val="20"/>
          <w:lang w:val="es-MX"/>
        </w:rPr>
        <w:footnoteReference w:id="28"/>
      </w:r>
      <w:r w:rsidRPr="00272376">
        <w:rPr>
          <w:rFonts w:ascii="Verdana" w:hAnsi="Verdana"/>
          <w:sz w:val="20"/>
          <w:lang w:val="es-MX"/>
        </w:rPr>
        <w:t>, e</w:t>
      </w:r>
      <w:r w:rsidRPr="00272376">
        <w:rPr>
          <w:rFonts w:ascii="Verdana" w:hAnsi="Verdana"/>
          <w:sz w:val="20"/>
          <w:szCs w:val="20"/>
          <w:lang w:val="es-MX"/>
        </w:rPr>
        <w:t xml:space="preserve"> incluso se ha verificado un retroceso en el cumplimiento de dicha Sentencia, en tanto los avalúos realizados durante el año 2018 han </w:t>
      </w:r>
      <w:r w:rsidRPr="00272376">
        <w:rPr>
          <w:rFonts w:ascii="Verdana" w:hAnsi="Verdana"/>
          <w:sz w:val="20"/>
          <w:szCs w:val="20"/>
          <w:lang w:val="es-MX"/>
        </w:rPr>
        <w:lastRenderedPageBreak/>
        <w:t>quedado desactualizados por el transcurso del tiempo. Aun cuando el Estado sostuvo en 2020 que el Instituto Nacional Agrario había realizado un “primer desembolso”, no queda claro si eso significa que ha comenzado a hacer pagos parciales o totales a algunos de los propietarios de títulos que traslapan con las tierras tituladas o que debe titular a favor de la Comunidad, o bien si dichos “desembolsos” se refieren a operaciones entre instituciones estatales, máxime cuando</w:t>
      </w:r>
      <w:r w:rsidR="00AA35BA">
        <w:rPr>
          <w:rFonts w:ascii="Verdana" w:hAnsi="Verdana"/>
          <w:sz w:val="20"/>
          <w:szCs w:val="20"/>
          <w:lang w:val="es-MX"/>
        </w:rPr>
        <w:t>,</w:t>
      </w:r>
      <w:r w:rsidR="000B541A">
        <w:rPr>
          <w:rFonts w:ascii="Verdana" w:hAnsi="Verdana"/>
          <w:sz w:val="20"/>
          <w:szCs w:val="20"/>
          <w:lang w:val="es-MX"/>
        </w:rPr>
        <w:t xml:space="preserve"> </w:t>
      </w:r>
      <w:r w:rsidR="000B541A" w:rsidRPr="00272376">
        <w:rPr>
          <w:rFonts w:ascii="Verdana" w:hAnsi="Verdana"/>
          <w:sz w:val="20"/>
          <w:szCs w:val="20"/>
          <w:lang w:val="es-MX"/>
        </w:rPr>
        <w:t>en la audiencia celebrada en marzo de 2021, refirió que resultaba necesario actualizar los avalúos ya realizados</w:t>
      </w:r>
      <w:r w:rsidR="000B541A">
        <w:rPr>
          <w:rFonts w:ascii="Verdana" w:hAnsi="Verdana"/>
          <w:sz w:val="20"/>
          <w:szCs w:val="20"/>
          <w:lang w:val="es-MX"/>
        </w:rPr>
        <w:t>, y en sus informes refirió que el procedimiento a seguir requería: (i) la determinación del valor a indemnizar por parte del Instituto Nacional Agrario; (ii) la firma de “actas de negociación” con los propietarios, y (iii) la remisión de dichas actas a la Secretaría de Finanzas</w:t>
      </w:r>
      <w:r w:rsidRPr="00272376">
        <w:rPr>
          <w:rFonts w:ascii="Verdana" w:hAnsi="Verdana"/>
          <w:sz w:val="20"/>
          <w:szCs w:val="20"/>
          <w:lang w:val="es-MX"/>
        </w:rPr>
        <w:t>,</w:t>
      </w:r>
      <w:r w:rsidR="000B541A">
        <w:rPr>
          <w:rFonts w:ascii="Verdana" w:hAnsi="Verdana"/>
          <w:sz w:val="20"/>
          <w:szCs w:val="20"/>
          <w:lang w:val="es-MX"/>
        </w:rPr>
        <w:t xml:space="preserve"> para que finalmente ésta proceda a realizar las gestiones para la inclusión de la partida presupuestaria en el ejercicio siguiente. </w:t>
      </w:r>
      <w:r w:rsidRPr="00272376">
        <w:rPr>
          <w:rFonts w:ascii="Verdana" w:hAnsi="Verdana"/>
          <w:sz w:val="20"/>
          <w:szCs w:val="20"/>
          <w:lang w:val="es-MX"/>
        </w:rPr>
        <w:t xml:space="preserve">En este sentido, se requiere </w:t>
      </w:r>
      <w:r w:rsidR="00B465CA">
        <w:rPr>
          <w:rFonts w:ascii="Verdana" w:hAnsi="Verdana"/>
          <w:sz w:val="20"/>
          <w:szCs w:val="20"/>
          <w:lang w:val="es-MX"/>
        </w:rPr>
        <w:t xml:space="preserve">al </w:t>
      </w:r>
      <w:r w:rsidRPr="00272376">
        <w:rPr>
          <w:rFonts w:ascii="Verdana" w:hAnsi="Verdana"/>
          <w:sz w:val="20"/>
          <w:szCs w:val="20"/>
          <w:lang w:val="es-MX"/>
        </w:rPr>
        <w:t xml:space="preserve">Estado </w:t>
      </w:r>
      <w:r w:rsidR="00B465CA">
        <w:rPr>
          <w:rFonts w:ascii="Verdana" w:hAnsi="Verdana"/>
          <w:sz w:val="20"/>
          <w:szCs w:val="20"/>
          <w:lang w:val="es-MX"/>
        </w:rPr>
        <w:t xml:space="preserve">que </w:t>
      </w:r>
      <w:r w:rsidRPr="00272376">
        <w:rPr>
          <w:rFonts w:ascii="Verdana" w:hAnsi="Verdana"/>
          <w:sz w:val="20"/>
          <w:szCs w:val="20"/>
          <w:lang w:val="es-MX"/>
        </w:rPr>
        <w:t xml:space="preserve">aclare el carácter de los referidos “desembolsos”, y si ya ha comenzado a realizar pagos a los terceros poseedores de títulos de propiedad. </w:t>
      </w:r>
    </w:p>
    <w:p w14:paraId="3D93025F" w14:textId="6608134C" w:rsidR="00E7235A" w:rsidRDefault="00E7235A" w:rsidP="007E2728">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Esta Corte ya ha señalado en las mencionadas Resoluciones de 2019 que, tratándose las presentes reparaciones de medidas de cesación, “hasta tanto no se cumpla con la[s] misma[s], los derechos territoriales continúan siendo violados y se generan nuevas afectaciones a los mismos”. Asimismo, remarcó que “el paso del tiempo dificulta aún más el cumplimiento de la medida, en tanto permite la oportunidad de que se generen nuevas intrusiones, expansiones adicionales, interferencias o afectaciones de parte de terceros que puedan menoscabar la existencia, el valor, el</w:t>
      </w:r>
      <w:r w:rsidR="007E2728">
        <w:rPr>
          <w:rFonts w:ascii="Verdana" w:hAnsi="Verdana"/>
          <w:sz w:val="20"/>
          <w:szCs w:val="20"/>
          <w:lang w:val="es-MX"/>
        </w:rPr>
        <w:t xml:space="preserve"> uso o el goce del territorio”, e incluso </w:t>
      </w:r>
      <w:r w:rsidRPr="00037A62">
        <w:rPr>
          <w:rFonts w:ascii="Verdana" w:hAnsi="Verdana"/>
          <w:sz w:val="20"/>
          <w:szCs w:val="20"/>
          <w:lang w:val="es-MX"/>
        </w:rPr>
        <w:t>“pone en peligro a los miembros de la Comunidad y contribuye a un aumento de la conflictividad social en la zona”. Dicho peligro se ha materializado</w:t>
      </w:r>
      <w:r w:rsidR="0094756A">
        <w:rPr>
          <w:rFonts w:ascii="Verdana" w:hAnsi="Verdana"/>
          <w:sz w:val="20"/>
          <w:szCs w:val="20"/>
          <w:lang w:val="es-MX"/>
        </w:rPr>
        <w:t xml:space="preserve">, </w:t>
      </w:r>
      <w:r w:rsidR="0094756A" w:rsidRPr="0094756A">
        <w:rPr>
          <w:rFonts w:ascii="Verdana" w:hAnsi="Verdana"/>
          <w:i/>
          <w:sz w:val="20"/>
          <w:szCs w:val="20"/>
          <w:lang w:val="es-MX"/>
        </w:rPr>
        <w:t>prima facie</w:t>
      </w:r>
      <w:r w:rsidR="0094756A">
        <w:rPr>
          <w:rFonts w:ascii="Verdana" w:hAnsi="Verdana"/>
          <w:sz w:val="20"/>
          <w:szCs w:val="20"/>
          <w:lang w:val="es-MX"/>
        </w:rPr>
        <w:t>,</w:t>
      </w:r>
      <w:r w:rsidRPr="00037A62">
        <w:rPr>
          <w:rFonts w:ascii="Verdana" w:hAnsi="Verdana"/>
          <w:sz w:val="20"/>
          <w:szCs w:val="20"/>
          <w:lang w:val="es-MX"/>
        </w:rPr>
        <w:t xml:space="preserve"> en </w:t>
      </w:r>
      <w:r w:rsidR="0094756A">
        <w:rPr>
          <w:rFonts w:ascii="Verdana" w:hAnsi="Verdana"/>
          <w:sz w:val="20"/>
          <w:szCs w:val="20"/>
          <w:lang w:val="es-MX"/>
        </w:rPr>
        <w:t>la muerte y desaparici</w:t>
      </w:r>
      <w:r w:rsidR="00A44628">
        <w:rPr>
          <w:rFonts w:ascii="Verdana" w:hAnsi="Verdana"/>
          <w:sz w:val="20"/>
          <w:szCs w:val="20"/>
          <w:lang w:val="es-MX"/>
        </w:rPr>
        <w:t xml:space="preserve">ón de </w:t>
      </w:r>
      <w:r w:rsidR="0094756A">
        <w:rPr>
          <w:rFonts w:ascii="Verdana" w:hAnsi="Verdana"/>
          <w:sz w:val="20"/>
          <w:szCs w:val="20"/>
          <w:lang w:val="es-MX"/>
        </w:rPr>
        <w:t xml:space="preserve">miembros de las </w:t>
      </w:r>
      <w:r w:rsidR="007E2728">
        <w:rPr>
          <w:rFonts w:ascii="Verdana" w:hAnsi="Verdana"/>
          <w:sz w:val="20"/>
          <w:szCs w:val="20"/>
          <w:lang w:val="es-MX"/>
        </w:rPr>
        <w:t>C</w:t>
      </w:r>
      <w:r w:rsidR="0094756A">
        <w:rPr>
          <w:rFonts w:ascii="Verdana" w:hAnsi="Verdana"/>
          <w:sz w:val="20"/>
          <w:szCs w:val="20"/>
          <w:lang w:val="es-MX"/>
        </w:rPr>
        <w:t>omunidades</w:t>
      </w:r>
      <w:r w:rsidRPr="00037A62">
        <w:rPr>
          <w:rFonts w:ascii="Verdana" w:hAnsi="Verdana"/>
          <w:sz w:val="20"/>
          <w:szCs w:val="20"/>
          <w:lang w:val="es-MX"/>
        </w:rPr>
        <w:t>, circunstancias que dieron lugar a la adopción de las medidas provisionales</w:t>
      </w:r>
      <w:r w:rsidR="0094756A">
        <w:rPr>
          <w:rFonts w:ascii="Verdana" w:hAnsi="Verdana"/>
          <w:sz w:val="20"/>
          <w:szCs w:val="20"/>
          <w:lang w:val="es-MX"/>
        </w:rPr>
        <w:t xml:space="preserve"> (</w:t>
      </w:r>
      <w:r w:rsidR="0094756A" w:rsidRPr="0094756A">
        <w:rPr>
          <w:rFonts w:ascii="Verdana" w:hAnsi="Verdana"/>
          <w:i/>
          <w:sz w:val="20"/>
          <w:szCs w:val="20"/>
          <w:lang w:val="es-MX"/>
        </w:rPr>
        <w:t>supra</w:t>
      </w:r>
      <w:r w:rsidR="0094756A">
        <w:rPr>
          <w:rFonts w:ascii="Verdana" w:hAnsi="Verdana"/>
          <w:sz w:val="20"/>
          <w:szCs w:val="20"/>
          <w:lang w:val="es-MX"/>
        </w:rPr>
        <w:t xml:space="preserve"> Considerando</w:t>
      </w:r>
      <w:r w:rsidR="00FC20AD">
        <w:rPr>
          <w:rFonts w:ascii="Verdana" w:hAnsi="Verdana"/>
          <w:sz w:val="20"/>
          <w:szCs w:val="20"/>
          <w:lang w:val="es-MX"/>
        </w:rPr>
        <w:t>s</w:t>
      </w:r>
      <w:r w:rsidR="0094756A">
        <w:rPr>
          <w:rFonts w:ascii="Verdana" w:hAnsi="Verdana"/>
          <w:sz w:val="20"/>
          <w:szCs w:val="20"/>
          <w:lang w:val="es-MX"/>
        </w:rPr>
        <w:t xml:space="preserve"> </w:t>
      </w:r>
      <w:r w:rsidR="00FC20AD">
        <w:rPr>
          <w:rFonts w:ascii="Verdana" w:hAnsi="Verdana"/>
          <w:sz w:val="20"/>
          <w:szCs w:val="20"/>
          <w:lang w:val="es-MX"/>
        </w:rPr>
        <w:t>15 a 27</w:t>
      </w:r>
      <w:r w:rsidR="0094756A">
        <w:rPr>
          <w:rFonts w:ascii="Verdana" w:hAnsi="Verdana"/>
          <w:sz w:val="20"/>
          <w:szCs w:val="20"/>
          <w:lang w:val="es-MX"/>
        </w:rPr>
        <w:t>)</w:t>
      </w:r>
      <w:r w:rsidRPr="00037A62">
        <w:rPr>
          <w:rFonts w:ascii="Verdana" w:hAnsi="Verdana"/>
          <w:sz w:val="20"/>
          <w:szCs w:val="20"/>
          <w:lang w:val="es-MX"/>
        </w:rPr>
        <w:t xml:space="preserve">. </w:t>
      </w:r>
      <w:r w:rsidR="000B541A">
        <w:rPr>
          <w:rFonts w:ascii="Verdana" w:hAnsi="Verdana"/>
          <w:sz w:val="20"/>
          <w:szCs w:val="20"/>
          <w:lang w:val="es-MX"/>
        </w:rPr>
        <w:t>Por ello</w:t>
      </w:r>
      <w:r w:rsidRPr="00037A62">
        <w:rPr>
          <w:rFonts w:ascii="Verdana" w:hAnsi="Verdana"/>
          <w:sz w:val="20"/>
          <w:szCs w:val="20"/>
          <w:lang w:val="es-MX"/>
        </w:rPr>
        <w:t xml:space="preserve">, sin perjuicio de las obligaciones que le corresponden a Honduras en el marco de las referidas medidas, resulta imprescindible para este Tribunal remarcar </w:t>
      </w:r>
      <w:r w:rsidR="0070198F">
        <w:rPr>
          <w:rFonts w:ascii="Verdana" w:hAnsi="Verdana"/>
          <w:sz w:val="20"/>
          <w:szCs w:val="20"/>
          <w:lang w:val="es-MX"/>
        </w:rPr>
        <w:t xml:space="preserve">la importancia </w:t>
      </w:r>
      <w:r w:rsidRPr="00037A62">
        <w:rPr>
          <w:rFonts w:ascii="Verdana" w:hAnsi="Verdana"/>
          <w:sz w:val="20"/>
          <w:szCs w:val="20"/>
          <w:lang w:val="es-MX"/>
        </w:rPr>
        <w:t xml:space="preserve">de prevenir que se generen nuevas afrentas a los derechos a la vida e integridad personal de los miembros de ambas Comunidades </w:t>
      </w:r>
      <w:r w:rsidR="00A44422">
        <w:rPr>
          <w:rFonts w:ascii="Verdana" w:hAnsi="Verdana"/>
          <w:sz w:val="20"/>
          <w:szCs w:val="20"/>
          <w:lang w:val="es-MX"/>
        </w:rPr>
        <w:t xml:space="preserve">a través de las medidas </w:t>
      </w:r>
      <w:r w:rsidR="00172E9C">
        <w:rPr>
          <w:rFonts w:ascii="Verdana" w:hAnsi="Verdana"/>
          <w:sz w:val="20"/>
          <w:szCs w:val="20"/>
          <w:lang w:val="es-MX"/>
        </w:rPr>
        <w:t xml:space="preserve">que culminen con el efectivo </w:t>
      </w:r>
      <w:r w:rsidRPr="00037A62">
        <w:rPr>
          <w:rFonts w:ascii="Verdana" w:hAnsi="Verdana"/>
          <w:sz w:val="20"/>
          <w:szCs w:val="20"/>
          <w:lang w:val="es-MX"/>
        </w:rPr>
        <w:t xml:space="preserve">saneamiento, demarcación, delimitación y titulación de las tierras. </w:t>
      </w:r>
      <w:r w:rsidR="007E2728">
        <w:rPr>
          <w:rFonts w:ascii="Verdana" w:hAnsi="Verdana"/>
          <w:sz w:val="20"/>
          <w:szCs w:val="20"/>
          <w:lang w:val="es-MX"/>
        </w:rPr>
        <w:t xml:space="preserve">En este entendido, se solicita a Honduras que indique qué otras opciones </w:t>
      </w:r>
      <w:r w:rsidR="00346F6C">
        <w:rPr>
          <w:rFonts w:ascii="Verdana" w:hAnsi="Verdana"/>
          <w:sz w:val="20"/>
          <w:szCs w:val="20"/>
          <w:lang w:val="es-MX"/>
        </w:rPr>
        <w:t xml:space="preserve">se encuentran disponibles </w:t>
      </w:r>
      <w:r w:rsidR="007E2728">
        <w:rPr>
          <w:rFonts w:ascii="Verdana" w:hAnsi="Verdana"/>
          <w:sz w:val="20"/>
          <w:szCs w:val="20"/>
          <w:lang w:val="es-MX"/>
        </w:rPr>
        <w:t xml:space="preserve">para cumplir con las medidas ordenadas en ambas Sentencias a la mayor brevedad posible. Al informar sobre estas opciones, es necesario que se refiera a la solución sugerida por los representantes </w:t>
      </w:r>
      <w:r w:rsidR="000B541A">
        <w:rPr>
          <w:rFonts w:ascii="Verdana" w:hAnsi="Verdana"/>
          <w:sz w:val="20"/>
          <w:szCs w:val="20"/>
          <w:lang w:val="es-MX"/>
        </w:rPr>
        <w:t xml:space="preserve">relativa a realizar </w:t>
      </w:r>
      <w:r w:rsidR="007E2728">
        <w:rPr>
          <w:rFonts w:ascii="Verdana" w:hAnsi="Verdana"/>
          <w:sz w:val="20"/>
          <w:szCs w:val="20"/>
          <w:lang w:val="es-MX"/>
        </w:rPr>
        <w:t>procesos de expropiación (</w:t>
      </w:r>
      <w:r w:rsidR="007E2728">
        <w:rPr>
          <w:rFonts w:ascii="Verdana" w:hAnsi="Verdana"/>
          <w:i/>
          <w:sz w:val="20"/>
          <w:szCs w:val="20"/>
          <w:lang w:val="es-MX"/>
        </w:rPr>
        <w:t xml:space="preserve">supra </w:t>
      </w:r>
      <w:r w:rsidR="007E2728">
        <w:rPr>
          <w:rFonts w:ascii="Verdana" w:hAnsi="Verdana"/>
          <w:sz w:val="20"/>
          <w:szCs w:val="20"/>
          <w:lang w:val="es-MX"/>
        </w:rPr>
        <w:t xml:space="preserve">Considerando </w:t>
      </w:r>
      <w:r w:rsidR="00440A80">
        <w:rPr>
          <w:rFonts w:ascii="Verdana" w:hAnsi="Verdana"/>
          <w:sz w:val="20"/>
          <w:szCs w:val="20"/>
          <w:lang w:val="es-MX"/>
        </w:rPr>
        <w:t>33</w:t>
      </w:r>
      <w:r w:rsidR="007E2728">
        <w:rPr>
          <w:rFonts w:ascii="Verdana" w:hAnsi="Verdana"/>
          <w:sz w:val="20"/>
          <w:szCs w:val="20"/>
          <w:lang w:val="es-MX"/>
        </w:rPr>
        <w:t xml:space="preserve">). </w:t>
      </w:r>
    </w:p>
    <w:p w14:paraId="4BCEBD18" w14:textId="5C3AD133" w:rsidR="00E7235A"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En razón de lo expuesto, la Corte concluye que las medidas dispuestas en los puntos resolutivos sexto y séptimo de la Sentencia del caso </w:t>
      </w:r>
      <w:r w:rsidRPr="00037A62">
        <w:rPr>
          <w:rFonts w:ascii="Verdana" w:hAnsi="Verdana"/>
          <w:i/>
          <w:sz w:val="20"/>
          <w:szCs w:val="20"/>
          <w:lang w:val="es-MX"/>
        </w:rPr>
        <w:t xml:space="preserve">Triunfo de la Cruz, </w:t>
      </w:r>
      <w:r w:rsidRPr="00037A62">
        <w:rPr>
          <w:rFonts w:ascii="Verdana" w:hAnsi="Verdana"/>
          <w:sz w:val="20"/>
          <w:szCs w:val="20"/>
          <w:lang w:val="es-MX"/>
        </w:rPr>
        <w:t xml:space="preserve">y en el punto resolutivo décimo de la Sentencia del caso </w:t>
      </w:r>
      <w:r w:rsidRPr="00037A62">
        <w:rPr>
          <w:rFonts w:ascii="Verdana" w:hAnsi="Verdana"/>
          <w:i/>
          <w:sz w:val="20"/>
          <w:szCs w:val="20"/>
          <w:lang w:val="es-MX"/>
        </w:rPr>
        <w:t>Punta Piedra</w:t>
      </w:r>
      <w:r w:rsidRPr="00037A62">
        <w:rPr>
          <w:rFonts w:ascii="Verdana" w:hAnsi="Verdana"/>
          <w:sz w:val="20"/>
          <w:szCs w:val="20"/>
          <w:lang w:val="es-MX"/>
        </w:rPr>
        <w:t>, se encuentran pendientes de cumplimiento. Por ello, requiere al Estado que presente información actualizada y detallada sobre la adopción de medidas destinadas a demarcar las tierras sobre las cuales ha sido otorgada la propiedad colectiva a la Comunidad Triunfo de la Cruz, y a otorgar a dicha Comunidad un título de propiedad colectiva debidamente delimitado y demarcado sobre el Lote A1, así como sobre la adopción de medidas destinadas a garantizar el uso y goce, a través del saneamiento de las tierras tituladas en favor de la Comunidad Punta Piedra.</w:t>
      </w:r>
      <w:r w:rsidR="007E2728">
        <w:rPr>
          <w:rFonts w:ascii="Verdana" w:hAnsi="Verdana"/>
          <w:sz w:val="20"/>
          <w:szCs w:val="20"/>
          <w:lang w:val="es-MX"/>
        </w:rPr>
        <w:t xml:space="preserve"> En particular, el Estado deberá </w:t>
      </w:r>
      <w:r w:rsidR="00272376">
        <w:rPr>
          <w:rFonts w:ascii="Verdana" w:hAnsi="Verdana"/>
          <w:sz w:val="20"/>
          <w:szCs w:val="20"/>
          <w:lang w:val="es-MX"/>
        </w:rPr>
        <w:t xml:space="preserve">incluir la información requerida </w:t>
      </w:r>
      <w:r w:rsidR="007E2728">
        <w:rPr>
          <w:rFonts w:ascii="Verdana" w:hAnsi="Verdana"/>
          <w:sz w:val="20"/>
          <w:szCs w:val="20"/>
          <w:lang w:val="es-MX"/>
        </w:rPr>
        <w:t xml:space="preserve">en los Considerandos </w:t>
      </w:r>
      <w:r w:rsidR="0044076D">
        <w:rPr>
          <w:rFonts w:ascii="Verdana" w:hAnsi="Verdana"/>
          <w:sz w:val="20"/>
          <w:szCs w:val="20"/>
          <w:lang w:val="es-MX"/>
        </w:rPr>
        <w:t>35 a 37</w:t>
      </w:r>
      <w:r w:rsidR="007E2728">
        <w:rPr>
          <w:rFonts w:ascii="Verdana" w:hAnsi="Verdana"/>
          <w:sz w:val="20"/>
          <w:szCs w:val="20"/>
          <w:lang w:val="es-MX"/>
        </w:rPr>
        <w:t xml:space="preserve">de la presente Resolución. </w:t>
      </w:r>
      <w:r w:rsidR="00C14714" w:rsidRPr="00272376">
        <w:rPr>
          <w:rFonts w:ascii="Verdana" w:hAnsi="Verdana"/>
          <w:sz w:val="20"/>
          <w:szCs w:val="20"/>
          <w:lang w:val="es-MX"/>
        </w:rPr>
        <w:t xml:space="preserve">Además, se </w:t>
      </w:r>
      <w:r w:rsidR="00C14714">
        <w:rPr>
          <w:rFonts w:ascii="Verdana" w:hAnsi="Verdana"/>
          <w:sz w:val="20"/>
          <w:szCs w:val="20"/>
          <w:lang w:val="es-MX"/>
        </w:rPr>
        <w:t>requiere</w:t>
      </w:r>
      <w:r w:rsidR="00C14714" w:rsidRPr="00272376">
        <w:rPr>
          <w:rFonts w:ascii="Verdana" w:hAnsi="Verdana"/>
          <w:sz w:val="20"/>
          <w:szCs w:val="20"/>
          <w:lang w:val="es-MX"/>
        </w:rPr>
        <w:t xml:space="preserve"> que Honduras desagregue la información de manera </w:t>
      </w:r>
      <w:r w:rsidR="00B465CA">
        <w:rPr>
          <w:rFonts w:ascii="Verdana" w:hAnsi="Verdana"/>
          <w:sz w:val="20"/>
          <w:szCs w:val="20"/>
          <w:lang w:val="es-MX"/>
        </w:rPr>
        <w:t>que permita</w:t>
      </w:r>
      <w:r w:rsidR="00C14714" w:rsidRPr="00272376">
        <w:rPr>
          <w:rFonts w:ascii="Verdana" w:hAnsi="Verdana"/>
          <w:sz w:val="20"/>
          <w:szCs w:val="20"/>
          <w:lang w:val="es-MX"/>
        </w:rPr>
        <w:t xml:space="preserve"> identificar de forma </w:t>
      </w:r>
      <w:r w:rsidR="000B541A">
        <w:rPr>
          <w:rFonts w:ascii="Verdana" w:hAnsi="Verdana"/>
          <w:sz w:val="20"/>
          <w:szCs w:val="20"/>
          <w:lang w:val="es-MX"/>
        </w:rPr>
        <w:t xml:space="preserve">clara </w:t>
      </w:r>
      <w:r w:rsidR="00C14714" w:rsidRPr="00272376">
        <w:rPr>
          <w:rFonts w:ascii="Verdana" w:hAnsi="Verdana"/>
          <w:sz w:val="20"/>
          <w:szCs w:val="20"/>
          <w:lang w:val="es-MX"/>
        </w:rPr>
        <w:t>cuál es el grado de avance respecto</w:t>
      </w:r>
      <w:r w:rsidR="00C14714">
        <w:rPr>
          <w:rFonts w:ascii="Verdana" w:hAnsi="Verdana"/>
          <w:sz w:val="20"/>
          <w:szCs w:val="20"/>
          <w:lang w:val="es-MX"/>
        </w:rPr>
        <w:t xml:space="preserve"> de las reparaciones ordenadas en cada una de las Sentencias</w:t>
      </w:r>
      <w:r w:rsidR="000B541A">
        <w:rPr>
          <w:rFonts w:ascii="Verdana" w:hAnsi="Verdana"/>
          <w:sz w:val="20"/>
          <w:szCs w:val="20"/>
          <w:lang w:val="es-MX"/>
        </w:rPr>
        <w:t xml:space="preserve"> por separado</w:t>
      </w:r>
      <w:r w:rsidR="00C14714">
        <w:rPr>
          <w:rFonts w:ascii="Verdana" w:hAnsi="Verdana"/>
          <w:sz w:val="20"/>
          <w:szCs w:val="20"/>
          <w:lang w:val="es-MX"/>
        </w:rPr>
        <w:t xml:space="preserve"> y, </w:t>
      </w:r>
      <w:r w:rsidR="00C14714" w:rsidRPr="00272376">
        <w:rPr>
          <w:rFonts w:ascii="Verdana" w:hAnsi="Verdana"/>
          <w:sz w:val="20"/>
          <w:szCs w:val="20"/>
          <w:lang w:val="es-MX"/>
        </w:rPr>
        <w:t xml:space="preserve">respecto de las reparaciones ordenadas en la Sentencia de </w:t>
      </w:r>
      <w:r w:rsidR="00C14714" w:rsidRPr="00272376">
        <w:rPr>
          <w:rFonts w:ascii="Verdana" w:hAnsi="Verdana"/>
          <w:i/>
          <w:sz w:val="20"/>
          <w:szCs w:val="20"/>
          <w:lang w:val="es-MX"/>
        </w:rPr>
        <w:t>Triunfo de la Cruz</w:t>
      </w:r>
      <w:r w:rsidR="00C14714">
        <w:rPr>
          <w:rFonts w:ascii="Verdana" w:hAnsi="Verdana"/>
          <w:sz w:val="20"/>
          <w:szCs w:val="20"/>
          <w:lang w:val="es-MX"/>
        </w:rPr>
        <w:t>, cuál es el grado de avance</w:t>
      </w:r>
      <w:r w:rsidR="00C14714" w:rsidRPr="00272376">
        <w:rPr>
          <w:rFonts w:ascii="Verdana" w:hAnsi="Verdana"/>
          <w:sz w:val="20"/>
          <w:szCs w:val="20"/>
          <w:lang w:val="es-MX"/>
        </w:rPr>
        <w:t xml:space="preserve"> de la titulación y demarcación del Lote A1 y cuál es el estado de la demarcación de las</w:t>
      </w:r>
      <w:r w:rsidR="00C14714">
        <w:rPr>
          <w:rFonts w:ascii="Verdana" w:hAnsi="Verdana"/>
          <w:sz w:val="20"/>
          <w:szCs w:val="20"/>
          <w:lang w:val="es-MX"/>
        </w:rPr>
        <w:t xml:space="preserve"> demás</w:t>
      </w:r>
      <w:r w:rsidR="00C14714" w:rsidRPr="00272376">
        <w:rPr>
          <w:rFonts w:ascii="Verdana" w:hAnsi="Verdana"/>
          <w:sz w:val="20"/>
          <w:szCs w:val="20"/>
          <w:lang w:val="es-MX"/>
        </w:rPr>
        <w:t xml:space="preserve"> tierras ya tituladas.</w:t>
      </w:r>
    </w:p>
    <w:p w14:paraId="55391F9A" w14:textId="18511A76" w:rsidR="00E7235A" w:rsidRPr="000F7827" w:rsidRDefault="00C14714"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Finalmente</w:t>
      </w:r>
      <w:r w:rsidR="00E7235A">
        <w:rPr>
          <w:rFonts w:ascii="Verdana" w:hAnsi="Verdana"/>
          <w:sz w:val="20"/>
          <w:szCs w:val="20"/>
          <w:lang w:val="es-MX"/>
        </w:rPr>
        <w:t xml:space="preserve">, a raíz de lo referido por los representantes y los miembros de las Comunidades que participaron de la audiencia pública celebrada para ambos casos, que permite a esta Corte constatar que no existe una comunicación clara por parte del Estado </w:t>
      </w:r>
      <w:r w:rsidR="00E7235A">
        <w:rPr>
          <w:rFonts w:ascii="Verdana" w:hAnsi="Verdana"/>
          <w:sz w:val="20"/>
          <w:szCs w:val="20"/>
          <w:lang w:val="es-MX"/>
        </w:rPr>
        <w:lastRenderedPageBreak/>
        <w:t xml:space="preserve">hacia los miembros de la Comunidad y sus representantes en lo que respecta a mantenerles informados sobre el avance del cumplimiento de ambas Sentencias, se requiere que Honduras designe un funcionario o funcionaria </w:t>
      </w:r>
      <w:r w:rsidR="00272376">
        <w:rPr>
          <w:rFonts w:ascii="Verdana" w:hAnsi="Verdana"/>
          <w:sz w:val="20"/>
          <w:szCs w:val="20"/>
          <w:lang w:val="es-MX"/>
        </w:rPr>
        <w:t>a cargo</w:t>
      </w:r>
      <w:r w:rsidR="00E7235A">
        <w:rPr>
          <w:rFonts w:ascii="Verdana" w:hAnsi="Verdana"/>
          <w:sz w:val="20"/>
          <w:szCs w:val="20"/>
          <w:lang w:val="es-MX"/>
        </w:rPr>
        <w:t xml:space="preserve"> de dicha comunicación, la cual deberá realizarse con los y las interlocutoras que las Comunidades y sus representantes </w:t>
      </w:r>
      <w:r w:rsidR="002607C6">
        <w:rPr>
          <w:rFonts w:ascii="Verdana" w:hAnsi="Verdana"/>
          <w:sz w:val="20"/>
          <w:szCs w:val="20"/>
          <w:lang w:val="es-MX"/>
        </w:rPr>
        <w:t xml:space="preserve">han </w:t>
      </w:r>
      <w:r w:rsidR="00E7235A">
        <w:rPr>
          <w:rFonts w:ascii="Verdana" w:hAnsi="Verdana"/>
          <w:sz w:val="20"/>
          <w:szCs w:val="20"/>
          <w:lang w:val="es-MX"/>
        </w:rPr>
        <w:t>design</w:t>
      </w:r>
      <w:r w:rsidR="002607C6">
        <w:rPr>
          <w:rFonts w:ascii="Verdana" w:hAnsi="Verdana"/>
          <w:sz w:val="20"/>
          <w:szCs w:val="20"/>
          <w:lang w:val="es-MX"/>
        </w:rPr>
        <w:t>ado</w:t>
      </w:r>
      <w:r w:rsidR="00E7235A">
        <w:rPr>
          <w:rFonts w:ascii="Verdana" w:hAnsi="Verdana"/>
          <w:sz w:val="20"/>
          <w:szCs w:val="20"/>
          <w:lang w:val="es-MX"/>
        </w:rPr>
        <w:t xml:space="preserve"> </w:t>
      </w:r>
      <w:r w:rsidR="0044076D">
        <w:rPr>
          <w:rFonts w:ascii="Verdana" w:hAnsi="Verdana"/>
          <w:sz w:val="20"/>
          <w:szCs w:val="20"/>
          <w:lang w:val="es-MX"/>
        </w:rPr>
        <w:t>par</w:t>
      </w:r>
      <w:r w:rsidR="00E7235A">
        <w:rPr>
          <w:rFonts w:ascii="Verdana" w:hAnsi="Verdana"/>
          <w:sz w:val="20"/>
          <w:szCs w:val="20"/>
          <w:lang w:val="es-MX"/>
        </w:rPr>
        <w:t xml:space="preserve">a tales efectos. </w:t>
      </w:r>
      <w:r w:rsidR="002607C6">
        <w:rPr>
          <w:rFonts w:ascii="Verdana" w:hAnsi="Verdana"/>
          <w:sz w:val="20"/>
          <w:szCs w:val="20"/>
          <w:lang w:val="es-MX"/>
        </w:rPr>
        <w:t xml:space="preserve">Se requiere al Estado que, en el plazo de dos semanas, contado a partir de la notificación de esta Resolución, comunique a esta Corte quién será </w:t>
      </w:r>
      <w:r w:rsidR="00272376">
        <w:rPr>
          <w:rFonts w:ascii="Verdana" w:hAnsi="Verdana"/>
          <w:sz w:val="20"/>
          <w:szCs w:val="20"/>
          <w:lang w:val="es-MX"/>
        </w:rPr>
        <w:t xml:space="preserve">la persona </w:t>
      </w:r>
      <w:r w:rsidR="002607C6">
        <w:rPr>
          <w:rFonts w:ascii="Verdana" w:hAnsi="Verdana"/>
          <w:sz w:val="20"/>
          <w:szCs w:val="20"/>
          <w:lang w:val="es-MX"/>
        </w:rPr>
        <w:t xml:space="preserve">designada para efectuar tal comunicación. </w:t>
      </w:r>
    </w:p>
    <w:p w14:paraId="0B7E47A4" w14:textId="77777777" w:rsidR="00E7235A" w:rsidRPr="00037A62" w:rsidRDefault="00E7235A" w:rsidP="00E7235A">
      <w:pPr>
        <w:pStyle w:val="Cuadrculamedia1-nfasis21"/>
        <w:spacing w:before="120" w:after="120" w:line="240" w:lineRule="auto"/>
        <w:ind w:left="0"/>
        <w:contextualSpacing w:val="0"/>
        <w:jc w:val="both"/>
        <w:rPr>
          <w:rFonts w:ascii="Verdana" w:hAnsi="Verdana"/>
          <w:i/>
          <w:sz w:val="20"/>
          <w:szCs w:val="20"/>
          <w:lang w:val="es-MX"/>
        </w:rPr>
      </w:pPr>
    </w:p>
    <w:p w14:paraId="068F1940" w14:textId="77777777" w:rsidR="00E7235A" w:rsidRPr="00037A62" w:rsidRDefault="00E7235A" w:rsidP="00E7235A">
      <w:pPr>
        <w:pStyle w:val="Cuadrculamedia1-nfasis21"/>
        <w:numPr>
          <w:ilvl w:val="0"/>
          <w:numId w:val="19"/>
        </w:numPr>
        <w:spacing w:before="120" w:after="120" w:line="240" w:lineRule="auto"/>
        <w:contextualSpacing w:val="0"/>
        <w:jc w:val="both"/>
        <w:outlineLvl w:val="0"/>
        <w:rPr>
          <w:rFonts w:ascii="Verdana" w:hAnsi="Verdana"/>
          <w:b/>
          <w:i/>
          <w:sz w:val="20"/>
          <w:szCs w:val="20"/>
          <w:lang w:val="es-MX"/>
        </w:rPr>
      </w:pPr>
      <w:bookmarkStart w:id="3" w:name="_Toc68623338"/>
      <w:r w:rsidRPr="00037A62">
        <w:rPr>
          <w:rFonts w:ascii="Verdana" w:hAnsi="Verdana"/>
          <w:b/>
          <w:i/>
          <w:sz w:val="20"/>
          <w:szCs w:val="20"/>
          <w:lang w:val="es-MX"/>
        </w:rPr>
        <w:t>Garantizar el libre acceso, uso y goce de la propiedad colectiva por parte de la Comunidad Triunfo de la Cruz en la parte de su territorio que se sobrepone con un área del parque Nacional Punta Izopo</w:t>
      </w:r>
      <w:bookmarkEnd w:id="3"/>
    </w:p>
    <w:p w14:paraId="033B9958" w14:textId="5D2D8347" w:rsidR="00E7235A" w:rsidRPr="000F7827" w:rsidRDefault="0001515D" w:rsidP="0001515D">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Con respecto a la medida relativa a</w:t>
      </w:r>
      <w:r w:rsidR="00E7235A" w:rsidRPr="00037A62">
        <w:rPr>
          <w:rFonts w:ascii="Verdana" w:hAnsi="Verdana"/>
          <w:sz w:val="20"/>
          <w:szCs w:val="20"/>
          <w:lang w:val="es-MX"/>
        </w:rPr>
        <w:t xml:space="preserve"> garantizar el libre acceso, uso y goce de la propiedad colectiva por parte de la Comunidad Triunfo de la Cruz en la parte de su territorio que se sobrepone con un área del Parque Nacional Punta Izopo</w:t>
      </w:r>
      <w:r w:rsidR="002607C6">
        <w:rPr>
          <w:rStyle w:val="Refdenotaalpie"/>
          <w:rFonts w:ascii="Verdana" w:hAnsi="Verdana"/>
          <w:sz w:val="20"/>
          <w:szCs w:val="20"/>
          <w:lang w:val="es-MX"/>
        </w:rPr>
        <w:footnoteReference w:id="29"/>
      </w:r>
      <w:r>
        <w:rPr>
          <w:rFonts w:ascii="Verdana" w:hAnsi="Verdana"/>
          <w:sz w:val="20"/>
          <w:szCs w:val="20"/>
          <w:lang w:val="es-MX"/>
        </w:rPr>
        <w:t>, e</w:t>
      </w:r>
      <w:r w:rsidR="00E7235A" w:rsidRPr="00037A62">
        <w:rPr>
          <w:rFonts w:ascii="Verdana" w:hAnsi="Verdana"/>
          <w:sz w:val="20"/>
          <w:szCs w:val="20"/>
          <w:lang w:val="es-MX"/>
        </w:rPr>
        <w:t>n la Resolución de 2019 la Corte valoró positivamente la adopción de</w:t>
      </w:r>
      <w:r w:rsidR="00E7235A">
        <w:rPr>
          <w:rFonts w:ascii="Verdana" w:hAnsi="Verdana"/>
          <w:sz w:val="20"/>
          <w:szCs w:val="20"/>
          <w:lang w:val="es-MX"/>
        </w:rPr>
        <w:t xml:space="preserve"> un</w:t>
      </w:r>
      <w:r w:rsidR="00E7235A" w:rsidRPr="00037A62">
        <w:rPr>
          <w:rFonts w:ascii="Verdana" w:hAnsi="Verdana"/>
          <w:sz w:val="20"/>
          <w:szCs w:val="20"/>
          <w:lang w:val="es-MX"/>
        </w:rPr>
        <w:t xml:space="preserve"> proyecto de Estrategias Especiales de Manejo en Áreas Protegidas con Traslapes en Territorios </w:t>
      </w:r>
      <w:proofErr w:type="spellStart"/>
      <w:r w:rsidR="00E7235A" w:rsidRPr="00037A62">
        <w:rPr>
          <w:rFonts w:ascii="Verdana" w:hAnsi="Verdana"/>
          <w:sz w:val="20"/>
          <w:szCs w:val="20"/>
          <w:lang w:val="es-MX"/>
        </w:rPr>
        <w:t>Afrohondureños</w:t>
      </w:r>
      <w:proofErr w:type="spellEnd"/>
      <w:r w:rsidR="00E7235A" w:rsidRPr="00037A62">
        <w:rPr>
          <w:rFonts w:ascii="Verdana" w:hAnsi="Verdana"/>
          <w:sz w:val="20"/>
          <w:szCs w:val="20"/>
          <w:lang w:val="es-MX"/>
        </w:rPr>
        <w:t>, el cual posibilitaría la adopción de un Plan de vida de la zona, en consulta con la Comunidad</w:t>
      </w:r>
      <w:r w:rsidR="00907450">
        <w:rPr>
          <w:rFonts w:ascii="Verdana" w:hAnsi="Verdana"/>
          <w:sz w:val="20"/>
          <w:szCs w:val="20"/>
          <w:lang w:val="es-MX"/>
        </w:rPr>
        <w:t>.</w:t>
      </w:r>
      <w:r w:rsidR="00E7235A" w:rsidRPr="00037A62">
        <w:rPr>
          <w:rFonts w:ascii="Verdana" w:hAnsi="Verdana"/>
          <w:sz w:val="20"/>
          <w:szCs w:val="20"/>
          <w:lang w:val="es-MX"/>
        </w:rPr>
        <w:t xml:space="preserve"> </w:t>
      </w:r>
      <w:r w:rsidR="002607C6">
        <w:rPr>
          <w:rFonts w:ascii="Verdana" w:hAnsi="Verdana"/>
          <w:sz w:val="20"/>
          <w:szCs w:val="20"/>
          <w:lang w:val="es-MX"/>
        </w:rPr>
        <w:t xml:space="preserve">El Tribunal </w:t>
      </w:r>
      <w:r w:rsidR="00E7235A" w:rsidRPr="00037A62">
        <w:rPr>
          <w:rFonts w:ascii="Verdana" w:hAnsi="Verdana"/>
          <w:sz w:val="20"/>
          <w:szCs w:val="20"/>
          <w:lang w:val="es-MX"/>
        </w:rPr>
        <w:t xml:space="preserve">consideró que dicha iniciativa podría contribuir a dar cumplimiento </w:t>
      </w:r>
      <w:r w:rsidR="002607C6">
        <w:rPr>
          <w:rFonts w:ascii="Verdana" w:hAnsi="Verdana"/>
          <w:sz w:val="20"/>
          <w:szCs w:val="20"/>
          <w:lang w:val="es-MX"/>
        </w:rPr>
        <w:t>a</w:t>
      </w:r>
      <w:r w:rsidR="00E7235A" w:rsidRPr="00037A62">
        <w:rPr>
          <w:rFonts w:ascii="Verdana" w:hAnsi="Verdana"/>
          <w:sz w:val="20"/>
          <w:szCs w:val="20"/>
          <w:lang w:val="es-MX"/>
        </w:rPr>
        <w:t xml:space="preserve"> la presente medida, siempre y cuando se desarrolle teniendo en cuenta los parámetros establecidos en la Sentencia, especialmente que “la mera socialización con la Comunidad o brindar información no necesariamente cumple con los elementos mínimos de una consulta previa adecuada, en la medida que no constituye un diálogo genuino como parte de un proceso de participación con miras a alcanzar un acuerdo”. Además, dado que los representantes informaron que continuaban las dificultades en el acceso, uso y goce de la propiedad comunal en la parte que se sobrepone a un área del Parque Nacional Punta Izopo, en tanto persisten los vallados en la zona, se solicitó al Estado aportar información actualizada y detallada con respecto a las acciones adoptadas a fin de garantizar a los miembros de la Comunidad el acceso</w:t>
      </w:r>
      <w:r>
        <w:rPr>
          <w:rFonts w:ascii="Verdana" w:hAnsi="Verdana"/>
          <w:sz w:val="20"/>
          <w:szCs w:val="20"/>
          <w:lang w:val="es-MX"/>
        </w:rPr>
        <w:t>, uso y goce de la propiedad co</w:t>
      </w:r>
      <w:r w:rsidR="00E7235A" w:rsidRPr="00037A62">
        <w:rPr>
          <w:rFonts w:ascii="Verdana" w:hAnsi="Verdana"/>
          <w:sz w:val="20"/>
          <w:szCs w:val="20"/>
          <w:lang w:val="es-MX"/>
        </w:rPr>
        <w:t xml:space="preserve">munal. </w:t>
      </w:r>
    </w:p>
    <w:p w14:paraId="7AEF0AFC" w14:textId="41972B18" w:rsidR="00E7235A" w:rsidRPr="00292657"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 xml:space="preserve">En septiembre de 2020, el </w:t>
      </w:r>
      <w:r w:rsidRPr="004051EA">
        <w:rPr>
          <w:rFonts w:ascii="Verdana" w:hAnsi="Verdana"/>
          <w:i/>
          <w:sz w:val="20"/>
          <w:szCs w:val="20"/>
          <w:lang w:val="es-MX"/>
        </w:rPr>
        <w:t xml:space="preserve">Estado </w:t>
      </w:r>
      <w:r w:rsidR="004051EA">
        <w:rPr>
          <w:rFonts w:ascii="Verdana" w:hAnsi="Verdana"/>
          <w:sz w:val="20"/>
          <w:szCs w:val="20"/>
          <w:lang w:val="es-MX"/>
        </w:rPr>
        <w:t>indicó</w:t>
      </w:r>
      <w:r w:rsidRPr="00037A62">
        <w:rPr>
          <w:rFonts w:ascii="Verdana" w:hAnsi="Verdana"/>
          <w:sz w:val="20"/>
          <w:szCs w:val="20"/>
          <w:lang w:val="es-MX"/>
        </w:rPr>
        <w:t xml:space="preserve"> que el </w:t>
      </w:r>
      <w:r w:rsidR="00113C3E">
        <w:rPr>
          <w:rFonts w:ascii="Verdana" w:hAnsi="Verdana"/>
          <w:sz w:val="20"/>
          <w:szCs w:val="20"/>
          <w:lang w:val="es-MX"/>
        </w:rPr>
        <w:t xml:space="preserve">referido </w:t>
      </w:r>
      <w:r w:rsidRPr="00037A62">
        <w:rPr>
          <w:rFonts w:ascii="Verdana" w:hAnsi="Verdana"/>
          <w:sz w:val="20"/>
          <w:szCs w:val="20"/>
          <w:lang w:val="es-MX"/>
        </w:rPr>
        <w:t xml:space="preserve">proyecto de Estrategias Especiales de Manejo en Áreas Protegidas con Traslapes en Territorios </w:t>
      </w:r>
      <w:proofErr w:type="spellStart"/>
      <w:r w:rsidRPr="00037A62">
        <w:rPr>
          <w:rFonts w:ascii="Verdana" w:hAnsi="Verdana"/>
          <w:sz w:val="20"/>
          <w:szCs w:val="20"/>
          <w:lang w:val="es-MX"/>
        </w:rPr>
        <w:t>Afrohondureños</w:t>
      </w:r>
      <w:proofErr w:type="spellEnd"/>
      <w:r w:rsidRPr="00037A62">
        <w:rPr>
          <w:rFonts w:ascii="Verdana" w:hAnsi="Verdana"/>
          <w:sz w:val="20"/>
          <w:szCs w:val="20"/>
          <w:lang w:val="es-MX"/>
        </w:rPr>
        <w:t xml:space="preserve"> “atiende a los elementos mínimos de una consulta previa</w:t>
      </w:r>
      <w:r>
        <w:rPr>
          <w:rFonts w:ascii="Verdana" w:hAnsi="Verdana"/>
          <w:sz w:val="20"/>
          <w:szCs w:val="20"/>
          <w:lang w:val="es-MX"/>
        </w:rPr>
        <w:t>”</w:t>
      </w:r>
      <w:r w:rsidRPr="00037A62">
        <w:rPr>
          <w:rFonts w:ascii="Verdana" w:hAnsi="Verdana"/>
          <w:sz w:val="20"/>
          <w:szCs w:val="20"/>
          <w:lang w:val="es-MX"/>
        </w:rPr>
        <w:t xml:space="preserve">; sin embargo, </w:t>
      </w:r>
      <w:r>
        <w:rPr>
          <w:rFonts w:ascii="Verdana" w:hAnsi="Verdana"/>
          <w:sz w:val="20"/>
          <w:szCs w:val="20"/>
          <w:lang w:val="es-MX"/>
        </w:rPr>
        <w:t>reconoció que “</w:t>
      </w:r>
      <w:r w:rsidRPr="00037A62">
        <w:rPr>
          <w:rFonts w:ascii="Verdana" w:hAnsi="Verdana"/>
          <w:sz w:val="20"/>
          <w:szCs w:val="20"/>
          <w:lang w:val="es-MX"/>
        </w:rPr>
        <w:t xml:space="preserve">el mecanismo utilizado por el Instituto de Conservación Forestal […], se limita a una socialización”. </w:t>
      </w:r>
      <w:r>
        <w:rPr>
          <w:rFonts w:ascii="Verdana" w:hAnsi="Verdana"/>
          <w:sz w:val="20"/>
          <w:szCs w:val="20"/>
          <w:lang w:val="es-MX"/>
        </w:rPr>
        <w:t>Si bien el</w:t>
      </w:r>
      <w:r w:rsidRPr="00037A62">
        <w:rPr>
          <w:rFonts w:ascii="Verdana" w:hAnsi="Verdana"/>
          <w:sz w:val="20"/>
          <w:szCs w:val="20"/>
          <w:lang w:val="es-MX"/>
        </w:rPr>
        <w:t xml:space="preserve"> Tribunal valora positivamente lo referido por el Estado en la audiencia pública celebrad</w:t>
      </w:r>
      <w:r w:rsidR="008829FE">
        <w:rPr>
          <w:rFonts w:ascii="Verdana" w:hAnsi="Verdana"/>
          <w:sz w:val="20"/>
          <w:szCs w:val="20"/>
          <w:lang w:val="es-MX"/>
        </w:rPr>
        <w:t>a el 4 de marzo de 2021 en cuant</w:t>
      </w:r>
      <w:r w:rsidRPr="00037A62">
        <w:rPr>
          <w:rFonts w:ascii="Verdana" w:hAnsi="Verdana"/>
          <w:sz w:val="20"/>
          <w:szCs w:val="20"/>
          <w:lang w:val="es-MX"/>
        </w:rPr>
        <w:t xml:space="preserve">o a </w:t>
      </w:r>
      <w:r>
        <w:rPr>
          <w:rFonts w:ascii="Verdana" w:hAnsi="Verdana"/>
          <w:sz w:val="20"/>
          <w:szCs w:val="20"/>
          <w:lang w:val="es-MX"/>
        </w:rPr>
        <w:t xml:space="preserve">la realización de </w:t>
      </w:r>
      <w:r w:rsidRPr="00037A62">
        <w:rPr>
          <w:rFonts w:ascii="Verdana" w:hAnsi="Verdana"/>
          <w:sz w:val="20"/>
          <w:szCs w:val="20"/>
          <w:lang w:val="es-MX"/>
        </w:rPr>
        <w:t xml:space="preserve">un seminario </w:t>
      </w:r>
      <w:r>
        <w:rPr>
          <w:rFonts w:ascii="Verdana" w:hAnsi="Verdana"/>
          <w:sz w:val="20"/>
          <w:szCs w:val="20"/>
          <w:lang w:val="es-MX"/>
        </w:rPr>
        <w:t>sobre consulta previa, libre e informada que alcanzaría a los funcionarios del Instituto de Conservación Forestal</w:t>
      </w:r>
      <w:r w:rsidRPr="00037A62">
        <w:rPr>
          <w:rStyle w:val="Refdenotaalpie"/>
          <w:rFonts w:ascii="Verdana" w:hAnsi="Verdana"/>
          <w:sz w:val="20"/>
          <w:szCs w:val="20"/>
          <w:lang w:val="es-MX"/>
        </w:rPr>
        <w:footnoteReference w:id="30"/>
      </w:r>
      <w:r>
        <w:rPr>
          <w:rFonts w:ascii="Verdana" w:hAnsi="Verdana"/>
          <w:sz w:val="20"/>
          <w:szCs w:val="20"/>
          <w:lang w:val="es-MX"/>
        </w:rPr>
        <w:t xml:space="preserve">, </w:t>
      </w:r>
      <w:r w:rsidR="00B465CA">
        <w:rPr>
          <w:rFonts w:ascii="Verdana" w:hAnsi="Verdana"/>
          <w:sz w:val="20"/>
          <w:szCs w:val="20"/>
          <w:lang w:val="es-MX"/>
        </w:rPr>
        <w:t xml:space="preserve">también </w:t>
      </w:r>
      <w:r w:rsidRPr="00037A62">
        <w:rPr>
          <w:rFonts w:ascii="Verdana" w:hAnsi="Verdana"/>
          <w:sz w:val="20"/>
          <w:szCs w:val="20"/>
          <w:lang w:val="es-MX"/>
        </w:rPr>
        <w:t xml:space="preserve">observa con preocupación lo referido por los </w:t>
      </w:r>
      <w:r w:rsidRPr="008829FE">
        <w:rPr>
          <w:rFonts w:ascii="Verdana" w:hAnsi="Verdana"/>
          <w:i/>
          <w:sz w:val="20"/>
          <w:szCs w:val="20"/>
          <w:lang w:val="es-MX"/>
        </w:rPr>
        <w:t>representantes</w:t>
      </w:r>
      <w:r w:rsidRPr="00037A62">
        <w:rPr>
          <w:rFonts w:ascii="Verdana" w:hAnsi="Verdana"/>
          <w:sz w:val="20"/>
          <w:szCs w:val="20"/>
          <w:lang w:val="es-MX"/>
        </w:rPr>
        <w:t xml:space="preserve"> en cuanto a que “el grado de incumplimiento es el mismo y existe más bien un agravamiento de la situación pues según información de público conocimiento, el Instituto Nacional Agrario habría concedido títulos sobre tierras ubicadas dentro del mismo parque”. </w:t>
      </w:r>
    </w:p>
    <w:p w14:paraId="3F855172" w14:textId="77777777" w:rsidR="00E7235A" w:rsidRPr="00037A62" w:rsidRDefault="00E7235A"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Por lo expuesto, e</w:t>
      </w:r>
      <w:r w:rsidRPr="00037A62">
        <w:rPr>
          <w:rFonts w:ascii="Verdana" w:hAnsi="Verdana"/>
          <w:sz w:val="20"/>
          <w:szCs w:val="20"/>
          <w:lang w:val="es-MX"/>
        </w:rPr>
        <w:t xml:space="preserve">ste Tribunal considera que la presente medida de reparación se encuentra pendiente de cumplimiento y requiere al Estado continuar presentando información actualizada y detallada sobre su cumplimiento. En particular, deberá referirse a las </w:t>
      </w:r>
      <w:r w:rsidRPr="00037A62">
        <w:rPr>
          <w:rFonts w:ascii="Verdana" w:hAnsi="Verdana"/>
          <w:sz w:val="20"/>
          <w:szCs w:val="20"/>
          <w:lang w:val="es-MX"/>
        </w:rPr>
        <w:lastRenderedPageBreak/>
        <w:t xml:space="preserve">observaciones realizadas por los representantes en cuanto al agravamiento de la situación en virtud de la concesión de títulos sobre tierras ubicadas dentro del parque. </w:t>
      </w:r>
    </w:p>
    <w:p w14:paraId="78924B77" w14:textId="006A872E" w:rsidR="00E7235A" w:rsidRDefault="00E7235A" w:rsidP="00E7235A">
      <w:pPr>
        <w:pStyle w:val="Cuadrculamedia1-nfasis21"/>
        <w:spacing w:before="120" w:after="120" w:line="240" w:lineRule="auto"/>
        <w:ind w:left="0"/>
        <w:contextualSpacing w:val="0"/>
        <w:jc w:val="both"/>
        <w:outlineLvl w:val="0"/>
        <w:rPr>
          <w:rFonts w:ascii="Verdana" w:hAnsi="Verdana"/>
          <w:b/>
          <w:i/>
          <w:sz w:val="20"/>
          <w:szCs w:val="20"/>
          <w:lang w:val="es-MX"/>
        </w:rPr>
      </w:pPr>
    </w:p>
    <w:p w14:paraId="5DFF9092" w14:textId="77777777" w:rsidR="00E7235A" w:rsidRPr="00037A62" w:rsidRDefault="00E7235A" w:rsidP="00E7235A">
      <w:pPr>
        <w:pStyle w:val="Cuadrculamedia1-nfasis21"/>
        <w:numPr>
          <w:ilvl w:val="0"/>
          <w:numId w:val="19"/>
        </w:numPr>
        <w:spacing w:before="120" w:after="120" w:line="240" w:lineRule="auto"/>
        <w:contextualSpacing w:val="0"/>
        <w:jc w:val="both"/>
        <w:outlineLvl w:val="0"/>
        <w:rPr>
          <w:rFonts w:ascii="Verdana" w:hAnsi="Verdana"/>
          <w:b/>
          <w:i/>
          <w:sz w:val="20"/>
          <w:szCs w:val="20"/>
          <w:lang w:val="es-MX"/>
        </w:rPr>
      </w:pPr>
      <w:bookmarkStart w:id="4" w:name="_Toc68623339"/>
      <w:r w:rsidRPr="00037A62">
        <w:rPr>
          <w:rFonts w:ascii="Verdana" w:hAnsi="Verdana"/>
          <w:b/>
          <w:i/>
          <w:sz w:val="20"/>
          <w:szCs w:val="20"/>
          <w:lang w:val="es-MX"/>
        </w:rPr>
        <w:t>Crear mecanismos adecuados para regular su sistema de Registro de Propiedad</w:t>
      </w:r>
      <w:bookmarkEnd w:id="4"/>
    </w:p>
    <w:p w14:paraId="382D90E2" w14:textId="318BDB40" w:rsidR="00E7235A" w:rsidRPr="0001515D" w:rsidRDefault="00E85176" w:rsidP="0001515D">
      <w:pPr>
        <w:numPr>
          <w:ilvl w:val="0"/>
          <w:numId w:val="3"/>
        </w:numPr>
        <w:spacing w:before="120" w:after="120" w:line="240" w:lineRule="auto"/>
        <w:ind w:left="0" w:firstLine="0"/>
        <w:jc w:val="both"/>
        <w:rPr>
          <w:rFonts w:ascii="Verdana" w:hAnsi="Verdana"/>
          <w:i/>
          <w:sz w:val="20"/>
          <w:szCs w:val="20"/>
          <w:lang w:val="es-MX"/>
        </w:rPr>
      </w:pPr>
      <w:r>
        <w:rPr>
          <w:rFonts w:ascii="Verdana" w:hAnsi="Verdana"/>
          <w:sz w:val="20"/>
          <w:szCs w:val="20"/>
          <w:lang w:val="es-MX"/>
        </w:rPr>
        <w:t xml:space="preserve">Con respecto a las reparaciones relativas a </w:t>
      </w:r>
      <w:r w:rsidR="00FB74F8">
        <w:rPr>
          <w:rFonts w:ascii="Verdana" w:hAnsi="Verdana"/>
          <w:sz w:val="20"/>
          <w:szCs w:val="20"/>
          <w:lang w:val="es-MX"/>
        </w:rPr>
        <w:t>“</w:t>
      </w:r>
      <w:r>
        <w:rPr>
          <w:rFonts w:ascii="Verdana" w:hAnsi="Verdana"/>
          <w:sz w:val="20"/>
          <w:szCs w:val="20"/>
          <w:lang w:val="es-MX"/>
        </w:rPr>
        <w:t>la creación de mecanismos adecuados para regular el Sistema de Registro de Propiedad en Honduras</w:t>
      </w:r>
      <w:r w:rsidR="00FB74F8">
        <w:rPr>
          <w:rFonts w:ascii="Verdana" w:hAnsi="Verdana"/>
          <w:sz w:val="20"/>
          <w:szCs w:val="20"/>
          <w:lang w:val="es-MX"/>
        </w:rPr>
        <w:t>”</w:t>
      </w:r>
      <w:r w:rsidR="00FB74F8">
        <w:rPr>
          <w:rStyle w:val="Refdenotaalpie"/>
          <w:rFonts w:ascii="Verdana" w:hAnsi="Verdana"/>
          <w:sz w:val="20"/>
          <w:szCs w:val="20"/>
          <w:lang w:val="es-MX"/>
        </w:rPr>
        <w:footnoteReference w:id="31"/>
      </w:r>
      <w:r>
        <w:rPr>
          <w:rFonts w:ascii="Verdana" w:hAnsi="Verdana"/>
          <w:sz w:val="20"/>
          <w:szCs w:val="20"/>
          <w:lang w:val="es-MX"/>
        </w:rPr>
        <w:t>, en</w:t>
      </w:r>
      <w:r w:rsidR="00E7235A">
        <w:rPr>
          <w:rFonts w:ascii="Verdana" w:hAnsi="Verdana"/>
          <w:sz w:val="20"/>
          <w:szCs w:val="20"/>
          <w:lang w:val="es-MX"/>
        </w:rPr>
        <w:t xml:space="preserve"> las Resoluciones emitidas </w:t>
      </w:r>
      <w:r w:rsidR="00024E28">
        <w:rPr>
          <w:rFonts w:ascii="Verdana" w:hAnsi="Verdana"/>
          <w:sz w:val="20"/>
          <w:szCs w:val="20"/>
          <w:lang w:val="es-MX"/>
        </w:rPr>
        <w:t xml:space="preserve">en </w:t>
      </w:r>
      <w:r>
        <w:rPr>
          <w:rFonts w:ascii="Verdana" w:hAnsi="Verdana"/>
          <w:sz w:val="20"/>
          <w:szCs w:val="20"/>
          <w:lang w:val="es-MX"/>
        </w:rPr>
        <w:t>ambos casos en 2019, la Corte</w:t>
      </w:r>
      <w:r w:rsidR="00E7235A" w:rsidRPr="00A84D20">
        <w:rPr>
          <w:rFonts w:ascii="Verdana" w:hAnsi="Verdana"/>
          <w:sz w:val="20"/>
          <w:szCs w:val="20"/>
          <w:lang w:val="es-CR"/>
        </w:rPr>
        <w:t xml:space="preserve"> solicitó al Estado que continúe informando y que explique cómo las medidas adoptadas hasta el momento garantizarían que no se efectúe superposición de títulos de propiedad, tomando en cuenta que existe tanto propiedad privada como </w:t>
      </w:r>
      <w:r w:rsidRPr="00A84D20">
        <w:rPr>
          <w:rFonts w:ascii="Verdana" w:hAnsi="Verdana"/>
          <w:sz w:val="20"/>
          <w:szCs w:val="20"/>
          <w:lang w:val="es-CR"/>
        </w:rPr>
        <w:t>comunal.</w:t>
      </w:r>
    </w:p>
    <w:p w14:paraId="3446E403" w14:textId="32B65FCE" w:rsidR="00E7235A" w:rsidRPr="00DD6E3C" w:rsidRDefault="00E7235A" w:rsidP="00E7235A">
      <w:pPr>
        <w:numPr>
          <w:ilvl w:val="0"/>
          <w:numId w:val="3"/>
        </w:numPr>
        <w:spacing w:before="120" w:after="120" w:line="240" w:lineRule="auto"/>
        <w:ind w:left="0" w:firstLine="0"/>
        <w:jc w:val="both"/>
        <w:rPr>
          <w:rFonts w:ascii="Verdana" w:hAnsi="Verdana"/>
          <w:sz w:val="20"/>
          <w:szCs w:val="20"/>
          <w:lang w:val="es-MX"/>
        </w:rPr>
      </w:pPr>
      <w:r w:rsidRPr="00037A62">
        <w:rPr>
          <w:rFonts w:ascii="Verdana" w:hAnsi="Verdana"/>
          <w:sz w:val="20"/>
          <w:szCs w:val="20"/>
          <w:lang w:val="es-MX"/>
        </w:rPr>
        <w:t>En la audiencia pública celebrada el 4 de marzo de 2021</w:t>
      </w:r>
      <w:r w:rsidRPr="00037A62">
        <w:rPr>
          <w:rStyle w:val="Refdenotaalpie"/>
          <w:rFonts w:ascii="Verdana" w:hAnsi="Verdana"/>
          <w:sz w:val="20"/>
          <w:szCs w:val="20"/>
          <w:lang w:val="es-MX"/>
        </w:rPr>
        <w:footnoteReference w:id="32"/>
      </w:r>
      <w:r w:rsidRPr="00037A62">
        <w:rPr>
          <w:rFonts w:ascii="Verdana" w:hAnsi="Verdana"/>
          <w:sz w:val="20"/>
          <w:szCs w:val="20"/>
          <w:lang w:val="es-MX"/>
        </w:rPr>
        <w:t xml:space="preserve">, </w:t>
      </w:r>
      <w:r w:rsidRPr="008829FE">
        <w:rPr>
          <w:rFonts w:ascii="Verdana" w:hAnsi="Verdana"/>
          <w:i/>
          <w:sz w:val="20"/>
          <w:szCs w:val="20"/>
          <w:lang w:val="es-MX"/>
        </w:rPr>
        <w:t>Honduras</w:t>
      </w:r>
      <w:r w:rsidRPr="00037A62">
        <w:rPr>
          <w:rFonts w:ascii="Verdana" w:hAnsi="Verdana"/>
          <w:sz w:val="20"/>
          <w:szCs w:val="20"/>
          <w:lang w:val="es-MX"/>
        </w:rPr>
        <w:t xml:space="preserve"> solicitó que se declare el cumplimiento del presente punto resolutivo, haciendo notar que: (i) el “nuevo proceso de geo-referenciación en el sistema unificad</w:t>
      </w:r>
      <w:r w:rsidR="008829FE">
        <w:rPr>
          <w:rFonts w:ascii="Verdana" w:hAnsi="Verdana"/>
          <w:sz w:val="20"/>
          <w:szCs w:val="20"/>
          <w:lang w:val="es-MX"/>
        </w:rPr>
        <w:t>o de registro (‘SURE’)” permite</w:t>
      </w:r>
      <w:r w:rsidRPr="00037A62">
        <w:rPr>
          <w:rFonts w:ascii="Verdana" w:hAnsi="Verdana"/>
          <w:sz w:val="20"/>
          <w:szCs w:val="20"/>
          <w:lang w:val="es-MX"/>
        </w:rPr>
        <w:t xml:space="preserve"> una “mayor coordinación entre la identificación geométrica y el registro de propiedad o vinculación registro </w:t>
      </w:r>
      <w:r w:rsidRPr="00DD6E3C">
        <w:rPr>
          <w:rFonts w:ascii="Verdana" w:hAnsi="Verdana"/>
          <w:sz w:val="20"/>
          <w:szCs w:val="20"/>
          <w:lang w:val="es-MX"/>
        </w:rPr>
        <w:t xml:space="preserve">catastro”; (ii) se ha tenido “mayor </w:t>
      </w:r>
      <w:r w:rsidRPr="00DD6E3C">
        <w:rPr>
          <w:rFonts w:ascii="Verdana" w:hAnsi="Verdana"/>
          <w:bCs/>
          <w:sz w:val="20"/>
          <w:szCs w:val="20"/>
          <w:lang w:val="es-MX"/>
        </w:rPr>
        <w:t>vinculación</w:t>
      </w:r>
      <w:r w:rsidRPr="00DD6E3C">
        <w:rPr>
          <w:rFonts w:ascii="Verdana" w:hAnsi="Verdana"/>
          <w:sz w:val="20"/>
          <w:szCs w:val="20"/>
          <w:lang w:val="es-MX"/>
        </w:rPr>
        <w:t xml:space="preserve"> entre el Instituto Nacional Agrario y el Instituto de la Propiedad”, detallando que “en ese marco de la cooperación, el [Instituto de la Propiedad] está a la espera de la revisión de planos de los títulos comunitarios entregados por el [Instituto Nacional Agrario] con el propósito de ingresarlos al sistema unificado de registro”; (iii) se realizó la “migración o inclusión de los sectores del Municipio de Tela Atlántida a la nueva plataforma del ‘SURE’”, añadiendo que se migraron a dicha plataforma “134 de los 138 sectores del registro catastral del ‘SURE’, equivalente al 97%”. Explicó que ello “se traduce en un avance más a la modernización de los datos que hace posible su consulta en el visor de publicación del Sistema Nacional de Administración de la Propiedad”.</w:t>
      </w:r>
    </w:p>
    <w:p w14:paraId="1EA6092E" w14:textId="6FE200A2" w:rsidR="00E7235A" w:rsidRPr="00DD6E3C" w:rsidRDefault="00E7235A" w:rsidP="00E7235A">
      <w:pPr>
        <w:numPr>
          <w:ilvl w:val="0"/>
          <w:numId w:val="3"/>
        </w:numPr>
        <w:spacing w:before="120" w:after="120" w:line="240" w:lineRule="auto"/>
        <w:ind w:left="0" w:firstLine="0"/>
        <w:jc w:val="both"/>
        <w:rPr>
          <w:rFonts w:ascii="Verdana" w:hAnsi="Verdana"/>
          <w:b/>
          <w:sz w:val="20"/>
          <w:szCs w:val="20"/>
          <w:lang w:val="es-MX"/>
        </w:rPr>
      </w:pPr>
      <w:r w:rsidRPr="00DD6E3C">
        <w:rPr>
          <w:rFonts w:ascii="Verdana" w:hAnsi="Verdana"/>
          <w:sz w:val="20"/>
          <w:szCs w:val="20"/>
          <w:lang w:val="es-MX"/>
        </w:rPr>
        <w:t xml:space="preserve">Al respecto, los </w:t>
      </w:r>
      <w:r w:rsidRPr="008829FE">
        <w:rPr>
          <w:rFonts w:ascii="Verdana" w:hAnsi="Verdana"/>
          <w:i/>
          <w:sz w:val="20"/>
          <w:szCs w:val="20"/>
          <w:lang w:val="es-MX"/>
        </w:rPr>
        <w:t>representantes</w:t>
      </w:r>
      <w:r w:rsidRPr="00DD6E3C">
        <w:rPr>
          <w:rFonts w:ascii="Verdana" w:hAnsi="Verdana"/>
          <w:sz w:val="20"/>
          <w:szCs w:val="20"/>
          <w:lang w:val="es-MX"/>
        </w:rPr>
        <w:t xml:space="preserve"> consideraron que el cumplimiento de la presente medida de reparación se encuentra en un “punto muerto” ya que “ni siquiera se ha consultado con la comunidad los aspectos relacionados con el derecho consuetudinario de la comunidad, los usos y costumbres y </w:t>
      </w:r>
      <w:r w:rsidRPr="00DD6E3C">
        <w:rPr>
          <w:rFonts w:ascii="Verdana" w:hAnsi="Verdana"/>
          <w:bCs/>
          <w:sz w:val="20"/>
          <w:szCs w:val="20"/>
          <w:lang w:val="es-MX"/>
        </w:rPr>
        <w:t>principalmente</w:t>
      </w:r>
      <w:r w:rsidRPr="00DD6E3C">
        <w:rPr>
          <w:rFonts w:ascii="Verdana" w:hAnsi="Verdana"/>
          <w:sz w:val="20"/>
          <w:szCs w:val="20"/>
          <w:lang w:val="es-MX"/>
        </w:rPr>
        <w:t xml:space="preserve">, el Estado desconoce el área ancestral del territorio”. </w:t>
      </w:r>
    </w:p>
    <w:p w14:paraId="0B7599E1" w14:textId="6C2CE4F8" w:rsidR="00317806" w:rsidRPr="00317806" w:rsidRDefault="00317806" w:rsidP="00225C4E">
      <w:pPr>
        <w:numPr>
          <w:ilvl w:val="0"/>
          <w:numId w:val="3"/>
        </w:numPr>
        <w:spacing w:before="120" w:after="120" w:line="240" w:lineRule="auto"/>
        <w:ind w:left="0" w:firstLine="0"/>
        <w:jc w:val="both"/>
        <w:rPr>
          <w:rFonts w:ascii="Verdana" w:hAnsi="Verdana"/>
          <w:b/>
          <w:i/>
          <w:sz w:val="20"/>
          <w:szCs w:val="20"/>
          <w:lang w:val="es-MX"/>
        </w:rPr>
      </w:pPr>
      <w:r w:rsidRPr="00317806">
        <w:rPr>
          <w:rFonts w:ascii="Verdana" w:hAnsi="Verdana"/>
          <w:sz w:val="20"/>
          <w:szCs w:val="20"/>
          <w:lang w:val="es-MX"/>
        </w:rPr>
        <w:t>E</w:t>
      </w:r>
      <w:r w:rsidR="00BC04C9" w:rsidRPr="00317806">
        <w:rPr>
          <w:rFonts w:ascii="Verdana" w:hAnsi="Verdana"/>
          <w:sz w:val="20"/>
          <w:szCs w:val="20"/>
          <w:lang w:val="es-MX"/>
        </w:rPr>
        <w:t>sta Corte considera necesario recordar que</w:t>
      </w:r>
      <w:r w:rsidRPr="00317806">
        <w:rPr>
          <w:rFonts w:ascii="Verdana" w:hAnsi="Verdana"/>
          <w:sz w:val="20"/>
          <w:szCs w:val="20"/>
          <w:lang w:val="es-MX"/>
        </w:rPr>
        <w:t xml:space="preserve"> la presente reparación no se refiere al procedimiento para el reconocimiento de la propiedad tradicional, sino a que, una vez reconocida, ésta sea adecuadamente registrada. En otras palabras, esta garantía de no repetición persigue el objetivo de evitar que se produzcan traslapes entre títulos de propiedad individual y títulos de propiedad comunitaria ya reconocidos, a causa de la falta de registro de ésta última. </w:t>
      </w:r>
      <w:r>
        <w:rPr>
          <w:rFonts w:ascii="Verdana" w:hAnsi="Verdana"/>
          <w:sz w:val="20"/>
          <w:szCs w:val="20"/>
          <w:lang w:val="es-MX"/>
        </w:rPr>
        <w:t>T</w:t>
      </w:r>
      <w:r w:rsidR="00BC04C9" w:rsidRPr="00317806">
        <w:rPr>
          <w:rFonts w:ascii="Verdana" w:hAnsi="Verdana"/>
          <w:sz w:val="20"/>
          <w:szCs w:val="20"/>
          <w:lang w:val="es-MX"/>
        </w:rPr>
        <w:t xml:space="preserve">al como se remarcó </w:t>
      </w:r>
      <w:r w:rsidR="00BC04C9" w:rsidRPr="00317806">
        <w:rPr>
          <w:rFonts w:ascii="Verdana" w:hAnsi="Verdana"/>
          <w:i/>
          <w:sz w:val="20"/>
          <w:szCs w:val="20"/>
          <w:lang w:val="es-MX"/>
        </w:rPr>
        <w:t xml:space="preserve">supra </w:t>
      </w:r>
      <w:r w:rsidR="00BC04C9" w:rsidRPr="00317806">
        <w:rPr>
          <w:rFonts w:ascii="Verdana" w:hAnsi="Verdana"/>
          <w:sz w:val="20"/>
          <w:szCs w:val="20"/>
          <w:lang w:val="es-MX"/>
        </w:rPr>
        <w:t xml:space="preserve">(Considerando </w:t>
      </w:r>
      <w:r w:rsidR="005B4E25">
        <w:rPr>
          <w:rFonts w:ascii="Verdana" w:hAnsi="Verdana"/>
          <w:sz w:val="20"/>
          <w:szCs w:val="20"/>
          <w:lang w:val="es-MX"/>
        </w:rPr>
        <w:t>36</w:t>
      </w:r>
      <w:r w:rsidR="00A3535C">
        <w:rPr>
          <w:rFonts w:ascii="Verdana" w:hAnsi="Verdana"/>
          <w:sz w:val="20"/>
          <w:szCs w:val="20"/>
          <w:lang w:val="es-MX"/>
        </w:rPr>
        <w:t>, nota al pie 29</w:t>
      </w:r>
      <w:r w:rsidR="00BC04C9" w:rsidRPr="00317806">
        <w:rPr>
          <w:rFonts w:ascii="Verdana" w:hAnsi="Verdana"/>
          <w:sz w:val="20"/>
          <w:szCs w:val="20"/>
          <w:lang w:val="es-MX"/>
        </w:rPr>
        <w:t>),</w:t>
      </w:r>
      <w:r w:rsidRPr="00317806">
        <w:rPr>
          <w:rFonts w:ascii="Verdana" w:hAnsi="Verdana"/>
          <w:sz w:val="20"/>
          <w:szCs w:val="20"/>
          <w:lang w:val="es-MX"/>
        </w:rPr>
        <w:t xml:space="preserve"> las determinaciones hechas en las Sentencias no excluyen reclamos adicionales o posteriores que pudieren surgir en un futuro</w:t>
      </w:r>
      <w:r>
        <w:rPr>
          <w:rFonts w:ascii="Verdana" w:hAnsi="Verdana"/>
          <w:sz w:val="20"/>
          <w:szCs w:val="20"/>
          <w:lang w:val="es-MX"/>
        </w:rPr>
        <w:t>; sin embargo, corresponde que éstos sean</w:t>
      </w:r>
      <w:r w:rsidRPr="00317806">
        <w:rPr>
          <w:rFonts w:ascii="Verdana" w:hAnsi="Verdana"/>
          <w:sz w:val="20"/>
          <w:szCs w:val="20"/>
          <w:lang w:val="es-MX"/>
        </w:rPr>
        <w:t xml:space="preserve"> dirimidos a través de los procedimientos internos establecidos a tales efectos. </w:t>
      </w:r>
    </w:p>
    <w:p w14:paraId="62BAE521" w14:textId="42C931F2" w:rsidR="00E7235A" w:rsidRPr="00DD6E3C" w:rsidRDefault="00F235B3" w:rsidP="00317806">
      <w:pPr>
        <w:numPr>
          <w:ilvl w:val="0"/>
          <w:numId w:val="3"/>
        </w:numPr>
        <w:spacing w:before="120" w:after="120" w:line="240" w:lineRule="auto"/>
        <w:ind w:left="0" w:firstLine="0"/>
        <w:jc w:val="both"/>
        <w:rPr>
          <w:rFonts w:ascii="Verdana" w:hAnsi="Verdana"/>
          <w:b/>
          <w:i/>
          <w:sz w:val="20"/>
          <w:szCs w:val="20"/>
          <w:lang w:val="es-MX"/>
        </w:rPr>
      </w:pPr>
      <w:r>
        <w:rPr>
          <w:rFonts w:ascii="Verdana" w:hAnsi="Verdana"/>
          <w:sz w:val="20"/>
          <w:szCs w:val="20"/>
          <w:lang w:val="es-MX"/>
        </w:rPr>
        <w:t>E</w:t>
      </w:r>
      <w:r w:rsidR="00E7235A" w:rsidRPr="00DD6E3C">
        <w:rPr>
          <w:rFonts w:ascii="Verdana" w:hAnsi="Verdana"/>
          <w:sz w:val="20"/>
          <w:szCs w:val="20"/>
          <w:lang w:val="es-MX"/>
        </w:rPr>
        <w:t xml:space="preserve">ste Tribunal </w:t>
      </w:r>
      <w:r w:rsidR="00317806">
        <w:rPr>
          <w:rFonts w:ascii="Verdana" w:hAnsi="Verdana"/>
          <w:sz w:val="20"/>
          <w:szCs w:val="20"/>
          <w:lang w:val="es-MX"/>
        </w:rPr>
        <w:t>valora</w:t>
      </w:r>
      <w:r w:rsidR="00E7235A" w:rsidRPr="00DD6E3C">
        <w:rPr>
          <w:rFonts w:ascii="Verdana" w:hAnsi="Verdana"/>
          <w:sz w:val="20"/>
          <w:szCs w:val="20"/>
          <w:lang w:val="es-MX"/>
        </w:rPr>
        <w:t xml:space="preserve"> </w:t>
      </w:r>
      <w:r w:rsidR="00E7235A">
        <w:rPr>
          <w:rFonts w:ascii="Verdana" w:hAnsi="Verdana"/>
          <w:sz w:val="20"/>
          <w:szCs w:val="20"/>
          <w:lang w:val="es-MX"/>
        </w:rPr>
        <w:t>las acciones</w:t>
      </w:r>
      <w:r w:rsidR="00E7235A" w:rsidRPr="00DD6E3C">
        <w:rPr>
          <w:rFonts w:ascii="Verdana" w:hAnsi="Verdana"/>
          <w:sz w:val="20"/>
          <w:szCs w:val="20"/>
          <w:lang w:val="es-MX"/>
        </w:rPr>
        <w:t xml:space="preserve"> emprendid</w:t>
      </w:r>
      <w:r w:rsidR="00677670">
        <w:rPr>
          <w:rFonts w:ascii="Verdana" w:hAnsi="Verdana"/>
          <w:sz w:val="20"/>
          <w:szCs w:val="20"/>
          <w:lang w:val="es-MX"/>
        </w:rPr>
        <w:t>a</w:t>
      </w:r>
      <w:r w:rsidR="00E7235A" w:rsidRPr="00DD6E3C">
        <w:rPr>
          <w:rFonts w:ascii="Verdana" w:hAnsi="Verdana"/>
          <w:sz w:val="20"/>
          <w:szCs w:val="20"/>
          <w:lang w:val="es-MX"/>
        </w:rPr>
        <w:t xml:space="preserve">s por el Estado </w:t>
      </w:r>
      <w:r w:rsidR="00317806">
        <w:rPr>
          <w:rFonts w:ascii="Verdana" w:hAnsi="Verdana"/>
          <w:sz w:val="20"/>
          <w:szCs w:val="20"/>
          <w:lang w:val="es-MX"/>
        </w:rPr>
        <w:t xml:space="preserve">y reconoce que éstas constituyen un paso importante </w:t>
      </w:r>
      <w:r w:rsidR="00E7235A" w:rsidRPr="00DD6E3C">
        <w:rPr>
          <w:rFonts w:ascii="Verdana" w:hAnsi="Verdana"/>
          <w:sz w:val="20"/>
          <w:szCs w:val="20"/>
          <w:lang w:val="es-MX"/>
        </w:rPr>
        <w:t>a los fines de regular su sistema de Registro de Propiedad</w:t>
      </w:r>
      <w:r w:rsidR="00317806">
        <w:rPr>
          <w:rFonts w:ascii="Verdana" w:hAnsi="Verdana"/>
          <w:sz w:val="20"/>
          <w:szCs w:val="20"/>
          <w:lang w:val="es-MX"/>
        </w:rPr>
        <w:t xml:space="preserve">. Sin embargo, observa que aún no se ha realizado </w:t>
      </w:r>
      <w:r w:rsidR="00317806" w:rsidRPr="00DD6E3C">
        <w:rPr>
          <w:rFonts w:ascii="Verdana" w:hAnsi="Verdana"/>
          <w:sz w:val="20"/>
          <w:szCs w:val="20"/>
          <w:lang w:val="es-MX"/>
        </w:rPr>
        <w:t>la revisión de planos de los títulos comunitarios</w:t>
      </w:r>
      <w:r w:rsidR="00317806">
        <w:rPr>
          <w:rFonts w:ascii="Verdana" w:hAnsi="Verdana"/>
          <w:sz w:val="20"/>
          <w:szCs w:val="20"/>
          <w:lang w:val="es-MX"/>
        </w:rPr>
        <w:t>. L</w:t>
      </w:r>
      <w:r w:rsidR="00E7235A" w:rsidRPr="00DD6E3C">
        <w:rPr>
          <w:rFonts w:ascii="Verdana" w:hAnsi="Verdana"/>
          <w:sz w:val="20"/>
          <w:szCs w:val="20"/>
          <w:lang w:val="es-MX"/>
        </w:rPr>
        <w:t xml:space="preserve">a Corte </w:t>
      </w:r>
      <w:r w:rsidR="00E7235A">
        <w:rPr>
          <w:rFonts w:ascii="Verdana" w:hAnsi="Verdana"/>
          <w:sz w:val="20"/>
          <w:szCs w:val="20"/>
          <w:lang w:val="es-MX"/>
        </w:rPr>
        <w:t xml:space="preserve">considera que las reparaciones continúan pendientes de cumplimiento y </w:t>
      </w:r>
      <w:r w:rsidR="00E7235A" w:rsidRPr="00DD6E3C">
        <w:rPr>
          <w:rFonts w:ascii="Verdana" w:hAnsi="Verdana"/>
          <w:sz w:val="20"/>
          <w:szCs w:val="20"/>
          <w:lang w:val="es-MX"/>
        </w:rPr>
        <w:t xml:space="preserve">solicita al Estado que continúe informando </w:t>
      </w:r>
      <w:r w:rsidR="00E7235A">
        <w:rPr>
          <w:rFonts w:ascii="Verdana" w:hAnsi="Verdana"/>
          <w:sz w:val="20"/>
          <w:szCs w:val="20"/>
          <w:lang w:val="es-MX"/>
        </w:rPr>
        <w:t>al respecto</w:t>
      </w:r>
      <w:r w:rsidR="00E7235A" w:rsidRPr="00DD6E3C">
        <w:rPr>
          <w:rFonts w:ascii="Verdana" w:hAnsi="Verdana"/>
          <w:sz w:val="20"/>
          <w:szCs w:val="20"/>
          <w:lang w:val="es-MX"/>
        </w:rPr>
        <w:t>.</w:t>
      </w:r>
      <w:r w:rsidR="00317806">
        <w:rPr>
          <w:rFonts w:ascii="Verdana" w:hAnsi="Verdana"/>
          <w:sz w:val="20"/>
          <w:szCs w:val="20"/>
          <w:lang w:val="es-MX"/>
        </w:rPr>
        <w:t xml:space="preserve"> En particular, Honduras deberá: (i) remitir información sobre la finalización del proceso de revisión de planos de títulos comunitarios y su posterior ingreso al sistema unificado de registro, así como (ii) explicar en </w:t>
      </w:r>
      <w:r w:rsidR="00317806">
        <w:rPr>
          <w:rFonts w:ascii="Verdana" w:hAnsi="Verdana"/>
          <w:sz w:val="20"/>
          <w:szCs w:val="20"/>
          <w:lang w:val="es-MX"/>
        </w:rPr>
        <w:lastRenderedPageBreak/>
        <w:t xml:space="preserve">qué medida las acciones realizadas constituyen un mecanismo obligatorio y permanente cuyo funcionamiento no dependa de la coordinación entre instituciones en un período determinado. </w:t>
      </w:r>
    </w:p>
    <w:p w14:paraId="4EE36E93" w14:textId="06492571" w:rsidR="00E7235A" w:rsidRPr="00037A62" w:rsidRDefault="00E7235A" w:rsidP="00E7235A">
      <w:pPr>
        <w:pStyle w:val="Cuadrculamedia1-nfasis21"/>
        <w:spacing w:before="120" w:after="120" w:line="240" w:lineRule="auto"/>
        <w:ind w:left="0"/>
        <w:contextualSpacing w:val="0"/>
        <w:jc w:val="both"/>
        <w:outlineLvl w:val="0"/>
        <w:rPr>
          <w:rFonts w:ascii="Verdana" w:hAnsi="Verdana"/>
          <w:b/>
          <w:i/>
          <w:sz w:val="20"/>
          <w:szCs w:val="20"/>
          <w:lang w:val="es-MX"/>
        </w:rPr>
      </w:pPr>
    </w:p>
    <w:p w14:paraId="1F661842" w14:textId="77777777" w:rsidR="00E7235A" w:rsidRPr="00037A62" w:rsidRDefault="00E7235A" w:rsidP="00E7235A">
      <w:pPr>
        <w:numPr>
          <w:ilvl w:val="0"/>
          <w:numId w:val="19"/>
        </w:numPr>
        <w:spacing w:before="120" w:after="120" w:line="240" w:lineRule="auto"/>
        <w:jc w:val="both"/>
        <w:outlineLvl w:val="0"/>
        <w:rPr>
          <w:rFonts w:ascii="Verdana" w:hAnsi="Verdana"/>
          <w:b/>
          <w:i/>
          <w:sz w:val="20"/>
          <w:szCs w:val="20"/>
          <w:lang w:val="es-MX"/>
        </w:rPr>
      </w:pPr>
      <w:bookmarkStart w:id="5" w:name="_Toc68623340"/>
      <w:r>
        <w:rPr>
          <w:rFonts w:ascii="Verdana" w:hAnsi="Verdana"/>
          <w:b/>
          <w:i/>
          <w:sz w:val="20"/>
          <w:szCs w:val="20"/>
          <w:lang w:val="es-MX"/>
        </w:rPr>
        <w:t>Obligación de investigar</w:t>
      </w:r>
      <w:bookmarkEnd w:id="5"/>
    </w:p>
    <w:p w14:paraId="436027E4" w14:textId="2ED0CF16" w:rsidR="00E7235A" w:rsidRDefault="00EA6B65"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Con respecto a las medidas de reparación relativas a investigar las muertes de los señores </w:t>
      </w:r>
      <w:r w:rsidRPr="00D61895">
        <w:rPr>
          <w:rFonts w:ascii="Verdana" w:hAnsi="Verdana"/>
          <w:sz w:val="20"/>
          <w:szCs w:val="20"/>
          <w:lang w:val="es-MX"/>
        </w:rPr>
        <w:t>Jesús Álvarez</w:t>
      </w:r>
      <w:r>
        <w:rPr>
          <w:rFonts w:ascii="Verdana" w:hAnsi="Verdana"/>
          <w:sz w:val="20"/>
          <w:szCs w:val="20"/>
          <w:lang w:val="es-MX"/>
        </w:rPr>
        <w:t>,</w:t>
      </w:r>
      <w:r w:rsidRPr="00D61895">
        <w:rPr>
          <w:rFonts w:ascii="Verdana" w:hAnsi="Verdana"/>
          <w:sz w:val="20"/>
          <w:szCs w:val="20"/>
          <w:lang w:val="es-MX"/>
        </w:rPr>
        <w:t xml:space="preserve"> Óscar Brega, Jorge Castillo Jiménez</w:t>
      </w:r>
      <w:r w:rsidR="00F64AC6">
        <w:rPr>
          <w:rFonts w:ascii="Verdana" w:hAnsi="Verdana"/>
          <w:sz w:val="20"/>
          <w:szCs w:val="20"/>
          <w:lang w:val="es-MX"/>
        </w:rPr>
        <w:t>,</w:t>
      </w:r>
      <w:r w:rsidR="008829FE">
        <w:rPr>
          <w:rFonts w:ascii="Verdana" w:hAnsi="Verdana"/>
          <w:sz w:val="20"/>
          <w:szCs w:val="20"/>
          <w:lang w:val="es-MX"/>
        </w:rPr>
        <w:t xml:space="preserve"> </w:t>
      </w:r>
      <w:r w:rsidRPr="00D61895">
        <w:rPr>
          <w:rFonts w:ascii="Verdana" w:hAnsi="Verdana"/>
          <w:sz w:val="20"/>
          <w:szCs w:val="20"/>
          <w:lang w:val="es-MX"/>
        </w:rPr>
        <w:t>Julio Alberto Morales</w:t>
      </w:r>
      <w:r>
        <w:rPr>
          <w:rFonts w:ascii="Verdana" w:hAnsi="Verdana"/>
          <w:sz w:val="20"/>
          <w:szCs w:val="20"/>
          <w:lang w:val="es-MX"/>
        </w:rPr>
        <w:t xml:space="preserve"> y </w:t>
      </w:r>
      <w:r w:rsidRPr="00037A62">
        <w:rPr>
          <w:rFonts w:ascii="Verdana" w:hAnsi="Verdana"/>
          <w:sz w:val="20"/>
          <w:szCs w:val="20"/>
          <w:lang w:val="es-MX"/>
        </w:rPr>
        <w:t>Félix Ordóñez Suazo</w:t>
      </w:r>
      <w:r>
        <w:rPr>
          <w:rStyle w:val="Refdenotaalpie"/>
          <w:rFonts w:ascii="Verdana" w:hAnsi="Verdana"/>
          <w:sz w:val="20"/>
          <w:szCs w:val="20"/>
          <w:lang w:val="es-MX"/>
        </w:rPr>
        <w:footnoteReference w:id="33"/>
      </w:r>
      <w:r>
        <w:rPr>
          <w:rFonts w:ascii="Verdana" w:hAnsi="Verdana"/>
          <w:sz w:val="20"/>
          <w:szCs w:val="20"/>
          <w:lang w:val="es-MX"/>
        </w:rPr>
        <w:t>, e</w:t>
      </w:r>
      <w:r w:rsidR="00E7235A">
        <w:rPr>
          <w:rFonts w:ascii="Verdana" w:hAnsi="Verdana"/>
          <w:sz w:val="20"/>
          <w:szCs w:val="20"/>
          <w:lang w:val="es-MX"/>
        </w:rPr>
        <w:t xml:space="preserve">n las Resoluciones emitidas en 2019, la Corte concluyó que en ambos casos no había habido avances significativos en la investigación, y que el Estado se había limitado a realizar algunas diligencias mínimas básicas que no eran acordes con la debida diligencia que le correspondía. </w:t>
      </w:r>
    </w:p>
    <w:p w14:paraId="71F166BB" w14:textId="6C45542D" w:rsidR="00E7235A" w:rsidRDefault="00E7235A" w:rsidP="00E7235A">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Con respecto a la investigación por la muerte del señor </w:t>
      </w:r>
      <w:r w:rsidRPr="00037A62">
        <w:rPr>
          <w:rFonts w:ascii="Verdana" w:hAnsi="Verdana"/>
          <w:sz w:val="20"/>
          <w:szCs w:val="20"/>
          <w:lang w:val="es-MX"/>
        </w:rPr>
        <w:t>Ordóñez Suazo</w:t>
      </w:r>
      <w:r w:rsidR="00C52920">
        <w:rPr>
          <w:rFonts w:ascii="Verdana" w:hAnsi="Verdana"/>
          <w:sz w:val="20"/>
          <w:szCs w:val="20"/>
          <w:lang w:val="es-MX"/>
        </w:rPr>
        <w:t xml:space="preserve">, la </w:t>
      </w:r>
      <w:r w:rsidRPr="00037A62">
        <w:rPr>
          <w:rFonts w:ascii="Verdana" w:hAnsi="Verdana"/>
          <w:sz w:val="20"/>
          <w:szCs w:val="20"/>
          <w:lang w:val="es-MX"/>
        </w:rPr>
        <w:t>Corte nota que, pese a que han transcurrido 14 años desde la ocurrencia de los hechos y más de 5 desde la</w:t>
      </w:r>
      <w:r>
        <w:rPr>
          <w:rFonts w:ascii="Verdana" w:hAnsi="Verdana"/>
          <w:sz w:val="20"/>
          <w:szCs w:val="20"/>
          <w:lang w:val="es-MX"/>
        </w:rPr>
        <w:t xml:space="preserve"> emisión de la Sentencia, no ha</w:t>
      </w:r>
      <w:r w:rsidRPr="00037A62">
        <w:rPr>
          <w:rFonts w:ascii="Verdana" w:hAnsi="Verdana"/>
          <w:sz w:val="20"/>
          <w:szCs w:val="20"/>
          <w:lang w:val="es-MX"/>
        </w:rPr>
        <w:t xml:space="preserve"> habido avances significativos en la investigación. Aún más, el Estado no ha presentado avance alguno en los casi dos años que han t</w:t>
      </w:r>
      <w:r w:rsidR="00C52920">
        <w:rPr>
          <w:rFonts w:ascii="Verdana" w:hAnsi="Verdana"/>
          <w:sz w:val="20"/>
          <w:szCs w:val="20"/>
          <w:lang w:val="es-MX"/>
        </w:rPr>
        <w:t>r</w:t>
      </w:r>
      <w:r w:rsidRPr="00037A62">
        <w:rPr>
          <w:rFonts w:ascii="Verdana" w:hAnsi="Verdana"/>
          <w:sz w:val="20"/>
          <w:szCs w:val="20"/>
          <w:lang w:val="es-MX"/>
        </w:rPr>
        <w:t xml:space="preserve">anscurrido desde la emisión de la última Resolución de supervisión de cumplimiento de esta Sentencia en mayo de 2019, </w:t>
      </w:r>
      <w:r w:rsidR="00230E45">
        <w:rPr>
          <w:rFonts w:ascii="Verdana" w:hAnsi="Verdana"/>
          <w:sz w:val="20"/>
          <w:szCs w:val="20"/>
          <w:lang w:val="es-MX"/>
        </w:rPr>
        <w:t xml:space="preserve">y se ha </w:t>
      </w:r>
      <w:r w:rsidRPr="00037A62">
        <w:rPr>
          <w:rFonts w:ascii="Verdana" w:hAnsi="Verdana"/>
          <w:sz w:val="20"/>
          <w:szCs w:val="20"/>
          <w:lang w:val="es-MX"/>
        </w:rPr>
        <w:t>limit</w:t>
      </w:r>
      <w:r w:rsidR="00230E45">
        <w:rPr>
          <w:rFonts w:ascii="Verdana" w:hAnsi="Verdana"/>
          <w:sz w:val="20"/>
          <w:szCs w:val="20"/>
          <w:lang w:val="es-MX"/>
        </w:rPr>
        <w:t>ado</w:t>
      </w:r>
      <w:r w:rsidRPr="00037A62">
        <w:rPr>
          <w:rFonts w:ascii="Verdana" w:hAnsi="Verdana"/>
          <w:sz w:val="20"/>
          <w:szCs w:val="20"/>
          <w:lang w:val="es-MX"/>
        </w:rPr>
        <w:t xml:space="preserve"> a</w:t>
      </w:r>
      <w:r w:rsidR="00230E45">
        <w:rPr>
          <w:rFonts w:ascii="Verdana" w:hAnsi="Verdana"/>
          <w:sz w:val="20"/>
          <w:szCs w:val="20"/>
          <w:lang w:val="es-MX"/>
        </w:rPr>
        <w:t>:</w:t>
      </w:r>
      <w:r w:rsidRPr="00037A62">
        <w:rPr>
          <w:rFonts w:ascii="Verdana" w:hAnsi="Verdana"/>
          <w:sz w:val="20"/>
          <w:szCs w:val="20"/>
          <w:lang w:val="es-MX"/>
        </w:rPr>
        <w:t xml:space="preserve"> reiterar información que ya había sido valorada, indi</w:t>
      </w:r>
      <w:r>
        <w:rPr>
          <w:rFonts w:ascii="Verdana" w:hAnsi="Verdana"/>
          <w:sz w:val="20"/>
          <w:szCs w:val="20"/>
          <w:lang w:val="es-MX"/>
        </w:rPr>
        <w:t>car que mantuvo una reunió</w:t>
      </w:r>
      <w:r w:rsidRPr="00037A62">
        <w:rPr>
          <w:rFonts w:ascii="Verdana" w:hAnsi="Verdana"/>
          <w:sz w:val="20"/>
          <w:szCs w:val="20"/>
          <w:lang w:val="es-MX"/>
        </w:rPr>
        <w:t>n con las familiares de la víctima para mantenerles informad</w:t>
      </w:r>
      <w:r w:rsidR="00C52920">
        <w:rPr>
          <w:rFonts w:ascii="Verdana" w:hAnsi="Verdana"/>
          <w:sz w:val="20"/>
          <w:szCs w:val="20"/>
          <w:lang w:val="es-MX"/>
        </w:rPr>
        <w:t>o</w:t>
      </w:r>
      <w:r w:rsidRPr="00037A62">
        <w:rPr>
          <w:rFonts w:ascii="Verdana" w:hAnsi="Verdana"/>
          <w:sz w:val="20"/>
          <w:szCs w:val="20"/>
          <w:lang w:val="es-MX"/>
        </w:rPr>
        <w:t>s del avance de la investigación</w:t>
      </w:r>
      <w:r w:rsidRPr="00037A62">
        <w:rPr>
          <w:rStyle w:val="Refdenotaalpie"/>
          <w:rFonts w:ascii="Verdana" w:hAnsi="Verdana"/>
          <w:sz w:val="20"/>
          <w:szCs w:val="20"/>
          <w:lang w:val="es-MX"/>
        </w:rPr>
        <w:footnoteReference w:id="34"/>
      </w:r>
      <w:r w:rsidRPr="00037A62">
        <w:rPr>
          <w:rFonts w:ascii="Verdana" w:hAnsi="Verdana"/>
          <w:sz w:val="20"/>
          <w:szCs w:val="20"/>
          <w:lang w:val="es-MX"/>
        </w:rPr>
        <w:t>, y listar una serie de diligencias programadas, sin indicar si las mismas fueron llevadas a cabo</w:t>
      </w:r>
      <w:r>
        <w:rPr>
          <w:rStyle w:val="Refdenotaalpie"/>
          <w:rFonts w:ascii="Verdana" w:hAnsi="Verdana"/>
          <w:sz w:val="20"/>
          <w:szCs w:val="20"/>
          <w:lang w:val="es-MX"/>
        </w:rPr>
        <w:footnoteReference w:id="35"/>
      </w:r>
      <w:r w:rsidR="004051EA">
        <w:rPr>
          <w:rFonts w:ascii="Verdana" w:hAnsi="Verdana"/>
          <w:sz w:val="20"/>
          <w:szCs w:val="20"/>
          <w:lang w:val="es-MX"/>
        </w:rPr>
        <w:t>.</w:t>
      </w:r>
      <w:r w:rsidRPr="00037A62">
        <w:rPr>
          <w:rFonts w:ascii="Verdana" w:hAnsi="Verdana"/>
          <w:sz w:val="20"/>
          <w:szCs w:val="20"/>
          <w:lang w:val="es-MX"/>
        </w:rPr>
        <w:t xml:space="preserve"> </w:t>
      </w:r>
      <w:r w:rsidR="004051EA">
        <w:rPr>
          <w:rFonts w:ascii="Verdana" w:hAnsi="Verdana"/>
          <w:sz w:val="20"/>
          <w:szCs w:val="20"/>
          <w:lang w:val="es-MX"/>
        </w:rPr>
        <w:t>T</w:t>
      </w:r>
      <w:r w:rsidR="00C52920">
        <w:rPr>
          <w:rFonts w:ascii="Verdana" w:hAnsi="Verdana"/>
          <w:sz w:val="20"/>
          <w:szCs w:val="20"/>
          <w:lang w:val="es-MX"/>
        </w:rPr>
        <w:t xml:space="preserve">ampoco consta que </w:t>
      </w:r>
      <w:r w:rsidRPr="00037A62">
        <w:rPr>
          <w:rFonts w:ascii="Verdana" w:hAnsi="Verdana"/>
          <w:sz w:val="20"/>
          <w:szCs w:val="20"/>
          <w:lang w:val="es-MX"/>
        </w:rPr>
        <w:t>esté llevando a cabo la investigación teniendo en cuenta el contexto de los hechos y las actividades del señor Ordóñez Suazo como Coordinador y Vocal del Patronato de la Comunidad de Punta Piedra</w:t>
      </w:r>
      <w:r w:rsidR="00C52920">
        <w:rPr>
          <w:rFonts w:ascii="Verdana" w:hAnsi="Verdana"/>
          <w:sz w:val="20"/>
          <w:szCs w:val="20"/>
          <w:lang w:val="es-MX"/>
        </w:rPr>
        <w:t>.</w:t>
      </w:r>
    </w:p>
    <w:p w14:paraId="54FF04C6" w14:textId="615A9FE3" w:rsidR="00E7235A" w:rsidRPr="00571468" w:rsidRDefault="00E7235A" w:rsidP="00E7235A">
      <w:pPr>
        <w:numPr>
          <w:ilvl w:val="0"/>
          <w:numId w:val="3"/>
        </w:numPr>
        <w:spacing w:before="120" w:after="120" w:line="240" w:lineRule="auto"/>
        <w:ind w:left="0" w:firstLine="0"/>
        <w:jc w:val="both"/>
        <w:rPr>
          <w:rFonts w:ascii="Verdana" w:hAnsi="Verdana"/>
          <w:sz w:val="20"/>
          <w:szCs w:val="20"/>
          <w:lang w:val="es-MX"/>
        </w:rPr>
      </w:pPr>
      <w:r w:rsidRPr="00571468">
        <w:rPr>
          <w:rFonts w:ascii="Verdana" w:hAnsi="Verdana"/>
          <w:sz w:val="20"/>
          <w:szCs w:val="20"/>
          <w:lang w:val="es-MX"/>
        </w:rPr>
        <w:t xml:space="preserve">Con respecto a la investigación por la muerte de los señores Jesús Álvarez, Óscar Brega, Jorge Castillo Jiménez y Julio Alberto Morales, </w:t>
      </w:r>
      <w:r>
        <w:rPr>
          <w:rFonts w:ascii="Verdana" w:hAnsi="Verdana"/>
          <w:sz w:val="20"/>
          <w:szCs w:val="20"/>
          <w:lang w:val="es-MX"/>
        </w:rPr>
        <w:t>e</w:t>
      </w:r>
      <w:r w:rsidRPr="00571468">
        <w:rPr>
          <w:rFonts w:ascii="Verdana" w:hAnsi="Verdana"/>
          <w:sz w:val="20"/>
          <w:szCs w:val="20"/>
          <w:lang w:val="es-MX"/>
        </w:rPr>
        <w:t xml:space="preserve">ste Tribunal observa que la única acción relevante </w:t>
      </w:r>
      <w:r>
        <w:rPr>
          <w:rFonts w:ascii="Verdana" w:hAnsi="Verdana"/>
          <w:sz w:val="20"/>
          <w:szCs w:val="20"/>
          <w:lang w:val="es-MX"/>
        </w:rPr>
        <w:t>que ha realizado</w:t>
      </w:r>
      <w:r w:rsidRPr="00571468">
        <w:rPr>
          <w:rFonts w:ascii="Verdana" w:hAnsi="Verdana"/>
          <w:sz w:val="20"/>
          <w:szCs w:val="20"/>
          <w:lang w:val="es-MX"/>
        </w:rPr>
        <w:t xml:space="preserve"> el Estado ha sido la exhumación de los cuerpos de las víctimas, </w:t>
      </w:r>
      <w:r>
        <w:rPr>
          <w:rFonts w:ascii="Verdana" w:hAnsi="Verdana"/>
          <w:sz w:val="20"/>
          <w:szCs w:val="20"/>
          <w:lang w:val="es-MX"/>
        </w:rPr>
        <w:t>informada</w:t>
      </w:r>
      <w:r w:rsidRPr="00571468">
        <w:rPr>
          <w:rFonts w:ascii="Verdana" w:hAnsi="Verdana"/>
          <w:sz w:val="20"/>
          <w:szCs w:val="20"/>
          <w:lang w:val="es-MX"/>
        </w:rPr>
        <w:t xml:space="preserve"> en la audiencia pública celebrada el 4 de marzo</w:t>
      </w:r>
      <w:r w:rsidR="00ED2A66">
        <w:rPr>
          <w:rFonts w:ascii="Verdana" w:hAnsi="Verdana"/>
          <w:sz w:val="20"/>
          <w:szCs w:val="20"/>
          <w:lang w:val="es-MX"/>
        </w:rPr>
        <w:t xml:space="preserve"> 2021</w:t>
      </w:r>
      <w:r w:rsidR="00C52920">
        <w:rPr>
          <w:rFonts w:ascii="Verdana" w:hAnsi="Verdana"/>
          <w:sz w:val="20"/>
          <w:szCs w:val="20"/>
          <w:lang w:val="es-MX"/>
        </w:rPr>
        <w:t>,</w:t>
      </w:r>
      <w:r w:rsidRPr="00571468">
        <w:rPr>
          <w:rFonts w:ascii="Verdana" w:hAnsi="Verdana"/>
          <w:sz w:val="20"/>
          <w:szCs w:val="20"/>
          <w:lang w:val="es-MX"/>
        </w:rPr>
        <w:t xml:space="preserve"> sin indicar la fecha en que fue realizada ni brindar mayores detalles con la excepción de la indicación de que “por cuestión de la pandemia</w:t>
      </w:r>
      <w:r w:rsidR="004051EA">
        <w:rPr>
          <w:rFonts w:ascii="Verdana" w:hAnsi="Verdana"/>
          <w:sz w:val="20"/>
          <w:szCs w:val="20"/>
          <w:lang w:val="es-MX"/>
        </w:rPr>
        <w:t>” los dictámenes correspondientes a dicha exhumación</w:t>
      </w:r>
      <w:r w:rsidRPr="00571468">
        <w:rPr>
          <w:rFonts w:ascii="Verdana" w:hAnsi="Verdana"/>
          <w:sz w:val="20"/>
          <w:szCs w:val="20"/>
          <w:lang w:val="es-MX"/>
        </w:rPr>
        <w:t xml:space="preserve"> </w:t>
      </w:r>
      <w:r w:rsidR="00B16F50">
        <w:rPr>
          <w:rFonts w:ascii="Verdana" w:hAnsi="Verdana"/>
          <w:sz w:val="20"/>
          <w:szCs w:val="20"/>
          <w:lang w:val="es-MX"/>
        </w:rPr>
        <w:t xml:space="preserve">no </w:t>
      </w:r>
      <w:r w:rsidR="004051EA">
        <w:rPr>
          <w:rFonts w:ascii="Verdana" w:hAnsi="Verdana"/>
          <w:sz w:val="20"/>
          <w:szCs w:val="20"/>
          <w:lang w:val="es-MX"/>
        </w:rPr>
        <w:t>fueron</w:t>
      </w:r>
      <w:r w:rsidRPr="00571468">
        <w:rPr>
          <w:rFonts w:ascii="Verdana" w:hAnsi="Verdana"/>
          <w:sz w:val="20"/>
          <w:szCs w:val="20"/>
          <w:lang w:val="es-MX"/>
        </w:rPr>
        <w:t xml:space="preserve"> enviados a la Fiscalía Espec</w:t>
      </w:r>
      <w:r w:rsidR="004051EA">
        <w:rPr>
          <w:rFonts w:ascii="Verdana" w:hAnsi="Verdana"/>
          <w:sz w:val="20"/>
          <w:szCs w:val="20"/>
          <w:lang w:val="es-MX"/>
        </w:rPr>
        <w:t>ial de Protección de las Etnias</w:t>
      </w:r>
      <w:r w:rsidRPr="00571468">
        <w:rPr>
          <w:rFonts w:ascii="Verdana" w:hAnsi="Verdana"/>
          <w:sz w:val="20"/>
          <w:szCs w:val="20"/>
          <w:lang w:val="es-MX"/>
        </w:rPr>
        <w:t xml:space="preserve">. </w:t>
      </w:r>
      <w:r w:rsidR="00C52920">
        <w:rPr>
          <w:rFonts w:ascii="Verdana" w:hAnsi="Verdana"/>
          <w:sz w:val="20"/>
          <w:szCs w:val="20"/>
          <w:lang w:val="es-MX"/>
        </w:rPr>
        <w:t>L</w:t>
      </w:r>
      <w:r w:rsidRPr="00571468">
        <w:rPr>
          <w:rFonts w:ascii="Verdana" w:hAnsi="Verdana"/>
          <w:sz w:val="20"/>
          <w:szCs w:val="20"/>
          <w:lang w:val="es-MX"/>
        </w:rPr>
        <w:t xml:space="preserve">a información </w:t>
      </w:r>
      <w:r w:rsidR="004051EA">
        <w:rPr>
          <w:rFonts w:ascii="Verdana" w:hAnsi="Verdana"/>
          <w:sz w:val="20"/>
          <w:szCs w:val="20"/>
          <w:lang w:val="es-MX"/>
        </w:rPr>
        <w:t>presentada</w:t>
      </w:r>
      <w:r w:rsidRPr="00571468">
        <w:rPr>
          <w:rFonts w:ascii="Verdana" w:hAnsi="Verdana"/>
          <w:sz w:val="20"/>
          <w:szCs w:val="20"/>
          <w:lang w:val="es-MX"/>
        </w:rPr>
        <w:t xml:space="preserve"> por el Estado es de carácter general y no se encuentra respaldada por documentación alguna. Si </w:t>
      </w:r>
      <w:r w:rsidR="004051EA">
        <w:rPr>
          <w:rFonts w:ascii="Verdana" w:hAnsi="Verdana"/>
          <w:sz w:val="20"/>
          <w:szCs w:val="20"/>
          <w:lang w:val="es-MX"/>
        </w:rPr>
        <w:t>bien en la mencionada audiencia</w:t>
      </w:r>
      <w:r w:rsidRPr="00571468">
        <w:rPr>
          <w:rFonts w:ascii="Verdana" w:hAnsi="Verdana"/>
          <w:sz w:val="20"/>
          <w:szCs w:val="20"/>
          <w:lang w:val="es-MX"/>
        </w:rPr>
        <w:t xml:space="preserve"> Honduras refirió que había ordenado “diligencias específicas para ver si existían conflictos relacionados con la posesión de tierras y el carácter de defensores de derechos por parte de las víctimas”, no queda claro cuáles son dichas diligencias o si las mismas se han llevado a cabo, información que resulta fundamental para poder valorar si está llevando a cabo la investigación teniendo en cuenta el contexto de los hechos. </w:t>
      </w:r>
    </w:p>
    <w:p w14:paraId="4AB92782" w14:textId="6B15E985" w:rsidR="00E7235A" w:rsidRDefault="00E7235A" w:rsidP="00857C34">
      <w:pPr>
        <w:numPr>
          <w:ilvl w:val="0"/>
          <w:numId w:val="3"/>
        </w:numPr>
        <w:spacing w:before="120" w:after="120" w:line="240" w:lineRule="auto"/>
        <w:ind w:left="0" w:firstLine="0"/>
        <w:jc w:val="both"/>
        <w:rPr>
          <w:rFonts w:ascii="Verdana" w:hAnsi="Verdana"/>
          <w:sz w:val="20"/>
          <w:szCs w:val="20"/>
          <w:lang w:val="es-MX"/>
        </w:rPr>
      </w:pPr>
      <w:r w:rsidRPr="00822603">
        <w:rPr>
          <w:rFonts w:ascii="Verdana" w:hAnsi="Verdana"/>
          <w:sz w:val="20"/>
          <w:szCs w:val="20"/>
          <w:lang w:val="es-MX"/>
        </w:rPr>
        <w:lastRenderedPageBreak/>
        <w:t>Resulta evidente para este Tribunal que la actuación del Estado</w:t>
      </w:r>
      <w:r w:rsidR="00C52920">
        <w:rPr>
          <w:rFonts w:ascii="Verdana" w:hAnsi="Verdana"/>
          <w:sz w:val="20"/>
          <w:szCs w:val="20"/>
          <w:lang w:val="es-MX"/>
        </w:rPr>
        <w:t>,</w:t>
      </w:r>
      <w:r w:rsidRPr="00822603">
        <w:rPr>
          <w:rFonts w:ascii="Verdana" w:hAnsi="Verdana"/>
          <w:sz w:val="20"/>
          <w:szCs w:val="20"/>
          <w:lang w:val="es-MX"/>
        </w:rPr>
        <w:t xml:space="preserve"> en ambos casos</w:t>
      </w:r>
      <w:r w:rsidR="00C52920">
        <w:rPr>
          <w:rFonts w:ascii="Verdana" w:hAnsi="Verdana"/>
          <w:sz w:val="20"/>
          <w:szCs w:val="20"/>
          <w:lang w:val="es-MX"/>
        </w:rPr>
        <w:t>,</w:t>
      </w:r>
      <w:r w:rsidRPr="00822603">
        <w:rPr>
          <w:rFonts w:ascii="Verdana" w:hAnsi="Verdana"/>
          <w:sz w:val="20"/>
          <w:szCs w:val="20"/>
          <w:lang w:val="es-MX"/>
        </w:rPr>
        <w:t xml:space="preserve"> de ninguna manera ha sido acorde a la debida diligencia que le corresponde, generando así un escenario de impunidad que no solo afecta el derecho de los familiares de las víctimas y de las Comunidades a conocer la verdad de los hechos y obtener justicia, sino que </w:t>
      </w:r>
      <w:r w:rsidR="00C52920">
        <w:rPr>
          <w:rFonts w:ascii="Verdana" w:hAnsi="Verdana"/>
          <w:sz w:val="20"/>
          <w:szCs w:val="20"/>
          <w:lang w:val="es-MX"/>
        </w:rPr>
        <w:t xml:space="preserve">además impacta </w:t>
      </w:r>
      <w:r w:rsidR="00561282">
        <w:rPr>
          <w:rFonts w:ascii="Verdana" w:hAnsi="Verdana"/>
          <w:sz w:val="20"/>
          <w:szCs w:val="20"/>
          <w:lang w:val="es-MX"/>
        </w:rPr>
        <w:t xml:space="preserve">en </w:t>
      </w:r>
      <w:r w:rsidR="00C52920">
        <w:rPr>
          <w:rFonts w:ascii="Verdana" w:hAnsi="Verdana"/>
          <w:sz w:val="20"/>
          <w:szCs w:val="20"/>
          <w:lang w:val="es-MX"/>
        </w:rPr>
        <w:t>la prevención de hechos similares</w:t>
      </w:r>
      <w:r w:rsidR="00051309">
        <w:rPr>
          <w:rFonts w:ascii="Verdana" w:hAnsi="Verdana"/>
          <w:sz w:val="20"/>
          <w:szCs w:val="20"/>
          <w:lang w:val="es-MX"/>
        </w:rPr>
        <w:t xml:space="preserve">, como los que </w:t>
      </w:r>
      <w:r w:rsidRPr="00822603">
        <w:rPr>
          <w:rFonts w:ascii="Verdana" w:hAnsi="Verdana"/>
          <w:sz w:val="20"/>
          <w:szCs w:val="20"/>
          <w:lang w:val="es-MX"/>
        </w:rPr>
        <w:t>han dado lugar a la adopción de las presentes medidas provisionales (</w:t>
      </w:r>
      <w:r w:rsidRPr="00822603">
        <w:rPr>
          <w:rFonts w:ascii="Verdana" w:hAnsi="Verdana"/>
          <w:i/>
          <w:sz w:val="20"/>
          <w:szCs w:val="20"/>
          <w:lang w:val="es-MX"/>
        </w:rPr>
        <w:t xml:space="preserve">supra </w:t>
      </w:r>
      <w:r w:rsidR="00822603" w:rsidRPr="00822603">
        <w:rPr>
          <w:rFonts w:ascii="Verdana" w:hAnsi="Verdana"/>
          <w:sz w:val="20"/>
          <w:szCs w:val="20"/>
          <w:lang w:val="es-MX"/>
        </w:rPr>
        <w:t>Considerando</w:t>
      </w:r>
      <w:r w:rsidR="0061765F">
        <w:rPr>
          <w:rFonts w:ascii="Verdana" w:hAnsi="Verdana"/>
          <w:sz w:val="20"/>
          <w:szCs w:val="20"/>
          <w:lang w:val="es-MX"/>
        </w:rPr>
        <w:t>s 15 a 27</w:t>
      </w:r>
      <w:r w:rsidR="00822603" w:rsidRPr="00822603">
        <w:rPr>
          <w:rFonts w:ascii="Verdana" w:hAnsi="Verdana"/>
          <w:sz w:val="20"/>
          <w:szCs w:val="20"/>
          <w:lang w:val="es-MX"/>
        </w:rPr>
        <w:t xml:space="preserve">). </w:t>
      </w:r>
      <w:r w:rsidRPr="00822603">
        <w:rPr>
          <w:rFonts w:ascii="Verdana" w:hAnsi="Verdana"/>
          <w:sz w:val="20"/>
          <w:szCs w:val="20"/>
          <w:lang w:val="es-MX"/>
        </w:rPr>
        <w:t xml:space="preserve">Por ello, considera que </w:t>
      </w:r>
      <w:r w:rsidR="00822603">
        <w:rPr>
          <w:rFonts w:ascii="Verdana" w:hAnsi="Verdana"/>
          <w:sz w:val="20"/>
          <w:szCs w:val="20"/>
          <w:lang w:val="es-MX"/>
        </w:rPr>
        <w:t xml:space="preserve">ambas reparaciones </w:t>
      </w:r>
      <w:r w:rsidRPr="00822603">
        <w:rPr>
          <w:rFonts w:ascii="Verdana" w:hAnsi="Verdana"/>
          <w:sz w:val="20"/>
          <w:szCs w:val="20"/>
          <w:lang w:val="es-MX"/>
        </w:rPr>
        <w:t xml:space="preserve">continúan pendientes de cumplimiento, y requiere al Estado que presente información actualizada y detallada en atención a los criterios dispuestos en la Sentencia y los Considerandos </w:t>
      </w:r>
      <w:r w:rsidR="00561282">
        <w:rPr>
          <w:rFonts w:ascii="Verdana" w:hAnsi="Verdana"/>
          <w:sz w:val="20"/>
          <w:szCs w:val="20"/>
          <w:lang w:val="es-MX"/>
        </w:rPr>
        <w:t>48</w:t>
      </w:r>
      <w:r w:rsidRPr="00822603">
        <w:rPr>
          <w:rFonts w:ascii="Verdana" w:hAnsi="Verdana"/>
          <w:sz w:val="20"/>
          <w:szCs w:val="20"/>
          <w:lang w:val="es-MX"/>
        </w:rPr>
        <w:t xml:space="preserve"> a </w:t>
      </w:r>
      <w:r w:rsidR="00561282">
        <w:rPr>
          <w:rFonts w:ascii="Verdana" w:hAnsi="Verdana"/>
          <w:sz w:val="20"/>
          <w:szCs w:val="20"/>
          <w:lang w:val="es-MX"/>
        </w:rPr>
        <w:t>51</w:t>
      </w:r>
      <w:r w:rsidRPr="00822603">
        <w:rPr>
          <w:rFonts w:ascii="Verdana" w:hAnsi="Verdana"/>
          <w:sz w:val="20"/>
          <w:szCs w:val="20"/>
          <w:lang w:val="es-MX"/>
        </w:rPr>
        <w:t xml:space="preserve"> de la presente Resolución. </w:t>
      </w:r>
    </w:p>
    <w:p w14:paraId="68CABD88" w14:textId="77777777" w:rsidR="00DB5050" w:rsidRPr="00822603" w:rsidRDefault="00DB5050" w:rsidP="00DB5050">
      <w:pPr>
        <w:spacing w:before="120" w:after="120" w:line="240" w:lineRule="auto"/>
        <w:jc w:val="both"/>
        <w:rPr>
          <w:rFonts w:ascii="Verdana" w:hAnsi="Verdana"/>
          <w:sz w:val="20"/>
          <w:szCs w:val="20"/>
          <w:lang w:val="es-MX"/>
        </w:rPr>
      </w:pPr>
    </w:p>
    <w:p w14:paraId="37981E2B" w14:textId="5AA3359C" w:rsidR="00E7235A" w:rsidRPr="00DB5050" w:rsidRDefault="00DB5050" w:rsidP="00DB5050">
      <w:pPr>
        <w:spacing w:before="120" w:after="120" w:line="240" w:lineRule="auto"/>
        <w:jc w:val="center"/>
        <w:outlineLvl w:val="0"/>
        <w:rPr>
          <w:rFonts w:ascii="Verdana" w:hAnsi="Verdana"/>
          <w:sz w:val="20"/>
          <w:szCs w:val="20"/>
          <w:lang w:val="es-MX"/>
        </w:rPr>
      </w:pPr>
      <w:r w:rsidRPr="00DB5050">
        <w:rPr>
          <w:rFonts w:ascii="Verdana" w:hAnsi="Verdana"/>
          <w:sz w:val="20"/>
          <w:szCs w:val="20"/>
          <w:lang w:val="es-MX"/>
        </w:rPr>
        <w:t>***</w:t>
      </w:r>
    </w:p>
    <w:p w14:paraId="4F19DA88" w14:textId="51F5E139" w:rsidR="00DB5050" w:rsidRPr="00F41C37" w:rsidRDefault="00DB5050" w:rsidP="00DB5050">
      <w:pPr>
        <w:numPr>
          <w:ilvl w:val="0"/>
          <w:numId w:val="3"/>
        </w:numPr>
        <w:spacing w:before="120" w:after="120" w:line="240" w:lineRule="auto"/>
        <w:ind w:left="0" w:firstLine="0"/>
        <w:jc w:val="both"/>
        <w:rPr>
          <w:rFonts w:ascii="Verdana" w:hAnsi="Verdana"/>
          <w:sz w:val="20"/>
          <w:szCs w:val="20"/>
          <w:lang w:val="es-MX"/>
        </w:rPr>
      </w:pPr>
      <w:r>
        <w:rPr>
          <w:rFonts w:ascii="Verdana" w:hAnsi="Verdana"/>
          <w:sz w:val="20"/>
          <w:szCs w:val="20"/>
          <w:lang w:val="es-MX"/>
        </w:rPr>
        <w:t xml:space="preserve">Este Tribunal observa con preocupación que, a más de </w:t>
      </w:r>
      <w:r w:rsidR="00ED2A66">
        <w:rPr>
          <w:rFonts w:ascii="Verdana" w:hAnsi="Verdana"/>
          <w:sz w:val="20"/>
          <w:szCs w:val="20"/>
          <w:lang w:val="es-MX"/>
        </w:rPr>
        <w:t>cinco</w:t>
      </w:r>
      <w:r>
        <w:rPr>
          <w:rFonts w:ascii="Verdana" w:hAnsi="Verdana"/>
          <w:sz w:val="20"/>
          <w:szCs w:val="20"/>
          <w:lang w:val="es-MX"/>
        </w:rPr>
        <w:t xml:space="preserve"> años de la emisión de las Sentencias </w:t>
      </w:r>
      <w:r w:rsidR="00561282">
        <w:rPr>
          <w:rFonts w:ascii="Verdana" w:hAnsi="Verdana"/>
          <w:sz w:val="20"/>
          <w:szCs w:val="20"/>
          <w:lang w:val="es-MX"/>
        </w:rPr>
        <w:t>de</w:t>
      </w:r>
      <w:r>
        <w:rPr>
          <w:rFonts w:ascii="Verdana" w:hAnsi="Verdana"/>
          <w:sz w:val="20"/>
          <w:szCs w:val="20"/>
          <w:lang w:val="es-MX"/>
        </w:rPr>
        <w:t xml:space="preserve"> ambos casos, los únicos avances que se han verificado han sido en reparaciones de más sencill</w:t>
      </w:r>
      <w:r w:rsidR="00ED2A66">
        <w:rPr>
          <w:rFonts w:ascii="Verdana" w:hAnsi="Verdana"/>
          <w:sz w:val="20"/>
          <w:szCs w:val="20"/>
          <w:lang w:val="es-MX"/>
        </w:rPr>
        <w:t>a</w:t>
      </w:r>
      <w:r w:rsidR="00256517">
        <w:rPr>
          <w:rFonts w:ascii="Verdana" w:hAnsi="Verdana"/>
          <w:sz w:val="20"/>
          <w:szCs w:val="20"/>
          <w:lang w:val="es-MX"/>
        </w:rPr>
        <w:t xml:space="preserve"> </w:t>
      </w:r>
      <w:r w:rsidR="00ED2A66">
        <w:rPr>
          <w:rFonts w:ascii="Verdana" w:hAnsi="Verdana"/>
          <w:sz w:val="20"/>
          <w:szCs w:val="20"/>
          <w:lang w:val="es-MX"/>
        </w:rPr>
        <w:t>ejecución</w:t>
      </w:r>
      <w:r>
        <w:rPr>
          <w:rFonts w:ascii="Verdana" w:hAnsi="Verdana"/>
          <w:sz w:val="20"/>
          <w:szCs w:val="20"/>
          <w:lang w:val="es-MX"/>
        </w:rPr>
        <w:t xml:space="preserve">, no existiendo ningún avance sustancial en las medidas de reparación de restitución de tierras y cese de las violaciones constatadas en el Fallo y la investigación de las muertes de miembros de ambas Comunidades. Asimismo, la Corte ha constatado </w:t>
      </w:r>
      <w:r>
        <w:rPr>
          <w:rFonts w:ascii="Verdana" w:hAnsi="Verdana"/>
          <w:i/>
          <w:sz w:val="20"/>
          <w:szCs w:val="20"/>
          <w:lang w:val="es-MX"/>
        </w:rPr>
        <w:t>prima facie</w:t>
      </w:r>
      <w:r w:rsidRPr="00DB5050">
        <w:rPr>
          <w:rFonts w:ascii="Verdana" w:hAnsi="Verdana"/>
          <w:i/>
          <w:sz w:val="20"/>
          <w:lang w:val="es-MX"/>
        </w:rPr>
        <w:t xml:space="preserve"> </w:t>
      </w:r>
      <w:r>
        <w:rPr>
          <w:rFonts w:ascii="Verdana" w:hAnsi="Verdana"/>
          <w:sz w:val="20"/>
          <w:szCs w:val="20"/>
          <w:lang w:val="es-MX"/>
        </w:rPr>
        <w:t>nuevos hechos de tal gravedad que ameritaron la adopción de las presentes medidas provisionales. En la presente Resolución, la Corte ha constatado que los</w:t>
      </w:r>
      <w:r w:rsidRPr="00037A62">
        <w:rPr>
          <w:rFonts w:ascii="Verdana" w:hAnsi="Verdana"/>
          <w:sz w:val="20"/>
          <w:szCs w:val="20"/>
          <w:lang w:val="es-MX"/>
        </w:rPr>
        <w:t xml:space="preserve"> avances en la implementación de esta</w:t>
      </w:r>
      <w:r>
        <w:rPr>
          <w:rFonts w:ascii="Verdana" w:hAnsi="Verdana"/>
          <w:sz w:val="20"/>
          <w:szCs w:val="20"/>
          <w:lang w:val="es-MX"/>
        </w:rPr>
        <w:t>s</w:t>
      </w:r>
      <w:r w:rsidRPr="00037A62">
        <w:rPr>
          <w:rFonts w:ascii="Verdana" w:hAnsi="Verdana"/>
          <w:sz w:val="20"/>
          <w:szCs w:val="20"/>
          <w:lang w:val="es-MX"/>
        </w:rPr>
        <w:t xml:space="preserve"> medida</w:t>
      </w:r>
      <w:r>
        <w:rPr>
          <w:rFonts w:ascii="Verdana" w:hAnsi="Verdana"/>
          <w:sz w:val="20"/>
          <w:szCs w:val="20"/>
          <w:lang w:val="es-MX"/>
        </w:rPr>
        <w:t>s son escasos</w:t>
      </w:r>
      <w:r w:rsidRPr="00037A62">
        <w:rPr>
          <w:rFonts w:ascii="Verdana" w:hAnsi="Verdana"/>
          <w:sz w:val="20"/>
          <w:szCs w:val="20"/>
          <w:lang w:val="es-MX"/>
        </w:rPr>
        <w:t xml:space="preserve">, y </w:t>
      </w:r>
      <w:r>
        <w:rPr>
          <w:rFonts w:ascii="Verdana" w:hAnsi="Verdana"/>
          <w:sz w:val="20"/>
          <w:szCs w:val="20"/>
          <w:lang w:val="es-MX"/>
        </w:rPr>
        <w:t>que</w:t>
      </w:r>
      <w:r w:rsidRPr="00037A62">
        <w:rPr>
          <w:rFonts w:ascii="Verdana" w:hAnsi="Verdana"/>
          <w:sz w:val="20"/>
          <w:szCs w:val="20"/>
          <w:lang w:val="es-MX"/>
        </w:rPr>
        <w:t xml:space="preserve"> la situación de violencia contra integrantes de las Comunidades</w:t>
      </w:r>
      <w:r>
        <w:rPr>
          <w:rFonts w:ascii="Verdana" w:hAnsi="Verdana"/>
          <w:sz w:val="20"/>
          <w:szCs w:val="20"/>
          <w:lang w:val="es-MX"/>
        </w:rPr>
        <w:t xml:space="preserve"> continúa, por lo que </w:t>
      </w:r>
      <w:r w:rsidRPr="00037A62">
        <w:rPr>
          <w:rFonts w:ascii="Verdana" w:hAnsi="Verdana"/>
          <w:sz w:val="20"/>
          <w:szCs w:val="20"/>
          <w:lang w:val="es-MX"/>
        </w:rPr>
        <w:t>la situación de los beneficiarios reviste aún las características de extrema gravedad y urgencia</w:t>
      </w:r>
      <w:r>
        <w:rPr>
          <w:rFonts w:ascii="Verdana" w:hAnsi="Verdana"/>
          <w:sz w:val="20"/>
          <w:szCs w:val="20"/>
          <w:lang w:val="es-MX"/>
        </w:rPr>
        <w:t xml:space="preserve"> (</w:t>
      </w:r>
      <w:r>
        <w:rPr>
          <w:rFonts w:ascii="Verdana" w:hAnsi="Verdana"/>
          <w:i/>
          <w:sz w:val="20"/>
          <w:szCs w:val="20"/>
          <w:lang w:val="es-MX"/>
        </w:rPr>
        <w:t xml:space="preserve">supra </w:t>
      </w:r>
      <w:r w:rsidR="00561282">
        <w:rPr>
          <w:rFonts w:ascii="Verdana" w:hAnsi="Verdana"/>
          <w:sz w:val="20"/>
          <w:szCs w:val="20"/>
          <w:lang w:val="es-MX"/>
        </w:rPr>
        <w:t>Considerando 26</w:t>
      </w:r>
      <w:r>
        <w:rPr>
          <w:rFonts w:ascii="Verdana" w:hAnsi="Verdana"/>
          <w:sz w:val="20"/>
          <w:szCs w:val="20"/>
          <w:lang w:val="es-MX"/>
        </w:rPr>
        <w:t xml:space="preserve">). </w:t>
      </w:r>
      <w:r w:rsidRPr="00AC5B51">
        <w:rPr>
          <w:rFonts w:ascii="Verdana" w:hAnsi="Verdana"/>
          <w:sz w:val="20"/>
          <w:szCs w:val="20"/>
          <w:lang w:val="es-MX"/>
        </w:rPr>
        <w:t xml:space="preserve">La Corte considera </w:t>
      </w:r>
      <w:r>
        <w:rPr>
          <w:rFonts w:ascii="Verdana" w:hAnsi="Verdana"/>
          <w:sz w:val="20"/>
          <w:szCs w:val="20"/>
          <w:lang w:val="es-MX"/>
        </w:rPr>
        <w:t xml:space="preserve">importante remarcar </w:t>
      </w:r>
      <w:r w:rsidRPr="00AC5B51">
        <w:rPr>
          <w:rFonts w:ascii="Verdana" w:hAnsi="Verdana"/>
          <w:sz w:val="20"/>
          <w:szCs w:val="20"/>
          <w:lang w:val="es-MX"/>
        </w:rPr>
        <w:t>que</w:t>
      </w:r>
      <w:r>
        <w:rPr>
          <w:rFonts w:ascii="Verdana" w:hAnsi="Verdana"/>
          <w:sz w:val="20"/>
          <w:szCs w:val="20"/>
          <w:lang w:val="es-MX"/>
        </w:rPr>
        <w:t xml:space="preserve">, de mantenerse esta situación de </w:t>
      </w:r>
      <w:r w:rsidRPr="00AC5B51">
        <w:rPr>
          <w:rFonts w:ascii="Verdana" w:hAnsi="Verdana"/>
          <w:sz w:val="20"/>
          <w:szCs w:val="20"/>
          <w:lang w:val="es-MX"/>
        </w:rPr>
        <w:t>grave inacción</w:t>
      </w:r>
      <w:r>
        <w:rPr>
          <w:rFonts w:ascii="Verdana" w:hAnsi="Verdana"/>
          <w:sz w:val="20"/>
          <w:szCs w:val="20"/>
          <w:lang w:val="es-MX"/>
        </w:rPr>
        <w:t xml:space="preserve"> estatal, podría dar lugar a la aplicación del artículo 65 de la Convención Americana</w:t>
      </w:r>
      <w:r>
        <w:rPr>
          <w:rStyle w:val="Refdenotaalpie"/>
          <w:rFonts w:ascii="Verdana" w:hAnsi="Verdana"/>
          <w:sz w:val="20"/>
          <w:szCs w:val="20"/>
        </w:rPr>
        <w:footnoteReference w:id="36"/>
      </w:r>
      <w:r>
        <w:rPr>
          <w:rFonts w:ascii="Verdana" w:hAnsi="Verdana"/>
          <w:sz w:val="20"/>
          <w:szCs w:val="20"/>
          <w:lang w:val="es-MX"/>
        </w:rPr>
        <w:t xml:space="preserve">. </w:t>
      </w:r>
    </w:p>
    <w:p w14:paraId="629BCD83" w14:textId="5A9734CF" w:rsidR="00BC076D" w:rsidRDefault="00BC076D" w:rsidP="00BC076D">
      <w:pPr>
        <w:pStyle w:val="Cuadrculamedia1-nfasis21"/>
        <w:spacing w:before="120" w:after="0" w:line="240" w:lineRule="auto"/>
        <w:ind w:left="0"/>
        <w:contextualSpacing w:val="0"/>
        <w:jc w:val="both"/>
        <w:rPr>
          <w:rFonts w:ascii="Verdana" w:hAnsi="Verdana"/>
          <w:b/>
          <w:i/>
          <w:sz w:val="20"/>
          <w:szCs w:val="20"/>
          <w:lang w:val="es-MX"/>
        </w:rPr>
      </w:pPr>
    </w:p>
    <w:p w14:paraId="22D8E796" w14:textId="15F5F2E5" w:rsidR="007F0A39" w:rsidRPr="00037A62" w:rsidRDefault="007F0A39" w:rsidP="00E7235A">
      <w:pPr>
        <w:pStyle w:val="Cuadrculamedia1-nfasis21"/>
        <w:spacing w:before="120" w:after="120" w:line="240" w:lineRule="auto"/>
        <w:ind w:left="0"/>
        <w:contextualSpacing w:val="0"/>
        <w:jc w:val="both"/>
        <w:outlineLvl w:val="0"/>
        <w:rPr>
          <w:rFonts w:ascii="Verdana" w:hAnsi="Verdana"/>
          <w:sz w:val="20"/>
          <w:szCs w:val="20"/>
          <w:lang w:val="es-MX"/>
        </w:rPr>
      </w:pPr>
    </w:p>
    <w:p w14:paraId="44F4B540" w14:textId="77777777" w:rsidR="009F78E3" w:rsidRPr="00037A62" w:rsidRDefault="009F78E3" w:rsidP="009F78E3">
      <w:pPr>
        <w:tabs>
          <w:tab w:val="left" w:pos="680"/>
        </w:tabs>
        <w:spacing w:before="60" w:after="60" w:line="240" w:lineRule="auto"/>
        <w:jc w:val="both"/>
        <w:rPr>
          <w:rFonts w:ascii="Verdana" w:hAnsi="Verdana"/>
          <w:b/>
          <w:sz w:val="20"/>
          <w:szCs w:val="20"/>
          <w:lang w:val="es-MX"/>
        </w:rPr>
      </w:pPr>
      <w:r w:rsidRPr="00037A62">
        <w:rPr>
          <w:rFonts w:ascii="Verdana" w:hAnsi="Verdana"/>
          <w:b/>
          <w:sz w:val="20"/>
          <w:szCs w:val="20"/>
          <w:lang w:val="es-MX"/>
        </w:rPr>
        <w:t>POR TANTO:</w:t>
      </w:r>
    </w:p>
    <w:p w14:paraId="7ADA2892" w14:textId="77777777" w:rsidR="009F78E3" w:rsidRPr="00037A62" w:rsidRDefault="009F78E3" w:rsidP="009F78E3">
      <w:pPr>
        <w:pStyle w:val="Textoindependiente"/>
        <w:tabs>
          <w:tab w:val="left" w:pos="360"/>
          <w:tab w:val="left" w:pos="567"/>
        </w:tabs>
        <w:spacing w:before="60" w:after="60" w:line="240" w:lineRule="auto"/>
        <w:rPr>
          <w:rFonts w:ascii="Verdana" w:hAnsi="Verdana"/>
          <w:b/>
          <w:sz w:val="20"/>
          <w:szCs w:val="20"/>
          <w:lang w:val="es-MX"/>
        </w:rPr>
      </w:pPr>
    </w:p>
    <w:p w14:paraId="1E535E74" w14:textId="77777777" w:rsidR="009F78E3" w:rsidRPr="00037A62" w:rsidRDefault="009F78E3" w:rsidP="009F78E3">
      <w:pPr>
        <w:pStyle w:val="Textoindependiente"/>
        <w:tabs>
          <w:tab w:val="left" w:pos="360"/>
          <w:tab w:val="left" w:pos="567"/>
        </w:tabs>
        <w:spacing w:before="60" w:after="60" w:line="240" w:lineRule="auto"/>
        <w:rPr>
          <w:rFonts w:ascii="Verdana" w:hAnsi="Verdana"/>
          <w:b/>
          <w:sz w:val="20"/>
          <w:szCs w:val="20"/>
          <w:lang w:val="es-MX"/>
        </w:rPr>
      </w:pPr>
      <w:r w:rsidRPr="00037A62">
        <w:rPr>
          <w:rFonts w:ascii="Verdana" w:hAnsi="Verdana"/>
          <w:b/>
          <w:sz w:val="20"/>
          <w:szCs w:val="20"/>
          <w:lang w:val="es-MX"/>
        </w:rPr>
        <w:t>LA CORTE INTERAMERICANA DE DERECHOS HUMANOS,</w:t>
      </w:r>
    </w:p>
    <w:p w14:paraId="7F5B53E4" w14:textId="31A29713" w:rsidR="009F78E3" w:rsidRPr="00037A62" w:rsidRDefault="009F78E3" w:rsidP="009F78E3">
      <w:pPr>
        <w:tabs>
          <w:tab w:val="left" w:pos="567"/>
        </w:tabs>
        <w:spacing w:before="60" w:after="60" w:line="240" w:lineRule="auto"/>
        <w:jc w:val="both"/>
        <w:rPr>
          <w:rFonts w:ascii="Verdana" w:hAnsi="Verdana"/>
          <w:sz w:val="20"/>
          <w:szCs w:val="20"/>
          <w:lang w:val="es-MX"/>
        </w:rPr>
      </w:pPr>
      <w:r w:rsidRPr="00037A62">
        <w:rPr>
          <w:rFonts w:ascii="Verdana" w:hAnsi="Verdana"/>
          <w:sz w:val="20"/>
          <w:szCs w:val="20"/>
          <w:lang w:val="es-MX"/>
        </w:rPr>
        <w:t xml:space="preserve">en el ejercicio de sus atribuciones de supervisión del cumplimiento de sus decisiones, de conformidad con los artículos 33, 62.1, 62.3, </w:t>
      </w:r>
      <w:r w:rsidR="008334A7">
        <w:rPr>
          <w:rFonts w:ascii="Verdana" w:hAnsi="Verdana"/>
          <w:sz w:val="20"/>
          <w:szCs w:val="20"/>
          <w:lang w:val="es-MX"/>
        </w:rPr>
        <w:t xml:space="preserve">63, </w:t>
      </w:r>
      <w:r w:rsidRPr="00037A62">
        <w:rPr>
          <w:rFonts w:ascii="Verdana" w:hAnsi="Verdana"/>
          <w:sz w:val="20"/>
          <w:szCs w:val="20"/>
          <w:lang w:val="es-MX"/>
        </w:rPr>
        <w:t xml:space="preserve">65, 67 y 68.1 de la Convención Americana sobre Derechos Humanos, 24, 25 y 30 del Estatuto, y </w:t>
      </w:r>
      <w:r w:rsidR="008334A7">
        <w:rPr>
          <w:rFonts w:ascii="Verdana" w:hAnsi="Verdana"/>
          <w:sz w:val="20"/>
          <w:szCs w:val="20"/>
          <w:lang w:val="es-MX"/>
        </w:rPr>
        <w:t xml:space="preserve">27, </w:t>
      </w:r>
      <w:r w:rsidRPr="00037A62">
        <w:rPr>
          <w:rFonts w:ascii="Verdana" w:hAnsi="Verdana"/>
          <w:sz w:val="20"/>
          <w:szCs w:val="20"/>
          <w:lang w:val="es-MX"/>
        </w:rPr>
        <w:t>31.2 y 69 de su Reglamento,</w:t>
      </w:r>
    </w:p>
    <w:p w14:paraId="6DAE442B" w14:textId="77777777" w:rsidR="00030B36" w:rsidRPr="00037A62" w:rsidRDefault="00030B36" w:rsidP="009F78E3">
      <w:pPr>
        <w:tabs>
          <w:tab w:val="left" w:pos="567"/>
        </w:tabs>
        <w:spacing w:before="60" w:after="60" w:line="240" w:lineRule="auto"/>
        <w:jc w:val="both"/>
        <w:rPr>
          <w:rFonts w:ascii="Verdana" w:hAnsi="Verdana"/>
          <w:sz w:val="20"/>
          <w:szCs w:val="20"/>
          <w:lang w:val="es-MX"/>
        </w:rPr>
      </w:pPr>
    </w:p>
    <w:p w14:paraId="517A06A7" w14:textId="00A6E15B" w:rsidR="0042257C" w:rsidRDefault="009F78E3" w:rsidP="007A0ED4">
      <w:pPr>
        <w:tabs>
          <w:tab w:val="left" w:pos="567"/>
        </w:tabs>
        <w:spacing w:before="60" w:after="60" w:line="240" w:lineRule="auto"/>
        <w:ind w:right="22"/>
        <w:jc w:val="both"/>
        <w:rPr>
          <w:rFonts w:ascii="Verdana" w:hAnsi="Verdana"/>
          <w:b/>
          <w:sz w:val="20"/>
          <w:szCs w:val="20"/>
          <w:lang w:val="es-MX"/>
        </w:rPr>
      </w:pPr>
      <w:r w:rsidRPr="00037A62">
        <w:rPr>
          <w:rFonts w:ascii="Verdana" w:hAnsi="Verdana"/>
          <w:b/>
          <w:sz w:val="20"/>
          <w:szCs w:val="20"/>
          <w:lang w:val="es-MX"/>
        </w:rPr>
        <w:t>RESUELVE:</w:t>
      </w:r>
      <w:r w:rsidR="006F0AF8" w:rsidRPr="00037A62">
        <w:rPr>
          <w:rFonts w:ascii="Verdana" w:hAnsi="Verdana"/>
          <w:b/>
          <w:sz w:val="20"/>
          <w:szCs w:val="20"/>
          <w:lang w:val="es-MX"/>
        </w:rPr>
        <w:t xml:space="preserve"> </w:t>
      </w:r>
    </w:p>
    <w:p w14:paraId="6409C80B" w14:textId="77777777" w:rsidR="006C40C6" w:rsidRPr="00060773" w:rsidRDefault="006C40C6" w:rsidP="006C40C6">
      <w:pPr>
        <w:pStyle w:val="Textoindependiente3"/>
        <w:tabs>
          <w:tab w:val="left" w:pos="0"/>
          <w:tab w:val="left" w:pos="680"/>
          <w:tab w:val="num" w:pos="709"/>
        </w:tabs>
        <w:spacing w:after="0"/>
        <w:ind w:right="18"/>
        <w:jc w:val="both"/>
        <w:rPr>
          <w:rFonts w:ascii="Verdana" w:hAnsi="Verdana"/>
          <w:sz w:val="20"/>
          <w:szCs w:val="20"/>
          <w:lang w:val="es-MX"/>
        </w:rPr>
      </w:pPr>
    </w:p>
    <w:p w14:paraId="07518F77" w14:textId="7E75ACEC" w:rsidR="00D53F87" w:rsidRPr="006C40C6" w:rsidRDefault="00D53F87" w:rsidP="00D53F87">
      <w:pPr>
        <w:pStyle w:val="Textoindependiente3"/>
        <w:numPr>
          <w:ilvl w:val="0"/>
          <w:numId w:val="15"/>
        </w:numPr>
        <w:tabs>
          <w:tab w:val="left" w:pos="0"/>
          <w:tab w:val="left" w:pos="680"/>
          <w:tab w:val="num" w:pos="709"/>
        </w:tabs>
        <w:spacing w:after="0"/>
        <w:ind w:right="18"/>
        <w:jc w:val="both"/>
        <w:rPr>
          <w:lang w:val="es-ES"/>
        </w:rPr>
      </w:pPr>
      <w:r w:rsidRPr="00510463">
        <w:rPr>
          <w:rFonts w:ascii="Verdana" w:eastAsia="Times" w:hAnsi="Verdana" w:cs="Arial"/>
          <w:sz w:val="20"/>
          <w:szCs w:val="20"/>
          <w:lang w:val="es-ES"/>
        </w:rPr>
        <w:t xml:space="preserve">Reiterar al Estado que continúe adoptando de forma inmediata </w:t>
      </w:r>
      <w:r w:rsidRPr="00510463">
        <w:rPr>
          <w:rFonts w:ascii="Verdana" w:hAnsi="Verdana" w:cs="Arial"/>
          <w:sz w:val="20"/>
          <w:szCs w:val="20"/>
          <w:lang w:val="es-ES"/>
        </w:rPr>
        <w:t xml:space="preserve">todas las medidas que sean necesarias para </w:t>
      </w:r>
      <w:r w:rsidRPr="00306492">
        <w:rPr>
          <w:rFonts w:ascii="Verdana" w:hAnsi="Verdana" w:cs="Arial"/>
          <w:sz w:val="20"/>
          <w:szCs w:val="20"/>
          <w:lang w:val="es-ES"/>
        </w:rPr>
        <w:t xml:space="preserve">determinar el paradero de Milton Joel Martínez Álvarez, </w:t>
      </w:r>
      <w:proofErr w:type="spellStart"/>
      <w:r w:rsidRPr="00306492">
        <w:rPr>
          <w:rFonts w:ascii="Verdana" w:hAnsi="Verdana" w:cs="Arial"/>
          <w:sz w:val="20"/>
          <w:szCs w:val="20"/>
          <w:lang w:val="es-ES"/>
        </w:rPr>
        <w:t>Suami</w:t>
      </w:r>
      <w:proofErr w:type="spellEnd"/>
      <w:r w:rsidRPr="00306492">
        <w:rPr>
          <w:rFonts w:ascii="Verdana" w:hAnsi="Verdana" w:cs="Arial"/>
          <w:sz w:val="20"/>
          <w:szCs w:val="20"/>
          <w:lang w:val="es-ES"/>
        </w:rPr>
        <w:t xml:space="preserve"> Aparicio Mejía García, Gerardo Misael Trochez Calix y Albert </w:t>
      </w:r>
      <w:proofErr w:type="spellStart"/>
      <w:r w:rsidRPr="00306492">
        <w:rPr>
          <w:rFonts w:ascii="Verdana" w:hAnsi="Verdana" w:cs="Arial"/>
          <w:sz w:val="20"/>
          <w:szCs w:val="20"/>
          <w:lang w:val="es-ES"/>
        </w:rPr>
        <w:t>Snaider</w:t>
      </w:r>
      <w:proofErr w:type="spellEnd"/>
      <w:r w:rsidRPr="00306492">
        <w:rPr>
          <w:rFonts w:ascii="Verdana" w:hAnsi="Verdana" w:cs="Arial"/>
          <w:sz w:val="20"/>
          <w:szCs w:val="20"/>
          <w:lang w:val="es-ES"/>
        </w:rPr>
        <w:t xml:space="preserve"> Centeno Thomas qu</w:t>
      </w:r>
      <w:r w:rsidR="004500D1">
        <w:rPr>
          <w:rFonts w:ascii="Verdana" w:hAnsi="Verdana" w:cs="Arial"/>
          <w:sz w:val="20"/>
          <w:szCs w:val="20"/>
          <w:lang w:val="es-ES"/>
        </w:rPr>
        <w:t>i</w:t>
      </w:r>
      <w:r w:rsidRPr="00306492">
        <w:rPr>
          <w:rFonts w:ascii="Verdana" w:hAnsi="Verdana" w:cs="Arial"/>
          <w:sz w:val="20"/>
          <w:szCs w:val="20"/>
          <w:lang w:val="es-ES"/>
        </w:rPr>
        <w:t>e</w:t>
      </w:r>
      <w:r w:rsidR="004500D1">
        <w:rPr>
          <w:rFonts w:ascii="Verdana" w:hAnsi="Verdana" w:cs="Arial"/>
          <w:sz w:val="20"/>
          <w:szCs w:val="20"/>
          <w:lang w:val="es-ES"/>
        </w:rPr>
        <w:t>nes</w:t>
      </w:r>
      <w:r w:rsidRPr="00306492">
        <w:rPr>
          <w:rFonts w:ascii="Verdana" w:hAnsi="Verdana" w:cs="Arial"/>
          <w:sz w:val="20"/>
          <w:szCs w:val="20"/>
          <w:lang w:val="es-ES"/>
        </w:rPr>
        <w:t xml:space="preserve"> se encuentran desaparecidos desde el 18 de julio de 2020</w:t>
      </w:r>
      <w:r w:rsidRPr="00510463">
        <w:rPr>
          <w:rFonts w:ascii="Verdana" w:hAnsi="Verdana" w:cs="Arial"/>
          <w:sz w:val="20"/>
          <w:szCs w:val="20"/>
        </w:rPr>
        <w:t xml:space="preserve">. </w:t>
      </w:r>
    </w:p>
    <w:p w14:paraId="4225533D" w14:textId="77777777" w:rsidR="006C40C6" w:rsidRPr="00306492" w:rsidRDefault="006C40C6" w:rsidP="006C40C6">
      <w:pPr>
        <w:pStyle w:val="Textoindependiente3"/>
        <w:tabs>
          <w:tab w:val="left" w:pos="0"/>
          <w:tab w:val="left" w:pos="680"/>
          <w:tab w:val="num" w:pos="709"/>
        </w:tabs>
        <w:spacing w:after="0"/>
        <w:ind w:right="18"/>
        <w:jc w:val="both"/>
        <w:rPr>
          <w:lang w:val="es-ES"/>
        </w:rPr>
      </w:pPr>
    </w:p>
    <w:p w14:paraId="69DA29BA" w14:textId="51D4ECDA" w:rsidR="00D53F87" w:rsidRPr="00D53F87" w:rsidRDefault="00D53F87" w:rsidP="00D53F87">
      <w:pPr>
        <w:pStyle w:val="Textoindependiente3"/>
        <w:numPr>
          <w:ilvl w:val="0"/>
          <w:numId w:val="15"/>
        </w:numPr>
        <w:tabs>
          <w:tab w:val="left" w:pos="0"/>
          <w:tab w:val="left" w:pos="680"/>
          <w:tab w:val="num" w:pos="709"/>
        </w:tabs>
        <w:spacing w:after="0"/>
        <w:ind w:right="18"/>
        <w:jc w:val="both"/>
        <w:rPr>
          <w:lang w:val="es-ES"/>
        </w:rPr>
      </w:pPr>
      <w:r w:rsidRPr="00510463">
        <w:rPr>
          <w:rFonts w:ascii="Verdana" w:eastAsia="Times" w:hAnsi="Verdana" w:cs="Arial"/>
          <w:sz w:val="20"/>
          <w:szCs w:val="20"/>
          <w:lang w:val="es-ES"/>
        </w:rPr>
        <w:t xml:space="preserve">Reiterar al Estado que continúe adoptando de forma inmediata </w:t>
      </w:r>
      <w:r w:rsidRPr="00510463">
        <w:rPr>
          <w:rFonts w:ascii="Verdana" w:hAnsi="Verdana" w:cs="Arial"/>
          <w:sz w:val="20"/>
          <w:szCs w:val="20"/>
          <w:lang w:val="es-ES"/>
        </w:rPr>
        <w:t xml:space="preserve">todas las medidas que sean necesarias para </w:t>
      </w:r>
      <w:r w:rsidRPr="00306492">
        <w:rPr>
          <w:rFonts w:ascii="Verdana" w:hAnsi="Verdana" w:cs="Arial"/>
          <w:sz w:val="20"/>
          <w:szCs w:val="20"/>
          <w:lang w:val="es-ES"/>
        </w:rPr>
        <w:t>proteger efectivamente los derechos a la vida, e integridad personal de los integrantes de las Comunidades Garífuna</w:t>
      </w:r>
      <w:r w:rsidR="00287B1D">
        <w:rPr>
          <w:rFonts w:ascii="Verdana" w:hAnsi="Verdana" w:cs="Arial"/>
          <w:sz w:val="20"/>
          <w:szCs w:val="20"/>
          <w:lang w:val="es-ES"/>
        </w:rPr>
        <w:t>s</w:t>
      </w:r>
      <w:r w:rsidRPr="00306492">
        <w:rPr>
          <w:rFonts w:ascii="Verdana" w:hAnsi="Verdana" w:cs="Arial"/>
          <w:sz w:val="20"/>
          <w:szCs w:val="20"/>
          <w:lang w:val="es-ES"/>
        </w:rPr>
        <w:t xml:space="preserve"> de Triunfo de la Cruz y de Punta Piedra que desarrollan colectivamente acciones de defensa de los derechos del pueblo Garífuna</w:t>
      </w:r>
      <w:r w:rsidRPr="00510463">
        <w:rPr>
          <w:rFonts w:ascii="Verdana" w:hAnsi="Verdana" w:cs="Arial"/>
          <w:sz w:val="20"/>
          <w:szCs w:val="20"/>
        </w:rPr>
        <w:t xml:space="preserve">. </w:t>
      </w:r>
    </w:p>
    <w:p w14:paraId="17871204" w14:textId="77777777" w:rsidR="006C40C6"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48DB8915" w14:textId="0DD09F97" w:rsidR="00D53F87" w:rsidRPr="00D53F87" w:rsidRDefault="00D53F87" w:rsidP="00D53F87">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1D3520">
        <w:rPr>
          <w:rFonts w:ascii="Verdana" w:hAnsi="Verdana"/>
          <w:sz w:val="20"/>
          <w:szCs w:val="20"/>
        </w:rPr>
        <w:lastRenderedPageBreak/>
        <w:t xml:space="preserve">Ordenar al Estado que continúe la coordinación con los beneficiarios de las presentes medidas provisionales, o sus </w:t>
      </w:r>
      <w:r w:rsidRPr="00D53F87">
        <w:rPr>
          <w:rFonts w:ascii="Verdana" w:eastAsia="Times" w:hAnsi="Verdana" w:cs="Arial"/>
          <w:sz w:val="20"/>
          <w:szCs w:val="20"/>
          <w:lang w:val="es-ES"/>
        </w:rPr>
        <w:t>representantes</w:t>
      </w:r>
      <w:r w:rsidRPr="001D3520">
        <w:rPr>
          <w:rFonts w:ascii="Verdana" w:hAnsi="Verdana"/>
          <w:sz w:val="20"/>
          <w:szCs w:val="20"/>
        </w:rPr>
        <w:t>, la planificación e implementación de las mismas y que, en general, les mantenga informados sobre el avance de su ejecución.</w:t>
      </w:r>
    </w:p>
    <w:p w14:paraId="091D855A" w14:textId="77777777" w:rsidR="006C40C6" w:rsidRPr="006C40C6"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4FB93C5A" w14:textId="60C3B634" w:rsidR="00D53F87" w:rsidRPr="00933E53" w:rsidRDefault="00D53F87" w:rsidP="00933E53">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1D3520">
        <w:rPr>
          <w:rFonts w:ascii="Verdana" w:eastAsia="Times" w:hAnsi="Verdana"/>
          <w:sz w:val="20"/>
          <w:szCs w:val="20"/>
        </w:rPr>
        <w:t>Requerir al Estado que presente</w:t>
      </w:r>
      <w:r>
        <w:rPr>
          <w:rFonts w:ascii="Verdana" w:eastAsia="Times" w:hAnsi="Verdana"/>
          <w:sz w:val="20"/>
          <w:szCs w:val="20"/>
        </w:rPr>
        <w:t>,</w:t>
      </w:r>
      <w:r w:rsidRPr="001D3520">
        <w:rPr>
          <w:rFonts w:ascii="Verdana" w:eastAsia="Times" w:hAnsi="Verdana"/>
          <w:sz w:val="20"/>
          <w:szCs w:val="20"/>
        </w:rPr>
        <w:t xml:space="preserve"> a más </w:t>
      </w:r>
      <w:r w:rsidRPr="006621BF">
        <w:rPr>
          <w:rFonts w:ascii="Verdana" w:eastAsia="Times" w:hAnsi="Verdana"/>
          <w:sz w:val="20"/>
          <w:szCs w:val="20"/>
        </w:rPr>
        <w:t xml:space="preserve">tardar el </w:t>
      </w:r>
      <w:r w:rsidR="00561282">
        <w:rPr>
          <w:rFonts w:ascii="Verdana" w:eastAsia="Times" w:hAnsi="Verdana"/>
          <w:sz w:val="20"/>
          <w:szCs w:val="20"/>
        </w:rPr>
        <w:t>1 de julio de 2021</w:t>
      </w:r>
      <w:r>
        <w:rPr>
          <w:rFonts w:ascii="Verdana" w:eastAsia="Times" w:hAnsi="Verdana"/>
          <w:sz w:val="20"/>
          <w:szCs w:val="20"/>
        </w:rPr>
        <w:t xml:space="preserve">, un </w:t>
      </w:r>
      <w:r w:rsidRPr="002F6E3D">
        <w:rPr>
          <w:rFonts w:ascii="Verdana" w:hAnsi="Verdana"/>
          <w:sz w:val="20"/>
          <w:szCs w:val="20"/>
        </w:rPr>
        <w:t xml:space="preserve">informe en el que documente las acciones que haya implementado y prevea implementar para dar cumplimiento a </w:t>
      </w:r>
      <w:r>
        <w:rPr>
          <w:rFonts w:ascii="Verdana" w:hAnsi="Verdana"/>
          <w:sz w:val="20"/>
          <w:szCs w:val="20"/>
        </w:rPr>
        <w:t>lo ordenado en el punto resolutivo 1</w:t>
      </w:r>
      <w:r>
        <w:rPr>
          <w:rFonts w:ascii="Verdana" w:eastAsia="Times" w:hAnsi="Verdana"/>
          <w:sz w:val="20"/>
          <w:szCs w:val="20"/>
        </w:rPr>
        <w:t xml:space="preserve"> </w:t>
      </w:r>
      <w:r>
        <w:rPr>
          <w:rFonts w:ascii="Verdana" w:hAnsi="Verdana"/>
          <w:sz w:val="20"/>
          <w:szCs w:val="20"/>
        </w:rPr>
        <w:t xml:space="preserve">de conformidad con lo dispuesto en los considerandos </w:t>
      </w:r>
      <w:r w:rsidR="00287B1D">
        <w:rPr>
          <w:rFonts w:ascii="Verdana" w:hAnsi="Verdana"/>
          <w:sz w:val="20"/>
          <w:szCs w:val="20"/>
        </w:rPr>
        <w:t xml:space="preserve">22 </w:t>
      </w:r>
      <w:r>
        <w:rPr>
          <w:rFonts w:ascii="Verdana" w:hAnsi="Verdana"/>
          <w:sz w:val="20"/>
          <w:szCs w:val="20"/>
        </w:rPr>
        <w:t xml:space="preserve">y </w:t>
      </w:r>
      <w:r w:rsidR="00287B1D">
        <w:rPr>
          <w:rFonts w:ascii="Verdana" w:hAnsi="Verdana"/>
          <w:sz w:val="20"/>
          <w:szCs w:val="20"/>
        </w:rPr>
        <w:t>27.</w:t>
      </w:r>
    </w:p>
    <w:p w14:paraId="6A54E762" w14:textId="77777777" w:rsidR="006C40C6"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79A8B9A5" w14:textId="7B600469" w:rsidR="00D53F87" w:rsidRPr="00933E53" w:rsidRDefault="00D53F87" w:rsidP="00933E53">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1D3520">
        <w:rPr>
          <w:rFonts w:ascii="Verdana" w:hAnsi="Verdana"/>
          <w:sz w:val="20"/>
          <w:szCs w:val="20"/>
        </w:rPr>
        <w:t xml:space="preserve">Requerir a los representantes de las y los beneficiarios que presenten sus observaciones dentro </w:t>
      </w:r>
      <w:r w:rsidRPr="00D53F87">
        <w:rPr>
          <w:rFonts w:ascii="Verdana" w:eastAsia="Times" w:hAnsi="Verdana"/>
          <w:sz w:val="20"/>
          <w:szCs w:val="20"/>
        </w:rPr>
        <w:t>de</w:t>
      </w:r>
      <w:r w:rsidRPr="001D3520">
        <w:rPr>
          <w:rFonts w:ascii="Verdana" w:hAnsi="Verdana"/>
          <w:sz w:val="20"/>
          <w:szCs w:val="20"/>
        </w:rPr>
        <w:t xml:space="preserve"> un plazo de diez días a partir de la notificación del referido informe del Estado solicitado en el punto resolutivo </w:t>
      </w:r>
      <w:r w:rsidR="00D93484">
        <w:rPr>
          <w:rFonts w:ascii="Verdana" w:hAnsi="Verdana"/>
          <w:sz w:val="20"/>
          <w:szCs w:val="20"/>
        </w:rPr>
        <w:t>4</w:t>
      </w:r>
      <w:r w:rsidRPr="001D3520">
        <w:rPr>
          <w:rFonts w:ascii="Verdana" w:hAnsi="Verdana"/>
          <w:sz w:val="20"/>
          <w:szCs w:val="20"/>
        </w:rPr>
        <w:t>, así como a la Comisión Interamericana de Derechos Humanos que presente sus observaciones a dicho informe del Estado dentro de un plazo de diez días a partir de la recepción de las observaciones de los representantes.</w:t>
      </w:r>
    </w:p>
    <w:p w14:paraId="567AF4B3" w14:textId="77777777" w:rsidR="006C40C6"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2F45E69F" w14:textId="460C0725" w:rsidR="00D53F87" w:rsidRDefault="00D53F87" w:rsidP="00933E53">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1D3520">
        <w:rPr>
          <w:rFonts w:ascii="Verdana" w:hAnsi="Verdana"/>
          <w:sz w:val="20"/>
          <w:szCs w:val="20"/>
        </w:rPr>
        <w:t>Requerir al Estado que continúe informando a la Corte cada dos meses, contados a partir de la remisión de su último informe, sobre las medidas provisionales adoptadas.</w:t>
      </w:r>
    </w:p>
    <w:p w14:paraId="241FBB2A" w14:textId="77777777" w:rsidR="006C40C6"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0E8532DA" w14:textId="097285D5" w:rsidR="00060773" w:rsidRPr="006C40C6" w:rsidRDefault="00060773" w:rsidP="00933E53">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A84D20">
        <w:rPr>
          <w:rFonts w:ascii="Verdana" w:hAnsi="Verdana"/>
          <w:sz w:val="20"/>
          <w:szCs w:val="20"/>
          <w:lang w:val="es-CR"/>
        </w:rPr>
        <w:t>Mantener abierto el procedimiento de supervisión de cumplimiento de las siguientes medidas de reparación</w:t>
      </w:r>
      <w:r w:rsidR="005A652A">
        <w:rPr>
          <w:rFonts w:ascii="Verdana" w:hAnsi="Verdana"/>
          <w:sz w:val="20"/>
          <w:szCs w:val="20"/>
          <w:lang w:val="es-CR"/>
        </w:rPr>
        <w:t xml:space="preserve"> que fueron </w:t>
      </w:r>
      <w:r w:rsidR="00D93484">
        <w:rPr>
          <w:rFonts w:ascii="Verdana" w:hAnsi="Verdana"/>
          <w:sz w:val="20"/>
          <w:szCs w:val="20"/>
          <w:lang w:val="es-CR"/>
        </w:rPr>
        <w:t>valoradas</w:t>
      </w:r>
      <w:r w:rsidR="005A652A">
        <w:rPr>
          <w:rFonts w:ascii="Verdana" w:hAnsi="Verdana"/>
          <w:sz w:val="20"/>
          <w:szCs w:val="20"/>
          <w:lang w:val="es-CR"/>
        </w:rPr>
        <w:t xml:space="preserve"> en esta Resolución</w:t>
      </w:r>
      <w:r w:rsidRPr="00A84D20">
        <w:rPr>
          <w:rFonts w:ascii="Verdana" w:hAnsi="Verdana"/>
          <w:sz w:val="20"/>
          <w:szCs w:val="20"/>
          <w:lang w:val="es-CR"/>
        </w:rPr>
        <w:t>:</w:t>
      </w:r>
    </w:p>
    <w:p w14:paraId="03CA3986" w14:textId="77777777" w:rsidR="006C40C6" w:rsidRPr="00060773" w:rsidRDefault="006C40C6" w:rsidP="006C40C6">
      <w:pPr>
        <w:pStyle w:val="Textoindependiente3"/>
        <w:tabs>
          <w:tab w:val="left" w:pos="0"/>
          <w:tab w:val="left" w:pos="680"/>
          <w:tab w:val="num" w:pos="709"/>
        </w:tabs>
        <w:spacing w:after="0"/>
        <w:ind w:right="18"/>
        <w:jc w:val="both"/>
        <w:rPr>
          <w:rFonts w:ascii="Verdana" w:hAnsi="Verdana"/>
          <w:sz w:val="20"/>
          <w:szCs w:val="20"/>
        </w:rPr>
      </w:pPr>
    </w:p>
    <w:p w14:paraId="65513BD1" w14:textId="6CCA2570" w:rsidR="006C40C6" w:rsidRPr="00A84D20" w:rsidRDefault="006C40C6" w:rsidP="006C40C6">
      <w:pPr>
        <w:pStyle w:val="Textoindependiente3"/>
        <w:tabs>
          <w:tab w:val="left" w:pos="0"/>
          <w:tab w:val="left" w:pos="680"/>
          <w:tab w:val="num" w:pos="709"/>
        </w:tabs>
        <w:spacing w:after="0"/>
        <w:ind w:left="360" w:right="18"/>
        <w:jc w:val="both"/>
        <w:rPr>
          <w:rFonts w:ascii="Verdana" w:hAnsi="Verdana"/>
          <w:i/>
          <w:sz w:val="20"/>
          <w:szCs w:val="20"/>
          <w:u w:val="single"/>
          <w:lang w:val="es-CR"/>
        </w:rPr>
      </w:pPr>
      <w:r w:rsidRPr="00A84D20">
        <w:rPr>
          <w:rFonts w:ascii="Verdana" w:hAnsi="Verdana"/>
          <w:i/>
          <w:sz w:val="20"/>
          <w:szCs w:val="20"/>
          <w:u w:val="single"/>
          <w:lang w:val="es-CR"/>
        </w:rPr>
        <w:t>Caso Comunidad Garífuna Triunfo de la Cruz y sus miembros</w:t>
      </w:r>
    </w:p>
    <w:p w14:paraId="39D2C5AF" w14:textId="77777777" w:rsidR="006C40C6" w:rsidRDefault="006C40C6" w:rsidP="006C40C6">
      <w:pPr>
        <w:numPr>
          <w:ilvl w:val="0"/>
          <w:numId w:val="17"/>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demarcar las tierras sobre las cuales ha sido otorgada la propiedad colectiva a la Comunidad Garífuna Triunfo de la Cruz (</w:t>
      </w:r>
      <w:r w:rsidRPr="00525739">
        <w:rPr>
          <w:rFonts w:ascii="Verdana" w:hAnsi="Verdana"/>
          <w:i/>
          <w:sz w:val="20"/>
          <w:szCs w:val="20"/>
          <w:lang w:val="es-CR"/>
        </w:rPr>
        <w:t xml:space="preserve">punto resolutivo </w:t>
      </w:r>
      <w:r>
        <w:rPr>
          <w:rFonts w:ascii="Verdana" w:hAnsi="Verdana"/>
          <w:i/>
          <w:sz w:val="20"/>
          <w:szCs w:val="20"/>
          <w:lang w:val="es-CR"/>
        </w:rPr>
        <w:t>sexto</w:t>
      </w:r>
      <w:r w:rsidRPr="00525739">
        <w:rPr>
          <w:rFonts w:ascii="Verdana" w:hAnsi="Verdana"/>
          <w:i/>
          <w:sz w:val="20"/>
          <w:szCs w:val="20"/>
          <w:lang w:val="es-CR"/>
        </w:rPr>
        <w:t xml:space="preserve"> de la Sentencia</w:t>
      </w:r>
      <w:r>
        <w:rPr>
          <w:rFonts w:ascii="Verdana" w:hAnsi="Verdana"/>
          <w:sz w:val="20"/>
          <w:szCs w:val="20"/>
          <w:lang w:val="es-CR"/>
        </w:rPr>
        <w:t>);</w:t>
      </w:r>
    </w:p>
    <w:p w14:paraId="65F69128" w14:textId="77777777" w:rsidR="006C40C6" w:rsidRDefault="006C40C6" w:rsidP="006C40C6">
      <w:pPr>
        <w:numPr>
          <w:ilvl w:val="0"/>
          <w:numId w:val="17"/>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otorgar a la Comunidad Garífuna Triunfo de la Cruz un título de propiedad colectiva debidamente delimitado y demarcado sobre el área denominada “Lote A1” (</w:t>
      </w:r>
      <w:r>
        <w:rPr>
          <w:rFonts w:ascii="Verdana" w:hAnsi="Verdana"/>
          <w:i/>
          <w:sz w:val="20"/>
          <w:szCs w:val="20"/>
          <w:lang w:val="es-CR"/>
        </w:rPr>
        <w:t>punto resolutivo séptimo de la Sentencia</w:t>
      </w:r>
      <w:r>
        <w:rPr>
          <w:rFonts w:ascii="Verdana" w:hAnsi="Verdana"/>
          <w:sz w:val="20"/>
          <w:szCs w:val="20"/>
          <w:lang w:val="es-CR"/>
        </w:rPr>
        <w:t>);</w:t>
      </w:r>
    </w:p>
    <w:p w14:paraId="3F2B896B" w14:textId="55BD14EA" w:rsidR="006C40C6" w:rsidRDefault="006C40C6" w:rsidP="006C40C6">
      <w:pPr>
        <w:numPr>
          <w:ilvl w:val="0"/>
          <w:numId w:val="17"/>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 xml:space="preserve">  iniciar las investigaciones </w:t>
      </w:r>
      <w:r w:rsidR="0036327C">
        <w:rPr>
          <w:rFonts w:ascii="Verdana" w:hAnsi="Verdana"/>
          <w:sz w:val="20"/>
          <w:szCs w:val="20"/>
          <w:lang w:val="es-CR"/>
        </w:rPr>
        <w:t xml:space="preserve">por la muerte </w:t>
      </w:r>
      <w:r w:rsidR="0036327C" w:rsidRPr="00D52CD7">
        <w:rPr>
          <w:rFonts w:ascii="Verdana" w:hAnsi="Verdana"/>
          <w:sz w:val="20"/>
          <w:szCs w:val="20"/>
          <w:lang w:val="es-CR"/>
        </w:rPr>
        <w:t xml:space="preserve">de los señores Jesús Álvarez, Óscar Brega, Jorge Castillo Jiménez y Julio Alberto Morales, </w:t>
      </w:r>
      <w:r>
        <w:rPr>
          <w:rFonts w:ascii="Verdana" w:hAnsi="Verdana"/>
          <w:sz w:val="20"/>
          <w:szCs w:val="20"/>
          <w:lang w:val="es-CR"/>
        </w:rPr>
        <w:t>con la finalidad de determinar las eventuales responsabilidades penales y, en su caso, aplicar efectivamente las sanciones y consecuencias que la ley prevea (</w:t>
      </w:r>
      <w:r>
        <w:rPr>
          <w:rFonts w:ascii="Verdana" w:hAnsi="Verdana"/>
          <w:i/>
          <w:sz w:val="20"/>
          <w:szCs w:val="20"/>
          <w:lang w:val="es-CR"/>
        </w:rPr>
        <w:t>punto resolutivo octavo de la Sentencia</w:t>
      </w:r>
      <w:r>
        <w:rPr>
          <w:rFonts w:ascii="Verdana" w:hAnsi="Verdana"/>
          <w:sz w:val="20"/>
          <w:szCs w:val="20"/>
          <w:lang w:val="es-CR"/>
        </w:rPr>
        <w:t>);</w:t>
      </w:r>
    </w:p>
    <w:p w14:paraId="259EF968" w14:textId="1A355055" w:rsidR="006C40C6" w:rsidRDefault="006C40C6" w:rsidP="006C40C6">
      <w:pPr>
        <w:numPr>
          <w:ilvl w:val="0"/>
          <w:numId w:val="17"/>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garantizar el libre acceso, uso y goce de la propiedad colectiva por parte de la Comunidad Garífuna Triunfo de la Cruz en la parte de su territorio que se sobrepone con un área del parque Nacional Punta Izopo (</w:t>
      </w:r>
      <w:r>
        <w:rPr>
          <w:rFonts w:ascii="Verdana" w:hAnsi="Verdana"/>
          <w:i/>
          <w:sz w:val="20"/>
          <w:szCs w:val="20"/>
          <w:lang w:val="es-CR"/>
        </w:rPr>
        <w:t>punto resolutivo decimoprimero de la Sentencia</w:t>
      </w:r>
      <w:r>
        <w:rPr>
          <w:rFonts w:ascii="Verdana" w:hAnsi="Verdana"/>
          <w:sz w:val="20"/>
          <w:szCs w:val="20"/>
          <w:lang w:val="es-CR"/>
        </w:rPr>
        <w:t>)</w:t>
      </w:r>
      <w:r w:rsidR="00D93484">
        <w:rPr>
          <w:rFonts w:ascii="Verdana" w:hAnsi="Verdana"/>
          <w:sz w:val="20"/>
          <w:szCs w:val="20"/>
          <w:lang w:val="es-CR"/>
        </w:rPr>
        <w:t>, y</w:t>
      </w:r>
    </w:p>
    <w:p w14:paraId="5ED2D82E" w14:textId="3FDC588D" w:rsidR="006C40C6" w:rsidRPr="00E85C13" w:rsidRDefault="006C40C6" w:rsidP="006C40C6">
      <w:pPr>
        <w:numPr>
          <w:ilvl w:val="0"/>
          <w:numId w:val="17"/>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c</w:t>
      </w:r>
      <w:r w:rsidRPr="00525739">
        <w:rPr>
          <w:rFonts w:ascii="Verdana" w:hAnsi="Verdana"/>
          <w:sz w:val="20"/>
          <w:szCs w:val="20"/>
          <w:lang w:val="es-CR"/>
        </w:rPr>
        <w:t>rear mecanismos adecuados para regular su sistema de Registro de Propiedad</w:t>
      </w:r>
      <w:r>
        <w:rPr>
          <w:rFonts w:ascii="Verdana" w:hAnsi="Verdana"/>
          <w:sz w:val="20"/>
          <w:szCs w:val="20"/>
          <w:lang w:val="es-CR"/>
        </w:rPr>
        <w:t xml:space="preserve"> (</w:t>
      </w:r>
      <w:r>
        <w:rPr>
          <w:rFonts w:ascii="Verdana" w:hAnsi="Verdana"/>
          <w:i/>
          <w:sz w:val="20"/>
          <w:szCs w:val="20"/>
          <w:lang w:val="es-CR"/>
        </w:rPr>
        <w:t>punto resolutivo decimosegundo</w:t>
      </w:r>
      <w:r w:rsidRPr="00525739">
        <w:rPr>
          <w:rFonts w:ascii="Verdana" w:hAnsi="Verdana"/>
          <w:i/>
          <w:sz w:val="20"/>
          <w:szCs w:val="20"/>
          <w:lang w:val="es-CR"/>
        </w:rPr>
        <w:t xml:space="preserve"> de la Sentencia</w:t>
      </w:r>
      <w:r>
        <w:rPr>
          <w:rFonts w:ascii="Verdana" w:hAnsi="Verdana"/>
          <w:sz w:val="20"/>
          <w:szCs w:val="20"/>
          <w:lang w:val="es-CR"/>
        </w:rPr>
        <w:t>)</w:t>
      </w:r>
      <w:r w:rsidR="00D93484">
        <w:rPr>
          <w:rFonts w:ascii="Verdana" w:hAnsi="Verdana"/>
          <w:sz w:val="20"/>
          <w:szCs w:val="20"/>
          <w:lang w:val="es-CR"/>
        </w:rPr>
        <w:t>.</w:t>
      </w:r>
    </w:p>
    <w:p w14:paraId="38FD3101" w14:textId="77777777" w:rsidR="006C40C6" w:rsidRPr="00A84D20" w:rsidRDefault="006C40C6" w:rsidP="00060773">
      <w:pPr>
        <w:pStyle w:val="Textoindependiente3"/>
        <w:tabs>
          <w:tab w:val="left" w:pos="0"/>
          <w:tab w:val="left" w:pos="680"/>
          <w:tab w:val="num" w:pos="709"/>
        </w:tabs>
        <w:spacing w:after="0"/>
        <w:ind w:right="18"/>
        <w:jc w:val="both"/>
        <w:rPr>
          <w:rFonts w:ascii="Verdana" w:hAnsi="Verdana"/>
          <w:sz w:val="20"/>
          <w:szCs w:val="20"/>
          <w:lang w:val="es-CR"/>
        </w:rPr>
      </w:pPr>
    </w:p>
    <w:p w14:paraId="35730480" w14:textId="3CC9B971" w:rsidR="006C40C6" w:rsidRPr="00A84D20" w:rsidRDefault="006C40C6" w:rsidP="006C40C6">
      <w:pPr>
        <w:pStyle w:val="Textoindependiente3"/>
        <w:tabs>
          <w:tab w:val="left" w:pos="0"/>
          <w:tab w:val="left" w:pos="680"/>
          <w:tab w:val="num" w:pos="709"/>
        </w:tabs>
        <w:spacing w:after="0"/>
        <w:ind w:left="360" w:right="18"/>
        <w:jc w:val="both"/>
        <w:rPr>
          <w:rFonts w:ascii="Verdana" w:hAnsi="Verdana"/>
          <w:i/>
          <w:sz w:val="20"/>
          <w:szCs w:val="20"/>
          <w:u w:val="single"/>
          <w:lang w:val="es-CR"/>
        </w:rPr>
      </w:pPr>
      <w:r w:rsidRPr="00A84D20">
        <w:rPr>
          <w:rFonts w:ascii="Verdana" w:hAnsi="Verdana"/>
          <w:i/>
          <w:sz w:val="20"/>
          <w:szCs w:val="20"/>
          <w:u w:val="single"/>
          <w:lang w:val="es-CR"/>
        </w:rPr>
        <w:t xml:space="preserve">Caso Comunidad </w:t>
      </w:r>
      <w:r w:rsidR="0036327C">
        <w:rPr>
          <w:rFonts w:ascii="Verdana" w:hAnsi="Verdana"/>
          <w:i/>
          <w:sz w:val="20"/>
          <w:szCs w:val="20"/>
          <w:u w:val="single"/>
          <w:lang w:val="es-CR"/>
        </w:rPr>
        <w:t>Punta Piedra</w:t>
      </w:r>
      <w:r w:rsidRPr="00A84D20">
        <w:rPr>
          <w:rFonts w:ascii="Verdana" w:hAnsi="Verdana"/>
          <w:i/>
          <w:sz w:val="20"/>
          <w:szCs w:val="20"/>
          <w:u w:val="single"/>
          <w:lang w:val="es-CR"/>
        </w:rPr>
        <w:t xml:space="preserve"> y sus miembros</w:t>
      </w:r>
    </w:p>
    <w:p w14:paraId="4D2A0334" w14:textId="77777777" w:rsidR="006C40C6" w:rsidRDefault="006C40C6" w:rsidP="006C40C6">
      <w:pPr>
        <w:numPr>
          <w:ilvl w:val="0"/>
          <w:numId w:val="18"/>
        </w:numPr>
        <w:tabs>
          <w:tab w:val="left" w:pos="567"/>
        </w:tabs>
        <w:spacing w:before="120" w:after="120" w:line="240" w:lineRule="auto"/>
        <w:ind w:right="22"/>
        <w:jc w:val="both"/>
        <w:rPr>
          <w:rFonts w:ascii="Verdana" w:hAnsi="Verdana"/>
          <w:sz w:val="20"/>
          <w:szCs w:val="20"/>
          <w:lang w:val="es-CR"/>
        </w:rPr>
      </w:pPr>
      <w:r>
        <w:rPr>
          <w:rFonts w:ascii="Verdana" w:hAnsi="Verdana"/>
          <w:sz w:val="20"/>
          <w:szCs w:val="20"/>
          <w:lang w:val="es-CR"/>
        </w:rPr>
        <w:t>g</w:t>
      </w:r>
      <w:r w:rsidRPr="00A43316">
        <w:rPr>
          <w:rFonts w:ascii="Verdana" w:hAnsi="Verdana"/>
          <w:sz w:val="20"/>
          <w:szCs w:val="20"/>
          <w:lang w:val="es-CR"/>
        </w:rPr>
        <w:t>arantizar el uso y goce, a través del saneamiento, de las tierras tradicionales que fueron tituladas por el Estado a favor de la Comunidad Garífuna de Punta Piedra, llevando a cabo dicha obligación de oficio y con extrema diligencia</w:t>
      </w:r>
      <w:r>
        <w:rPr>
          <w:rFonts w:ascii="Verdana" w:hAnsi="Verdana"/>
          <w:sz w:val="20"/>
          <w:szCs w:val="20"/>
          <w:lang w:val="es-CR"/>
        </w:rPr>
        <w:t xml:space="preserve"> (</w:t>
      </w:r>
      <w:r w:rsidRPr="00525739">
        <w:rPr>
          <w:rFonts w:ascii="Verdana" w:hAnsi="Verdana"/>
          <w:i/>
          <w:sz w:val="20"/>
          <w:szCs w:val="20"/>
          <w:lang w:val="es-CR"/>
        </w:rPr>
        <w:t>punto resolutivo décimo de la Sentencia</w:t>
      </w:r>
      <w:r>
        <w:rPr>
          <w:rFonts w:ascii="Verdana" w:hAnsi="Verdana"/>
          <w:sz w:val="20"/>
          <w:szCs w:val="20"/>
          <w:lang w:val="es-CR"/>
        </w:rPr>
        <w:t>);</w:t>
      </w:r>
    </w:p>
    <w:p w14:paraId="3B1F1D09" w14:textId="29DE34BC" w:rsidR="006C40C6" w:rsidRDefault="006C40C6" w:rsidP="006C40C6">
      <w:pPr>
        <w:numPr>
          <w:ilvl w:val="0"/>
          <w:numId w:val="18"/>
        </w:numPr>
        <w:tabs>
          <w:tab w:val="left" w:pos="720"/>
        </w:tabs>
        <w:spacing w:before="120" w:after="120" w:line="240" w:lineRule="auto"/>
        <w:ind w:right="22"/>
        <w:jc w:val="both"/>
        <w:rPr>
          <w:rFonts w:ascii="Verdana" w:hAnsi="Verdana"/>
          <w:sz w:val="20"/>
          <w:szCs w:val="20"/>
          <w:lang w:val="es-CR"/>
        </w:rPr>
      </w:pPr>
      <w:r>
        <w:rPr>
          <w:rFonts w:ascii="Verdana" w:hAnsi="Verdana"/>
          <w:sz w:val="20"/>
          <w:szCs w:val="20"/>
          <w:lang w:val="es-CR"/>
        </w:rPr>
        <w:t>c</w:t>
      </w:r>
      <w:r w:rsidRPr="00525739">
        <w:rPr>
          <w:rFonts w:ascii="Verdana" w:hAnsi="Verdana"/>
          <w:sz w:val="20"/>
          <w:szCs w:val="20"/>
          <w:lang w:val="es-CR"/>
        </w:rPr>
        <w:t>rear en un plazo razonable, mecanismos adecuados para regular su sistema de Registro de Propiedad</w:t>
      </w:r>
      <w:r>
        <w:rPr>
          <w:rFonts w:ascii="Verdana" w:hAnsi="Verdana"/>
          <w:sz w:val="20"/>
          <w:szCs w:val="20"/>
          <w:lang w:val="es-CR"/>
        </w:rPr>
        <w:t xml:space="preserve"> (</w:t>
      </w:r>
      <w:r>
        <w:rPr>
          <w:rFonts w:ascii="Verdana" w:hAnsi="Verdana"/>
          <w:i/>
          <w:sz w:val="20"/>
          <w:szCs w:val="20"/>
          <w:lang w:val="es-CR"/>
        </w:rPr>
        <w:t>punto resolutivo de</w:t>
      </w:r>
      <w:r w:rsidRPr="00525739">
        <w:rPr>
          <w:rFonts w:ascii="Verdana" w:hAnsi="Verdana"/>
          <w:i/>
          <w:sz w:val="20"/>
          <w:szCs w:val="20"/>
          <w:lang w:val="es-CR"/>
        </w:rPr>
        <w:t>cimo</w:t>
      </w:r>
      <w:r>
        <w:rPr>
          <w:rFonts w:ascii="Verdana" w:hAnsi="Verdana"/>
          <w:i/>
          <w:sz w:val="20"/>
          <w:szCs w:val="20"/>
          <w:lang w:val="es-CR"/>
        </w:rPr>
        <w:t>sexto</w:t>
      </w:r>
      <w:r w:rsidRPr="00525739">
        <w:rPr>
          <w:rFonts w:ascii="Verdana" w:hAnsi="Verdana"/>
          <w:i/>
          <w:sz w:val="20"/>
          <w:szCs w:val="20"/>
          <w:lang w:val="es-CR"/>
        </w:rPr>
        <w:t xml:space="preserve"> de la Sentencia</w:t>
      </w:r>
      <w:r>
        <w:rPr>
          <w:rFonts w:ascii="Verdana" w:hAnsi="Verdana"/>
          <w:sz w:val="20"/>
          <w:szCs w:val="20"/>
          <w:lang w:val="es-CR"/>
        </w:rPr>
        <w:t>)</w:t>
      </w:r>
      <w:r w:rsidR="00D93484">
        <w:rPr>
          <w:rFonts w:ascii="Verdana" w:hAnsi="Verdana"/>
          <w:sz w:val="20"/>
          <w:szCs w:val="20"/>
          <w:lang w:val="es-CR"/>
        </w:rPr>
        <w:t>, y</w:t>
      </w:r>
    </w:p>
    <w:p w14:paraId="33A9C327" w14:textId="77777777" w:rsidR="006C40C6" w:rsidRDefault="006C40C6" w:rsidP="006C40C6">
      <w:pPr>
        <w:numPr>
          <w:ilvl w:val="0"/>
          <w:numId w:val="18"/>
        </w:numPr>
        <w:tabs>
          <w:tab w:val="left" w:pos="720"/>
        </w:tabs>
        <w:spacing w:before="120" w:after="120" w:line="240" w:lineRule="auto"/>
        <w:ind w:right="22"/>
        <w:jc w:val="both"/>
        <w:rPr>
          <w:rFonts w:ascii="Verdana" w:hAnsi="Verdana"/>
          <w:sz w:val="20"/>
          <w:szCs w:val="20"/>
          <w:lang w:val="es-CR"/>
        </w:rPr>
      </w:pPr>
      <w:r>
        <w:rPr>
          <w:rFonts w:ascii="Verdana" w:hAnsi="Verdana"/>
          <w:sz w:val="20"/>
          <w:szCs w:val="20"/>
          <w:lang w:val="es-CR"/>
        </w:rPr>
        <w:t>c</w:t>
      </w:r>
      <w:r w:rsidRPr="00525739">
        <w:rPr>
          <w:rFonts w:ascii="Verdana" w:hAnsi="Verdana"/>
          <w:sz w:val="20"/>
          <w:szCs w:val="20"/>
          <w:lang w:val="es-CR"/>
        </w:rPr>
        <w:t>ontinuar y concluir, en un plazo razonable, la investigación por la muerte de Félix Ordóñez Suazo y demás denuncias interpuestas en la jurisdicción interna, y en su caso, sancionar a los responsables</w:t>
      </w:r>
      <w:r>
        <w:rPr>
          <w:rFonts w:ascii="Verdana" w:hAnsi="Verdana"/>
          <w:sz w:val="20"/>
          <w:szCs w:val="20"/>
          <w:lang w:val="es-CR"/>
        </w:rPr>
        <w:t xml:space="preserve"> (</w:t>
      </w:r>
      <w:r>
        <w:rPr>
          <w:rFonts w:ascii="Verdana" w:hAnsi="Verdana"/>
          <w:i/>
          <w:sz w:val="20"/>
          <w:szCs w:val="20"/>
          <w:lang w:val="es-CR"/>
        </w:rPr>
        <w:t>punto resolutivo de</w:t>
      </w:r>
      <w:r w:rsidRPr="00525739">
        <w:rPr>
          <w:rFonts w:ascii="Verdana" w:hAnsi="Verdana"/>
          <w:i/>
          <w:sz w:val="20"/>
          <w:szCs w:val="20"/>
          <w:lang w:val="es-CR"/>
        </w:rPr>
        <w:t>cimo</w:t>
      </w:r>
      <w:r>
        <w:rPr>
          <w:rFonts w:ascii="Verdana" w:hAnsi="Verdana"/>
          <w:i/>
          <w:sz w:val="20"/>
          <w:szCs w:val="20"/>
          <w:lang w:val="es-CR"/>
        </w:rPr>
        <w:t>séptimo</w:t>
      </w:r>
      <w:r w:rsidRPr="00525739">
        <w:rPr>
          <w:rFonts w:ascii="Verdana" w:hAnsi="Verdana"/>
          <w:i/>
          <w:sz w:val="20"/>
          <w:szCs w:val="20"/>
          <w:lang w:val="es-CR"/>
        </w:rPr>
        <w:t xml:space="preserve"> de la Sentencia</w:t>
      </w:r>
      <w:r>
        <w:rPr>
          <w:rFonts w:ascii="Verdana" w:hAnsi="Verdana"/>
          <w:sz w:val="20"/>
          <w:szCs w:val="20"/>
          <w:lang w:val="es-CR"/>
        </w:rPr>
        <w:t>);</w:t>
      </w:r>
    </w:p>
    <w:p w14:paraId="29AEFD96" w14:textId="2B8D241C" w:rsidR="00060773" w:rsidRDefault="00060773" w:rsidP="00060773">
      <w:pPr>
        <w:pStyle w:val="Textoindependiente3"/>
        <w:tabs>
          <w:tab w:val="left" w:pos="0"/>
          <w:tab w:val="left" w:pos="680"/>
          <w:tab w:val="num" w:pos="709"/>
        </w:tabs>
        <w:spacing w:after="0"/>
        <w:ind w:right="18"/>
        <w:jc w:val="both"/>
        <w:rPr>
          <w:rFonts w:ascii="Verdana" w:hAnsi="Verdana"/>
          <w:sz w:val="20"/>
          <w:szCs w:val="20"/>
        </w:rPr>
      </w:pPr>
    </w:p>
    <w:p w14:paraId="2AD7CD5D" w14:textId="77777777" w:rsidR="00980DB8" w:rsidRDefault="00980DB8" w:rsidP="00980DB8">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A84D20">
        <w:rPr>
          <w:rFonts w:ascii="Verdana" w:hAnsi="Verdana"/>
          <w:sz w:val="20"/>
          <w:szCs w:val="20"/>
          <w:lang w:val="es-CR"/>
        </w:rPr>
        <w:t xml:space="preserve">Disponer que el Estado adopte, en definitiva y a la mayor brevedad posible, las medidas que sean necesarias para dar efectivo y pronto cumplimiento a las reparaciones indicadas en el punto resolutivo anterior, de acuerdo con lo considerado en la presente Resolución, y con lo estipulado en el </w:t>
      </w:r>
      <w:proofErr w:type="spellStart"/>
      <w:r w:rsidRPr="00A84D20">
        <w:rPr>
          <w:rFonts w:ascii="Verdana" w:hAnsi="Verdana"/>
          <w:sz w:val="20"/>
          <w:szCs w:val="20"/>
          <w:lang w:val="es-CR"/>
        </w:rPr>
        <w:t>artículo</w:t>
      </w:r>
      <w:proofErr w:type="spellEnd"/>
      <w:r w:rsidRPr="00A84D20">
        <w:rPr>
          <w:rFonts w:ascii="Verdana" w:hAnsi="Verdana"/>
          <w:sz w:val="20"/>
          <w:szCs w:val="20"/>
          <w:lang w:val="es-CR"/>
        </w:rPr>
        <w:t xml:space="preserve"> 68.1 de la Convención Americana sobre Derechos Humanos.</w:t>
      </w:r>
    </w:p>
    <w:p w14:paraId="26BFFDD3" w14:textId="2DF38DCB" w:rsidR="00060773" w:rsidRDefault="00060773" w:rsidP="00060773">
      <w:pPr>
        <w:pStyle w:val="Textoindependiente3"/>
        <w:tabs>
          <w:tab w:val="left" w:pos="0"/>
          <w:tab w:val="left" w:pos="680"/>
          <w:tab w:val="num" w:pos="709"/>
        </w:tabs>
        <w:spacing w:after="0"/>
        <w:ind w:right="18"/>
        <w:jc w:val="both"/>
        <w:rPr>
          <w:rFonts w:ascii="Verdana" w:hAnsi="Verdana"/>
          <w:sz w:val="20"/>
          <w:szCs w:val="20"/>
        </w:rPr>
      </w:pPr>
    </w:p>
    <w:p w14:paraId="578F2316" w14:textId="32E391B5" w:rsidR="005A652A" w:rsidRPr="005A652A" w:rsidRDefault="00E64AA7" w:rsidP="006C40C6">
      <w:pPr>
        <w:pStyle w:val="Textoindependiente3"/>
        <w:numPr>
          <w:ilvl w:val="0"/>
          <w:numId w:val="15"/>
        </w:numPr>
        <w:tabs>
          <w:tab w:val="left" w:pos="0"/>
          <w:tab w:val="left" w:pos="680"/>
          <w:tab w:val="num" w:pos="709"/>
        </w:tabs>
        <w:spacing w:after="0"/>
        <w:ind w:right="18"/>
        <w:jc w:val="both"/>
        <w:rPr>
          <w:rFonts w:ascii="Verdana" w:hAnsi="Verdana"/>
          <w:sz w:val="20"/>
          <w:szCs w:val="20"/>
        </w:rPr>
      </w:pPr>
      <w:r>
        <w:rPr>
          <w:rFonts w:ascii="Verdana" w:hAnsi="Verdana"/>
          <w:sz w:val="20"/>
          <w:szCs w:val="20"/>
        </w:rPr>
        <w:t>Supervisar en una resolución separada las restantes medidas de reparación ordenas en las Sentencias de ambos casos que no fueron valoradas en la presente Resolución.</w:t>
      </w:r>
    </w:p>
    <w:p w14:paraId="3D99C70D" w14:textId="77777777" w:rsidR="005A652A" w:rsidRPr="00B16193" w:rsidRDefault="005A652A" w:rsidP="00DB5050">
      <w:pPr>
        <w:pStyle w:val="Textoindependiente3"/>
        <w:tabs>
          <w:tab w:val="left" w:pos="0"/>
          <w:tab w:val="left" w:pos="680"/>
          <w:tab w:val="num" w:pos="709"/>
        </w:tabs>
        <w:spacing w:after="0"/>
        <w:ind w:right="18"/>
        <w:jc w:val="both"/>
        <w:rPr>
          <w:rFonts w:ascii="Verdana" w:hAnsi="Verdana"/>
          <w:sz w:val="20"/>
          <w:szCs w:val="20"/>
          <w:lang w:val="es-ES"/>
        </w:rPr>
      </w:pPr>
    </w:p>
    <w:p w14:paraId="51CD6543" w14:textId="2013193B" w:rsidR="00980DB8" w:rsidRPr="00980DB8" w:rsidRDefault="00980DB8" w:rsidP="006C40C6">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A84D20">
        <w:rPr>
          <w:rFonts w:ascii="Verdana" w:hAnsi="Verdana"/>
          <w:sz w:val="20"/>
          <w:szCs w:val="20"/>
          <w:lang w:val="es-CR"/>
        </w:rPr>
        <w:t xml:space="preserve">Disponer que Honduras presente a la Corte Interamericana de Derechos Humanos, a más tardar el </w:t>
      </w:r>
      <w:r w:rsidR="00561282">
        <w:rPr>
          <w:rFonts w:ascii="Verdana" w:hAnsi="Verdana"/>
          <w:sz w:val="20"/>
          <w:szCs w:val="20"/>
          <w:lang w:val="es-CR"/>
        </w:rPr>
        <w:t>17 de septiembre de 2021</w:t>
      </w:r>
      <w:r w:rsidRPr="00A84D20">
        <w:rPr>
          <w:rFonts w:ascii="Verdana" w:hAnsi="Verdana"/>
          <w:sz w:val="20"/>
          <w:szCs w:val="20"/>
          <w:lang w:val="es-CR"/>
        </w:rPr>
        <w:t xml:space="preserve">, un informe sobre todas las reparaciones pendientes de cumplimiento, de conformidad con lo indicado en el punto resolutivo </w:t>
      </w:r>
      <w:r w:rsidR="00561282">
        <w:rPr>
          <w:rFonts w:ascii="Verdana" w:hAnsi="Verdana"/>
          <w:sz w:val="20"/>
          <w:szCs w:val="20"/>
          <w:lang w:val="es-CR"/>
        </w:rPr>
        <w:t>séptimo</w:t>
      </w:r>
      <w:r w:rsidRPr="00A84D20">
        <w:rPr>
          <w:rFonts w:ascii="Verdana" w:hAnsi="Verdana"/>
          <w:sz w:val="20"/>
          <w:szCs w:val="20"/>
          <w:lang w:val="es-CR"/>
        </w:rPr>
        <w:t xml:space="preserve"> de la presente Resolución. </w:t>
      </w:r>
    </w:p>
    <w:p w14:paraId="0D21B96D" w14:textId="77777777" w:rsidR="00980DB8" w:rsidRPr="00980DB8" w:rsidRDefault="00980DB8" w:rsidP="00980DB8">
      <w:pPr>
        <w:pStyle w:val="Textoindependiente3"/>
        <w:tabs>
          <w:tab w:val="left" w:pos="0"/>
          <w:tab w:val="left" w:pos="680"/>
          <w:tab w:val="num" w:pos="709"/>
        </w:tabs>
        <w:spacing w:after="0"/>
        <w:ind w:right="18"/>
        <w:jc w:val="both"/>
        <w:rPr>
          <w:rFonts w:ascii="Verdana" w:hAnsi="Verdana"/>
          <w:sz w:val="20"/>
          <w:szCs w:val="20"/>
        </w:rPr>
      </w:pPr>
    </w:p>
    <w:p w14:paraId="73936302" w14:textId="33843572" w:rsidR="006C40C6" w:rsidRDefault="00980DB8" w:rsidP="006C40C6">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A84D20">
        <w:rPr>
          <w:rFonts w:ascii="Verdana" w:hAnsi="Verdana"/>
          <w:sz w:val="20"/>
          <w:szCs w:val="20"/>
          <w:lang w:val="es-CR"/>
        </w:rPr>
        <w:t xml:space="preserve">Disponer que los representantes de las </w:t>
      </w:r>
      <w:proofErr w:type="spellStart"/>
      <w:r w:rsidRPr="00A84D20">
        <w:rPr>
          <w:rFonts w:ascii="Verdana" w:hAnsi="Verdana"/>
          <w:sz w:val="20"/>
          <w:szCs w:val="20"/>
          <w:lang w:val="es-CR"/>
        </w:rPr>
        <w:t>víctimas</w:t>
      </w:r>
      <w:proofErr w:type="spellEnd"/>
      <w:r w:rsidRPr="00A84D20">
        <w:rPr>
          <w:rFonts w:ascii="Verdana" w:hAnsi="Verdana"/>
          <w:sz w:val="20"/>
          <w:szCs w:val="20"/>
          <w:lang w:val="es-CR"/>
        </w:rPr>
        <w:t xml:space="preserve"> y la Comisión Interamericana de Derechos Humanos presenten observaciones al informe del Estado mencionado en el punto resolutivo anterior, en los plazos de cuatro y seis semanas, respectivamente, contados a partir de la recepción del informe.</w:t>
      </w:r>
    </w:p>
    <w:p w14:paraId="01135A5E" w14:textId="22180397" w:rsidR="00980DB8" w:rsidRDefault="00980DB8" w:rsidP="00980DB8">
      <w:pPr>
        <w:pStyle w:val="Textoindependiente3"/>
        <w:tabs>
          <w:tab w:val="left" w:pos="0"/>
          <w:tab w:val="left" w:pos="680"/>
          <w:tab w:val="num" w:pos="709"/>
        </w:tabs>
        <w:spacing w:after="0"/>
        <w:ind w:right="18"/>
        <w:jc w:val="both"/>
        <w:rPr>
          <w:rFonts w:ascii="Verdana" w:hAnsi="Verdana"/>
          <w:sz w:val="20"/>
          <w:szCs w:val="20"/>
        </w:rPr>
      </w:pPr>
    </w:p>
    <w:p w14:paraId="27AD1DB5" w14:textId="5D7121E2" w:rsidR="00D53F87" w:rsidRPr="001D3520" w:rsidRDefault="00D53F87" w:rsidP="003040D7">
      <w:pPr>
        <w:pStyle w:val="Textoindependiente3"/>
        <w:numPr>
          <w:ilvl w:val="0"/>
          <w:numId w:val="15"/>
        </w:numPr>
        <w:tabs>
          <w:tab w:val="left" w:pos="0"/>
          <w:tab w:val="left" w:pos="680"/>
          <w:tab w:val="num" w:pos="709"/>
        </w:tabs>
        <w:spacing w:after="0"/>
        <w:ind w:right="18"/>
        <w:jc w:val="both"/>
        <w:rPr>
          <w:rFonts w:ascii="Verdana" w:hAnsi="Verdana"/>
          <w:sz w:val="20"/>
          <w:szCs w:val="20"/>
        </w:rPr>
      </w:pPr>
      <w:r w:rsidRPr="001D3520">
        <w:rPr>
          <w:rFonts w:ascii="Verdana" w:hAnsi="Verdana"/>
          <w:sz w:val="20"/>
          <w:szCs w:val="20"/>
        </w:rPr>
        <w:t xml:space="preserve">Disponer que la Secretaría de la Corte notifique la presente Resolución al Estado de Honduras, a </w:t>
      </w:r>
      <w:r w:rsidR="00E64AA7">
        <w:rPr>
          <w:rFonts w:ascii="Verdana" w:hAnsi="Verdana"/>
          <w:sz w:val="20"/>
          <w:szCs w:val="20"/>
        </w:rPr>
        <w:t xml:space="preserve">los representantes de las víctimas y de </w:t>
      </w:r>
      <w:r w:rsidRPr="001D3520">
        <w:rPr>
          <w:rFonts w:ascii="Verdana" w:hAnsi="Verdana"/>
          <w:sz w:val="20"/>
          <w:szCs w:val="20"/>
        </w:rPr>
        <w:t>los beneficiarios</w:t>
      </w:r>
      <w:r w:rsidR="00E64AA7">
        <w:rPr>
          <w:rFonts w:ascii="Verdana" w:hAnsi="Verdana"/>
          <w:sz w:val="20"/>
          <w:szCs w:val="20"/>
        </w:rPr>
        <w:t xml:space="preserve"> de las medidas provisionales, y a la Comisión Interamericana de Derechos Humanos</w:t>
      </w:r>
      <w:r w:rsidRPr="001D3520">
        <w:rPr>
          <w:rFonts w:ascii="Verdana" w:hAnsi="Verdana"/>
          <w:sz w:val="20"/>
          <w:szCs w:val="20"/>
        </w:rPr>
        <w:t>.</w:t>
      </w:r>
    </w:p>
    <w:p w14:paraId="077367F7" w14:textId="77777777" w:rsidR="00F551CC" w:rsidRDefault="00F551CC" w:rsidP="00AA4953">
      <w:pPr>
        <w:spacing w:after="0" w:line="240" w:lineRule="auto"/>
        <w:jc w:val="both"/>
        <w:rPr>
          <w:rFonts w:ascii="Verdana" w:eastAsia="Times" w:hAnsi="Verdana"/>
          <w:sz w:val="20"/>
          <w:szCs w:val="20"/>
          <w:lang w:val="es-ES"/>
        </w:rPr>
      </w:pPr>
    </w:p>
    <w:p w14:paraId="0F5B7D7E" w14:textId="51DF880E" w:rsidR="00AA4953" w:rsidRPr="00AA4953" w:rsidRDefault="00F551CC" w:rsidP="00AA4953">
      <w:pPr>
        <w:spacing w:after="0" w:line="240" w:lineRule="auto"/>
        <w:jc w:val="both"/>
        <w:rPr>
          <w:rFonts w:ascii="Verdana" w:eastAsia="Times" w:hAnsi="Verdana"/>
          <w:i/>
          <w:sz w:val="20"/>
          <w:szCs w:val="20"/>
          <w:lang w:val="es-ES"/>
        </w:rPr>
      </w:pPr>
      <w:r>
        <w:rPr>
          <w:rFonts w:ascii="Verdana" w:eastAsia="Times" w:hAnsi="Verdana"/>
          <w:sz w:val="20"/>
          <w:szCs w:val="20"/>
          <w:lang w:val="es-ES"/>
        </w:rPr>
        <w:t>Co</w:t>
      </w:r>
      <w:r w:rsidR="00AA4953" w:rsidRPr="00AA4953">
        <w:rPr>
          <w:rFonts w:ascii="Verdana" w:eastAsia="Times" w:hAnsi="Verdana"/>
          <w:sz w:val="20"/>
          <w:szCs w:val="20"/>
          <w:lang w:val="es-ES"/>
        </w:rPr>
        <w:t xml:space="preserve">rte IDH. </w:t>
      </w:r>
      <w:r w:rsidR="00AA4953" w:rsidRPr="00AA4953">
        <w:rPr>
          <w:rFonts w:ascii="Verdana" w:eastAsia="Times" w:hAnsi="Verdana"/>
          <w:i/>
          <w:sz w:val="20"/>
          <w:szCs w:val="20"/>
          <w:lang w:val="es-ES"/>
        </w:rPr>
        <w:t xml:space="preserve">Caso </w:t>
      </w:r>
      <w:r w:rsidR="00AA4953">
        <w:rPr>
          <w:rFonts w:ascii="Verdana" w:eastAsia="Times" w:hAnsi="Verdana"/>
          <w:i/>
          <w:sz w:val="20"/>
          <w:szCs w:val="20"/>
          <w:lang w:val="es-ES"/>
        </w:rPr>
        <w:t xml:space="preserve">Comunidad Garífuna de Punta Piedra y sus miembros y Caso Comunidad Garífuna Triunfo de la Cruz y sus miembros Vs. Honduras. </w:t>
      </w:r>
      <w:r w:rsidR="00204A2F">
        <w:rPr>
          <w:rFonts w:ascii="Verdana" w:eastAsia="Times" w:hAnsi="Verdana"/>
          <w:iCs/>
          <w:sz w:val="20"/>
          <w:szCs w:val="20"/>
          <w:lang w:val="es-ES"/>
        </w:rPr>
        <w:t xml:space="preserve"> Medidas provisionales y </w:t>
      </w:r>
      <w:r w:rsidR="00204A2F" w:rsidRPr="00AA4953">
        <w:rPr>
          <w:rFonts w:ascii="Verdana" w:eastAsia="Times" w:hAnsi="Verdana" w:cs="Arial"/>
          <w:sz w:val="20"/>
          <w:szCs w:val="20"/>
          <w:lang w:val="es-CR"/>
        </w:rPr>
        <w:t>Supervisión de Cumplimiento de Sentencia</w:t>
      </w:r>
      <w:r w:rsidR="00204A2F" w:rsidRPr="00AA4953">
        <w:rPr>
          <w:rFonts w:ascii="Verdana" w:eastAsia="Times" w:hAnsi="Verdana"/>
          <w:iCs/>
          <w:sz w:val="20"/>
          <w:szCs w:val="20"/>
          <w:lang w:val="es-CR"/>
        </w:rPr>
        <w:t>.</w:t>
      </w:r>
      <w:r w:rsidR="00204A2F">
        <w:rPr>
          <w:rFonts w:ascii="Verdana" w:eastAsia="Times" w:hAnsi="Verdana"/>
          <w:iCs/>
          <w:sz w:val="20"/>
          <w:szCs w:val="20"/>
          <w:lang w:val="es-CR"/>
        </w:rPr>
        <w:t xml:space="preserve"> </w:t>
      </w:r>
      <w:r w:rsidR="00204A2F">
        <w:rPr>
          <w:rFonts w:ascii="Verdana" w:eastAsia="Times" w:hAnsi="Verdana"/>
          <w:iCs/>
          <w:sz w:val="20"/>
          <w:szCs w:val="20"/>
          <w:lang w:val="es-ES"/>
        </w:rPr>
        <w:t xml:space="preserve">Resolución de la Corte Interamericana de Derechos Humanos </w:t>
      </w:r>
      <w:r w:rsidR="00AA4953" w:rsidRPr="00AA4953">
        <w:rPr>
          <w:rFonts w:ascii="Verdana" w:eastAsia="Times" w:hAnsi="Verdana"/>
          <w:iCs/>
          <w:sz w:val="20"/>
          <w:szCs w:val="20"/>
          <w:lang w:val="es-CR"/>
        </w:rPr>
        <w:t xml:space="preserve">de </w:t>
      </w:r>
      <w:r w:rsidR="00AA4953">
        <w:rPr>
          <w:rFonts w:ascii="Verdana" w:eastAsia="Times" w:hAnsi="Verdana"/>
          <w:iCs/>
          <w:sz w:val="20"/>
          <w:szCs w:val="20"/>
          <w:lang w:val="es-CR"/>
        </w:rPr>
        <w:t>30</w:t>
      </w:r>
      <w:r w:rsidR="00AA4953" w:rsidRPr="00AA4953">
        <w:rPr>
          <w:rFonts w:ascii="Verdana" w:eastAsia="Times" w:hAnsi="Verdana"/>
          <w:iCs/>
          <w:sz w:val="20"/>
          <w:szCs w:val="20"/>
          <w:lang w:val="es-CR"/>
        </w:rPr>
        <w:t xml:space="preserve"> de </w:t>
      </w:r>
      <w:r w:rsidR="00AA4953">
        <w:rPr>
          <w:rFonts w:ascii="Verdana" w:eastAsia="Times" w:hAnsi="Verdana"/>
          <w:iCs/>
          <w:sz w:val="20"/>
          <w:szCs w:val="20"/>
          <w:lang w:val="es-CR"/>
        </w:rPr>
        <w:t xml:space="preserve">abril </w:t>
      </w:r>
      <w:r w:rsidR="00AA4953" w:rsidRPr="00AA4953">
        <w:rPr>
          <w:rFonts w:ascii="Verdana" w:eastAsia="Times" w:hAnsi="Verdana"/>
          <w:iCs/>
          <w:sz w:val="20"/>
          <w:szCs w:val="20"/>
          <w:lang w:val="es-CR"/>
        </w:rPr>
        <w:t>de 2021.  Resolución adoptada en San José de Costa Rica por medio de sesión virtual.</w:t>
      </w:r>
    </w:p>
    <w:p w14:paraId="43EA1507" w14:textId="77777777" w:rsidR="00AA4953" w:rsidRPr="00AA4953" w:rsidRDefault="00AA4953" w:rsidP="00AA4953">
      <w:pPr>
        <w:spacing w:after="0" w:line="240" w:lineRule="auto"/>
        <w:jc w:val="both"/>
        <w:rPr>
          <w:rFonts w:ascii="Verdana" w:eastAsia="Times" w:hAnsi="Verdana"/>
          <w:sz w:val="20"/>
          <w:szCs w:val="20"/>
          <w:lang w:val="es-ES"/>
        </w:rPr>
      </w:pPr>
    </w:p>
    <w:p w14:paraId="0635879C" w14:textId="5540B654" w:rsidR="00AA4953" w:rsidRPr="00AA4953" w:rsidRDefault="00AA4953" w:rsidP="00AA4953">
      <w:pPr>
        <w:spacing w:after="0" w:line="240" w:lineRule="auto"/>
        <w:jc w:val="both"/>
        <w:rPr>
          <w:rFonts w:ascii="Verdana" w:eastAsia="Times" w:hAnsi="Verdana"/>
          <w:strike/>
          <w:sz w:val="20"/>
          <w:szCs w:val="20"/>
          <w:lang w:val="es-ES"/>
        </w:rPr>
      </w:pPr>
    </w:p>
    <w:p w14:paraId="4EA02BE3" w14:textId="77777777" w:rsidR="00AA4953" w:rsidRPr="00AA4953" w:rsidRDefault="00AA4953" w:rsidP="00AA4953">
      <w:pPr>
        <w:spacing w:after="0" w:line="240" w:lineRule="auto"/>
        <w:jc w:val="center"/>
        <w:rPr>
          <w:rFonts w:ascii="Verdana" w:eastAsia="Times" w:hAnsi="Verdana"/>
          <w:sz w:val="20"/>
          <w:szCs w:val="20"/>
          <w:lang w:val="pt-BR"/>
        </w:rPr>
      </w:pPr>
    </w:p>
    <w:p w14:paraId="71C0707D" w14:textId="77777777" w:rsidR="00AA4953" w:rsidRPr="00AA4953" w:rsidRDefault="00AA4953" w:rsidP="00AA4953">
      <w:pPr>
        <w:spacing w:after="0" w:line="240" w:lineRule="auto"/>
        <w:jc w:val="center"/>
        <w:rPr>
          <w:rFonts w:ascii="Verdana" w:eastAsia="Times" w:hAnsi="Verdana"/>
          <w:sz w:val="20"/>
          <w:szCs w:val="20"/>
          <w:lang w:val="pt-BR"/>
        </w:rPr>
      </w:pPr>
    </w:p>
    <w:p w14:paraId="7EA8611E" w14:textId="1D559BC1" w:rsidR="00AA4953" w:rsidRPr="00AA4953" w:rsidRDefault="00AA4953" w:rsidP="00AA4953">
      <w:pPr>
        <w:spacing w:after="0" w:line="240" w:lineRule="auto"/>
        <w:jc w:val="center"/>
        <w:rPr>
          <w:rFonts w:ascii="Verdana" w:eastAsia="Times" w:hAnsi="Verdana"/>
          <w:sz w:val="20"/>
          <w:szCs w:val="20"/>
          <w:lang w:val="pt-BR"/>
        </w:rPr>
      </w:pPr>
    </w:p>
    <w:p w14:paraId="1CA2C9E4" w14:textId="1D171713" w:rsidR="00AA4953" w:rsidRPr="00AA4953" w:rsidRDefault="00AA4953" w:rsidP="00AA4953">
      <w:pPr>
        <w:spacing w:after="0" w:line="240" w:lineRule="auto"/>
        <w:jc w:val="center"/>
        <w:rPr>
          <w:rFonts w:ascii="Verdana" w:eastAsia="Times" w:hAnsi="Verdana"/>
          <w:sz w:val="20"/>
          <w:szCs w:val="20"/>
          <w:lang w:val="pt-BR"/>
        </w:rPr>
      </w:pPr>
    </w:p>
    <w:p w14:paraId="2C27EB66" w14:textId="3E5AFA3C" w:rsidR="00AA4953" w:rsidRPr="00AA4953" w:rsidRDefault="00AA4953" w:rsidP="00AA4953">
      <w:pPr>
        <w:spacing w:after="0" w:line="240" w:lineRule="auto"/>
        <w:jc w:val="center"/>
        <w:rPr>
          <w:rFonts w:ascii="Verdana" w:eastAsia="Times" w:hAnsi="Verdana"/>
          <w:sz w:val="20"/>
          <w:szCs w:val="20"/>
          <w:lang w:val="pt-BR"/>
        </w:rPr>
      </w:pPr>
      <w:r w:rsidRPr="00AA4953">
        <w:rPr>
          <w:rFonts w:ascii="Verdana" w:eastAsia="Times" w:hAnsi="Verdana"/>
          <w:sz w:val="20"/>
          <w:szCs w:val="20"/>
          <w:lang w:val="pt-BR"/>
        </w:rPr>
        <w:t xml:space="preserve">Elizabeth </w:t>
      </w:r>
      <w:proofErr w:type="spellStart"/>
      <w:r w:rsidRPr="00AA4953">
        <w:rPr>
          <w:rFonts w:ascii="Verdana" w:eastAsia="Times" w:hAnsi="Verdana"/>
          <w:sz w:val="20"/>
          <w:szCs w:val="20"/>
          <w:lang w:val="pt-BR"/>
        </w:rPr>
        <w:t>Odio</w:t>
      </w:r>
      <w:proofErr w:type="spellEnd"/>
      <w:r w:rsidRPr="00AA4953">
        <w:rPr>
          <w:rFonts w:ascii="Verdana" w:eastAsia="Times" w:hAnsi="Verdana"/>
          <w:sz w:val="20"/>
          <w:szCs w:val="20"/>
          <w:lang w:val="pt-BR"/>
        </w:rPr>
        <w:t xml:space="preserve"> Benito</w:t>
      </w:r>
    </w:p>
    <w:p w14:paraId="127E6B0B" w14:textId="1B135C79" w:rsidR="00AA4953" w:rsidRPr="00AA4953" w:rsidRDefault="00AA4953" w:rsidP="00AA4953">
      <w:pPr>
        <w:spacing w:after="0" w:line="240" w:lineRule="auto"/>
        <w:jc w:val="center"/>
        <w:rPr>
          <w:rFonts w:ascii="Verdana" w:eastAsia="Times" w:hAnsi="Verdana"/>
          <w:sz w:val="20"/>
          <w:szCs w:val="20"/>
          <w:lang w:val="pt-BR"/>
        </w:rPr>
      </w:pPr>
      <w:r w:rsidRPr="00AA4953">
        <w:rPr>
          <w:rFonts w:ascii="Verdana" w:eastAsia="Times" w:hAnsi="Verdana"/>
          <w:sz w:val="20"/>
          <w:szCs w:val="20"/>
          <w:lang w:val="pt-BR"/>
        </w:rPr>
        <w:t>Presidenta</w:t>
      </w:r>
    </w:p>
    <w:p w14:paraId="16DD474F" w14:textId="77777777" w:rsidR="00AA4953" w:rsidRPr="00AA4953" w:rsidRDefault="00AA4953" w:rsidP="00AA4953">
      <w:pPr>
        <w:spacing w:after="0" w:line="240" w:lineRule="auto"/>
        <w:jc w:val="center"/>
        <w:rPr>
          <w:rFonts w:ascii="Verdana" w:eastAsia="Times" w:hAnsi="Verdana"/>
          <w:sz w:val="20"/>
          <w:szCs w:val="20"/>
          <w:lang w:val="pt-BR"/>
        </w:rPr>
      </w:pPr>
    </w:p>
    <w:p w14:paraId="42057206" w14:textId="77777777" w:rsidR="00AA4953" w:rsidRPr="00AA4953" w:rsidRDefault="00AA4953" w:rsidP="00AA4953">
      <w:pPr>
        <w:spacing w:after="0" w:line="240" w:lineRule="auto"/>
        <w:jc w:val="center"/>
        <w:rPr>
          <w:rFonts w:ascii="Verdana" w:eastAsia="Times" w:hAnsi="Verdana"/>
          <w:sz w:val="20"/>
          <w:szCs w:val="20"/>
          <w:lang w:val="pt-BR"/>
        </w:rPr>
      </w:pPr>
    </w:p>
    <w:p w14:paraId="65F41F3A" w14:textId="77777777" w:rsidR="00AA4953" w:rsidRPr="00AA4953" w:rsidRDefault="00AA4953" w:rsidP="00AA4953">
      <w:pPr>
        <w:spacing w:after="0" w:line="240" w:lineRule="auto"/>
        <w:rPr>
          <w:rFonts w:ascii="Verdana" w:eastAsia="Times" w:hAnsi="Verdana"/>
          <w:sz w:val="20"/>
          <w:szCs w:val="20"/>
          <w:lang w:val="pt-BR"/>
        </w:rPr>
      </w:pPr>
    </w:p>
    <w:p w14:paraId="615EE61C" w14:textId="63DE26B1" w:rsidR="00AA4953" w:rsidRPr="00AA4953" w:rsidRDefault="00AA4953" w:rsidP="00AA4953">
      <w:pPr>
        <w:spacing w:after="0" w:line="240" w:lineRule="auto"/>
        <w:rPr>
          <w:rFonts w:ascii="Verdana" w:eastAsia="Times" w:hAnsi="Verdana"/>
          <w:sz w:val="20"/>
          <w:szCs w:val="20"/>
          <w:lang w:val="pt-BR"/>
        </w:rPr>
      </w:pPr>
    </w:p>
    <w:p w14:paraId="10AEAB8C" w14:textId="7AA9904C" w:rsidR="00AA4953" w:rsidRPr="00AA4953" w:rsidRDefault="00AA4953" w:rsidP="00AA4953">
      <w:pPr>
        <w:spacing w:after="0" w:line="240" w:lineRule="auto"/>
        <w:rPr>
          <w:rFonts w:ascii="Verdana" w:eastAsia="Times" w:hAnsi="Verdana"/>
          <w:sz w:val="20"/>
          <w:szCs w:val="20"/>
          <w:lang w:val="pt-BR"/>
        </w:rPr>
      </w:pPr>
      <w:r w:rsidRPr="00AA4953">
        <w:rPr>
          <w:rFonts w:ascii="Verdana" w:eastAsia="Times" w:hAnsi="Verdana"/>
          <w:sz w:val="20"/>
          <w:szCs w:val="20"/>
          <w:lang w:val="pt-BR"/>
        </w:rPr>
        <w:t xml:space="preserve">L. </w:t>
      </w:r>
      <w:proofErr w:type="spellStart"/>
      <w:r w:rsidRPr="00AA4953">
        <w:rPr>
          <w:rFonts w:ascii="Verdana" w:eastAsia="Times" w:hAnsi="Verdana"/>
          <w:sz w:val="20"/>
          <w:szCs w:val="20"/>
          <w:lang w:val="pt-BR"/>
        </w:rPr>
        <w:t>Patricio</w:t>
      </w:r>
      <w:proofErr w:type="spellEnd"/>
      <w:r w:rsidRPr="00AA4953">
        <w:rPr>
          <w:rFonts w:ascii="Verdana" w:eastAsia="Times" w:hAnsi="Verdana"/>
          <w:sz w:val="20"/>
          <w:szCs w:val="20"/>
          <w:lang w:val="pt-BR"/>
        </w:rPr>
        <w:t xml:space="preserve"> </w:t>
      </w:r>
      <w:proofErr w:type="spellStart"/>
      <w:r w:rsidRPr="00AA4953">
        <w:rPr>
          <w:rFonts w:ascii="Verdana" w:eastAsia="Times" w:hAnsi="Verdana"/>
          <w:sz w:val="20"/>
          <w:szCs w:val="20"/>
          <w:lang w:val="pt-BR"/>
        </w:rPr>
        <w:t>Pazmiño</w:t>
      </w:r>
      <w:proofErr w:type="spellEnd"/>
      <w:r w:rsidRPr="00AA4953">
        <w:rPr>
          <w:rFonts w:ascii="Verdana" w:eastAsia="Times" w:hAnsi="Verdana"/>
          <w:sz w:val="20"/>
          <w:szCs w:val="20"/>
          <w:lang w:val="pt-BR"/>
        </w:rPr>
        <w:t xml:space="preserve"> Freire</w:t>
      </w:r>
      <w:r w:rsidRPr="00AA4953">
        <w:rPr>
          <w:rFonts w:ascii="Verdana" w:eastAsia="Times" w:hAnsi="Verdana"/>
          <w:sz w:val="20"/>
          <w:szCs w:val="20"/>
          <w:lang w:val="pt-BR"/>
        </w:rPr>
        <w:tab/>
      </w:r>
      <w:r w:rsidRPr="00AA4953">
        <w:rPr>
          <w:rFonts w:ascii="Verdana" w:eastAsia="Times" w:hAnsi="Verdana"/>
          <w:sz w:val="20"/>
          <w:szCs w:val="20"/>
          <w:lang w:val="pt-BR"/>
        </w:rPr>
        <w:tab/>
      </w:r>
      <w:r w:rsidRPr="00AA4953">
        <w:rPr>
          <w:rFonts w:ascii="Verdana" w:eastAsia="Times" w:hAnsi="Verdana"/>
          <w:sz w:val="20"/>
          <w:szCs w:val="20"/>
          <w:lang w:val="pt-BR"/>
        </w:rPr>
        <w:tab/>
      </w:r>
      <w:r w:rsidRPr="00AA4953">
        <w:rPr>
          <w:rFonts w:ascii="Verdana" w:eastAsia="Times" w:hAnsi="Verdana"/>
          <w:sz w:val="20"/>
          <w:szCs w:val="20"/>
          <w:lang w:val="pt-BR"/>
        </w:rPr>
        <w:tab/>
      </w:r>
      <w:r w:rsidRPr="00AA4953">
        <w:rPr>
          <w:rFonts w:ascii="Verdana" w:eastAsia="Times" w:hAnsi="Verdana"/>
          <w:sz w:val="20"/>
          <w:szCs w:val="20"/>
          <w:lang w:val="pt-BR"/>
        </w:rPr>
        <w:tab/>
        <w:t xml:space="preserve">Humberto </w:t>
      </w:r>
      <w:proofErr w:type="spellStart"/>
      <w:r w:rsidRPr="00AA4953">
        <w:rPr>
          <w:rFonts w:ascii="Verdana" w:eastAsia="Times" w:hAnsi="Verdana"/>
          <w:sz w:val="20"/>
          <w:szCs w:val="20"/>
          <w:lang w:val="pt-BR"/>
        </w:rPr>
        <w:t>Antonio</w:t>
      </w:r>
      <w:proofErr w:type="spellEnd"/>
      <w:r w:rsidRPr="00AA4953">
        <w:rPr>
          <w:rFonts w:ascii="Verdana" w:eastAsia="Times" w:hAnsi="Verdana"/>
          <w:sz w:val="20"/>
          <w:szCs w:val="20"/>
          <w:lang w:val="pt-BR"/>
        </w:rPr>
        <w:t xml:space="preserve"> </w:t>
      </w:r>
      <w:proofErr w:type="spellStart"/>
      <w:r w:rsidRPr="00AA4953">
        <w:rPr>
          <w:rFonts w:ascii="Verdana" w:eastAsia="Times" w:hAnsi="Verdana"/>
          <w:sz w:val="20"/>
          <w:szCs w:val="20"/>
          <w:lang w:val="pt-BR"/>
        </w:rPr>
        <w:t>Sierra</w:t>
      </w:r>
      <w:proofErr w:type="spellEnd"/>
      <w:r w:rsidRPr="00AA4953">
        <w:rPr>
          <w:rFonts w:ascii="Verdana" w:eastAsia="Times" w:hAnsi="Verdana"/>
          <w:sz w:val="20"/>
          <w:szCs w:val="20"/>
          <w:lang w:val="pt-BR"/>
        </w:rPr>
        <w:t xml:space="preserve"> Porto</w:t>
      </w:r>
    </w:p>
    <w:p w14:paraId="17F7D881" w14:textId="5611A666" w:rsidR="00AA4953" w:rsidRPr="00AA4953" w:rsidRDefault="00AA4953" w:rsidP="00AA4953">
      <w:pPr>
        <w:spacing w:after="0" w:line="240" w:lineRule="auto"/>
        <w:rPr>
          <w:rFonts w:ascii="Verdana" w:eastAsia="Times" w:hAnsi="Verdana"/>
          <w:sz w:val="20"/>
          <w:szCs w:val="20"/>
          <w:lang w:val="pt-BR"/>
        </w:rPr>
      </w:pPr>
    </w:p>
    <w:p w14:paraId="1A397AA6" w14:textId="77777777" w:rsidR="00AA4953" w:rsidRPr="00AA4953" w:rsidRDefault="00AA4953" w:rsidP="00AA4953">
      <w:pPr>
        <w:spacing w:after="0" w:line="240" w:lineRule="auto"/>
        <w:rPr>
          <w:rFonts w:ascii="Verdana" w:eastAsia="Times" w:hAnsi="Verdana"/>
          <w:sz w:val="20"/>
          <w:szCs w:val="20"/>
          <w:lang w:val="pt-BR"/>
        </w:rPr>
      </w:pPr>
    </w:p>
    <w:p w14:paraId="17BC1C7F" w14:textId="77777777" w:rsidR="00AA4953" w:rsidRPr="00AA4953" w:rsidRDefault="00AA4953" w:rsidP="00AA4953">
      <w:pPr>
        <w:spacing w:after="0" w:line="240" w:lineRule="auto"/>
        <w:rPr>
          <w:rFonts w:ascii="Verdana" w:eastAsia="Times" w:hAnsi="Verdana"/>
          <w:sz w:val="20"/>
          <w:szCs w:val="20"/>
          <w:lang w:val="pt-BR"/>
        </w:rPr>
      </w:pPr>
    </w:p>
    <w:p w14:paraId="128926AF" w14:textId="186F40C3" w:rsidR="00AA4953" w:rsidRPr="00AA4953" w:rsidRDefault="00AA4953" w:rsidP="00AA4953">
      <w:pPr>
        <w:spacing w:after="0" w:line="240" w:lineRule="auto"/>
        <w:rPr>
          <w:rFonts w:ascii="Verdana" w:eastAsia="Times" w:hAnsi="Verdana"/>
          <w:sz w:val="20"/>
          <w:szCs w:val="20"/>
          <w:lang w:val="pt-BR"/>
        </w:rPr>
      </w:pPr>
      <w:r w:rsidRPr="00AA4953">
        <w:rPr>
          <w:rFonts w:ascii="Verdana" w:eastAsia="Times" w:hAnsi="Verdana"/>
          <w:sz w:val="20"/>
          <w:szCs w:val="20"/>
          <w:lang w:val="pt-BR"/>
        </w:rPr>
        <w:tab/>
      </w:r>
      <w:r w:rsidRPr="00AA4953">
        <w:rPr>
          <w:rFonts w:ascii="Verdana" w:eastAsia="Times" w:hAnsi="Verdana"/>
          <w:sz w:val="20"/>
          <w:szCs w:val="20"/>
          <w:lang w:val="pt-BR"/>
        </w:rPr>
        <w:tab/>
      </w:r>
      <w:r w:rsidRPr="00AA4953">
        <w:rPr>
          <w:rFonts w:ascii="Verdana" w:eastAsia="Times" w:hAnsi="Verdana"/>
          <w:sz w:val="20"/>
          <w:szCs w:val="20"/>
          <w:lang w:val="pt-BR"/>
        </w:rPr>
        <w:tab/>
        <w:t xml:space="preserve">                                                     </w:t>
      </w:r>
    </w:p>
    <w:p w14:paraId="329DCCA9" w14:textId="544C976A" w:rsidR="00AA4953" w:rsidRPr="00AA4953" w:rsidRDefault="00AA4953" w:rsidP="00AA4953">
      <w:pPr>
        <w:spacing w:after="0" w:line="240" w:lineRule="auto"/>
        <w:rPr>
          <w:rFonts w:ascii="Verdana" w:eastAsia="Times" w:hAnsi="Verdana"/>
          <w:sz w:val="20"/>
          <w:szCs w:val="20"/>
          <w:lang w:val="pt-BR"/>
        </w:rPr>
      </w:pPr>
    </w:p>
    <w:p w14:paraId="6AC13500" w14:textId="77777777" w:rsidR="00AA4953" w:rsidRPr="00AA4953" w:rsidRDefault="00AA4953" w:rsidP="00AA4953">
      <w:pPr>
        <w:spacing w:after="0" w:line="240" w:lineRule="auto"/>
        <w:rPr>
          <w:rFonts w:ascii="Verdana" w:eastAsia="Times" w:hAnsi="Verdana"/>
          <w:sz w:val="20"/>
          <w:szCs w:val="20"/>
          <w:lang w:val="pt-BR"/>
        </w:rPr>
      </w:pPr>
    </w:p>
    <w:p w14:paraId="111B3764" w14:textId="77777777" w:rsidR="00AA4953" w:rsidRPr="00AA4953" w:rsidRDefault="00AA4953" w:rsidP="00AA4953">
      <w:pPr>
        <w:spacing w:after="0" w:line="240" w:lineRule="auto"/>
        <w:rPr>
          <w:rFonts w:ascii="Verdana" w:eastAsia="Times" w:hAnsi="Verdana"/>
          <w:sz w:val="20"/>
          <w:szCs w:val="20"/>
          <w:lang w:val="pt-BR"/>
        </w:rPr>
      </w:pPr>
    </w:p>
    <w:p w14:paraId="5C28AA81" w14:textId="77777777" w:rsidR="00AA4953" w:rsidRPr="00AA4953" w:rsidRDefault="00AA4953" w:rsidP="00AA4953">
      <w:pPr>
        <w:spacing w:after="0" w:line="240" w:lineRule="auto"/>
        <w:rPr>
          <w:rFonts w:ascii="Verdana" w:eastAsia="Times" w:hAnsi="Verdana"/>
          <w:sz w:val="20"/>
          <w:szCs w:val="20"/>
          <w:lang w:val="pt-BR"/>
        </w:rPr>
      </w:pPr>
    </w:p>
    <w:p w14:paraId="1F21F307" w14:textId="77777777" w:rsidR="00AA4953" w:rsidRPr="00AA4953" w:rsidRDefault="00AA4953" w:rsidP="00AA4953">
      <w:pPr>
        <w:spacing w:after="0" w:line="240" w:lineRule="auto"/>
        <w:rPr>
          <w:rFonts w:ascii="Verdana" w:eastAsia="Times" w:hAnsi="Verdana"/>
          <w:sz w:val="20"/>
          <w:szCs w:val="20"/>
          <w:lang w:val="pt-BR"/>
        </w:rPr>
      </w:pPr>
    </w:p>
    <w:p w14:paraId="7475170D" w14:textId="19599F5E" w:rsidR="00AA4953" w:rsidRPr="00AA4953" w:rsidRDefault="00AA4953" w:rsidP="00AA4953">
      <w:pPr>
        <w:spacing w:after="0" w:line="240" w:lineRule="auto"/>
        <w:rPr>
          <w:rFonts w:ascii="Verdana" w:eastAsia="Times" w:hAnsi="Verdana"/>
          <w:sz w:val="20"/>
          <w:szCs w:val="20"/>
          <w:lang w:val="pt-BR"/>
        </w:rPr>
      </w:pPr>
      <w:r w:rsidRPr="00AA4953">
        <w:rPr>
          <w:rFonts w:ascii="Verdana" w:eastAsia="Times" w:hAnsi="Verdana"/>
          <w:sz w:val="20"/>
          <w:szCs w:val="20"/>
          <w:lang w:val="pt-BR"/>
        </w:rPr>
        <w:t xml:space="preserve">Eugenio </w:t>
      </w:r>
      <w:proofErr w:type="spellStart"/>
      <w:r w:rsidRPr="00AA4953">
        <w:rPr>
          <w:rFonts w:ascii="Verdana" w:eastAsia="Times" w:hAnsi="Verdana"/>
          <w:sz w:val="20"/>
          <w:szCs w:val="20"/>
          <w:lang w:val="pt-BR"/>
        </w:rPr>
        <w:t>Raúl</w:t>
      </w:r>
      <w:proofErr w:type="spellEnd"/>
      <w:r w:rsidRPr="00AA4953">
        <w:rPr>
          <w:rFonts w:ascii="Verdana" w:eastAsia="Times" w:hAnsi="Verdana"/>
          <w:sz w:val="20"/>
          <w:szCs w:val="20"/>
          <w:lang w:val="pt-BR"/>
        </w:rPr>
        <w:t xml:space="preserve"> </w:t>
      </w:r>
      <w:proofErr w:type="spellStart"/>
      <w:r w:rsidRPr="00AA4953">
        <w:rPr>
          <w:rFonts w:ascii="Verdana" w:eastAsia="Times" w:hAnsi="Verdana"/>
          <w:sz w:val="20"/>
          <w:szCs w:val="20"/>
          <w:lang w:val="pt-BR"/>
        </w:rPr>
        <w:t>Zaffaroni</w:t>
      </w:r>
      <w:proofErr w:type="spellEnd"/>
      <w:r w:rsidRPr="00AA4953">
        <w:rPr>
          <w:rFonts w:ascii="Verdana" w:eastAsia="Times" w:hAnsi="Verdana"/>
          <w:sz w:val="20"/>
          <w:szCs w:val="20"/>
          <w:lang w:val="pt-BR"/>
        </w:rPr>
        <w:tab/>
      </w:r>
      <w:r w:rsidRPr="00AA4953">
        <w:rPr>
          <w:rFonts w:ascii="Verdana" w:eastAsia="Times" w:hAnsi="Verdana"/>
          <w:sz w:val="20"/>
          <w:szCs w:val="20"/>
          <w:lang w:val="pt-BR"/>
        </w:rPr>
        <w:tab/>
      </w:r>
      <w:r w:rsidRPr="00AA4953">
        <w:rPr>
          <w:rFonts w:ascii="Verdana" w:eastAsia="Times" w:hAnsi="Verdana"/>
          <w:sz w:val="20"/>
          <w:szCs w:val="20"/>
          <w:lang w:val="pt-BR"/>
        </w:rPr>
        <w:tab/>
        <w:t xml:space="preserve">                                  Ricardo C. Pérez </w:t>
      </w:r>
      <w:proofErr w:type="spellStart"/>
      <w:r w:rsidRPr="00AA4953">
        <w:rPr>
          <w:rFonts w:ascii="Verdana" w:eastAsia="Times" w:hAnsi="Verdana"/>
          <w:sz w:val="20"/>
          <w:szCs w:val="20"/>
          <w:lang w:val="pt-BR"/>
        </w:rPr>
        <w:t>Manrique</w:t>
      </w:r>
      <w:proofErr w:type="spellEnd"/>
    </w:p>
    <w:p w14:paraId="4B0240D0" w14:textId="77777777" w:rsidR="00AA4953" w:rsidRPr="00AA4953" w:rsidRDefault="00AA4953" w:rsidP="00AA4953">
      <w:pPr>
        <w:spacing w:after="0" w:line="240" w:lineRule="auto"/>
        <w:jc w:val="both"/>
        <w:rPr>
          <w:rFonts w:ascii="Verdana" w:eastAsia="Times" w:hAnsi="Verdana"/>
          <w:sz w:val="20"/>
          <w:szCs w:val="20"/>
          <w:lang w:val="pt-BR"/>
        </w:rPr>
      </w:pPr>
    </w:p>
    <w:p w14:paraId="307D4567" w14:textId="77777777" w:rsidR="00AA4953" w:rsidRPr="00AA4953" w:rsidRDefault="00AA4953" w:rsidP="00AA4953">
      <w:pPr>
        <w:spacing w:after="0" w:line="240" w:lineRule="auto"/>
        <w:jc w:val="both"/>
        <w:rPr>
          <w:rFonts w:ascii="Verdana" w:eastAsia="Times" w:hAnsi="Verdana"/>
          <w:sz w:val="20"/>
          <w:szCs w:val="20"/>
          <w:lang w:val="pt-BR"/>
        </w:rPr>
      </w:pPr>
    </w:p>
    <w:p w14:paraId="50DC5217" w14:textId="77777777" w:rsidR="00AA4953" w:rsidRPr="00AA4953" w:rsidRDefault="00AA4953" w:rsidP="00AA4953">
      <w:pPr>
        <w:spacing w:after="0" w:line="240" w:lineRule="auto"/>
        <w:jc w:val="both"/>
        <w:rPr>
          <w:rFonts w:ascii="Verdana" w:eastAsia="Times" w:hAnsi="Verdana"/>
          <w:sz w:val="20"/>
          <w:szCs w:val="20"/>
          <w:lang w:val="pt-BR"/>
        </w:rPr>
      </w:pPr>
    </w:p>
    <w:p w14:paraId="2F4615BF" w14:textId="77777777" w:rsidR="00AA4953" w:rsidRPr="00AA4953" w:rsidRDefault="00AA4953" w:rsidP="00AA4953">
      <w:pPr>
        <w:spacing w:after="0" w:line="240" w:lineRule="auto"/>
        <w:jc w:val="both"/>
        <w:rPr>
          <w:rFonts w:ascii="Verdana" w:eastAsia="Times" w:hAnsi="Verdana"/>
          <w:sz w:val="20"/>
          <w:szCs w:val="20"/>
          <w:lang w:val="pt-BR"/>
        </w:rPr>
      </w:pPr>
    </w:p>
    <w:p w14:paraId="2EBD0E9D" w14:textId="77777777" w:rsidR="00AA4953" w:rsidRPr="00AA4953" w:rsidRDefault="00AA4953" w:rsidP="00AA4953">
      <w:pPr>
        <w:spacing w:after="0" w:line="240" w:lineRule="auto"/>
        <w:jc w:val="both"/>
        <w:rPr>
          <w:rFonts w:ascii="Verdana" w:eastAsia="Times" w:hAnsi="Verdana"/>
          <w:sz w:val="20"/>
          <w:szCs w:val="20"/>
          <w:lang w:val="pt-BR"/>
        </w:rPr>
      </w:pPr>
    </w:p>
    <w:p w14:paraId="25E668CA" w14:textId="77777777" w:rsidR="00AA4953" w:rsidRPr="00AA4953" w:rsidRDefault="00AA4953" w:rsidP="00AA4953">
      <w:pPr>
        <w:spacing w:after="0" w:line="240" w:lineRule="auto"/>
        <w:jc w:val="center"/>
        <w:rPr>
          <w:rFonts w:ascii="Verdana" w:eastAsia="Times" w:hAnsi="Verdana"/>
          <w:sz w:val="20"/>
          <w:szCs w:val="20"/>
          <w:lang w:val="pt-BR"/>
        </w:rPr>
      </w:pPr>
      <w:r w:rsidRPr="00AA4953">
        <w:rPr>
          <w:rFonts w:ascii="Verdana" w:eastAsia="Times" w:hAnsi="Verdana"/>
          <w:sz w:val="20"/>
          <w:szCs w:val="20"/>
          <w:lang w:val="pt-BR"/>
        </w:rPr>
        <w:t>Pablo Saavedra Alessandri</w:t>
      </w:r>
    </w:p>
    <w:p w14:paraId="134ED95D" w14:textId="77777777" w:rsidR="00AA4953" w:rsidRPr="00AA4953" w:rsidRDefault="00AA4953" w:rsidP="00AA4953">
      <w:pPr>
        <w:spacing w:after="0" w:line="240" w:lineRule="auto"/>
        <w:jc w:val="center"/>
        <w:rPr>
          <w:rFonts w:ascii="Verdana" w:eastAsia="Times" w:hAnsi="Verdana"/>
          <w:sz w:val="20"/>
          <w:szCs w:val="20"/>
          <w:lang w:val="pt-BR"/>
        </w:rPr>
      </w:pPr>
      <w:r w:rsidRPr="00AA4953">
        <w:rPr>
          <w:rFonts w:ascii="Verdana" w:eastAsia="Times" w:hAnsi="Verdana"/>
          <w:sz w:val="20"/>
          <w:szCs w:val="20"/>
          <w:lang w:val="pt-BR"/>
        </w:rPr>
        <w:t>Secretario</w:t>
      </w:r>
    </w:p>
    <w:p w14:paraId="52F57F4E" w14:textId="77777777" w:rsidR="00AA4953" w:rsidRPr="00AA4953" w:rsidRDefault="00AA4953" w:rsidP="00AA4953">
      <w:pPr>
        <w:spacing w:after="0" w:line="240" w:lineRule="auto"/>
        <w:jc w:val="both"/>
        <w:rPr>
          <w:rFonts w:ascii="Verdana" w:eastAsia="Times" w:hAnsi="Verdana"/>
          <w:sz w:val="20"/>
          <w:szCs w:val="20"/>
          <w:lang w:val="pt-BR"/>
        </w:rPr>
      </w:pPr>
    </w:p>
    <w:p w14:paraId="2F21A7DB" w14:textId="77777777" w:rsidR="00AA4953" w:rsidRPr="00AA4953" w:rsidRDefault="00AA4953" w:rsidP="00AA4953">
      <w:pPr>
        <w:spacing w:after="0" w:line="240" w:lineRule="auto"/>
        <w:jc w:val="both"/>
        <w:rPr>
          <w:rFonts w:ascii="Verdana" w:eastAsia="Times" w:hAnsi="Verdana"/>
          <w:sz w:val="20"/>
          <w:szCs w:val="20"/>
          <w:lang w:val="pt-BR"/>
        </w:rPr>
      </w:pPr>
    </w:p>
    <w:p w14:paraId="39315234" w14:textId="3CF17A46" w:rsidR="00AA4953" w:rsidRPr="00AA4953" w:rsidRDefault="00AA4953" w:rsidP="00AA4953">
      <w:pPr>
        <w:spacing w:after="0" w:line="240" w:lineRule="auto"/>
        <w:jc w:val="both"/>
        <w:rPr>
          <w:rFonts w:ascii="Verdana" w:eastAsia="Times" w:hAnsi="Verdana"/>
          <w:sz w:val="20"/>
          <w:szCs w:val="20"/>
          <w:lang w:val="pt-BR"/>
        </w:rPr>
      </w:pPr>
      <w:proofErr w:type="spellStart"/>
      <w:r w:rsidRPr="00AA4953">
        <w:rPr>
          <w:rFonts w:ascii="Verdana" w:eastAsia="Times" w:hAnsi="Verdana"/>
          <w:sz w:val="20"/>
          <w:szCs w:val="20"/>
          <w:lang w:val="pt-BR"/>
        </w:rPr>
        <w:t>Comuníquese</w:t>
      </w:r>
      <w:proofErr w:type="spellEnd"/>
      <w:r w:rsidRPr="00AA4953">
        <w:rPr>
          <w:rFonts w:ascii="Verdana" w:eastAsia="Times" w:hAnsi="Verdana"/>
          <w:sz w:val="20"/>
          <w:szCs w:val="20"/>
          <w:lang w:val="pt-BR"/>
        </w:rPr>
        <w:t xml:space="preserve"> y </w:t>
      </w:r>
      <w:proofErr w:type="spellStart"/>
      <w:r w:rsidRPr="00AA4953">
        <w:rPr>
          <w:rFonts w:ascii="Verdana" w:eastAsia="Times" w:hAnsi="Verdana"/>
          <w:sz w:val="20"/>
          <w:szCs w:val="20"/>
          <w:lang w:val="pt-BR"/>
        </w:rPr>
        <w:t>ejecútese</w:t>
      </w:r>
      <w:proofErr w:type="spellEnd"/>
      <w:r w:rsidRPr="00AA4953">
        <w:rPr>
          <w:rFonts w:ascii="Verdana" w:eastAsia="Times" w:hAnsi="Verdana"/>
          <w:sz w:val="20"/>
          <w:szCs w:val="20"/>
          <w:lang w:val="pt-BR"/>
        </w:rPr>
        <w:t>,</w:t>
      </w:r>
    </w:p>
    <w:p w14:paraId="342B5FF8" w14:textId="1E43952B" w:rsidR="00AA4953" w:rsidRPr="00AA4953" w:rsidRDefault="00AA4953" w:rsidP="00AA4953">
      <w:pPr>
        <w:spacing w:after="0" w:line="240" w:lineRule="auto"/>
        <w:rPr>
          <w:rFonts w:ascii="Verdana" w:eastAsia="Times" w:hAnsi="Verdana"/>
          <w:sz w:val="20"/>
          <w:szCs w:val="20"/>
          <w:lang w:val="pt-BR"/>
        </w:rPr>
      </w:pPr>
    </w:p>
    <w:p w14:paraId="7F0D8714" w14:textId="77777777" w:rsidR="00AA4953" w:rsidRPr="00AA4953" w:rsidRDefault="00AA4953" w:rsidP="00AA4953">
      <w:pPr>
        <w:spacing w:after="0" w:line="240" w:lineRule="auto"/>
        <w:jc w:val="center"/>
        <w:rPr>
          <w:rFonts w:ascii="Verdana" w:eastAsia="Times" w:hAnsi="Verdana"/>
          <w:sz w:val="20"/>
          <w:szCs w:val="20"/>
          <w:lang w:val="pt-BR"/>
        </w:rPr>
      </w:pPr>
    </w:p>
    <w:p w14:paraId="4504103D" w14:textId="4E3A3CA8" w:rsidR="00AA4953" w:rsidRDefault="00AA4953" w:rsidP="00AA4953">
      <w:pPr>
        <w:spacing w:after="0" w:line="240" w:lineRule="auto"/>
        <w:jc w:val="center"/>
        <w:rPr>
          <w:rFonts w:ascii="Verdana" w:eastAsia="Times" w:hAnsi="Verdana"/>
          <w:sz w:val="20"/>
          <w:szCs w:val="20"/>
          <w:lang w:val="pt-BR"/>
        </w:rPr>
      </w:pPr>
    </w:p>
    <w:p w14:paraId="2B35C828" w14:textId="77777777" w:rsidR="00B8433D" w:rsidRPr="00AA4953" w:rsidRDefault="00B8433D" w:rsidP="00AA4953">
      <w:pPr>
        <w:spacing w:after="0" w:line="240" w:lineRule="auto"/>
        <w:jc w:val="center"/>
        <w:rPr>
          <w:rFonts w:ascii="Verdana" w:eastAsia="Times" w:hAnsi="Verdana"/>
          <w:sz w:val="20"/>
          <w:szCs w:val="20"/>
          <w:lang w:val="pt-BR"/>
        </w:rPr>
      </w:pPr>
    </w:p>
    <w:p w14:paraId="47EFC54F" w14:textId="77777777" w:rsidR="00AA4953" w:rsidRPr="00AA4953" w:rsidRDefault="00AA4953" w:rsidP="00AA4953">
      <w:pPr>
        <w:spacing w:after="0" w:line="240" w:lineRule="auto"/>
        <w:jc w:val="right"/>
        <w:rPr>
          <w:rFonts w:ascii="Verdana" w:eastAsia="Times" w:hAnsi="Verdana"/>
          <w:sz w:val="20"/>
          <w:szCs w:val="20"/>
          <w:lang w:val="pt-BR"/>
        </w:rPr>
      </w:pPr>
    </w:p>
    <w:p w14:paraId="547136AC" w14:textId="21BE590E" w:rsidR="00AA4953" w:rsidRPr="00AA4953" w:rsidRDefault="00AA4953" w:rsidP="00AA4953">
      <w:pPr>
        <w:spacing w:after="0" w:line="240" w:lineRule="auto"/>
        <w:jc w:val="center"/>
        <w:rPr>
          <w:rFonts w:ascii="Verdana" w:eastAsia="Times" w:hAnsi="Verdana"/>
          <w:sz w:val="20"/>
          <w:szCs w:val="20"/>
          <w:lang w:val="pt-BR"/>
        </w:rPr>
      </w:pPr>
      <w:r w:rsidRPr="00AA4953">
        <w:rPr>
          <w:rFonts w:ascii="Verdana" w:eastAsia="Times" w:hAnsi="Verdana"/>
          <w:sz w:val="20"/>
          <w:szCs w:val="20"/>
          <w:lang w:val="pt-BR"/>
        </w:rPr>
        <w:t xml:space="preserve">                                                                                                Elizabeth </w:t>
      </w:r>
      <w:proofErr w:type="spellStart"/>
      <w:r w:rsidRPr="00AA4953">
        <w:rPr>
          <w:rFonts w:ascii="Verdana" w:eastAsia="Times" w:hAnsi="Verdana"/>
          <w:sz w:val="20"/>
          <w:szCs w:val="20"/>
          <w:lang w:val="pt-BR"/>
        </w:rPr>
        <w:t>Odio</w:t>
      </w:r>
      <w:proofErr w:type="spellEnd"/>
      <w:r w:rsidRPr="00AA4953">
        <w:rPr>
          <w:rFonts w:ascii="Verdana" w:eastAsia="Times" w:hAnsi="Verdana"/>
          <w:sz w:val="20"/>
          <w:szCs w:val="20"/>
          <w:lang w:val="pt-BR"/>
        </w:rPr>
        <w:t xml:space="preserve"> Benito</w:t>
      </w:r>
    </w:p>
    <w:p w14:paraId="164B4F8F" w14:textId="77777777" w:rsidR="00AA4953" w:rsidRPr="00AA4953" w:rsidRDefault="00AA4953" w:rsidP="00AA4953">
      <w:pPr>
        <w:spacing w:after="0" w:line="240" w:lineRule="auto"/>
        <w:ind w:left="6480" w:firstLine="720"/>
        <w:rPr>
          <w:rFonts w:ascii="Verdana" w:eastAsia="Times" w:hAnsi="Verdana"/>
          <w:sz w:val="20"/>
          <w:szCs w:val="20"/>
          <w:lang w:val="pt-BR"/>
        </w:rPr>
      </w:pPr>
      <w:r w:rsidRPr="00AA4953">
        <w:rPr>
          <w:rFonts w:ascii="Verdana" w:eastAsia="Times" w:hAnsi="Verdana"/>
          <w:sz w:val="20"/>
          <w:szCs w:val="20"/>
          <w:lang w:val="pt-BR"/>
        </w:rPr>
        <w:t xml:space="preserve">     Presidenta</w:t>
      </w:r>
    </w:p>
    <w:p w14:paraId="6237EA14" w14:textId="77777777" w:rsidR="00AA4953" w:rsidRPr="00AA4953" w:rsidRDefault="00AA4953" w:rsidP="00AA4953">
      <w:pPr>
        <w:spacing w:after="0" w:line="240" w:lineRule="auto"/>
        <w:jc w:val="both"/>
        <w:rPr>
          <w:rFonts w:ascii="Verdana" w:eastAsia="Times" w:hAnsi="Verdana"/>
          <w:sz w:val="20"/>
          <w:szCs w:val="20"/>
          <w:lang w:val="pt-BR"/>
        </w:rPr>
      </w:pPr>
    </w:p>
    <w:p w14:paraId="161BE5E6" w14:textId="77777777" w:rsidR="00AA4953" w:rsidRPr="00AA4953" w:rsidRDefault="00AA4953" w:rsidP="00AA4953">
      <w:pPr>
        <w:spacing w:after="0" w:line="240" w:lineRule="auto"/>
        <w:jc w:val="both"/>
        <w:rPr>
          <w:rFonts w:ascii="Verdana" w:eastAsia="Times" w:hAnsi="Verdana"/>
          <w:sz w:val="20"/>
          <w:szCs w:val="20"/>
          <w:lang w:val="pt-BR"/>
        </w:rPr>
      </w:pPr>
    </w:p>
    <w:p w14:paraId="474F59DB" w14:textId="77777777" w:rsidR="00AA4953" w:rsidRPr="00AA4953" w:rsidRDefault="00AA4953" w:rsidP="00AA4953">
      <w:pPr>
        <w:spacing w:after="0" w:line="240" w:lineRule="auto"/>
        <w:jc w:val="both"/>
        <w:rPr>
          <w:rFonts w:ascii="Verdana" w:eastAsia="Times" w:hAnsi="Verdana"/>
          <w:sz w:val="20"/>
          <w:szCs w:val="20"/>
          <w:lang w:val="pt-BR"/>
        </w:rPr>
      </w:pPr>
    </w:p>
    <w:p w14:paraId="4A371454" w14:textId="77777777" w:rsidR="00AA4953" w:rsidRPr="00AA4953" w:rsidRDefault="00AA4953" w:rsidP="00AA4953">
      <w:pPr>
        <w:spacing w:after="0" w:line="240" w:lineRule="auto"/>
        <w:jc w:val="both"/>
        <w:rPr>
          <w:rFonts w:ascii="Verdana" w:eastAsia="Times" w:hAnsi="Verdana"/>
          <w:sz w:val="20"/>
          <w:szCs w:val="20"/>
          <w:lang w:val="pt-BR"/>
        </w:rPr>
      </w:pPr>
    </w:p>
    <w:p w14:paraId="3E13B854" w14:textId="77777777" w:rsidR="00AA4953" w:rsidRPr="00AA4953" w:rsidRDefault="00AA4953" w:rsidP="00AA4953">
      <w:pPr>
        <w:spacing w:after="0" w:line="240" w:lineRule="auto"/>
        <w:jc w:val="both"/>
        <w:rPr>
          <w:rFonts w:ascii="Verdana" w:eastAsia="Times" w:hAnsi="Verdana"/>
          <w:sz w:val="20"/>
          <w:szCs w:val="20"/>
          <w:lang w:val="pt-BR"/>
        </w:rPr>
      </w:pPr>
    </w:p>
    <w:p w14:paraId="159331E1" w14:textId="77777777" w:rsidR="00AA4953" w:rsidRPr="00AA4953" w:rsidRDefault="00AA4953" w:rsidP="00AA4953">
      <w:pPr>
        <w:spacing w:after="0" w:line="240" w:lineRule="auto"/>
        <w:jc w:val="both"/>
        <w:rPr>
          <w:rFonts w:ascii="Verdana" w:eastAsia="Times" w:hAnsi="Verdana"/>
          <w:sz w:val="20"/>
          <w:szCs w:val="20"/>
          <w:lang w:val="pt-BR"/>
        </w:rPr>
      </w:pPr>
      <w:r w:rsidRPr="00AA4953">
        <w:rPr>
          <w:rFonts w:ascii="Verdana" w:eastAsia="Times" w:hAnsi="Verdana"/>
          <w:sz w:val="20"/>
          <w:szCs w:val="20"/>
          <w:lang w:val="pt-BR"/>
        </w:rPr>
        <w:t>Pablo Saavedra Alessandri</w:t>
      </w:r>
    </w:p>
    <w:p w14:paraId="4AED4387" w14:textId="77777777" w:rsidR="00AA4953" w:rsidRPr="00AA4953" w:rsidRDefault="00AA4953" w:rsidP="00AA4953">
      <w:pPr>
        <w:spacing w:after="0" w:line="240" w:lineRule="auto"/>
        <w:rPr>
          <w:rFonts w:ascii="Times" w:eastAsia="Times" w:hAnsi="Times"/>
          <w:sz w:val="24"/>
          <w:szCs w:val="20"/>
          <w:lang w:val="es-ES"/>
        </w:rPr>
      </w:pPr>
      <w:r w:rsidRPr="00AA4953">
        <w:rPr>
          <w:rFonts w:ascii="Verdana" w:eastAsia="Times" w:hAnsi="Verdana"/>
          <w:sz w:val="20"/>
          <w:szCs w:val="20"/>
          <w:lang w:val="pt-BR"/>
        </w:rPr>
        <w:t xml:space="preserve">          </w:t>
      </w:r>
      <w:r w:rsidRPr="00AA4953">
        <w:rPr>
          <w:rFonts w:ascii="Verdana" w:eastAsia="Times" w:hAnsi="Verdana"/>
          <w:sz w:val="20"/>
          <w:szCs w:val="20"/>
          <w:lang w:val="es-ES"/>
        </w:rPr>
        <w:t>Secretario</w:t>
      </w:r>
    </w:p>
    <w:p w14:paraId="0CB0F7CE" w14:textId="77777777" w:rsidR="00D53F87" w:rsidRPr="00D53F87" w:rsidRDefault="00D53F87" w:rsidP="007A0ED4">
      <w:pPr>
        <w:tabs>
          <w:tab w:val="left" w:pos="567"/>
        </w:tabs>
        <w:spacing w:before="60" w:after="60" w:line="240" w:lineRule="auto"/>
        <w:ind w:right="22"/>
        <w:jc w:val="both"/>
        <w:rPr>
          <w:rFonts w:ascii="Verdana" w:hAnsi="Verdana"/>
          <w:sz w:val="20"/>
          <w:szCs w:val="20"/>
          <w:lang w:val="es-MX"/>
        </w:rPr>
      </w:pPr>
    </w:p>
    <w:sectPr w:rsidR="00D53F87" w:rsidRPr="00D53F87" w:rsidSect="00A345F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7699B" w14:textId="77777777" w:rsidR="00CA647E" w:rsidRDefault="00CA647E" w:rsidP="005A1B3D">
      <w:pPr>
        <w:spacing w:after="0" w:line="240" w:lineRule="auto"/>
      </w:pPr>
      <w:r>
        <w:separator/>
      </w:r>
    </w:p>
  </w:endnote>
  <w:endnote w:type="continuationSeparator" w:id="0">
    <w:p w14:paraId="30563CAC" w14:textId="77777777" w:rsidR="00CA647E" w:rsidRDefault="00CA647E"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AC45B" w14:textId="3A52D834" w:rsidR="00561282" w:rsidRPr="00F5214F" w:rsidRDefault="00561282" w:rsidP="00F5214F">
    <w:pPr>
      <w:pStyle w:val="Encabezado"/>
      <w:jc w:val="center"/>
      <w:rPr>
        <w:rFonts w:ascii="Verdana" w:hAnsi="Verdana"/>
        <w:sz w:val="20"/>
        <w:szCs w:val="20"/>
      </w:rPr>
    </w:pPr>
    <w:r w:rsidRPr="00671120">
      <w:rPr>
        <w:rFonts w:ascii="Verdana" w:hAnsi="Verdana"/>
        <w:sz w:val="20"/>
        <w:szCs w:val="20"/>
      </w:rPr>
      <w:t>-</w:t>
    </w:r>
    <w:r w:rsidRPr="00671120">
      <w:rPr>
        <w:rFonts w:ascii="Verdana" w:hAnsi="Verdana"/>
        <w:sz w:val="20"/>
        <w:szCs w:val="20"/>
      </w:rPr>
      <w:fldChar w:fldCharType="begin"/>
    </w:r>
    <w:r w:rsidRPr="00671120">
      <w:rPr>
        <w:rFonts w:ascii="Verdana" w:hAnsi="Verdana"/>
        <w:sz w:val="20"/>
        <w:szCs w:val="20"/>
      </w:rPr>
      <w:instrText>PAGE   \* MERGEFORMAT</w:instrText>
    </w:r>
    <w:r w:rsidRPr="00671120">
      <w:rPr>
        <w:rFonts w:ascii="Verdana" w:hAnsi="Verdana"/>
        <w:sz w:val="20"/>
        <w:szCs w:val="20"/>
      </w:rPr>
      <w:fldChar w:fldCharType="separate"/>
    </w:r>
    <w:r w:rsidR="003714A9" w:rsidRPr="003714A9">
      <w:rPr>
        <w:rFonts w:ascii="Verdana" w:hAnsi="Verdana"/>
        <w:noProof/>
        <w:sz w:val="20"/>
        <w:szCs w:val="20"/>
        <w:lang w:val="es-ES"/>
      </w:rPr>
      <w:t>20</w:t>
    </w:r>
    <w:r w:rsidRPr="00671120">
      <w:rPr>
        <w:rFonts w:ascii="Verdana" w:hAnsi="Verdana"/>
        <w:sz w:val="20"/>
        <w:szCs w:val="20"/>
      </w:rPr>
      <w:fldChar w:fldCharType="end"/>
    </w:r>
    <w:r w:rsidRPr="00671120">
      <w:rPr>
        <w:rFonts w:ascii="Verdana" w:hAnsi="Verdana"/>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E25D7" w14:textId="77777777" w:rsidR="00CA647E" w:rsidRDefault="00CA647E" w:rsidP="005A1B3D">
      <w:pPr>
        <w:spacing w:after="0" w:line="240" w:lineRule="auto"/>
      </w:pPr>
      <w:r>
        <w:separator/>
      </w:r>
    </w:p>
  </w:footnote>
  <w:footnote w:type="continuationSeparator" w:id="0">
    <w:p w14:paraId="08D72D47" w14:textId="77777777" w:rsidR="00CA647E" w:rsidRDefault="00CA647E" w:rsidP="005A1B3D">
      <w:pPr>
        <w:spacing w:after="0" w:line="240" w:lineRule="auto"/>
      </w:pPr>
      <w:r>
        <w:continuationSeparator/>
      </w:r>
    </w:p>
  </w:footnote>
  <w:footnote w:id="1">
    <w:p w14:paraId="14FDBD95" w14:textId="75698FE9" w:rsidR="00561282" w:rsidRPr="00EF7615" w:rsidRDefault="00561282" w:rsidP="00870E27">
      <w:pPr>
        <w:pStyle w:val="Textonotapie"/>
        <w:jc w:val="both"/>
        <w:rPr>
          <w:rFonts w:ascii="Verdana" w:hAnsi="Verdana"/>
          <w:sz w:val="16"/>
          <w:szCs w:val="16"/>
          <w:lang w:val="es-MX"/>
        </w:rPr>
      </w:pPr>
      <w:r w:rsidRPr="00EF7615">
        <w:rPr>
          <w:rFonts w:ascii="Verdana" w:hAnsi="Verdana"/>
          <w:b/>
          <w:smallCaps/>
          <w:sz w:val="16"/>
          <w:szCs w:val="16"/>
          <w:vertAlign w:val="superscript"/>
          <w:lang w:val="es-MX"/>
        </w:rPr>
        <w:t>*</w:t>
      </w:r>
      <w:r w:rsidRPr="00EF7615">
        <w:rPr>
          <w:rFonts w:ascii="Verdana" w:hAnsi="Verdana"/>
          <w:b/>
          <w:smallCaps/>
          <w:sz w:val="16"/>
          <w:szCs w:val="16"/>
          <w:vertAlign w:val="superscript"/>
          <w:lang w:val="es-MX"/>
        </w:rPr>
        <w:tab/>
      </w:r>
      <w:r w:rsidRPr="00EF7615">
        <w:rPr>
          <w:rFonts w:ascii="Verdana" w:hAnsi="Verdana"/>
          <w:sz w:val="16"/>
          <w:szCs w:val="16"/>
          <w:lang w:val="es-MX"/>
        </w:rPr>
        <w:t>Debido a las circunstancias excepcionales ocasionadas por la pandemia COVID-19, esta Resolución fue deliberada y aprobada durante el 141° Periodo Ordinario de Sesiones, el cual se llevó́ a cabo de forma no presencial utilizando medios tecnológicos de conformidad con lo establecido en el Reglamento de la Corte.</w:t>
      </w:r>
      <w:r>
        <w:rPr>
          <w:rFonts w:ascii="Verdana" w:hAnsi="Verdana"/>
          <w:sz w:val="16"/>
          <w:szCs w:val="16"/>
          <w:lang w:val="es-MX"/>
        </w:rPr>
        <w:t xml:space="preserve"> </w:t>
      </w:r>
      <w:r w:rsidRPr="00B16193">
        <w:rPr>
          <w:rFonts w:ascii="Verdana" w:hAnsi="Verdana"/>
          <w:sz w:val="16"/>
          <w:szCs w:val="16"/>
          <w:lang w:val="es-ES"/>
        </w:rPr>
        <w:t>Los Jueces Eduardo Vio Grossi y Eduardo Ferrer Mac-</w:t>
      </w:r>
      <w:proofErr w:type="spellStart"/>
      <w:r w:rsidRPr="00B16193">
        <w:rPr>
          <w:rFonts w:ascii="Verdana" w:hAnsi="Verdana"/>
          <w:sz w:val="16"/>
          <w:szCs w:val="16"/>
          <w:lang w:val="es-ES"/>
        </w:rPr>
        <w:t>Gregor</w:t>
      </w:r>
      <w:proofErr w:type="spellEnd"/>
      <w:r w:rsidRPr="00B16193">
        <w:rPr>
          <w:rFonts w:ascii="Verdana" w:hAnsi="Verdana"/>
          <w:sz w:val="16"/>
          <w:szCs w:val="16"/>
          <w:lang w:val="es-ES"/>
        </w:rPr>
        <w:t xml:space="preserve"> </w:t>
      </w:r>
      <w:proofErr w:type="spellStart"/>
      <w:r w:rsidRPr="00B16193">
        <w:rPr>
          <w:rFonts w:ascii="Verdana" w:hAnsi="Verdana"/>
          <w:sz w:val="16"/>
          <w:szCs w:val="16"/>
          <w:lang w:val="es-ES"/>
        </w:rPr>
        <w:t>Poisot</w:t>
      </w:r>
      <w:proofErr w:type="spellEnd"/>
      <w:r w:rsidRPr="00B16193">
        <w:rPr>
          <w:rFonts w:ascii="Verdana" w:hAnsi="Verdana"/>
          <w:sz w:val="16"/>
          <w:szCs w:val="16"/>
          <w:lang w:val="es-ES"/>
        </w:rPr>
        <w:t xml:space="preserve"> no participaron en la deliberación y firma de la presente Resolución por razones de fuerza mayor.</w:t>
      </w:r>
    </w:p>
    <w:p w14:paraId="655EB95F" w14:textId="77777777" w:rsidR="00561282" w:rsidRPr="00EF7615" w:rsidRDefault="00561282" w:rsidP="00870E27">
      <w:pPr>
        <w:pStyle w:val="Textonotapie"/>
        <w:jc w:val="both"/>
        <w:rPr>
          <w:rFonts w:ascii="Verdana" w:hAnsi="Verdana"/>
          <w:b/>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ab/>
      </w:r>
      <w:r w:rsidRPr="00EF7615">
        <w:rPr>
          <w:rFonts w:ascii="Verdana" w:hAnsi="Verdana"/>
          <w:i/>
          <w:sz w:val="16"/>
          <w:szCs w:val="16"/>
          <w:lang w:val="es-MX"/>
        </w:rPr>
        <w:t xml:space="preserve">Cfr. </w:t>
      </w:r>
      <w:r w:rsidRPr="00EF7615">
        <w:rPr>
          <w:rFonts w:ascii="Verdana" w:hAnsi="Verdana"/>
          <w:bCs/>
          <w:i/>
          <w:sz w:val="16"/>
          <w:szCs w:val="16"/>
          <w:lang w:val="es-MX"/>
        </w:rPr>
        <w:t>Caso Comunidad Garífuna de Punta Piedra y sus miembros Vs. Honduras. Excepciones Preliminares, Fondo, Reparaciones y Costas</w:t>
      </w:r>
      <w:r w:rsidRPr="00EF7615">
        <w:rPr>
          <w:rFonts w:ascii="Verdana" w:hAnsi="Verdana"/>
          <w:bCs/>
          <w:sz w:val="16"/>
          <w:szCs w:val="16"/>
          <w:lang w:val="es-MX"/>
        </w:rPr>
        <w:t xml:space="preserve">. Sentencia de 8 de octubre de 2015. Serie C No. 304. El texto íntegro de la Sentencia se encuentra disponible en: </w:t>
      </w:r>
      <w:hyperlink r:id="rId1" w:history="1">
        <w:r w:rsidRPr="00EF7615">
          <w:rPr>
            <w:rStyle w:val="Hipervnculo"/>
            <w:rFonts w:ascii="Verdana" w:hAnsi="Verdana"/>
            <w:sz w:val="16"/>
            <w:szCs w:val="16"/>
            <w:lang w:val="es-MX"/>
          </w:rPr>
          <w:t>http://www.corteidh.or.cr/docs/casos/articulos/seriec_304_esp.pdf</w:t>
        </w:r>
      </w:hyperlink>
      <w:r w:rsidRPr="00EF7615">
        <w:rPr>
          <w:rFonts w:ascii="Verdana" w:hAnsi="Verdana"/>
          <w:bCs/>
          <w:sz w:val="16"/>
          <w:szCs w:val="16"/>
          <w:lang w:val="es-MX"/>
        </w:rPr>
        <w:t>. La Sentencia fue notificada al Estado el 18 de diciembre de 2015</w:t>
      </w:r>
      <w:r w:rsidRPr="00EF7615">
        <w:rPr>
          <w:rFonts w:ascii="Verdana" w:hAnsi="Verdana"/>
          <w:b/>
          <w:bCs/>
          <w:sz w:val="16"/>
          <w:szCs w:val="16"/>
          <w:lang w:val="es-MX"/>
        </w:rPr>
        <w:t>.</w:t>
      </w:r>
    </w:p>
  </w:footnote>
  <w:footnote w:id="2">
    <w:p w14:paraId="7DFA4CD9" w14:textId="22CDE25C" w:rsidR="00561282" w:rsidRPr="00EF7615" w:rsidRDefault="00561282" w:rsidP="00870E27">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r>
      <w:r w:rsidRPr="00EF7615">
        <w:rPr>
          <w:rFonts w:ascii="Verdana" w:hAnsi="Verdana"/>
          <w:i/>
          <w:sz w:val="16"/>
          <w:szCs w:val="16"/>
          <w:lang w:val="es-MX"/>
        </w:rPr>
        <w:t xml:space="preserve">Cfr. </w:t>
      </w:r>
      <w:r w:rsidRPr="00EF7615">
        <w:rPr>
          <w:rStyle w:val="Textoennegrita"/>
          <w:rFonts w:ascii="Verdana" w:hAnsi="Verdana"/>
          <w:b w:val="0"/>
          <w:i/>
          <w:color w:val="000000"/>
          <w:sz w:val="16"/>
          <w:szCs w:val="16"/>
          <w:shd w:val="clear" w:color="auto" w:fill="FFFFFF"/>
          <w:lang w:val="es-MX"/>
        </w:rPr>
        <w:t>Caso Comunidad Garífuna Triunfo de la Cruz y sus miembros Vs. Honduras. Fondo, Reparaciones y Costas</w:t>
      </w:r>
      <w:r w:rsidRPr="00EF7615">
        <w:rPr>
          <w:rStyle w:val="Textoennegrita"/>
          <w:rFonts w:ascii="Verdana" w:hAnsi="Verdana"/>
          <w:b w:val="0"/>
          <w:color w:val="000000"/>
          <w:sz w:val="16"/>
          <w:szCs w:val="16"/>
          <w:shd w:val="clear" w:color="auto" w:fill="FFFFFF"/>
          <w:lang w:val="es-MX"/>
        </w:rPr>
        <w:t>. Sentencia de 8 de octubre de 2015. Serie C No. 305. El texto íntegro de la Sentencia se encuentra disponible en:</w:t>
      </w:r>
      <w:r w:rsidRPr="00EF7615">
        <w:rPr>
          <w:rStyle w:val="Textoennegrita"/>
          <w:rFonts w:ascii="Verdana" w:hAnsi="Verdana"/>
          <w:color w:val="000000"/>
          <w:sz w:val="16"/>
          <w:szCs w:val="16"/>
          <w:shd w:val="clear" w:color="auto" w:fill="FFFFFF"/>
          <w:lang w:val="es-MX"/>
        </w:rPr>
        <w:t xml:space="preserve"> </w:t>
      </w:r>
      <w:hyperlink r:id="rId2" w:history="1">
        <w:r w:rsidRPr="00EF7615">
          <w:rPr>
            <w:rStyle w:val="Hipervnculo"/>
            <w:rFonts w:ascii="Verdana" w:hAnsi="Verdana"/>
            <w:sz w:val="16"/>
            <w:szCs w:val="16"/>
            <w:shd w:val="clear" w:color="auto" w:fill="FFFFFF"/>
            <w:lang w:val="es-MX"/>
          </w:rPr>
          <w:t>http://www.corteidh.or.cr/docs/casos/articulos/seriec_305_esp.pdf</w:t>
        </w:r>
      </w:hyperlink>
      <w:r w:rsidRPr="00EF7615">
        <w:rPr>
          <w:rStyle w:val="Textoennegrita"/>
          <w:rFonts w:ascii="Verdana" w:hAnsi="Verdana"/>
          <w:color w:val="000000"/>
          <w:sz w:val="16"/>
          <w:szCs w:val="16"/>
          <w:shd w:val="clear" w:color="auto" w:fill="FFFFFF"/>
          <w:lang w:val="es-MX"/>
        </w:rPr>
        <w:t xml:space="preserve">. </w:t>
      </w:r>
      <w:r>
        <w:rPr>
          <w:rStyle w:val="Textoennegrita"/>
          <w:rFonts w:ascii="Verdana" w:hAnsi="Verdana"/>
          <w:b w:val="0"/>
          <w:color w:val="000000"/>
          <w:sz w:val="16"/>
          <w:szCs w:val="16"/>
          <w:shd w:val="clear" w:color="auto" w:fill="FFFFFF"/>
          <w:lang w:val="es-MX"/>
        </w:rPr>
        <w:t>La Sentencia fue notif</w:t>
      </w:r>
      <w:r w:rsidRPr="00EF7615">
        <w:rPr>
          <w:rStyle w:val="Textoennegrita"/>
          <w:rFonts w:ascii="Verdana" w:hAnsi="Verdana"/>
          <w:b w:val="0"/>
          <w:color w:val="000000"/>
          <w:sz w:val="16"/>
          <w:szCs w:val="16"/>
          <w:shd w:val="clear" w:color="auto" w:fill="FFFFFF"/>
          <w:lang w:val="es-MX"/>
        </w:rPr>
        <w:t>i</w:t>
      </w:r>
      <w:r>
        <w:rPr>
          <w:rStyle w:val="Textoennegrita"/>
          <w:rFonts w:ascii="Verdana" w:hAnsi="Verdana"/>
          <w:b w:val="0"/>
          <w:color w:val="000000"/>
          <w:sz w:val="16"/>
          <w:szCs w:val="16"/>
          <w:shd w:val="clear" w:color="auto" w:fill="FFFFFF"/>
          <w:lang w:val="es-MX"/>
        </w:rPr>
        <w:t>c</w:t>
      </w:r>
      <w:r w:rsidRPr="00EF7615">
        <w:rPr>
          <w:rStyle w:val="Textoennegrita"/>
          <w:rFonts w:ascii="Verdana" w:hAnsi="Verdana"/>
          <w:b w:val="0"/>
          <w:color w:val="000000"/>
          <w:sz w:val="16"/>
          <w:szCs w:val="16"/>
          <w:shd w:val="clear" w:color="auto" w:fill="FFFFFF"/>
          <w:lang w:val="es-MX"/>
        </w:rPr>
        <w:t>ada al Estado el 18 de diciembre de 2015.</w:t>
      </w:r>
    </w:p>
  </w:footnote>
  <w:footnote w:id="3">
    <w:p w14:paraId="06630AC9" w14:textId="77777777" w:rsidR="00561282" w:rsidRPr="00EF7615" w:rsidRDefault="00561282" w:rsidP="00870E27">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 xml:space="preserve">Disponibles en: </w:t>
      </w:r>
      <w:hyperlink r:id="rId3" w:history="1">
        <w:r w:rsidRPr="00EF7615">
          <w:rPr>
            <w:rStyle w:val="Hipervnculo"/>
            <w:rFonts w:ascii="Verdana" w:hAnsi="Verdana"/>
            <w:sz w:val="16"/>
            <w:szCs w:val="16"/>
            <w:lang w:val="es-MX"/>
          </w:rPr>
          <w:t>https://www.corteidh.or.cr/casos_en_supervision_por_pais.cfm</w:t>
        </w:r>
      </w:hyperlink>
      <w:r w:rsidRPr="00EF7615">
        <w:rPr>
          <w:rFonts w:ascii="Verdana" w:hAnsi="Verdana"/>
          <w:sz w:val="16"/>
          <w:szCs w:val="16"/>
          <w:lang w:val="es-MX"/>
        </w:rPr>
        <w:t xml:space="preserve"> </w:t>
      </w:r>
    </w:p>
  </w:footnote>
  <w:footnote w:id="4">
    <w:p w14:paraId="07C0EFE0" w14:textId="77777777" w:rsidR="00561282" w:rsidRPr="00EF7615" w:rsidRDefault="00561282" w:rsidP="00EB301A">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 xml:space="preserve">Los </w:t>
      </w:r>
      <w:r w:rsidRPr="00EF7615">
        <w:rPr>
          <w:rFonts w:ascii="Verdana" w:hAnsi="Verdana"/>
          <w:color w:val="000000"/>
          <w:sz w:val="16"/>
          <w:szCs w:val="16"/>
          <w:lang w:val="es-MX"/>
        </w:rPr>
        <w:t>representantes</w:t>
      </w:r>
      <w:r w:rsidRPr="00EF7615">
        <w:rPr>
          <w:rFonts w:ascii="Verdana" w:hAnsi="Verdana"/>
          <w:sz w:val="16"/>
          <w:szCs w:val="16"/>
          <w:lang w:val="es-MX"/>
        </w:rPr>
        <w:t xml:space="preserve"> en este caso son la Organización Fraternal Negra Hondureña (OFRANEH) y el señor Christian A. Callejas Escoto. </w:t>
      </w:r>
    </w:p>
  </w:footnote>
  <w:footnote w:id="5">
    <w:p w14:paraId="34E50DB0" w14:textId="77777777" w:rsidR="00561282" w:rsidRPr="00EF7615" w:rsidRDefault="00561282" w:rsidP="00870E27">
      <w:pPr>
        <w:pStyle w:val="Textonotapie"/>
        <w:jc w:val="both"/>
        <w:rPr>
          <w:rFonts w:ascii="Verdana" w:hAnsi="Verdana"/>
          <w:sz w:val="16"/>
          <w:szCs w:val="16"/>
          <w:lang w:val="es-CR"/>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r>
      <w:r w:rsidRPr="00EF7615">
        <w:rPr>
          <w:rFonts w:ascii="Verdana" w:hAnsi="Verdana"/>
          <w:i/>
          <w:iCs/>
          <w:sz w:val="16"/>
          <w:szCs w:val="16"/>
          <w:lang w:val="es-CR"/>
        </w:rPr>
        <w:t>Cfr. Caso Comunidades Garífunas de Triunfo de la Cruz y Punta Piedra respecto de Honduras</w:t>
      </w:r>
      <w:r w:rsidRPr="00EF7615">
        <w:rPr>
          <w:rFonts w:ascii="Verdana" w:hAnsi="Verdana"/>
          <w:sz w:val="16"/>
          <w:szCs w:val="16"/>
          <w:lang w:val="es-CR"/>
        </w:rPr>
        <w:t xml:space="preserve">. Adopción de Medidas Urgentes. </w:t>
      </w:r>
      <w:r w:rsidRPr="00EF7615">
        <w:rPr>
          <w:rFonts w:ascii="Verdana" w:hAnsi="Verdana"/>
          <w:color w:val="000000"/>
          <w:sz w:val="16"/>
          <w:szCs w:val="16"/>
          <w:lang w:val="es-MX"/>
        </w:rPr>
        <w:t>Resolución</w:t>
      </w:r>
      <w:r w:rsidRPr="00EF7615">
        <w:rPr>
          <w:rFonts w:ascii="Verdana" w:hAnsi="Verdana"/>
          <w:sz w:val="16"/>
          <w:szCs w:val="16"/>
          <w:lang w:val="es-CR"/>
        </w:rPr>
        <w:t xml:space="preserve"> de la Presidenta de la Corte Interamericana de Derechos Humanos de 6 de agosto de 2020.</w:t>
      </w:r>
    </w:p>
  </w:footnote>
  <w:footnote w:id="6">
    <w:p w14:paraId="524AE969" w14:textId="77777777" w:rsidR="00561282" w:rsidRPr="00EF7615" w:rsidRDefault="00561282" w:rsidP="00870E27">
      <w:pPr>
        <w:pStyle w:val="Textonotapie"/>
        <w:jc w:val="both"/>
        <w:rPr>
          <w:rFonts w:ascii="Verdana" w:hAnsi="Verdana"/>
          <w:sz w:val="16"/>
          <w:szCs w:val="16"/>
          <w:lang w:val="es-CR"/>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r>
      <w:r w:rsidRPr="00EF7615">
        <w:rPr>
          <w:rFonts w:ascii="Verdana" w:hAnsi="Verdana"/>
          <w:i/>
          <w:iCs/>
          <w:sz w:val="16"/>
          <w:szCs w:val="16"/>
          <w:lang w:val="es-CR"/>
        </w:rPr>
        <w:t>Cfr. Caso Comunidades Garífunas de Triunfo de la Cruz y Punta Piedra respecto de Honduras</w:t>
      </w:r>
      <w:r w:rsidRPr="00EF7615">
        <w:rPr>
          <w:rFonts w:ascii="Verdana" w:hAnsi="Verdana"/>
          <w:sz w:val="16"/>
          <w:szCs w:val="16"/>
          <w:lang w:val="es-CR"/>
        </w:rPr>
        <w:t xml:space="preserve">. Medidas Provisionales. Resolución de la </w:t>
      </w:r>
      <w:r w:rsidRPr="00EF7615">
        <w:rPr>
          <w:rFonts w:ascii="Verdana" w:hAnsi="Verdana"/>
          <w:color w:val="000000"/>
          <w:sz w:val="16"/>
          <w:szCs w:val="16"/>
          <w:lang w:val="es-MX"/>
        </w:rPr>
        <w:t>Corte</w:t>
      </w:r>
      <w:r w:rsidRPr="00EF7615">
        <w:rPr>
          <w:rFonts w:ascii="Verdana" w:hAnsi="Verdana"/>
          <w:sz w:val="16"/>
          <w:szCs w:val="16"/>
          <w:lang w:val="es-CR"/>
        </w:rPr>
        <w:t xml:space="preserve"> Interamericana de Derechos Humanos de 2 de septiembre de 2020, puntos resolutivos 1 y 2.</w:t>
      </w:r>
      <w:r w:rsidRPr="00A84D20">
        <w:rPr>
          <w:rFonts w:ascii="Verdana" w:hAnsi="Verdana"/>
          <w:sz w:val="16"/>
          <w:szCs w:val="16"/>
          <w:lang w:val="es-CR"/>
        </w:rPr>
        <w:t xml:space="preserve"> </w:t>
      </w:r>
    </w:p>
  </w:footnote>
  <w:footnote w:id="7">
    <w:p w14:paraId="4B0A645F" w14:textId="0A35E4CD" w:rsidR="00561282" w:rsidRPr="00EF7615" w:rsidRDefault="00561282" w:rsidP="00870E27">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 xml:space="preserve">Dicha audiencia fue convocada por la Presidencia de la Corte con el objeto de recibir por parte del Estado información actualizada y detallada sobre: (i) las medidas provisionales ordenadas mediante Resolución de 2 de septiembre de 2020, y en particular sobre: a) las medidas que fueron tomadas para determinar el paradero de Milton Joel Martínez Álvarez, </w:t>
      </w:r>
      <w:proofErr w:type="spellStart"/>
      <w:r w:rsidRPr="00EF7615">
        <w:rPr>
          <w:rFonts w:ascii="Verdana" w:hAnsi="Verdana"/>
          <w:sz w:val="16"/>
          <w:szCs w:val="16"/>
          <w:lang w:val="es-MX"/>
        </w:rPr>
        <w:t>Suami</w:t>
      </w:r>
      <w:proofErr w:type="spellEnd"/>
      <w:r w:rsidRPr="00EF7615">
        <w:rPr>
          <w:rFonts w:ascii="Verdana" w:hAnsi="Verdana"/>
          <w:sz w:val="16"/>
          <w:szCs w:val="16"/>
          <w:lang w:val="es-MX"/>
        </w:rPr>
        <w:t xml:space="preserve"> Aparicio Mejía García, Gerardo Misael Trochez Calix y Albert </w:t>
      </w:r>
      <w:proofErr w:type="spellStart"/>
      <w:r w:rsidRPr="00EF7615">
        <w:rPr>
          <w:rFonts w:ascii="Verdana" w:hAnsi="Verdana"/>
          <w:sz w:val="16"/>
          <w:szCs w:val="16"/>
          <w:lang w:val="es-MX"/>
        </w:rPr>
        <w:t>Snaider</w:t>
      </w:r>
      <w:proofErr w:type="spellEnd"/>
      <w:r w:rsidRPr="00EF7615">
        <w:rPr>
          <w:rFonts w:ascii="Verdana" w:hAnsi="Verdana"/>
          <w:sz w:val="16"/>
          <w:szCs w:val="16"/>
          <w:lang w:val="es-MX"/>
        </w:rPr>
        <w:t xml:space="preserve"> Centeno Thomas, quienes se encuentran desaparecidos desde el 18 de julio de 2020, y b) las medidas para proteger efectivamente los derechos a la vida, e integridad personal de los líderes y dirigentes comunitarios de las Comunidades Garífunas Triunfo de la Cruz y Punta Piedra que desarrollan colectivamente acciones de defensa de los derechos del pueblo Garífuna; así como sobre (ii) el cumplimiento de las medidas de reparación ordenadas en los puntos resolutivos 10, 16 y 17 de la Sentencia del caso de la</w:t>
      </w:r>
      <w:r w:rsidRPr="00EF7615">
        <w:rPr>
          <w:rFonts w:ascii="Verdana" w:hAnsi="Verdana"/>
          <w:i/>
          <w:sz w:val="16"/>
          <w:szCs w:val="16"/>
          <w:lang w:val="es-MX"/>
        </w:rPr>
        <w:t xml:space="preserve"> Comunidad Garífuna Punta Piedra Vs. Honduras</w:t>
      </w:r>
      <w:r w:rsidRPr="00EF7615">
        <w:rPr>
          <w:rFonts w:ascii="Verdana" w:hAnsi="Verdana"/>
          <w:sz w:val="16"/>
          <w:szCs w:val="16"/>
          <w:lang w:val="es-MX"/>
        </w:rPr>
        <w:t>, así como las ordenadas en los puntos resolutivos 6, 7, 8 y 11 de la Sentencia del caso de la</w:t>
      </w:r>
      <w:r w:rsidRPr="00EF7615">
        <w:rPr>
          <w:rFonts w:ascii="Verdana" w:hAnsi="Verdana"/>
          <w:i/>
          <w:sz w:val="16"/>
          <w:szCs w:val="16"/>
          <w:lang w:val="es-MX"/>
        </w:rPr>
        <w:t xml:space="preserve"> Comunidad Garífuna Triunfo de la Cruz Vs. Honduras.</w:t>
      </w:r>
    </w:p>
  </w:footnote>
  <w:footnote w:id="8">
    <w:p w14:paraId="6C190827" w14:textId="08C140C8" w:rsidR="00561282" w:rsidRPr="00EF7615" w:rsidRDefault="00561282" w:rsidP="00870E27">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 xml:space="preserve">A esta audiencia comparecieron: a) por el Estado: Lidia Estela Cardona Padilla, Procuradora General de la República; Marcia Núñez </w:t>
      </w:r>
      <w:proofErr w:type="spellStart"/>
      <w:r w:rsidRPr="00EF7615">
        <w:rPr>
          <w:rFonts w:ascii="Verdana" w:hAnsi="Verdana"/>
          <w:sz w:val="16"/>
          <w:szCs w:val="16"/>
          <w:lang w:val="es-MX"/>
        </w:rPr>
        <w:t>Ennabe</w:t>
      </w:r>
      <w:proofErr w:type="spellEnd"/>
      <w:r w:rsidRPr="00EF7615">
        <w:rPr>
          <w:rFonts w:ascii="Verdana" w:hAnsi="Verdana"/>
          <w:sz w:val="16"/>
          <w:szCs w:val="16"/>
          <w:lang w:val="es-MX"/>
        </w:rPr>
        <w:t xml:space="preserve">, Subprocuradora General de la República y Coordinadora de la </w:t>
      </w:r>
      <w:proofErr w:type="spellStart"/>
      <w:r w:rsidRPr="00EF7615">
        <w:rPr>
          <w:rFonts w:ascii="Verdana" w:hAnsi="Verdana"/>
          <w:sz w:val="16"/>
          <w:szCs w:val="16"/>
          <w:lang w:val="es-MX"/>
        </w:rPr>
        <w:t>Comisión</w:t>
      </w:r>
      <w:proofErr w:type="spellEnd"/>
      <w:r w:rsidRPr="00EF7615">
        <w:rPr>
          <w:rFonts w:ascii="Verdana" w:hAnsi="Verdana"/>
          <w:sz w:val="16"/>
          <w:szCs w:val="16"/>
          <w:lang w:val="es-MX"/>
        </w:rPr>
        <w:t xml:space="preserve"> Interinstitucional para el Cumplimiento de las Sentencias Internacionales; Nelson Gerardo Molina Flores, Director de Derechos Humanos y Litigios Internacionales, Procuraduría General de la República; </w:t>
      </w:r>
      <w:proofErr w:type="spellStart"/>
      <w:r w:rsidRPr="00EF7615">
        <w:rPr>
          <w:rFonts w:ascii="Verdana" w:hAnsi="Verdana"/>
          <w:sz w:val="16"/>
          <w:szCs w:val="16"/>
          <w:lang w:val="es-MX"/>
        </w:rPr>
        <w:t>Olbin</w:t>
      </w:r>
      <w:proofErr w:type="spellEnd"/>
      <w:r w:rsidRPr="00EF7615">
        <w:rPr>
          <w:rFonts w:ascii="Verdana" w:hAnsi="Verdana"/>
          <w:sz w:val="16"/>
          <w:szCs w:val="16"/>
          <w:lang w:val="es-MX"/>
        </w:rPr>
        <w:t xml:space="preserve"> Antonio Mejía Cambar, Subdirector de Derechos Humanos y Litigios Internacionales de la Procuraduría General de la República; </w:t>
      </w:r>
      <w:r w:rsidR="003F22C8">
        <w:rPr>
          <w:rFonts w:ascii="Verdana" w:hAnsi="Verdana"/>
          <w:sz w:val="16"/>
          <w:szCs w:val="16"/>
          <w:lang w:val="es-MX"/>
        </w:rPr>
        <w:t xml:space="preserve">Rosa Amalia </w:t>
      </w:r>
      <w:proofErr w:type="spellStart"/>
      <w:r w:rsidR="003F22C8">
        <w:rPr>
          <w:rFonts w:ascii="Verdana" w:hAnsi="Verdana"/>
          <w:sz w:val="16"/>
          <w:szCs w:val="16"/>
          <w:lang w:val="es-MX"/>
        </w:rPr>
        <w:t>Seaman</w:t>
      </w:r>
      <w:proofErr w:type="spellEnd"/>
      <w:r w:rsidR="003F22C8">
        <w:rPr>
          <w:rFonts w:ascii="Verdana" w:hAnsi="Verdana"/>
          <w:sz w:val="16"/>
          <w:szCs w:val="16"/>
          <w:lang w:val="es-MX"/>
        </w:rPr>
        <w:t xml:space="preserve"> </w:t>
      </w:r>
      <w:proofErr w:type="spellStart"/>
      <w:r w:rsidR="003F22C8">
        <w:rPr>
          <w:rFonts w:ascii="Verdana" w:hAnsi="Verdana"/>
          <w:sz w:val="16"/>
          <w:szCs w:val="16"/>
          <w:lang w:val="es-MX"/>
        </w:rPr>
        <w:t>Sheran</w:t>
      </w:r>
      <w:proofErr w:type="spellEnd"/>
      <w:r w:rsidR="003F22C8">
        <w:rPr>
          <w:rFonts w:ascii="Verdana" w:hAnsi="Verdana"/>
          <w:sz w:val="16"/>
          <w:szCs w:val="16"/>
          <w:lang w:val="es-MX"/>
        </w:rPr>
        <w:t>, Subsecretaria de Estado en el Despacho de Protección de Derechos Humanos</w:t>
      </w:r>
      <w:r w:rsidRPr="00EF7615">
        <w:rPr>
          <w:rFonts w:ascii="Verdana" w:hAnsi="Verdana"/>
          <w:sz w:val="16"/>
          <w:szCs w:val="16"/>
          <w:lang w:val="es-MX"/>
        </w:rPr>
        <w:t xml:space="preserve">; José Danilo Morales, Director General del Sistema de Protección de la Secretaría de Estado en el Despacho de Derechos Humanos; </w:t>
      </w:r>
      <w:proofErr w:type="spellStart"/>
      <w:r w:rsidRPr="00EF7615">
        <w:rPr>
          <w:rFonts w:ascii="Verdana" w:hAnsi="Verdana"/>
          <w:sz w:val="16"/>
          <w:szCs w:val="16"/>
          <w:lang w:val="es-MX"/>
        </w:rPr>
        <w:t>Mariajossé</w:t>
      </w:r>
      <w:proofErr w:type="spellEnd"/>
      <w:r w:rsidRPr="00EF7615">
        <w:rPr>
          <w:rFonts w:ascii="Verdana" w:hAnsi="Verdana"/>
          <w:sz w:val="16"/>
          <w:szCs w:val="16"/>
          <w:lang w:val="es-MX"/>
        </w:rPr>
        <w:t xml:space="preserve"> Díaz Sosa, Coordinadora de Área en Derechos Humanos de la Secretaría de Estado en el Despacho de Derechos Humanos; </w:t>
      </w:r>
      <w:proofErr w:type="spellStart"/>
      <w:r w:rsidRPr="00EF7615">
        <w:rPr>
          <w:rFonts w:ascii="Verdana" w:hAnsi="Verdana"/>
          <w:sz w:val="16"/>
          <w:szCs w:val="16"/>
          <w:lang w:val="es-MX"/>
        </w:rPr>
        <w:t>Loany</w:t>
      </w:r>
      <w:proofErr w:type="spellEnd"/>
      <w:r w:rsidRPr="00EF7615">
        <w:rPr>
          <w:rFonts w:ascii="Verdana" w:hAnsi="Verdana"/>
          <w:sz w:val="16"/>
          <w:szCs w:val="16"/>
          <w:lang w:val="es-MX"/>
        </w:rPr>
        <w:t xml:space="preserve"> Patricia Alvarado Sorto, Subdirectora General de Fiscalía del Ministerio Público; Roy Murillo Gale, Asesor Legal de la Dirección Ejecutiva del Instituto Nacional Agrario; Emilia Martínez Sandoval, Subjefa de División de Servicios Legales del Instituto Nacional Agrario;</w:t>
      </w:r>
      <w:r w:rsidR="003F22C8">
        <w:rPr>
          <w:rFonts w:ascii="Verdana" w:hAnsi="Verdana"/>
          <w:sz w:val="16"/>
          <w:szCs w:val="16"/>
          <w:lang w:val="es-MX"/>
        </w:rPr>
        <w:t xml:space="preserve"> Luis Cruz, Jefe Predial de la Dirección General de Registros del Instituto de la Propiedad;</w:t>
      </w:r>
      <w:r w:rsidRPr="00EF7615">
        <w:rPr>
          <w:rFonts w:ascii="Verdana" w:hAnsi="Verdana"/>
          <w:sz w:val="16"/>
          <w:szCs w:val="16"/>
          <w:lang w:val="es-MX"/>
        </w:rPr>
        <w:t xml:space="preserve"> b) por </w:t>
      </w:r>
      <w:r w:rsidRPr="00EF7615">
        <w:rPr>
          <w:rFonts w:ascii="Verdana" w:hAnsi="Verdana"/>
          <w:color w:val="000000"/>
          <w:sz w:val="16"/>
          <w:szCs w:val="16"/>
          <w:shd w:val="clear" w:color="auto" w:fill="FFFFFF"/>
          <w:lang w:val="es-MX"/>
        </w:rPr>
        <w:t xml:space="preserve">los miembros de las Comunidades Garífunas y sus </w:t>
      </w:r>
      <w:r w:rsidRPr="00EF7615">
        <w:rPr>
          <w:rFonts w:ascii="Verdana" w:hAnsi="Verdana"/>
          <w:sz w:val="16"/>
          <w:szCs w:val="16"/>
          <w:lang w:val="es-MX"/>
        </w:rPr>
        <w:t>representantes: Jenny Ramona Herrera,</w:t>
      </w:r>
      <w:r>
        <w:rPr>
          <w:rFonts w:ascii="Verdana" w:hAnsi="Verdana"/>
          <w:sz w:val="16"/>
          <w:szCs w:val="16"/>
          <w:lang w:val="es-MX"/>
        </w:rPr>
        <w:t xml:space="preserve"> Clara</w:t>
      </w:r>
      <w:r w:rsidRPr="00EF7615">
        <w:rPr>
          <w:rFonts w:ascii="Verdana" w:hAnsi="Verdana"/>
          <w:sz w:val="16"/>
          <w:szCs w:val="16"/>
          <w:lang w:val="es-MX"/>
        </w:rPr>
        <w:t xml:space="preserve"> Eugenia Flores, Cesar Leonel </w:t>
      </w:r>
      <w:proofErr w:type="spellStart"/>
      <w:r w:rsidRPr="00EF7615">
        <w:rPr>
          <w:rFonts w:ascii="Verdana" w:hAnsi="Verdana"/>
          <w:sz w:val="16"/>
          <w:szCs w:val="16"/>
          <w:lang w:val="es-MX"/>
        </w:rPr>
        <w:t>Benedith</w:t>
      </w:r>
      <w:proofErr w:type="spellEnd"/>
      <w:r w:rsidRPr="00EF7615">
        <w:rPr>
          <w:rFonts w:ascii="Verdana" w:hAnsi="Verdana"/>
          <w:sz w:val="16"/>
          <w:szCs w:val="16"/>
          <w:lang w:val="es-MX"/>
        </w:rPr>
        <w:t xml:space="preserve">, Juan Pablo Centeno Pitio, y Edson Omar Guzmán García, miembros de la Comunidad Garífuna Triunfo de la Cruz; Doroteo Thomas, Donaldo Velásquez, Lidia Palacios y Edito Suazo, miembros de la Comunidad Garífuna Punta Piedra; Miriam Merced Miranda Chamorro, Representante de las víctimas y miembro de OFRANEH, y Christian Alexander Callejas Escoto, Representante de las víctimas, y c) por la Comisión Interamericana: </w:t>
      </w:r>
      <w:r w:rsidRPr="00EF7615">
        <w:rPr>
          <w:rFonts w:ascii="Verdana" w:hAnsi="Verdana"/>
          <w:bCs/>
          <w:sz w:val="16"/>
          <w:szCs w:val="16"/>
          <w:lang w:val="es-MX"/>
        </w:rPr>
        <w:t xml:space="preserve">Joel Hernández García, Presidente; Marisol Blanchard, Secretaria Ejecutiva Adjunta de Peticiones y Casos, y </w:t>
      </w:r>
      <w:r w:rsidRPr="00EF7615">
        <w:rPr>
          <w:rFonts w:ascii="Verdana" w:hAnsi="Verdana"/>
          <w:sz w:val="16"/>
          <w:szCs w:val="16"/>
          <w:lang w:val="es-MX"/>
        </w:rPr>
        <w:t xml:space="preserve">Karin </w:t>
      </w:r>
      <w:proofErr w:type="spellStart"/>
      <w:r w:rsidRPr="00EF7615">
        <w:rPr>
          <w:rFonts w:ascii="Verdana" w:hAnsi="Verdana"/>
          <w:sz w:val="16"/>
          <w:szCs w:val="16"/>
          <w:lang w:val="es-MX"/>
        </w:rPr>
        <w:t>Mansel</w:t>
      </w:r>
      <w:proofErr w:type="spellEnd"/>
      <w:r w:rsidRPr="00EF7615">
        <w:rPr>
          <w:rFonts w:ascii="Verdana" w:hAnsi="Verdana"/>
          <w:sz w:val="16"/>
          <w:szCs w:val="16"/>
          <w:lang w:val="es-MX"/>
        </w:rPr>
        <w:t xml:space="preserve"> y Carlos J. Elguera, asesores de la Secretaría Ejecutiva.</w:t>
      </w:r>
    </w:p>
  </w:footnote>
  <w:footnote w:id="9">
    <w:p w14:paraId="175AB057" w14:textId="77777777" w:rsidR="00561282" w:rsidRPr="00EF7615" w:rsidRDefault="00561282" w:rsidP="00870E27">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ab/>
        <w:t>Facultad que además se desprende de lo dispuesto en los artículos 33, 62.1, 62.3 y 65 de la Convención Americana y 30 de su Estatuto y se encuentra regulada en el artículo 69 de su Reglamento.</w:t>
      </w:r>
    </w:p>
  </w:footnote>
  <w:footnote w:id="10">
    <w:p w14:paraId="0D2BA9F0" w14:textId="42B905EB" w:rsidR="00561282" w:rsidRPr="00EF7615" w:rsidRDefault="00561282" w:rsidP="00870E27">
      <w:pPr>
        <w:pStyle w:val="Textonotapie"/>
        <w:jc w:val="both"/>
        <w:rPr>
          <w:rFonts w:ascii="Verdana" w:hAnsi="Verdana"/>
          <w:b/>
          <w:color w:val="000000"/>
          <w:sz w:val="16"/>
          <w:szCs w:val="16"/>
          <w:lang w:val="es-MX"/>
        </w:rPr>
      </w:pPr>
      <w:r w:rsidRPr="00EF7615">
        <w:rPr>
          <w:rStyle w:val="Refdenotaalpie"/>
          <w:rFonts w:ascii="Verdana" w:hAnsi="Verdana"/>
          <w:sz w:val="16"/>
          <w:szCs w:val="16"/>
          <w:lang w:val="es-MX"/>
        </w:rPr>
        <w:footnoteRef/>
      </w:r>
      <w:r w:rsidRPr="00EF7615">
        <w:rPr>
          <w:rFonts w:ascii="Verdana" w:hAnsi="Verdana"/>
          <w:i/>
          <w:color w:val="000000"/>
          <w:sz w:val="16"/>
          <w:szCs w:val="16"/>
          <w:lang w:val="es-MX"/>
        </w:rPr>
        <w:tab/>
        <w:t xml:space="preserve">Cfr. Caso Cinco Pensionistas Vs. Perú. Cumplimiento de Sentencia. </w:t>
      </w:r>
      <w:r w:rsidRPr="00EF7615">
        <w:rPr>
          <w:rFonts w:ascii="Verdana" w:hAnsi="Verdana"/>
          <w:color w:val="000000"/>
          <w:sz w:val="16"/>
          <w:szCs w:val="16"/>
          <w:lang w:val="es-MX"/>
        </w:rPr>
        <w:t xml:space="preserve">Resolución de la Corte Interamericana de Derechos Humanos de 17 de noviembre de 2004, Considerando 5, y </w:t>
      </w:r>
      <w:r w:rsidRPr="00306148">
        <w:rPr>
          <w:rFonts w:ascii="Verdana" w:hAnsi="Verdana"/>
          <w:i/>
          <w:iCs/>
          <w:color w:val="000000"/>
          <w:sz w:val="16"/>
          <w:szCs w:val="16"/>
          <w:lang w:val="es-MX"/>
        </w:rPr>
        <w:t xml:space="preserve">Caso Acosta y otros Vs. Nicaragua. </w:t>
      </w:r>
      <w:r w:rsidRPr="00BD076A">
        <w:rPr>
          <w:rFonts w:ascii="Verdana" w:hAnsi="Verdana"/>
          <w:i/>
          <w:color w:val="000000"/>
          <w:sz w:val="16"/>
          <w:szCs w:val="16"/>
          <w:lang w:val="es-MX"/>
        </w:rPr>
        <w:t>Supervisión de Cumplimiento de Sentencia</w:t>
      </w:r>
      <w:r w:rsidRPr="004B392B">
        <w:rPr>
          <w:rFonts w:ascii="Verdana" w:hAnsi="Verdana"/>
          <w:color w:val="000000"/>
          <w:sz w:val="16"/>
          <w:szCs w:val="16"/>
          <w:lang w:val="es-MX"/>
        </w:rPr>
        <w:t>. Resolución de la Corte Interamericana de Derechos Humanos de 16 de marzo de 2021</w:t>
      </w:r>
      <w:r>
        <w:rPr>
          <w:rFonts w:ascii="Verdana" w:hAnsi="Verdana"/>
          <w:color w:val="000000"/>
          <w:sz w:val="16"/>
          <w:szCs w:val="16"/>
          <w:lang w:val="es-MX"/>
        </w:rPr>
        <w:t xml:space="preserve">, Considerando 2. </w:t>
      </w:r>
    </w:p>
  </w:footnote>
  <w:footnote w:id="11">
    <w:p w14:paraId="5F2315BB" w14:textId="5949018B" w:rsidR="00561282" w:rsidRPr="00EF7615" w:rsidRDefault="00561282" w:rsidP="00870E27">
      <w:pPr>
        <w:pStyle w:val="Textonotapie"/>
        <w:jc w:val="both"/>
        <w:rPr>
          <w:rFonts w:ascii="Verdana" w:hAnsi="Verdana"/>
          <w:b/>
          <w:color w:val="000000"/>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ab/>
      </w:r>
      <w:r w:rsidRPr="00EF7615">
        <w:rPr>
          <w:rFonts w:ascii="Verdana" w:hAnsi="Verdana"/>
          <w:i/>
          <w:sz w:val="16"/>
          <w:szCs w:val="16"/>
          <w:lang w:val="es-MX"/>
        </w:rPr>
        <w:t xml:space="preserve">Cfr. Caso </w:t>
      </w:r>
      <w:proofErr w:type="spellStart"/>
      <w:r w:rsidRPr="00EF7615">
        <w:rPr>
          <w:rFonts w:ascii="Verdana" w:hAnsi="Verdana"/>
          <w:i/>
          <w:sz w:val="16"/>
          <w:szCs w:val="16"/>
          <w:lang w:val="es-MX"/>
        </w:rPr>
        <w:t>Ivcher</w:t>
      </w:r>
      <w:proofErr w:type="spellEnd"/>
      <w:r w:rsidRPr="00EF7615">
        <w:rPr>
          <w:rFonts w:ascii="Verdana" w:hAnsi="Verdana"/>
          <w:i/>
          <w:sz w:val="16"/>
          <w:szCs w:val="16"/>
          <w:lang w:val="es-MX"/>
        </w:rPr>
        <w:t xml:space="preserve"> </w:t>
      </w:r>
      <w:proofErr w:type="spellStart"/>
      <w:r w:rsidRPr="00EF7615">
        <w:rPr>
          <w:rFonts w:ascii="Verdana" w:hAnsi="Verdana"/>
          <w:i/>
          <w:sz w:val="16"/>
          <w:szCs w:val="16"/>
          <w:lang w:val="es-MX"/>
        </w:rPr>
        <w:t>Bronstein</w:t>
      </w:r>
      <w:proofErr w:type="spellEnd"/>
      <w:r w:rsidRPr="00EF7615">
        <w:rPr>
          <w:rFonts w:ascii="Verdana" w:hAnsi="Verdana"/>
          <w:i/>
          <w:sz w:val="16"/>
          <w:szCs w:val="16"/>
          <w:lang w:val="es-MX"/>
        </w:rPr>
        <w:t xml:space="preserve"> Vs. Perú. Competencia</w:t>
      </w:r>
      <w:r w:rsidRPr="00EF7615">
        <w:rPr>
          <w:rFonts w:ascii="Verdana" w:hAnsi="Verdana"/>
          <w:sz w:val="16"/>
          <w:szCs w:val="16"/>
          <w:lang w:val="es-MX"/>
        </w:rPr>
        <w:t xml:space="preserve">. Sentencia de la Corte Interamericana de Derechos Humanos de 24 de </w:t>
      </w:r>
      <w:r w:rsidRPr="00EF7615">
        <w:rPr>
          <w:rFonts w:ascii="Verdana" w:hAnsi="Verdana"/>
          <w:color w:val="000000"/>
          <w:sz w:val="16"/>
          <w:szCs w:val="16"/>
          <w:lang w:val="es-MX"/>
        </w:rPr>
        <w:t>septiembre</w:t>
      </w:r>
      <w:r w:rsidRPr="00EF7615">
        <w:rPr>
          <w:rFonts w:ascii="Verdana" w:hAnsi="Verdana"/>
          <w:sz w:val="16"/>
          <w:szCs w:val="16"/>
          <w:lang w:val="es-MX"/>
        </w:rPr>
        <w:t xml:space="preserve"> de 1999. Serie C No. 54, párr. 37, y </w:t>
      </w:r>
      <w:r w:rsidRPr="00306148">
        <w:rPr>
          <w:rFonts w:ascii="Verdana" w:hAnsi="Verdana"/>
          <w:i/>
          <w:iCs/>
          <w:color w:val="000000"/>
          <w:sz w:val="16"/>
          <w:szCs w:val="16"/>
          <w:lang w:val="es-MX"/>
        </w:rPr>
        <w:t xml:space="preserve">Caso Acosta y otros Vs. Nicaragua. </w:t>
      </w:r>
      <w:r w:rsidRPr="004B392B">
        <w:rPr>
          <w:rFonts w:ascii="Verdana" w:hAnsi="Verdana"/>
          <w:i/>
          <w:color w:val="000000"/>
          <w:sz w:val="16"/>
          <w:szCs w:val="16"/>
          <w:lang w:val="es-MX"/>
        </w:rPr>
        <w:t>Supervisión de Cumplimiento de Sentencia</w:t>
      </w:r>
      <w:r w:rsidRPr="00644FE7">
        <w:rPr>
          <w:rFonts w:ascii="Verdana" w:hAnsi="Verdana"/>
          <w:color w:val="000000"/>
          <w:sz w:val="16"/>
          <w:szCs w:val="16"/>
          <w:lang w:val="es-MX"/>
        </w:rPr>
        <w:t>. Resolución de la Corte Interamericana de Derechos Humanos de 16 de marzo de 2021</w:t>
      </w:r>
      <w:r>
        <w:rPr>
          <w:rFonts w:ascii="Verdana" w:hAnsi="Verdana"/>
          <w:color w:val="000000"/>
          <w:sz w:val="16"/>
          <w:szCs w:val="16"/>
          <w:lang w:val="es-MX"/>
        </w:rPr>
        <w:t>, Considerando 2</w:t>
      </w:r>
      <w:r w:rsidRPr="00EF7615">
        <w:rPr>
          <w:rStyle w:val="Textoennegrita"/>
          <w:rFonts w:ascii="Verdana" w:hAnsi="Verdana"/>
          <w:b w:val="0"/>
          <w:color w:val="000000"/>
          <w:sz w:val="16"/>
          <w:szCs w:val="16"/>
          <w:shd w:val="clear" w:color="auto" w:fill="FFFFFF"/>
          <w:lang w:val="es-MX"/>
        </w:rPr>
        <w:t xml:space="preserve">. </w:t>
      </w:r>
    </w:p>
  </w:footnote>
  <w:footnote w:id="12">
    <w:p w14:paraId="7ADA5550" w14:textId="75F752CF" w:rsidR="00561282" w:rsidRPr="00A84D20" w:rsidRDefault="00561282" w:rsidP="00E7235A">
      <w:pPr>
        <w:pStyle w:val="Textonotapie"/>
        <w:jc w:val="both"/>
        <w:rPr>
          <w:rFonts w:ascii="Verdana" w:hAnsi="Verdana"/>
          <w:sz w:val="16"/>
          <w:szCs w:val="16"/>
          <w:lang w:val="es-CR"/>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r>
      <w:r w:rsidRPr="00A84D20">
        <w:rPr>
          <w:rFonts w:ascii="Verdana" w:hAnsi="Verdana"/>
          <w:i/>
          <w:iCs/>
          <w:sz w:val="16"/>
          <w:szCs w:val="16"/>
          <w:lang w:val="es-CR"/>
        </w:rPr>
        <w:t>Cfr.</w:t>
      </w:r>
      <w:r w:rsidRPr="00A84D20">
        <w:rPr>
          <w:rFonts w:ascii="Verdana" w:hAnsi="Verdana"/>
          <w:iCs/>
          <w:sz w:val="16"/>
          <w:szCs w:val="16"/>
          <w:lang w:val="es-CR"/>
        </w:rPr>
        <w:t xml:space="preserve"> </w:t>
      </w:r>
      <w:r w:rsidRPr="00A84D20">
        <w:rPr>
          <w:rFonts w:ascii="Verdana" w:hAnsi="Verdana"/>
          <w:i/>
          <w:iCs/>
          <w:sz w:val="16"/>
          <w:szCs w:val="16"/>
          <w:lang w:val="es-CR"/>
        </w:rPr>
        <w:t>Asunto Álvarez y otros.</w:t>
      </w:r>
      <w:r w:rsidRPr="00A84D20">
        <w:rPr>
          <w:rFonts w:ascii="Verdana" w:hAnsi="Verdana"/>
          <w:iCs/>
          <w:sz w:val="16"/>
          <w:szCs w:val="16"/>
          <w:lang w:val="es-CR"/>
        </w:rPr>
        <w:t xml:space="preserve"> </w:t>
      </w:r>
      <w:r w:rsidRPr="00A84D20">
        <w:rPr>
          <w:rFonts w:ascii="Verdana" w:hAnsi="Verdana"/>
          <w:i/>
          <w:iCs/>
          <w:sz w:val="16"/>
          <w:szCs w:val="16"/>
          <w:lang w:val="es-CR"/>
        </w:rPr>
        <w:t>Medidas Provisionales respecto de Colombia</w:t>
      </w:r>
      <w:r w:rsidRPr="00A84D20">
        <w:rPr>
          <w:rFonts w:ascii="Verdana" w:hAnsi="Verdana"/>
          <w:i/>
          <w:sz w:val="16"/>
          <w:szCs w:val="16"/>
          <w:lang w:val="es-CR"/>
        </w:rPr>
        <w:t>.</w:t>
      </w:r>
      <w:r w:rsidRPr="00A84D20">
        <w:rPr>
          <w:rFonts w:ascii="Verdana" w:hAnsi="Verdana"/>
          <w:sz w:val="16"/>
          <w:szCs w:val="16"/>
          <w:lang w:val="es-CR"/>
        </w:rPr>
        <w:t xml:space="preserve"> Resolución de la Corte de 22 de mayo de 2013, </w:t>
      </w:r>
      <w:r w:rsidRPr="00EF7615">
        <w:rPr>
          <w:rFonts w:ascii="Verdana" w:hAnsi="Verdana"/>
          <w:color w:val="000000"/>
          <w:sz w:val="16"/>
          <w:szCs w:val="16"/>
          <w:lang w:val="es-MX"/>
        </w:rPr>
        <w:t>Considerando</w:t>
      </w:r>
      <w:r w:rsidRPr="00A84D20">
        <w:rPr>
          <w:rFonts w:ascii="Verdana" w:hAnsi="Verdana"/>
          <w:sz w:val="16"/>
          <w:szCs w:val="16"/>
          <w:lang w:val="es-CR"/>
        </w:rPr>
        <w:t xml:space="preserve"> 2, y </w:t>
      </w:r>
      <w:r w:rsidRPr="004B392B">
        <w:rPr>
          <w:rFonts w:ascii="Verdana" w:hAnsi="Verdana"/>
          <w:i/>
          <w:iCs/>
          <w:sz w:val="16"/>
          <w:szCs w:val="16"/>
          <w:lang w:val="es-CR"/>
        </w:rPr>
        <w:t>Asunto Castro Rodríguez respecto de México</w:t>
      </w:r>
      <w:r w:rsidRPr="00AF0BA9">
        <w:rPr>
          <w:rFonts w:ascii="Verdana" w:hAnsi="Verdana"/>
          <w:sz w:val="16"/>
          <w:szCs w:val="16"/>
          <w:lang w:val="es-CR"/>
        </w:rPr>
        <w:t>. Medidas Provisionales. Resolución de la Corte Interamericana de Derechos Humanos de 18 de noviembre de 2020</w:t>
      </w:r>
      <w:r w:rsidRPr="00A84D20">
        <w:rPr>
          <w:rFonts w:ascii="Verdana" w:hAnsi="Verdana"/>
          <w:sz w:val="16"/>
          <w:szCs w:val="16"/>
          <w:lang w:val="es-CR"/>
        </w:rPr>
        <w:t>, Considerando 3.</w:t>
      </w:r>
    </w:p>
  </w:footnote>
  <w:footnote w:id="13">
    <w:p w14:paraId="2507D87F" w14:textId="03163198" w:rsidR="00561282" w:rsidRPr="00A84D20" w:rsidRDefault="00561282" w:rsidP="00E7235A">
      <w:pPr>
        <w:pStyle w:val="Textonotapie"/>
        <w:jc w:val="both"/>
        <w:rPr>
          <w:rFonts w:ascii="Verdana" w:hAnsi="Verdana"/>
          <w:sz w:val="16"/>
          <w:szCs w:val="16"/>
          <w:lang w:val="es-CR"/>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r>
      <w:r w:rsidRPr="00A84D20">
        <w:rPr>
          <w:rFonts w:ascii="Verdana" w:hAnsi="Verdana"/>
          <w:i/>
          <w:iCs/>
          <w:sz w:val="16"/>
          <w:szCs w:val="16"/>
          <w:lang w:val="es-CR"/>
        </w:rPr>
        <w:t>Cfr. Asunto Gladys Lanza Ochoa</w:t>
      </w:r>
      <w:r w:rsidRPr="00A84D20">
        <w:rPr>
          <w:rFonts w:ascii="Verdana" w:hAnsi="Verdana"/>
          <w:i/>
          <w:sz w:val="16"/>
          <w:szCs w:val="16"/>
          <w:lang w:val="es-CR"/>
        </w:rPr>
        <w:t>.</w:t>
      </w:r>
      <w:r w:rsidRPr="00A84D20">
        <w:rPr>
          <w:rFonts w:ascii="Verdana" w:hAnsi="Verdana"/>
          <w:sz w:val="16"/>
          <w:szCs w:val="16"/>
          <w:lang w:val="es-CR"/>
        </w:rPr>
        <w:t xml:space="preserve"> </w:t>
      </w:r>
      <w:r w:rsidRPr="00A84D20">
        <w:rPr>
          <w:rFonts w:ascii="Verdana" w:hAnsi="Verdana"/>
          <w:i/>
          <w:iCs/>
          <w:sz w:val="16"/>
          <w:szCs w:val="16"/>
          <w:lang w:val="es-CR"/>
        </w:rPr>
        <w:t>Medidas Provisionales respecto de Honduras</w:t>
      </w:r>
      <w:r w:rsidRPr="00A84D20">
        <w:rPr>
          <w:rFonts w:ascii="Verdana" w:hAnsi="Verdana"/>
          <w:i/>
          <w:sz w:val="16"/>
          <w:szCs w:val="16"/>
          <w:lang w:val="es-CR"/>
        </w:rPr>
        <w:t>.</w:t>
      </w:r>
      <w:r w:rsidRPr="00A84D20">
        <w:rPr>
          <w:rFonts w:ascii="Verdana" w:hAnsi="Verdana"/>
          <w:sz w:val="16"/>
          <w:szCs w:val="16"/>
          <w:lang w:val="es-CR"/>
        </w:rPr>
        <w:t xml:space="preserve"> Resolución de la Corte de 23 de noviembre </w:t>
      </w:r>
      <w:r w:rsidRPr="00EF7615">
        <w:rPr>
          <w:rFonts w:ascii="Verdana" w:hAnsi="Verdana"/>
          <w:color w:val="000000"/>
          <w:sz w:val="16"/>
          <w:szCs w:val="16"/>
          <w:lang w:val="es-MX"/>
        </w:rPr>
        <w:t>de</w:t>
      </w:r>
      <w:r w:rsidRPr="00A84D20">
        <w:rPr>
          <w:rFonts w:ascii="Verdana" w:hAnsi="Verdana"/>
          <w:sz w:val="16"/>
          <w:szCs w:val="16"/>
          <w:lang w:val="es-CR"/>
        </w:rPr>
        <w:t xml:space="preserve"> 2016, Considerando 3, y </w:t>
      </w:r>
      <w:r w:rsidRPr="00DB5050">
        <w:rPr>
          <w:rFonts w:ascii="Verdana" w:hAnsi="Verdana"/>
          <w:i/>
          <w:iCs/>
          <w:sz w:val="16"/>
          <w:szCs w:val="16"/>
          <w:lang w:val="es-CR"/>
        </w:rPr>
        <w:t>Asunto Castro Rodríguez respecto de México</w:t>
      </w:r>
      <w:r w:rsidRPr="00A84D20">
        <w:rPr>
          <w:rFonts w:ascii="Verdana" w:hAnsi="Verdana"/>
          <w:i/>
          <w:sz w:val="16"/>
          <w:szCs w:val="16"/>
          <w:lang w:val="es-CR"/>
        </w:rPr>
        <w:t>,</w:t>
      </w:r>
      <w:r w:rsidRPr="00A84D20">
        <w:rPr>
          <w:rFonts w:ascii="Verdana" w:hAnsi="Verdana"/>
          <w:sz w:val="16"/>
          <w:szCs w:val="16"/>
          <w:lang w:val="es-CR"/>
        </w:rPr>
        <w:t xml:space="preserve"> </w:t>
      </w:r>
      <w:r w:rsidRPr="00DB5050">
        <w:rPr>
          <w:rFonts w:ascii="Verdana" w:hAnsi="Verdana"/>
          <w:i/>
          <w:iCs/>
          <w:sz w:val="16"/>
          <w:szCs w:val="16"/>
          <w:lang w:val="es-CR"/>
        </w:rPr>
        <w:t xml:space="preserve">supra, </w:t>
      </w:r>
      <w:r w:rsidRPr="00A84D20">
        <w:rPr>
          <w:rFonts w:ascii="Verdana" w:hAnsi="Verdana"/>
          <w:sz w:val="16"/>
          <w:szCs w:val="16"/>
          <w:lang w:val="es-CR"/>
        </w:rPr>
        <w:t xml:space="preserve">Considerando </w:t>
      </w:r>
      <w:r>
        <w:rPr>
          <w:rFonts w:ascii="Verdana" w:hAnsi="Verdana"/>
          <w:sz w:val="16"/>
          <w:szCs w:val="16"/>
          <w:lang w:val="es-CR"/>
        </w:rPr>
        <w:t>3</w:t>
      </w:r>
      <w:r w:rsidRPr="00A84D20">
        <w:rPr>
          <w:rFonts w:ascii="Verdana" w:hAnsi="Verdana"/>
          <w:sz w:val="16"/>
          <w:szCs w:val="16"/>
          <w:lang w:val="es-CR"/>
        </w:rPr>
        <w:t>.</w:t>
      </w:r>
    </w:p>
  </w:footnote>
  <w:footnote w:id="14">
    <w:p w14:paraId="3909527C" w14:textId="51D1B785" w:rsidR="00561282" w:rsidRPr="00EF7615" w:rsidRDefault="00561282" w:rsidP="00E7235A">
      <w:pPr>
        <w:pStyle w:val="Textonotapie"/>
        <w:jc w:val="both"/>
        <w:rPr>
          <w:rFonts w:ascii="Verdana" w:hAnsi="Verdana"/>
          <w:sz w:val="16"/>
          <w:szCs w:val="16"/>
          <w:lang w:val="es-ES"/>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EF7615">
        <w:rPr>
          <w:rFonts w:ascii="Verdana" w:hAnsi="Verdana"/>
          <w:sz w:val="16"/>
          <w:szCs w:val="16"/>
          <w:lang w:val="es-ES"/>
        </w:rPr>
        <w:tab/>
      </w:r>
      <w:r w:rsidRPr="00EF7615">
        <w:rPr>
          <w:rFonts w:ascii="Verdana" w:hAnsi="Verdana" w:cs="Verdana"/>
          <w:i/>
          <w:iCs/>
          <w:color w:val="000000"/>
          <w:sz w:val="16"/>
          <w:szCs w:val="16"/>
          <w:lang w:val="es-CR"/>
        </w:rPr>
        <w:t xml:space="preserve">Cfr. </w:t>
      </w:r>
      <w:r>
        <w:rPr>
          <w:rFonts w:ascii="Verdana" w:hAnsi="Verdana" w:cs="Verdana"/>
          <w:i/>
          <w:iCs/>
          <w:color w:val="000000"/>
          <w:sz w:val="16"/>
          <w:szCs w:val="16"/>
          <w:lang w:val="es-CR"/>
        </w:rPr>
        <w:t xml:space="preserve">Caso </w:t>
      </w:r>
      <w:r w:rsidRPr="00EF7615">
        <w:rPr>
          <w:rFonts w:ascii="Verdana" w:hAnsi="Verdana" w:cs="Verdana"/>
          <w:i/>
          <w:iCs/>
          <w:color w:val="000000"/>
          <w:sz w:val="16"/>
          <w:szCs w:val="16"/>
          <w:lang w:val="es-CR"/>
        </w:rPr>
        <w:t>Comunidad Garífuna de Punta Piedra y sus miembros Vs. Honduras</w:t>
      </w:r>
      <w:r w:rsidRPr="00EF7615">
        <w:rPr>
          <w:rFonts w:ascii="Verdana" w:hAnsi="Verdana" w:cs="Verdana"/>
          <w:color w:val="000000"/>
          <w:sz w:val="16"/>
          <w:szCs w:val="16"/>
          <w:lang w:val="es-CR"/>
        </w:rPr>
        <w:t xml:space="preserve">, </w:t>
      </w:r>
      <w:proofErr w:type="spellStart"/>
      <w:r w:rsidRPr="00EF7615">
        <w:rPr>
          <w:rFonts w:ascii="Verdana" w:hAnsi="Verdana" w:cs="Verdana"/>
          <w:color w:val="000000"/>
          <w:sz w:val="16"/>
          <w:szCs w:val="16"/>
          <w:lang w:val="es-CR"/>
        </w:rPr>
        <w:t>párrs</w:t>
      </w:r>
      <w:proofErr w:type="spellEnd"/>
      <w:r w:rsidRPr="00EF7615">
        <w:rPr>
          <w:rFonts w:ascii="Verdana" w:hAnsi="Verdana" w:cs="Verdana"/>
          <w:color w:val="000000"/>
          <w:sz w:val="16"/>
          <w:szCs w:val="16"/>
          <w:lang w:val="es-CR"/>
        </w:rPr>
        <w:t xml:space="preserve">. 260 a 280, 352 a 353, y punto resolutivo 17, y </w:t>
      </w:r>
      <w:r w:rsidRPr="00DB5050">
        <w:rPr>
          <w:rFonts w:ascii="Verdana" w:hAnsi="Verdana" w:cs="Verdana"/>
          <w:i/>
          <w:iCs/>
          <w:color w:val="000000"/>
          <w:sz w:val="16"/>
          <w:szCs w:val="16"/>
          <w:lang w:val="es-CR"/>
        </w:rPr>
        <w:t xml:space="preserve">Caso </w:t>
      </w:r>
      <w:r w:rsidRPr="00EF7615">
        <w:rPr>
          <w:rFonts w:ascii="Verdana" w:hAnsi="Verdana" w:cs="Verdana"/>
          <w:i/>
          <w:iCs/>
          <w:color w:val="000000"/>
          <w:sz w:val="16"/>
          <w:szCs w:val="16"/>
          <w:lang w:val="es-CR"/>
        </w:rPr>
        <w:t>Comunidad Garífuna Triunfo de la Cruz y sus miembros Vs. Honduras</w:t>
      </w:r>
      <w:r w:rsidRPr="00EF7615">
        <w:rPr>
          <w:rFonts w:ascii="Verdana" w:hAnsi="Verdana" w:cs="Verdana"/>
          <w:color w:val="000000"/>
          <w:sz w:val="16"/>
          <w:szCs w:val="16"/>
          <w:lang w:val="es-CR"/>
        </w:rPr>
        <w:t xml:space="preserve">, </w:t>
      </w:r>
      <w:proofErr w:type="spellStart"/>
      <w:r w:rsidRPr="00EF7615">
        <w:rPr>
          <w:rFonts w:ascii="Verdana" w:hAnsi="Verdana" w:cs="Verdana"/>
          <w:color w:val="000000"/>
          <w:sz w:val="16"/>
          <w:szCs w:val="16"/>
          <w:lang w:val="es-CR"/>
        </w:rPr>
        <w:t>párrs</w:t>
      </w:r>
      <w:proofErr w:type="spellEnd"/>
      <w:r w:rsidRPr="00EF7615">
        <w:rPr>
          <w:rFonts w:ascii="Verdana" w:hAnsi="Verdana" w:cs="Verdana"/>
          <w:color w:val="000000"/>
          <w:sz w:val="16"/>
          <w:szCs w:val="16"/>
          <w:lang w:val="es-CR"/>
        </w:rPr>
        <w:t xml:space="preserve">. 206 a 214, 266 a 267 y punto </w:t>
      </w:r>
      <w:r w:rsidRPr="00EF7615">
        <w:rPr>
          <w:rFonts w:ascii="Verdana" w:hAnsi="Verdana"/>
          <w:color w:val="000000"/>
          <w:sz w:val="16"/>
          <w:szCs w:val="16"/>
          <w:lang w:val="es-MX"/>
        </w:rPr>
        <w:t>resolutivo</w:t>
      </w:r>
      <w:r w:rsidRPr="00EF7615">
        <w:rPr>
          <w:rFonts w:ascii="Verdana" w:hAnsi="Verdana" w:cs="Verdana"/>
          <w:color w:val="000000"/>
          <w:sz w:val="16"/>
          <w:szCs w:val="16"/>
          <w:lang w:val="es-CR"/>
        </w:rPr>
        <w:t xml:space="preserve"> 8. </w:t>
      </w:r>
    </w:p>
  </w:footnote>
  <w:footnote w:id="15">
    <w:p w14:paraId="35AE2A6D" w14:textId="327AD04A" w:rsidR="00561282" w:rsidRPr="00101DD9" w:rsidRDefault="00561282" w:rsidP="00E7235A">
      <w:pPr>
        <w:pStyle w:val="Textonotapie"/>
        <w:jc w:val="both"/>
        <w:rPr>
          <w:rFonts w:ascii="Verdana" w:hAnsi="Verdana"/>
          <w:sz w:val="16"/>
          <w:szCs w:val="16"/>
          <w:lang w:val="es-CR"/>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r>
      <w:r w:rsidRPr="00A84D20">
        <w:rPr>
          <w:rFonts w:ascii="Verdana" w:hAnsi="Verdana"/>
          <w:i/>
          <w:sz w:val="16"/>
          <w:szCs w:val="16"/>
          <w:lang w:val="es-CR"/>
        </w:rPr>
        <w:t xml:space="preserve">Cfr. </w:t>
      </w:r>
      <w:r w:rsidRPr="00AF0BA9">
        <w:rPr>
          <w:rFonts w:ascii="Verdana" w:hAnsi="Verdana"/>
          <w:i/>
          <w:sz w:val="16"/>
          <w:szCs w:val="16"/>
          <w:lang w:val="es-CR"/>
        </w:rPr>
        <w:t>Caso González y otras (“Campo Algodonero”) Vs. México. Excepción Preliminar, Fondo, Reparaciones y Costas</w:t>
      </w:r>
      <w:r w:rsidRPr="004B392B">
        <w:rPr>
          <w:rFonts w:ascii="Verdana" w:hAnsi="Verdana"/>
          <w:iCs/>
          <w:sz w:val="16"/>
          <w:szCs w:val="16"/>
          <w:lang w:val="es-CR"/>
        </w:rPr>
        <w:t>. Sentencia de 16 de noviembre de 2009. Serie C No. 205</w:t>
      </w:r>
      <w:r w:rsidRPr="00440B6C">
        <w:rPr>
          <w:rFonts w:ascii="Verdana" w:hAnsi="Verdana"/>
          <w:iCs/>
          <w:sz w:val="16"/>
          <w:szCs w:val="16"/>
          <w:lang w:val="es-CR"/>
        </w:rPr>
        <w:t>,</w:t>
      </w:r>
      <w:r w:rsidRPr="00533F1D">
        <w:rPr>
          <w:rFonts w:ascii="Verdana" w:hAnsi="Verdana"/>
          <w:sz w:val="16"/>
          <w:szCs w:val="16"/>
          <w:lang w:val="es-CR"/>
        </w:rPr>
        <w:t xml:space="preserve"> párr. 283, y </w:t>
      </w:r>
      <w:r w:rsidRPr="004B392B">
        <w:rPr>
          <w:rFonts w:ascii="Verdana" w:hAnsi="Verdana"/>
          <w:i/>
          <w:iCs/>
          <w:sz w:val="16"/>
          <w:szCs w:val="16"/>
          <w:lang w:val="es-CR"/>
        </w:rPr>
        <w:t>Caso Véliz Franco y otros Vs. Guatemala. Excepciones Preliminares, Fondo, Reparaciones y Costas</w:t>
      </w:r>
      <w:r w:rsidRPr="00AF0BA9">
        <w:rPr>
          <w:rFonts w:ascii="Verdana" w:hAnsi="Verdana"/>
          <w:sz w:val="16"/>
          <w:szCs w:val="16"/>
          <w:lang w:val="es-CR"/>
        </w:rPr>
        <w:t>. Sentencia de 19 de mayo de 2014. Serie C No. 277</w:t>
      </w:r>
      <w:r w:rsidRPr="00101DD9">
        <w:rPr>
          <w:rFonts w:ascii="Verdana" w:hAnsi="Verdana"/>
          <w:i/>
          <w:sz w:val="16"/>
          <w:szCs w:val="16"/>
          <w:lang w:val="es-CR"/>
        </w:rPr>
        <w:t xml:space="preserve">, </w:t>
      </w:r>
      <w:r w:rsidRPr="00101DD9">
        <w:rPr>
          <w:rFonts w:ascii="Verdana" w:hAnsi="Verdana"/>
          <w:sz w:val="16"/>
          <w:szCs w:val="16"/>
          <w:lang w:val="es-CR"/>
        </w:rPr>
        <w:t>párr. 141.</w:t>
      </w:r>
    </w:p>
  </w:footnote>
  <w:footnote w:id="16">
    <w:p w14:paraId="426E1404" w14:textId="33288500" w:rsidR="00561282" w:rsidRPr="003A0D3B" w:rsidRDefault="00561282" w:rsidP="00E7235A">
      <w:pPr>
        <w:pStyle w:val="Textonotapie"/>
        <w:jc w:val="both"/>
        <w:rPr>
          <w:rFonts w:ascii="Verdana" w:hAnsi="Verdana"/>
          <w:sz w:val="16"/>
          <w:szCs w:val="16"/>
          <w:lang w:val="es-MX"/>
        </w:rPr>
      </w:pPr>
      <w:r w:rsidRPr="003A0D3B">
        <w:rPr>
          <w:rStyle w:val="Refdenotaalpie"/>
          <w:rFonts w:ascii="Verdana" w:hAnsi="Verdana"/>
          <w:sz w:val="16"/>
          <w:szCs w:val="16"/>
          <w:lang w:val="es-MX"/>
        </w:rPr>
        <w:footnoteRef/>
      </w:r>
      <w:r w:rsidRPr="003A0D3B">
        <w:rPr>
          <w:rFonts w:ascii="Verdana" w:hAnsi="Verdana"/>
          <w:sz w:val="16"/>
          <w:szCs w:val="16"/>
          <w:lang w:val="es-MX"/>
        </w:rPr>
        <w:t xml:space="preserve"> </w:t>
      </w:r>
      <w:r w:rsidRPr="003A0D3B">
        <w:rPr>
          <w:rFonts w:ascii="Verdana" w:hAnsi="Verdana"/>
          <w:sz w:val="16"/>
          <w:szCs w:val="16"/>
          <w:lang w:val="es-MX"/>
        </w:rPr>
        <w:tab/>
        <w:t>En el punto resolutivo 10 y en los párrafos 322 a 326 de la Sentencia se ordenó: “[g]</w:t>
      </w:r>
      <w:proofErr w:type="spellStart"/>
      <w:r w:rsidRPr="003A0D3B">
        <w:rPr>
          <w:rFonts w:ascii="Verdana" w:hAnsi="Verdana"/>
          <w:sz w:val="16"/>
          <w:szCs w:val="16"/>
          <w:lang w:val="es-MX"/>
        </w:rPr>
        <w:t>arantizar</w:t>
      </w:r>
      <w:proofErr w:type="spellEnd"/>
      <w:r w:rsidRPr="003A0D3B">
        <w:rPr>
          <w:rFonts w:ascii="Verdana" w:hAnsi="Verdana"/>
          <w:sz w:val="16"/>
          <w:szCs w:val="16"/>
          <w:lang w:val="es-MX"/>
        </w:rPr>
        <w:t xml:space="preserve"> el uso y goce, a través del saneamiento, de las tierras tradicionales que fueron tituladas por el Estado a favor de la Comunidad Garífuna de Punta Piedra, llevando a cabo dicha obligación de oficio y con extrema diligencia”. La Corte determinó que “[s]i por motivos objetivos y fundamentados se impidiera el reintegro total o parcial del territorio ocupado por terceros”, el Estado debía “de manera excepcional, ofrecer a la Comunidad de Punta Piedra tierras alternativas, de la misma o mayor calidad física, las cuales deberán de ser contiguas a su territorio titulado, libre de cualquier vicio material o formal y debidamente tituladas en su favor”. Dichas tierras debían ser “electas de manera consensuada con la Comunidad de Punta Piedra, conforme a sus propias formas de consulta y decisión, valores, usos y costumbres”.</w:t>
      </w:r>
    </w:p>
  </w:footnote>
  <w:footnote w:id="17">
    <w:p w14:paraId="7A06F0D6" w14:textId="54C09B7F" w:rsidR="00561282" w:rsidRPr="008F716B" w:rsidRDefault="00561282" w:rsidP="00AD5EF7">
      <w:pPr>
        <w:pStyle w:val="Textonotapie"/>
        <w:jc w:val="both"/>
        <w:rPr>
          <w:rFonts w:ascii="Verdana" w:hAnsi="Verdana"/>
          <w:sz w:val="16"/>
          <w:szCs w:val="16"/>
          <w:lang w:val="es-CR"/>
        </w:rPr>
      </w:pPr>
      <w:r w:rsidRPr="00AD5EF7">
        <w:rPr>
          <w:rStyle w:val="Refdenotaalpie"/>
          <w:rFonts w:ascii="Verdana" w:hAnsi="Verdana"/>
          <w:sz w:val="16"/>
          <w:szCs w:val="16"/>
        </w:rPr>
        <w:footnoteRef/>
      </w:r>
      <w:r w:rsidRPr="00AD5EF7">
        <w:rPr>
          <w:rFonts w:ascii="Verdana" w:hAnsi="Verdana"/>
          <w:sz w:val="16"/>
          <w:szCs w:val="16"/>
          <w:lang w:val="es-CR"/>
        </w:rPr>
        <w:t xml:space="preserve"> </w:t>
      </w:r>
      <w:r w:rsidRPr="00AD5EF7">
        <w:rPr>
          <w:rFonts w:ascii="Verdana" w:hAnsi="Verdana"/>
          <w:sz w:val="16"/>
          <w:szCs w:val="16"/>
          <w:lang w:val="es-CR"/>
        </w:rPr>
        <w:tab/>
      </w:r>
      <w:r w:rsidRPr="00AD5EF7">
        <w:rPr>
          <w:rFonts w:ascii="Verdana" w:hAnsi="Verdana"/>
          <w:i/>
          <w:sz w:val="16"/>
          <w:szCs w:val="16"/>
          <w:lang w:val="es-CR"/>
        </w:rPr>
        <w:t xml:space="preserve">Caso Comunidad Garífuna de Punta Piedra y sus miembros Vs. Honduras. Supervisión de cumplimiento de Sentencia. </w:t>
      </w:r>
      <w:r w:rsidRPr="00AD5EF7">
        <w:rPr>
          <w:rFonts w:ascii="Verdana" w:hAnsi="Verdana"/>
          <w:sz w:val="16"/>
          <w:szCs w:val="16"/>
          <w:lang w:val="es-CR"/>
        </w:rPr>
        <w:t xml:space="preserve">Resolución de la Corte Interamericana de Derechos Humanos de 14 de mayo de 2019, Considerandos 6 a 15. </w:t>
      </w:r>
    </w:p>
  </w:footnote>
  <w:footnote w:id="18">
    <w:p w14:paraId="7FCED464" w14:textId="743E93BC" w:rsidR="00561282" w:rsidRPr="003A0D3B" w:rsidRDefault="00561282" w:rsidP="003A0D3B">
      <w:pPr>
        <w:pStyle w:val="Textonotapie"/>
        <w:jc w:val="both"/>
        <w:rPr>
          <w:rFonts w:ascii="Verdana" w:hAnsi="Verdana"/>
          <w:sz w:val="16"/>
          <w:szCs w:val="16"/>
          <w:lang w:val="es-CR"/>
        </w:rPr>
      </w:pPr>
      <w:r w:rsidRPr="003A0D3B">
        <w:rPr>
          <w:rStyle w:val="Refdenotaalpie"/>
          <w:rFonts w:ascii="Verdana" w:hAnsi="Verdana"/>
          <w:sz w:val="16"/>
          <w:szCs w:val="16"/>
        </w:rPr>
        <w:footnoteRef/>
      </w:r>
      <w:r w:rsidRPr="003A0D3B">
        <w:rPr>
          <w:rFonts w:ascii="Verdana" w:hAnsi="Verdana"/>
          <w:sz w:val="16"/>
          <w:szCs w:val="16"/>
          <w:lang w:val="es-CR"/>
        </w:rPr>
        <w:t xml:space="preserve"> </w:t>
      </w:r>
      <w:r w:rsidRPr="003A0D3B">
        <w:rPr>
          <w:rFonts w:ascii="Verdana" w:hAnsi="Verdana"/>
          <w:sz w:val="16"/>
          <w:szCs w:val="16"/>
          <w:lang w:val="es-CR"/>
        </w:rPr>
        <w:tab/>
        <w:t>E</w:t>
      </w:r>
      <w:r w:rsidRPr="003A0D3B">
        <w:rPr>
          <w:rFonts w:ascii="Verdana" w:hAnsi="Verdana"/>
          <w:sz w:val="16"/>
          <w:szCs w:val="16"/>
          <w:lang w:val="es-MX"/>
        </w:rPr>
        <w:t>n el punto resolutivo sexto y en el párrafo 259 de la Sentencia se dispuso que el Estado debía, dentro del plazo de dos años contados desde de su notificación, proceder a demarcar las tierras sobre las cuales ha sido otorgada la propiedad colectiva a la Comunidad Triunfo de la Cruz en dominio pleno y en garantía de ocupación, con su plena participación, y tomando en consideración el derecho consuetudinario, usos y costumbres de la Comunidad</w:t>
      </w:r>
      <w:r>
        <w:rPr>
          <w:rFonts w:ascii="Verdana" w:hAnsi="Verdana"/>
          <w:sz w:val="16"/>
          <w:szCs w:val="16"/>
          <w:lang w:val="es-MX"/>
        </w:rPr>
        <w:t>.</w:t>
      </w:r>
    </w:p>
  </w:footnote>
  <w:footnote w:id="19">
    <w:p w14:paraId="728C5428" w14:textId="5B56F099" w:rsidR="00561282" w:rsidRPr="00E81E33" w:rsidRDefault="00561282" w:rsidP="003A0D3B">
      <w:pPr>
        <w:pStyle w:val="Textonotapie"/>
        <w:jc w:val="both"/>
        <w:rPr>
          <w:rFonts w:ascii="Verdana" w:hAnsi="Verdana"/>
          <w:sz w:val="16"/>
          <w:szCs w:val="16"/>
          <w:lang w:val="es-MX"/>
        </w:rPr>
      </w:pPr>
      <w:r w:rsidRPr="00E81E33">
        <w:rPr>
          <w:rStyle w:val="Refdenotaalpie"/>
          <w:rFonts w:ascii="Verdana" w:hAnsi="Verdana"/>
          <w:sz w:val="16"/>
          <w:szCs w:val="16"/>
          <w:lang w:val="es-MX"/>
        </w:rPr>
        <w:footnoteRef/>
      </w:r>
      <w:r w:rsidRPr="00E81E33">
        <w:rPr>
          <w:rFonts w:ascii="Verdana" w:hAnsi="Verdana"/>
          <w:sz w:val="16"/>
          <w:szCs w:val="16"/>
          <w:lang w:val="es-MX"/>
        </w:rPr>
        <w:t xml:space="preserve"> </w:t>
      </w:r>
      <w:r w:rsidRPr="00E81E33">
        <w:rPr>
          <w:rFonts w:ascii="Verdana" w:hAnsi="Verdana"/>
          <w:sz w:val="16"/>
          <w:szCs w:val="16"/>
          <w:lang w:val="es-MX"/>
        </w:rPr>
        <w:tab/>
        <w:t xml:space="preserve">En el punto resolutivo séptimo y en los párrafos 260 a 264, la Corte dispuso que el Estado debía, en el plazo de dos años, otorgar a la Comunidad Triunfo de la Cruz un título de propiedad colectiva debidamente delimitado y demarcado sobre el área denominada “Lote A1”. En el párrafo 262, la Corte dispuso que “[e]n caso de que, por motivos debidamente fundados, el Estado considere que no es posible llevar a cabo la </w:t>
      </w:r>
      <w:proofErr w:type="spellStart"/>
      <w:r w:rsidRPr="00E81E33">
        <w:rPr>
          <w:rFonts w:ascii="Verdana" w:hAnsi="Verdana"/>
          <w:sz w:val="16"/>
          <w:szCs w:val="16"/>
          <w:lang w:val="es-MX"/>
        </w:rPr>
        <w:t>titulación</w:t>
      </w:r>
      <w:proofErr w:type="spellEnd"/>
      <w:r w:rsidRPr="00E81E33">
        <w:rPr>
          <w:rFonts w:ascii="Verdana" w:hAnsi="Verdana"/>
          <w:sz w:val="16"/>
          <w:szCs w:val="16"/>
          <w:lang w:val="es-MX"/>
        </w:rPr>
        <w:t xml:space="preserve"> de todo o parte del lote A1 […], </w:t>
      </w:r>
      <w:proofErr w:type="spellStart"/>
      <w:r w:rsidRPr="00E81E33">
        <w:rPr>
          <w:rFonts w:ascii="Verdana" w:hAnsi="Verdana"/>
          <w:sz w:val="16"/>
          <w:szCs w:val="16"/>
          <w:lang w:val="es-MX"/>
        </w:rPr>
        <w:t>debera</w:t>
      </w:r>
      <w:proofErr w:type="spellEnd"/>
      <w:r w:rsidRPr="00E81E33">
        <w:rPr>
          <w:rFonts w:ascii="Verdana" w:hAnsi="Verdana"/>
          <w:sz w:val="16"/>
          <w:szCs w:val="16"/>
          <w:lang w:val="es-MX"/>
        </w:rPr>
        <w:t xml:space="preserve">́ conferir un </w:t>
      </w:r>
      <w:proofErr w:type="spellStart"/>
      <w:r w:rsidRPr="00E81E33">
        <w:rPr>
          <w:rFonts w:ascii="Verdana" w:hAnsi="Verdana"/>
          <w:sz w:val="16"/>
          <w:szCs w:val="16"/>
          <w:lang w:val="es-MX"/>
        </w:rPr>
        <w:t>título</w:t>
      </w:r>
      <w:proofErr w:type="spellEnd"/>
      <w:r w:rsidRPr="00E81E33">
        <w:rPr>
          <w:rFonts w:ascii="Verdana" w:hAnsi="Verdana"/>
          <w:sz w:val="16"/>
          <w:szCs w:val="16"/>
          <w:lang w:val="es-MX"/>
        </w:rPr>
        <w:t xml:space="preserve"> de propiedad colectiva a la Comunidad sobre tierras alternativas de igual </w:t>
      </w:r>
      <w:proofErr w:type="spellStart"/>
      <w:r w:rsidRPr="00E81E33">
        <w:rPr>
          <w:rFonts w:ascii="Verdana" w:hAnsi="Verdana"/>
          <w:sz w:val="16"/>
          <w:szCs w:val="16"/>
          <w:lang w:val="es-MX"/>
        </w:rPr>
        <w:t>extensión</w:t>
      </w:r>
      <w:proofErr w:type="spellEnd"/>
      <w:r w:rsidRPr="00E81E33">
        <w:rPr>
          <w:rFonts w:ascii="Verdana" w:hAnsi="Verdana"/>
          <w:sz w:val="16"/>
          <w:szCs w:val="16"/>
          <w:lang w:val="es-MX"/>
        </w:rPr>
        <w:t xml:space="preserve"> y calidad que las no otorgadas”, para lo cual “</w:t>
      </w:r>
      <w:proofErr w:type="spellStart"/>
      <w:r w:rsidRPr="00E81E33">
        <w:rPr>
          <w:rFonts w:ascii="Verdana" w:hAnsi="Verdana"/>
          <w:sz w:val="16"/>
          <w:szCs w:val="16"/>
          <w:lang w:val="es-MX"/>
        </w:rPr>
        <w:t>debera</w:t>
      </w:r>
      <w:proofErr w:type="spellEnd"/>
      <w:r w:rsidRPr="00E81E33">
        <w:rPr>
          <w:rFonts w:ascii="Verdana" w:hAnsi="Verdana"/>
          <w:sz w:val="16"/>
          <w:szCs w:val="16"/>
          <w:lang w:val="es-MX"/>
        </w:rPr>
        <w:t xml:space="preserve">́ consultar con la Comunidad Triunfo de la Cruz y sus miembros, en un procedimiento que sea acorde a los </w:t>
      </w:r>
      <w:proofErr w:type="spellStart"/>
      <w:r w:rsidRPr="00E81E33">
        <w:rPr>
          <w:rFonts w:ascii="Verdana" w:hAnsi="Verdana"/>
          <w:sz w:val="16"/>
          <w:szCs w:val="16"/>
          <w:lang w:val="es-MX"/>
        </w:rPr>
        <w:t>estándares</w:t>
      </w:r>
      <w:proofErr w:type="spellEnd"/>
      <w:r w:rsidRPr="00E81E33">
        <w:rPr>
          <w:rFonts w:ascii="Verdana" w:hAnsi="Verdana"/>
          <w:sz w:val="16"/>
          <w:szCs w:val="16"/>
          <w:lang w:val="es-MX"/>
        </w:rPr>
        <w:t xml:space="preserve"> internacionales en la materia”.</w:t>
      </w:r>
    </w:p>
  </w:footnote>
  <w:footnote w:id="20">
    <w:p w14:paraId="079BA6CB" w14:textId="4BAB8A34" w:rsidR="00561282" w:rsidRPr="00E81E33" w:rsidRDefault="00561282" w:rsidP="00256517">
      <w:pPr>
        <w:pStyle w:val="Textonotapie"/>
        <w:jc w:val="both"/>
        <w:rPr>
          <w:lang w:val="es-CR"/>
        </w:rPr>
      </w:pPr>
      <w:r>
        <w:rPr>
          <w:rStyle w:val="Refdenotaalpie"/>
        </w:rPr>
        <w:footnoteRef/>
      </w:r>
      <w:r w:rsidRPr="00E81E33">
        <w:rPr>
          <w:lang w:val="es-CR"/>
        </w:rPr>
        <w:t xml:space="preserve"> </w:t>
      </w:r>
      <w:r>
        <w:rPr>
          <w:lang w:val="es-CR"/>
        </w:rPr>
        <w:tab/>
      </w:r>
      <w:r w:rsidRPr="00AD5EF7">
        <w:rPr>
          <w:rFonts w:ascii="Verdana" w:hAnsi="Verdana"/>
          <w:i/>
          <w:sz w:val="16"/>
          <w:szCs w:val="16"/>
          <w:lang w:val="es-CR"/>
        </w:rPr>
        <w:t xml:space="preserve">Caso Comunidad Garífuna </w:t>
      </w:r>
      <w:r>
        <w:rPr>
          <w:rFonts w:ascii="Verdana" w:hAnsi="Verdana"/>
          <w:i/>
          <w:sz w:val="16"/>
          <w:szCs w:val="16"/>
          <w:lang w:val="es-CR"/>
        </w:rPr>
        <w:t>Triunfo de la Cruz</w:t>
      </w:r>
      <w:r w:rsidRPr="00AD5EF7">
        <w:rPr>
          <w:rFonts w:ascii="Verdana" w:hAnsi="Verdana"/>
          <w:i/>
          <w:sz w:val="16"/>
          <w:szCs w:val="16"/>
          <w:lang w:val="es-CR"/>
        </w:rPr>
        <w:t xml:space="preserve"> y sus miembros Vs. Honduras. Supervisión de cumplimiento de Sentencia. </w:t>
      </w:r>
      <w:r w:rsidRPr="00AD5EF7">
        <w:rPr>
          <w:rFonts w:ascii="Verdana" w:hAnsi="Verdana"/>
          <w:sz w:val="16"/>
          <w:szCs w:val="16"/>
          <w:lang w:val="es-CR"/>
        </w:rPr>
        <w:t xml:space="preserve">Resolución de la Corte Interamericana de Derechos Humanos de 14 de mayo de 2019, Considerandos </w:t>
      </w:r>
      <w:r>
        <w:rPr>
          <w:rFonts w:ascii="Verdana" w:hAnsi="Verdana"/>
          <w:sz w:val="16"/>
          <w:szCs w:val="16"/>
          <w:lang w:val="es-CR"/>
        </w:rPr>
        <w:t>7 a 25</w:t>
      </w:r>
      <w:r w:rsidRPr="00AD5EF7">
        <w:rPr>
          <w:rFonts w:ascii="Verdana" w:hAnsi="Verdana"/>
          <w:sz w:val="16"/>
          <w:szCs w:val="16"/>
          <w:lang w:val="es-CR"/>
        </w:rPr>
        <w:t>.</w:t>
      </w:r>
    </w:p>
  </w:footnote>
  <w:footnote w:id="21">
    <w:p w14:paraId="1B717D34" w14:textId="7DC3E4E4" w:rsidR="00561282" w:rsidRPr="00CD6830" w:rsidRDefault="00561282" w:rsidP="00CD6830">
      <w:pPr>
        <w:pStyle w:val="Textonotapie"/>
        <w:jc w:val="both"/>
        <w:rPr>
          <w:rFonts w:ascii="Verdana" w:hAnsi="Verdana"/>
          <w:sz w:val="16"/>
          <w:szCs w:val="16"/>
          <w:lang w:val="es-MX"/>
        </w:rPr>
      </w:pPr>
      <w:r w:rsidRPr="00CD6830">
        <w:rPr>
          <w:rStyle w:val="Refdenotaalpie"/>
          <w:rFonts w:ascii="Verdana" w:hAnsi="Verdana"/>
          <w:sz w:val="16"/>
          <w:szCs w:val="16"/>
        </w:rPr>
        <w:footnoteRef/>
      </w:r>
      <w:r w:rsidRPr="00D52CD7">
        <w:rPr>
          <w:rFonts w:ascii="Verdana" w:hAnsi="Verdana"/>
          <w:sz w:val="16"/>
          <w:szCs w:val="16"/>
          <w:lang w:val="es-CR"/>
        </w:rPr>
        <w:t xml:space="preserve"> </w:t>
      </w:r>
      <w:r w:rsidRPr="00CD6830">
        <w:rPr>
          <w:rFonts w:ascii="Verdana" w:hAnsi="Verdana"/>
          <w:sz w:val="16"/>
          <w:szCs w:val="16"/>
          <w:lang w:val="es-MX"/>
        </w:rPr>
        <w:tab/>
        <w:t xml:space="preserve">Además, entre marzo y junio de 2021 el plan de trabajo preveía “clasificar los avalúos y determinar los pagos” y “celebrar actas [de negociación] con cada propietario de conformidad con los montos resultantes del avalúo”. En agosto de 2021, se programaba solicitar la inclusión de las partidas presupuestarias necesarias a tales fines para el presupuesto del año siguiente. </w:t>
      </w:r>
    </w:p>
  </w:footnote>
  <w:footnote w:id="22">
    <w:p w14:paraId="2D8064E5" w14:textId="77777777" w:rsidR="00561282" w:rsidRPr="004B392B" w:rsidRDefault="00561282" w:rsidP="00AE16C3">
      <w:pPr>
        <w:pStyle w:val="Textonotapie"/>
        <w:rPr>
          <w:rFonts w:ascii="Verdana" w:hAnsi="Verdana"/>
          <w:sz w:val="16"/>
          <w:szCs w:val="16"/>
          <w:lang w:val="es-MX"/>
        </w:rPr>
      </w:pPr>
      <w:r w:rsidRPr="004B392B">
        <w:rPr>
          <w:rStyle w:val="Refdenotaalpie"/>
          <w:rFonts w:ascii="Verdana" w:hAnsi="Verdana"/>
          <w:sz w:val="16"/>
          <w:szCs w:val="16"/>
        </w:rPr>
        <w:footnoteRef/>
      </w:r>
      <w:r w:rsidRPr="004B392B">
        <w:rPr>
          <w:rFonts w:ascii="Verdana" w:hAnsi="Verdana"/>
          <w:sz w:val="16"/>
          <w:szCs w:val="16"/>
          <w:lang w:val="es-CR"/>
        </w:rPr>
        <w:t xml:space="preserve"> </w:t>
      </w:r>
      <w:r w:rsidRPr="004B392B">
        <w:rPr>
          <w:rFonts w:ascii="Verdana" w:hAnsi="Verdana"/>
          <w:sz w:val="16"/>
          <w:szCs w:val="16"/>
          <w:lang w:val="es-MX"/>
        </w:rPr>
        <w:tab/>
        <w:t>Honduras también indicó que “actualizar[</w:t>
      </w:r>
      <w:proofErr w:type="spellStart"/>
      <w:r w:rsidRPr="004B392B">
        <w:rPr>
          <w:rFonts w:ascii="Verdana" w:hAnsi="Verdana"/>
          <w:sz w:val="16"/>
          <w:szCs w:val="16"/>
          <w:lang w:val="es-MX"/>
        </w:rPr>
        <w:t>ía</w:t>
      </w:r>
      <w:proofErr w:type="spellEnd"/>
      <w:r w:rsidRPr="004B392B">
        <w:rPr>
          <w:rFonts w:ascii="Verdana" w:hAnsi="Verdana"/>
          <w:sz w:val="16"/>
          <w:szCs w:val="16"/>
          <w:lang w:val="es-MX"/>
        </w:rPr>
        <w:t xml:space="preserve">] el cronograma de actividades para sus respectivas fechas”. </w:t>
      </w:r>
    </w:p>
  </w:footnote>
  <w:footnote w:id="23">
    <w:p w14:paraId="2C367577" w14:textId="4E628BED" w:rsidR="00561282" w:rsidRPr="000C5570" w:rsidRDefault="00561282" w:rsidP="00A44DC7">
      <w:pPr>
        <w:autoSpaceDE w:val="0"/>
        <w:autoSpaceDN w:val="0"/>
        <w:adjustRightInd w:val="0"/>
        <w:spacing w:after="0" w:line="240" w:lineRule="auto"/>
        <w:jc w:val="both"/>
        <w:rPr>
          <w:rFonts w:ascii="Verdana" w:hAnsi="Verdana" w:cs="BookAntiqu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r>
      <w:r w:rsidRPr="00272376">
        <w:rPr>
          <w:rFonts w:ascii="Verdana" w:hAnsi="Verdana" w:cs="BookAntiqua"/>
          <w:sz w:val="16"/>
          <w:szCs w:val="16"/>
          <w:lang w:val="es-MX"/>
        </w:rPr>
        <w:t>Si bien Honduras incluyó esta información en los informes presentados en el marco de la supervisión de cumplimiento de ambas Sentencias, esta Corte entiende que se refiere exclusivamente al cumplimiento de la Sentencia de Triunfo de la Cruz,</w:t>
      </w:r>
      <w:r w:rsidRPr="00272376">
        <w:rPr>
          <w:rFonts w:ascii="Verdana" w:hAnsi="Verdana" w:cs="BookAntiqua"/>
          <w:i/>
          <w:sz w:val="16"/>
          <w:szCs w:val="16"/>
          <w:lang w:val="es-MX"/>
        </w:rPr>
        <w:t xml:space="preserve"> </w:t>
      </w:r>
      <w:r w:rsidRPr="00272376">
        <w:rPr>
          <w:rFonts w:ascii="Verdana" w:hAnsi="Verdana" w:cs="BookAntiqua"/>
          <w:sz w:val="16"/>
          <w:szCs w:val="16"/>
          <w:lang w:val="es-MX"/>
        </w:rPr>
        <w:t>dado que el Estado ha indicado que el cumplimiento de la medida de reparación ordenada a favor de la Comunidad Punta Piedra se encontraba suspendido (</w:t>
      </w:r>
      <w:r w:rsidRPr="00272376">
        <w:rPr>
          <w:rFonts w:ascii="Verdana" w:hAnsi="Verdana" w:cs="BookAntiqua"/>
          <w:i/>
          <w:sz w:val="16"/>
          <w:szCs w:val="16"/>
          <w:lang w:val="es-MX"/>
        </w:rPr>
        <w:t xml:space="preserve">supra </w:t>
      </w:r>
      <w:r w:rsidRPr="00272376">
        <w:rPr>
          <w:rFonts w:ascii="Verdana" w:hAnsi="Verdana" w:cs="BookAntiqua"/>
          <w:sz w:val="16"/>
          <w:szCs w:val="16"/>
          <w:lang w:val="es-MX"/>
        </w:rPr>
        <w:t xml:space="preserve">Considerando </w:t>
      </w:r>
      <w:r>
        <w:rPr>
          <w:rFonts w:ascii="Verdana" w:hAnsi="Verdana" w:cs="BookAntiqua"/>
          <w:sz w:val="16"/>
          <w:szCs w:val="16"/>
          <w:lang w:val="es-MX"/>
        </w:rPr>
        <w:t>31</w:t>
      </w:r>
      <w:r w:rsidRPr="00272376">
        <w:rPr>
          <w:rFonts w:ascii="Verdana" w:hAnsi="Verdana" w:cs="BookAntiqua"/>
          <w:sz w:val="16"/>
          <w:szCs w:val="16"/>
          <w:lang w:val="es-MX"/>
        </w:rPr>
        <w:t>).</w:t>
      </w:r>
    </w:p>
  </w:footnote>
  <w:footnote w:id="24">
    <w:p w14:paraId="1EA818FA" w14:textId="2A9588A3" w:rsidR="00561282" w:rsidRPr="0048138F" w:rsidRDefault="00561282" w:rsidP="0048138F">
      <w:pPr>
        <w:pStyle w:val="Textonotapie"/>
        <w:jc w:val="both"/>
        <w:rPr>
          <w:rFonts w:ascii="Verdana" w:hAnsi="Verdana"/>
          <w:b/>
          <w:sz w:val="16"/>
          <w:szCs w:val="16"/>
          <w:lang w:val="es-MX"/>
        </w:rPr>
      </w:pPr>
      <w:r w:rsidRPr="0048138F">
        <w:rPr>
          <w:rStyle w:val="Refdenotaalpie"/>
          <w:rFonts w:ascii="Verdana" w:hAnsi="Verdana"/>
          <w:sz w:val="16"/>
          <w:szCs w:val="16"/>
        </w:rPr>
        <w:footnoteRef/>
      </w:r>
      <w:r w:rsidRPr="00D52CD7">
        <w:rPr>
          <w:rFonts w:ascii="Verdana" w:hAnsi="Verdana"/>
          <w:sz w:val="16"/>
          <w:szCs w:val="16"/>
          <w:lang w:val="es-CR"/>
        </w:rPr>
        <w:t xml:space="preserve"> </w:t>
      </w:r>
      <w:r w:rsidRPr="0048138F">
        <w:rPr>
          <w:rFonts w:ascii="Verdana" w:hAnsi="Verdana"/>
          <w:sz w:val="16"/>
          <w:szCs w:val="16"/>
          <w:lang w:val="es-MX"/>
        </w:rPr>
        <w:tab/>
      </w:r>
      <w:r>
        <w:rPr>
          <w:rFonts w:ascii="Verdana" w:hAnsi="Verdana"/>
          <w:sz w:val="16"/>
          <w:szCs w:val="16"/>
          <w:lang w:val="es-MX"/>
        </w:rPr>
        <w:t>En el mismo sentido, e</w:t>
      </w:r>
      <w:r w:rsidRPr="0048138F">
        <w:rPr>
          <w:rFonts w:ascii="Verdana" w:hAnsi="Verdana"/>
          <w:sz w:val="16"/>
          <w:szCs w:val="16"/>
          <w:lang w:val="es-MX"/>
        </w:rPr>
        <w:t>n su informe de julio de 2020, Honduras había indicado que los miembros de la Comisión de Tierras se habían opuesto al deslinde y amojonamiento de las tierras en tanto consideraban que “</w:t>
      </w:r>
      <w:r w:rsidRPr="0048138F">
        <w:rPr>
          <w:rFonts w:ascii="Verdana" w:hAnsi="Verdana"/>
          <w:sz w:val="16"/>
          <w:szCs w:val="16"/>
          <w:lang w:val="es-CR"/>
        </w:rPr>
        <w:t xml:space="preserve">dichos trabajos corresponden a un lote de mayor extensión”. </w:t>
      </w:r>
    </w:p>
  </w:footnote>
  <w:footnote w:id="25">
    <w:p w14:paraId="4629C600" w14:textId="76B87461" w:rsidR="00561282" w:rsidRPr="00533F4B" w:rsidRDefault="00561282" w:rsidP="00533F4B">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 xml:space="preserve">En especial, remarcaron que “el Estado debe ejercer la jurisdicción penal contra los invasores, debe expropiar a los terceros, debe reformar leyes, debe presupuestar fondos y debe emitir resoluciones administrativas que son competencia exclusiva del Estado y no es de recibo pretender responsabilizar </w:t>
      </w:r>
      <w:r w:rsidRPr="00B16193">
        <w:rPr>
          <w:rFonts w:ascii="Verdana" w:hAnsi="Verdana"/>
          <w:sz w:val="16"/>
          <w:szCs w:val="16"/>
          <w:lang w:val="es-ES"/>
        </w:rPr>
        <w:t>e</w:t>
      </w:r>
      <w:r w:rsidRPr="004B392B">
        <w:rPr>
          <w:rFonts w:ascii="Verdana" w:hAnsi="Verdana"/>
          <w:sz w:val="16"/>
          <w:szCs w:val="16"/>
          <w:lang w:val="es-MX"/>
        </w:rPr>
        <w:t>n la audiencia pública celebrada el 4 de marzo de 2021</w:t>
      </w:r>
      <w:r w:rsidRPr="00EF7615">
        <w:rPr>
          <w:rFonts w:ascii="Verdana" w:hAnsi="Verdana"/>
          <w:sz w:val="16"/>
          <w:szCs w:val="16"/>
          <w:lang w:val="es-MX"/>
        </w:rPr>
        <w:t xml:space="preserve">a las comunidades, sus </w:t>
      </w:r>
      <w:r w:rsidRPr="00533F4B">
        <w:rPr>
          <w:rFonts w:ascii="Verdana" w:hAnsi="Verdana"/>
          <w:sz w:val="16"/>
          <w:szCs w:val="16"/>
          <w:lang w:val="es-MX"/>
        </w:rPr>
        <w:t>representantes o al COVID</w:t>
      </w:r>
      <w:r>
        <w:rPr>
          <w:rFonts w:ascii="Verdana" w:hAnsi="Verdana"/>
          <w:sz w:val="16"/>
          <w:szCs w:val="16"/>
          <w:lang w:val="es-MX"/>
        </w:rPr>
        <w:t>-</w:t>
      </w:r>
      <w:r w:rsidRPr="00533F4B">
        <w:rPr>
          <w:rFonts w:ascii="Verdana" w:hAnsi="Verdana"/>
          <w:sz w:val="16"/>
          <w:szCs w:val="16"/>
          <w:lang w:val="es-MX"/>
        </w:rPr>
        <w:t>19 de su desidia”.</w:t>
      </w:r>
    </w:p>
  </w:footnote>
  <w:footnote w:id="26">
    <w:p w14:paraId="60E5EF58" w14:textId="6021B92F" w:rsidR="00561282" w:rsidRPr="005A38AC" w:rsidRDefault="00561282" w:rsidP="007E2728">
      <w:pPr>
        <w:pStyle w:val="Textonotapie"/>
        <w:jc w:val="both"/>
        <w:rPr>
          <w:rFonts w:ascii="Verdana" w:hAnsi="Verdana"/>
          <w:sz w:val="16"/>
          <w:szCs w:val="16"/>
          <w:lang w:val="es-MX"/>
        </w:rPr>
      </w:pPr>
      <w:r w:rsidRPr="005A38AC">
        <w:rPr>
          <w:rStyle w:val="Refdenotaalpie"/>
          <w:rFonts w:ascii="Verdana" w:hAnsi="Verdana"/>
          <w:sz w:val="16"/>
          <w:szCs w:val="16"/>
        </w:rPr>
        <w:footnoteRef/>
      </w:r>
      <w:r w:rsidRPr="00D52CD7">
        <w:rPr>
          <w:rFonts w:ascii="Verdana" w:hAnsi="Verdana"/>
          <w:sz w:val="16"/>
          <w:szCs w:val="16"/>
          <w:lang w:val="es-CR"/>
        </w:rPr>
        <w:t xml:space="preserve"> </w:t>
      </w:r>
      <w:r w:rsidRPr="005A38AC">
        <w:rPr>
          <w:rFonts w:ascii="Verdana" w:hAnsi="Verdana"/>
          <w:sz w:val="16"/>
          <w:szCs w:val="16"/>
          <w:lang w:val="es-MX"/>
        </w:rPr>
        <w:tab/>
      </w:r>
      <w:r>
        <w:rPr>
          <w:rFonts w:ascii="Verdana" w:hAnsi="Verdana"/>
          <w:sz w:val="16"/>
          <w:szCs w:val="16"/>
          <w:lang w:val="es-MX"/>
        </w:rPr>
        <w:t>En respuesta</w:t>
      </w:r>
      <w:r w:rsidRPr="005A38AC">
        <w:rPr>
          <w:rFonts w:ascii="Verdana" w:hAnsi="Verdana"/>
          <w:sz w:val="16"/>
          <w:szCs w:val="16"/>
          <w:lang w:val="es-MX"/>
        </w:rPr>
        <w:t xml:space="preserve"> a </w:t>
      </w:r>
      <w:r>
        <w:rPr>
          <w:rFonts w:ascii="Verdana" w:hAnsi="Verdana"/>
          <w:sz w:val="16"/>
          <w:szCs w:val="16"/>
          <w:lang w:val="es-MX"/>
        </w:rPr>
        <w:t>ese mismo</w:t>
      </w:r>
      <w:r w:rsidRPr="005A38AC">
        <w:rPr>
          <w:rFonts w:ascii="Verdana" w:hAnsi="Verdana"/>
          <w:sz w:val="16"/>
          <w:szCs w:val="16"/>
          <w:lang w:val="es-MX"/>
        </w:rPr>
        <w:t xml:space="preserve"> argumento, en los Considerandos 11 y 12 de la Resolución de 2019 la Corte determinó que el Estado debía “rem[</w:t>
      </w:r>
      <w:proofErr w:type="spellStart"/>
      <w:r w:rsidRPr="005A38AC">
        <w:rPr>
          <w:rFonts w:ascii="Verdana" w:hAnsi="Verdana"/>
          <w:sz w:val="16"/>
          <w:szCs w:val="16"/>
          <w:lang w:val="es-MX"/>
        </w:rPr>
        <w:t>over</w:t>
      </w:r>
      <w:proofErr w:type="spellEnd"/>
      <w:r w:rsidRPr="005A38AC">
        <w:rPr>
          <w:rFonts w:ascii="Verdana" w:hAnsi="Verdana"/>
          <w:sz w:val="16"/>
          <w:szCs w:val="16"/>
          <w:lang w:val="es-MX"/>
        </w:rPr>
        <w:t>] cualquier obstáculo o interferencia sobre el uso y goce del territorio titulado a favor de la Comunidad Garífuna de Punta Piedra a través del saneamiento”, y que las acciones emprendidas hasta entonces eran “a todas luces insuficientes para demostrar que buscó por todos los medios dar cumplimiento a la medida, máxime a la luz del estándar de debida diligencia que la misma Sentencia le impone a Honduras en la realización del saneamiento de las tierras”.</w:t>
      </w:r>
    </w:p>
  </w:footnote>
  <w:footnote w:id="27">
    <w:p w14:paraId="701BDF1E" w14:textId="223A7936" w:rsidR="00561282" w:rsidRPr="00EF7615" w:rsidRDefault="00561282" w:rsidP="007E2728">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r>
      <w:r>
        <w:rPr>
          <w:rFonts w:ascii="Verdana" w:hAnsi="Verdana"/>
          <w:sz w:val="16"/>
          <w:szCs w:val="16"/>
          <w:lang w:val="es-MX"/>
        </w:rPr>
        <w:t xml:space="preserve">En el Considerando 15 de la Resolución de 2019 se solicitó al Estado informar </w:t>
      </w:r>
      <w:r w:rsidRPr="006A5B3F">
        <w:rPr>
          <w:rFonts w:ascii="Verdana" w:hAnsi="Verdana"/>
          <w:sz w:val="16"/>
          <w:szCs w:val="16"/>
          <w:lang w:val="es-MX"/>
        </w:rPr>
        <w:t>“si los títulos de propiedad y contratos entregados al Instituto Nacional Agrario por el Patronato Pro Mejoramiento de Río Miel y aportados por el Estado […] se encuentran dentro del territorio titulado a favor de la Comunidad de Punta Piedra”</w:t>
      </w:r>
      <w:r>
        <w:rPr>
          <w:rFonts w:ascii="Verdana" w:hAnsi="Verdana"/>
          <w:sz w:val="16"/>
          <w:szCs w:val="16"/>
          <w:lang w:val="es-MX"/>
        </w:rPr>
        <w:t xml:space="preserve">. </w:t>
      </w:r>
      <w:r w:rsidRPr="00EF7615">
        <w:rPr>
          <w:rFonts w:ascii="Verdana" w:hAnsi="Verdana"/>
          <w:sz w:val="16"/>
          <w:szCs w:val="16"/>
          <w:lang w:val="es-MX"/>
        </w:rPr>
        <w:t xml:space="preserve">En su informe de julio de 2020, Honduras refirió, con respecto a ese punto, </w:t>
      </w:r>
      <w:r>
        <w:rPr>
          <w:rFonts w:ascii="Verdana" w:hAnsi="Verdana"/>
          <w:sz w:val="16"/>
          <w:szCs w:val="16"/>
          <w:lang w:val="es-MX"/>
        </w:rPr>
        <w:t xml:space="preserve">que </w:t>
      </w:r>
      <w:r w:rsidRPr="00EF7615">
        <w:rPr>
          <w:rFonts w:ascii="Verdana" w:hAnsi="Verdana"/>
          <w:sz w:val="16"/>
          <w:szCs w:val="16"/>
          <w:lang w:val="es-MX"/>
        </w:rPr>
        <w:t>“[d]</w:t>
      </w:r>
      <w:proofErr w:type="spellStart"/>
      <w:r w:rsidRPr="00EF7615">
        <w:rPr>
          <w:rFonts w:ascii="Verdana" w:hAnsi="Verdana"/>
          <w:sz w:val="16"/>
          <w:szCs w:val="16"/>
          <w:lang w:val="es-MX"/>
        </w:rPr>
        <w:t>icha</w:t>
      </w:r>
      <w:proofErr w:type="spellEnd"/>
      <w:r w:rsidRPr="00EF7615">
        <w:rPr>
          <w:rFonts w:ascii="Verdana" w:hAnsi="Verdana"/>
          <w:sz w:val="16"/>
          <w:szCs w:val="16"/>
          <w:lang w:val="es-MX"/>
        </w:rPr>
        <w:t xml:space="preserve"> documentación se adjunta”. Sin embargo, el Estado se limitó a aportar más de 300 </w:t>
      </w:r>
      <w:r>
        <w:rPr>
          <w:rFonts w:ascii="Verdana" w:hAnsi="Verdana"/>
          <w:sz w:val="16"/>
          <w:szCs w:val="16"/>
          <w:lang w:val="es-MX"/>
        </w:rPr>
        <w:t>documentos</w:t>
      </w:r>
      <w:r w:rsidRPr="00EF7615">
        <w:rPr>
          <w:rFonts w:ascii="Verdana" w:hAnsi="Verdana"/>
          <w:sz w:val="16"/>
          <w:szCs w:val="16"/>
          <w:lang w:val="es-MX"/>
        </w:rPr>
        <w:t xml:space="preserve"> correspondientes a recibos de pagos de impuestos municipales y</w:t>
      </w:r>
      <w:r>
        <w:rPr>
          <w:rFonts w:ascii="Verdana" w:hAnsi="Verdana"/>
          <w:sz w:val="16"/>
          <w:szCs w:val="16"/>
          <w:lang w:val="es-MX"/>
        </w:rPr>
        <w:t xml:space="preserve"> servicios, así como</w:t>
      </w:r>
      <w:r w:rsidRPr="00EF7615">
        <w:rPr>
          <w:rFonts w:ascii="Verdana" w:hAnsi="Verdana"/>
          <w:sz w:val="16"/>
          <w:szCs w:val="16"/>
          <w:lang w:val="es-MX"/>
        </w:rPr>
        <w:t xml:space="preserve"> contratos de compraventa</w:t>
      </w:r>
      <w:r>
        <w:rPr>
          <w:rFonts w:ascii="Verdana" w:hAnsi="Verdana"/>
          <w:sz w:val="16"/>
          <w:szCs w:val="16"/>
          <w:lang w:val="es-MX"/>
        </w:rPr>
        <w:t xml:space="preserve"> y escrituras</w:t>
      </w:r>
      <w:r w:rsidRPr="00EF7615">
        <w:rPr>
          <w:rFonts w:ascii="Verdana" w:hAnsi="Verdana"/>
          <w:sz w:val="16"/>
          <w:szCs w:val="16"/>
          <w:lang w:val="es-MX"/>
        </w:rPr>
        <w:t xml:space="preserve">, sin acompañar ninguna explicación o relación que permita a este Tribunal comprender </w:t>
      </w:r>
      <w:r>
        <w:rPr>
          <w:rFonts w:ascii="Verdana" w:hAnsi="Verdana"/>
          <w:sz w:val="16"/>
          <w:szCs w:val="16"/>
          <w:lang w:val="es-MX"/>
        </w:rPr>
        <w:t>dicha información. Si bien</w:t>
      </w:r>
      <w:r w:rsidRPr="00EF7615">
        <w:rPr>
          <w:rFonts w:ascii="Verdana" w:hAnsi="Verdana"/>
          <w:sz w:val="16"/>
          <w:szCs w:val="16"/>
          <w:lang w:val="es-MX"/>
        </w:rPr>
        <w:t xml:space="preserve"> refirió que “el [Instituto Nacional Agrario] y la Alcaldía Municipal de </w:t>
      </w:r>
      <w:proofErr w:type="spellStart"/>
      <w:r w:rsidRPr="00EF7615">
        <w:rPr>
          <w:rFonts w:ascii="Verdana" w:hAnsi="Verdana"/>
          <w:sz w:val="16"/>
          <w:szCs w:val="16"/>
          <w:lang w:val="es-MX"/>
        </w:rPr>
        <w:t>Iriona</w:t>
      </w:r>
      <w:proofErr w:type="spellEnd"/>
      <w:r w:rsidRPr="00EF7615">
        <w:rPr>
          <w:rFonts w:ascii="Verdana" w:hAnsi="Verdana"/>
          <w:sz w:val="16"/>
          <w:szCs w:val="16"/>
          <w:lang w:val="es-MX"/>
        </w:rPr>
        <w:t xml:space="preserve">, Colón, </w:t>
      </w:r>
      <w:proofErr w:type="spellStart"/>
      <w:r w:rsidRPr="00EF7615">
        <w:rPr>
          <w:rFonts w:ascii="Verdana" w:hAnsi="Verdana"/>
          <w:sz w:val="16"/>
          <w:szCs w:val="16"/>
          <w:lang w:val="es-MX"/>
        </w:rPr>
        <w:t>ha</w:t>
      </w:r>
      <w:r>
        <w:rPr>
          <w:rFonts w:ascii="Verdana" w:hAnsi="Verdana"/>
          <w:sz w:val="16"/>
          <w:szCs w:val="16"/>
          <w:lang w:val="es-MX"/>
        </w:rPr>
        <w:t>b</w:t>
      </w:r>
      <w:proofErr w:type="spellEnd"/>
      <w:r>
        <w:rPr>
          <w:rFonts w:ascii="Verdana" w:hAnsi="Verdana"/>
          <w:sz w:val="16"/>
          <w:szCs w:val="16"/>
          <w:lang w:val="es-MX"/>
        </w:rPr>
        <w:t>[</w:t>
      </w:r>
      <w:proofErr w:type="spellStart"/>
      <w:r>
        <w:rPr>
          <w:rFonts w:ascii="Verdana" w:hAnsi="Verdana"/>
          <w:sz w:val="16"/>
          <w:szCs w:val="16"/>
          <w:lang w:val="es-MX"/>
        </w:rPr>
        <w:t>ían</w:t>
      </w:r>
      <w:proofErr w:type="spellEnd"/>
      <w:r>
        <w:rPr>
          <w:rFonts w:ascii="Verdana" w:hAnsi="Verdana"/>
          <w:sz w:val="16"/>
          <w:szCs w:val="16"/>
          <w:lang w:val="es-MX"/>
        </w:rPr>
        <w:t>] acordado realizar una geo-</w:t>
      </w:r>
      <w:r w:rsidRPr="00EF7615">
        <w:rPr>
          <w:rFonts w:ascii="Verdana" w:hAnsi="Verdana"/>
          <w:sz w:val="16"/>
          <w:szCs w:val="16"/>
          <w:lang w:val="es-MX"/>
        </w:rPr>
        <w:t>referenciación para determinar qu</w:t>
      </w:r>
      <w:r>
        <w:rPr>
          <w:rFonts w:ascii="Verdana" w:hAnsi="Verdana"/>
          <w:sz w:val="16"/>
          <w:szCs w:val="16"/>
          <w:lang w:val="es-MX"/>
        </w:rPr>
        <w:t>é</w:t>
      </w:r>
      <w:r w:rsidRPr="00EF7615">
        <w:rPr>
          <w:rFonts w:ascii="Verdana" w:hAnsi="Verdana"/>
          <w:sz w:val="16"/>
          <w:szCs w:val="16"/>
          <w:lang w:val="es-MX"/>
        </w:rPr>
        <w:t xml:space="preserve"> títulos de la comunidad de Río Miel se encuentran traslapados con el territorio ancestral de Punta Piedra”, no volvió a referirse a este punto.</w:t>
      </w:r>
    </w:p>
  </w:footnote>
  <w:footnote w:id="28">
    <w:p w14:paraId="784B82D9" w14:textId="70928406" w:rsidR="00561282" w:rsidRPr="009376CD" w:rsidRDefault="00561282" w:rsidP="007E2728">
      <w:pPr>
        <w:pStyle w:val="Textonotapie"/>
        <w:jc w:val="both"/>
        <w:rPr>
          <w:rFonts w:ascii="Verdana" w:hAnsi="Verdana"/>
          <w:sz w:val="16"/>
          <w:szCs w:val="16"/>
          <w:lang w:val="es-MX"/>
        </w:rPr>
      </w:pPr>
      <w:r w:rsidRPr="009376CD">
        <w:rPr>
          <w:rStyle w:val="Refdenotaalpie"/>
          <w:rFonts w:ascii="Verdana" w:hAnsi="Verdana"/>
          <w:sz w:val="16"/>
          <w:szCs w:val="16"/>
        </w:rPr>
        <w:footnoteRef/>
      </w:r>
      <w:r w:rsidRPr="00D52CD7">
        <w:rPr>
          <w:rFonts w:ascii="Verdana" w:hAnsi="Verdana"/>
          <w:sz w:val="16"/>
          <w:szCs w:val="16"/>
          <w:lang w:val="es-CR"/>
        </w:rPr>
        <w:t xml:space="preserve"> </w:t>
      </w:r>
      <w:r w:rsidRPr="00D52CD7">
        <w:rPr>
          <w:rFonts w:ascii="Verdana" w:hAnsi="Verdana"/>
          <w:sz w:val="16"/>
          <w:szCs w:val="16"/>
          <w:lang w:val="es-CR"/>
        </w:rPr>
        <w:tab/>
        <w:t xml:space="preserve">En respuesta a dicho alegato, en </w:t>
      </w:r>
      <w:r>
        <w:rPr>
          <w:rFonts w:ascii="Verdana" w:hAnsi="Verdana"/>
          <w:sz w:val="16"/>
          <w:szCs w:val="16"/>
          <w:lang w:val="es-CR"/>
        </w:rPr>
        <w:t>el</w:t>
      </w:r>
      <w:r w:rsidRPr="00D52CD7">
        <w:rPr>
          <w:rFonts w:ascii="Verdana" w:hAnsi="Verdana"/>
          <w:sz w:val="16"/>
          <w:szCs w:val="16"/>
          <w:lang w:val="es-CR"/>
        </w:rPr>
        <w:t xml:space="preserve"> Considerando 15 de la referida Resolución de 2019, la Corte le recordó a Honduras </w:t>
      </w:r>
      <w:r w:rsidRPr="009376CD">
        <w:rPr>
          <w:rFonts w:ascii="Verdana" w:hAnsi="Verdana"/>
          <w:sz w:val="16"/>
          <w:szCs w:val="16"/>
          <w:lang w:val="es-MX"/>
        </w:rPr>
        <w:t>que</w:t>
      </w:r>
      <w:r>
        <w:rPr>
          <w:rFonts w:ascii="Verdana" w:hAnsi="Verdana"/>
          <w:sz w:val="16"/>
          <w:szCs w:val="16"/>
          <w:lang w:val="es-MX"/>
        </w:rPr>
        <w:t xml:space="preserve"> </w:t>
      </w:r>
      <w:r w:rsidRPr="009376CD">
        <w:rPr>
          <w:rFonts w:ascii="Verdana" w:hAnsi="Verdana"/>
          <w:sz w:val="16"/>
          <w:szCs w:val="16"/>
          <w:lang w:val="es-MX"/>
        </w:rPr>
        <w:t>“la obligación del Estado de demarcar y delimitar los territorios otorgados a la Comunidad, y de otorgar un título debidamente delimitado en relación a los territorios reconocidos, debe ser entendida en los términos dispuestos en la Sentencia. Ello sin perjuicio de cualquier otro reclamo adicional o posterior que pudiere surgir en un futuro, el cual deberá ser dirimido a través de los procedimientos internos establecidos a tales efectos, tal como se estableció en la Sentencia”.</w:t>
      </w:r>
    </w:p>
  </w:footnote>
  <w:footnote w:id="29">
    <w:p w14:paraId="2747209E" w14:textId="6F85DF35" w:rsidR="00561282" w:rsidRPr="002607C6" w:rsidRDefault="00561282" w:rsidP="002607C6">
      <w:pPr>
        <w:pStyle w:val="Textonotapie"/>
        <w:jc w:val="both"/>
        <w:rPr>
          <w:rFonts w:ascii="Verdana" w:hAnsi="Verdana"/>
          <w:sz w:val="16"/>
          <w:szCs w:val="16"/>
          <w:lang w:val="es-CR"/>
        </w:rPr>
      </w:pPr>
      <w:r w:rsidRPr="002607C6">
        <w:rPr>
          <w:rStyle w:val="Refdenotaalpie"/>
          <w:rFonts w:ascii="Verdana" w:hAnsi="Verdana"/>
          <w:sz w:val="16"/>
          <w:szCs w:val="16"/>
        </w:rPr>
        <w:footnoteRef/>
      </w:r>
      <w:r w:rsidRPr="002607C6">
        <w:rPr>
          <w:rFonts w:ascii="Verdana" w:hAnsi="Verdana"/>
          <w:sz w:val="16"/>
          <w:szCs w:val="16"/>
          <w:lang w:val="es-CR"/>
        </w:rPr>
        <w:t xml:space="preserve"> </w:t>
      </w:r>
      <w:r>
        <w:rPr>
          <w:rFonts w:ascii="Verdana" w:hAnsi="Verdana"/>
          <w:sz w:val="16"/>
          <w:szCs w:val="16"/>
          <w:lang w:val="es-CR"/>
        </w:rPr>
        <w:tab/>
        <w:t>O</w:t>
      </w:r>
      <w:proofErr w:type="spellStart"/>
      <w:r w:rsidRPr="002607C6">
        <w:rPr>
          <w:rFonts w:ascii="Verdana" w:hAnsi="Verdana"/>
          <w:sz w:val="16"/>
          <w:szCs w:val="16"/>
          <w:lang w:val="es-MX"/>
        </w:rPr>
        <w:t>rdenada</w:t>
      </w:r>
      <w:proofErr w:type="spellEnd"/>
      <w:r w:rsidRPr="002607C6">
        <w:rPr>
          <w:rFonts w:ascii="Verdana" w:hAnsi="Verdana"/>
          <w:sz w:val="16"/>
          <w:szCs w:val="16"/>
          <w:lang w:val="es-MX"/>
        </w:rPr>
        <w:t xml:space="preserve"> en el punto resolutivo décimo primero y en el párrafo 280 de la Sentencia</w:t>
      </w:r>
      <w:r>
        <w:rPr>
          <w:rFonts w:ascii="Verdana" w:hAnsi="Verdana"/>
          <w:sz w:val="16"/>
          <w:szCs w:val="16"/>
          <w:lang w:val="es-MX"/>
        </w:rPr>
        <w:t>.</w:t>
      </w:r>
    </w:p>
  </w:footnote>
  <w:footnote w:id="30">
    <w:p w14:paraId="01C79653" w14:textId="77777777" w:rsidR="00561282" w:rsidRPr="00EF7615" w:rsidRDefault="00561282" w:rsidP="00E7235A">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t>Además, indicó que “en los próximos meses se continuará con las actividades en el marco del proyecto del plan de manejo del Parque Nacional Punta Izopo 2019-2031 siguiendo los parámetros mínimos de una consulta previa, libre e informada”; hizo referencia a “acercamientos” que habrían ocurrido durante 2019 y 2020 con los miembros de la Comunidad y sus representantes, y señaló que “para 2021 se cuenta con avances sustanciales en la gestión de fondos que serán necesarios para el proceso de consulta que se realizará con las comunidades para continuar con la elaboración del plan de manejo y los planes de vida comunitaria en la Comunidad de Triunfo de la Cruz”.</w:t>
      </w:r>
    </w:p>
  </w:footnote>
  <w:footnote w:id="31">
    <w:p w14:paraId="69299560" w14:textId="4133E19A" w:rsidR="00561282" w:rsidRPr="00FB74F8" w:rsidRDefault="00561282">
      <w:pPr>
        <w:pStyle w:val="Textonotapie"/>
        <w:rPr>
          <w:rFonts w:ascii="Verdana" w:hAnsi="Verdana"/>
          <w:sz w:val="16"/>
          <w:szCs w:val="16"/>
          <w:lang w:val="es-CR"/>
        </w:rPr>
      </w:pPr>
      <w:r w:rsidRPr="00FB74F8">
        <w:rPr>
          <w:rStyle w:val="Refdenotaalpie"/>
          <w:rFonts w:ascii="Verdana" w:hAnsi="Verdana"/>
          <w:sz w:val="16"/>
          <w:szCs w:val="16"/>
        </w:rPr>
        <w:footnoteRef/>
      </w:r>
      <w:r w:rsidRPr="00FB74F8">
        <w:rPr>
          <w:rFonts w:ascii="Verdana" w:hAnsi="Verdana"/>
          <w:sz w:val="16"/>
          <w:szCs w:val="16"/>
          <w:lang w:val="es-CR"/>
        </w:rPr>
        <w:t xml:space="preserve"> </w:t>
      </w:r>
      <w:r w:rsidRPr="00FB74F8">
        <w:rPr>
          <w:rFonts w:ascii="Verdana" w:hAnsi="Verdana"/>
          <w:sz w:val="16"/>
          <w:szCs w:val="16"/>
          <w:lang w:val="es-CR"/>
        </w:rPr>
        <w:tab/>
        <w:t>O</w:t>
      </w:r>
      <w:proofErr w:type="spellStart"/>
      <w:r w:rsidRPr="00FB74F8">
        <w:rPr>
          <w:rFonts w:ascii="Verdana" w:hAnsi="Verdana"/>
          <w:sz w:val="16"/>
          <w:szCs w:val="16"/>
          <w:lang w:val="es-MX"/>
        </w:rPr>
        <w:t>rdenada</w:t>
      </w:r>
      <w:proofErr w:type="spellEnd"/>
      <w:r w:rsidRPr="00FB74F8">
        <w:rPr>
          <w:rFonts w:ascii="Verdana" w:hAnsi="Verdana"/>
          <w:sz w:val="16"/>
          <w:szCs w:val="16"/>
          <w:lang w:val="es-MX"/>
        </w:rPr>
        <w:t xml:space="preserve"> en los puntos resolutivos décimo segundo de la Sentencia del caso </w:t>
      </w:r>
      <w:r w:rsidRPr="00FB74F8">
        <w:rPr>
          <w:rFonts w:ascii="Verdana" w:hAnsi="Verdana"/>
          <w:i/>
          <w:sz w:val="16"/>
          <w:szCs w:val="16"/>
          <w:lang w:val="es-MX"/>
        </w:rPr>
        <w:t>Triunfo de la Cruz</w:t>
      </w:r>
      <w:r w:rsidRPr="00FB74F8">
        <w:rPr>
          <w:rFonts w:ascii="Verdana" w:hAnsi="Verdana"/>
          <w:sz w:val="16"/>
          <w:szCs w:val="16"/>
          <w:lang w:val="es-MX"/>
        </w:rPr>
        <w:t xml:space="preserve"> y décimo sexto de la Sentencia del caso </w:t>
      </w:r>
      <w:r w:rsidRPr="00FB74F8">
        <w:rPr>
          <w:rFonts w:ascii="Verdana" w:hAnsi="Verdana"/>
          <w:i/>
          <w:sz w:val="16"/>
          <w:szCs w:val="16"/>
          <w:lang w:val="es-MX"/>
        </w:rPr>
        <w:t>Punta Piedra</w:t>
      </w:r>
      <w:r w:rsidRPr="00FB74F8">
        <w:rPr>
          <w:rFonts w:ascii="Verdana" w:hAnsi="Verdana"/>
          <w:sz w:val="16"/>
          <w:szCs w:val="16"/>
          <w:lang w:val="es-MX"/>
        </w:rPr>
        <w:t>.</w:t>
      </w:r>
    </w:p>
  </w:footnote>
  <w:footnote w:id="32">
    <w:p w14:paraId="36F4FE67" w14:textId="731DE12B" w:rsidR="00561282" w:rsidRPr="00EF7615" w:rsidRDefault="00561282" w:rsidP="00E7235A">
      <w:pPr>
        <w:pStyle w:val="Textonotapie"/>
        <w:jc w:val="both"/>
        <w:rPr>
          <w:rFonts w:ascii="Verdana" w:hAnsi="Verdana"/>
          <w:b/>
          <w:sz w:val="16"/>
          <w:szCs w:val="16"/>
          <w:lang w:val="es-MX"/>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EF7615">
        <w:rPr>
          <w:rFonts w:ascii="Verdana" w:hAnsi="Verdana"/>
          <w:sz w:val="16"/>
          <w:szCs w:val="16"/>
          <w:lang w:val="es-MX"/>
        </w:rPr>
        <w:tab/>
        <w:t>Anteriormente, en su informe de 8 de julio de 2020, Honduras refirió que había requerido información sobre el cumplimiento de la presente medida de reparación al Instituto de la Propiedad pero que “a causa de la emergencia por el COVID-19, no se ha[</w:t>
      </w:r>
      <w:proofErr w:type="spellStart"/>
      <w:r w:rsidRPr="00EF7615">
        <w:rPr>
          <w:rFonts w:ascii="Verdana" w:hAnsi="Verdana"/>
          <w:sz w:val="16"/>
          <w:szCs w:val="16"/>
          <w:lang w:val="es-MX"/>
        </w:rPr>
        <w:t>bía</w:t>
      </w:r>
      <w:proofErr w:type="spellEnd"/>
      <w:r w:rsidRPr="00EF7615">
        <w:rPr>
          <w:rFonts w:ascii="Verdana" w:hAnsi="Verdana"/>
          <w:sz w:val="16"/>
          <w:szCs w:val="16"/>
          <w:lang w:val="es-MX"/>
        </w:rPr>
        <w:t xml:space="preserve">] podido obtener dicha información”. </w:t>
      </w:r>
    </w:p>
  </w:footnote>
  <w:footnote w:id="33">
    <w:p w14:paraId="31514C8F" w14:textId="19FA6253" w:rsidR="00561282" w:rsidRPr="00EA6B65" w:rsidRDefault="00561282" w:rsidP="00EA6B65">
      <w:pPr>
        <w:pStyle w:val="Textonotapie"/>
        <w:jc w:val="both"/>
        <w:rPr>
          <w:rFonts w:ascii="Verdana" w:hAnsi="Verdana"/>
          <w:sz w:val="16"/>
          <w:szCs w:val="16"/>
          <w:lang w:val="es-MX"/>
        </w:rPr>
      </w:pPr>
      <w:r w:rsidRPr="00EA6B65">
        <w:rPr>
          <w:rStyle w:val="Refdenotaalpie"/>
          <w:rFonts w:ascii="Verdana" w:hAnsi="Verdana"/>
          <w:sz w:val="16"/>
          <w:szCs w:val="16"/>
        </w:rPr>
        <w:footnoteRef/>
      </w:r>
      <w:r w:rsidRPr="00A84D20">
        <w:rPr>
          <w:rFonts w:ascii="Verdana" w:hAnsi="Verdana"/>
          <w:sz w:val="16"/>
          <w:szCs w:val="16"/>
          <w:lang w:val="es-CR"/>
        </w:rPr>
        <w:t xml:space="preserve"> </w:t>
      </w:r>
      <w:r w:rsidRPr="00EA6B65">
        <w:rPr>
          <w:rFonts w:ascii="Verdana" w:hAnsi="Verdana"/>
          <w:sz w:val="16"/>
          <w:szCs w:val="16"/>
          <w:lang w:val="es-MX"/>
        </w:rPr>
        <w:tab/>
        <w:t>Esta medida fue or</w:t>
      </w:r>
      <w:r>
        <w:rPr>
          <w:rFonts w:ascii="Verdana" w:hAnsi="Verdana"/>
          <w:sz w:val="16"/>
          <w:szCs w:val="16"/>
          <w:lang w:val="es-MX"/>
        </w:rPr>
        <w:t>denada en el punto resolutivo dé</w:t>
      </w:r>
      <w:r w:rsidRPr="00EA6B65">
        <w:rPr>
          <w:rFonts w:ascii="Verdana" w:hAnsi="Verdana"/>
          <w:sz w:val="16"/>
          <w:szCs w:val="16"/>
          <w:lang w:val="es-MX"/>
        </w:rPr>
        <w:t>cimo</w:t>
      </w:r>
      <w:r>
        <w:rPr>
          <w:rFonts w:ascii="Verdana" w:hAnsi="Verdana"/>
          <w:sz w:val="16"/>
          <w:szCs w:val="16"/>
          <w:lang w:val="es-MX"/>
        </w:rPr>
        <w:t xml:space="preserve"> </w:t>
      </w:r>
      <w:r w:rsidRPr="00EA6B65">
        <w:rPr>
          <w:rFonts w:ascii="Verdana" w:hAnsi="Verdana"/>
          <w:sz w:val="16"/>
          <w:szCs w:val="16"/>
          <w:lang w:val="es-MX"/>
        </w:rPr>
        <w:t xml:space="preserve">séptimo y en el párrafo 353 de la Sentencia del caso </w:t>
      </w:r>
      <w:r w:rsidRPr="00EA6B65">
        <w:rPr>
          <w:rFonts w:ascii="Verdana" w:hAnsi="Verdana"/>
          <w:i/>
          <w:sz w:val="16"/>
          <w:szCs w:val="16"/>
          <w:lang w:val="es-MX"/>
        </w:rPr>
        <w:t>Punta Piedra</w:t>
      </w:r>
      <w:r>
        <w:rPr>
          <w:rFonts w:ascii="Verdana" w:hAnsi="Verdana"/>
          <w:sz w:val="16"/>
          <w:szCs w:val="16"/>
          <w:lang w:val="es-MX"/>
        </w:rPr>
        <w:t>, así como</w:t>
      </w:r>
      <w:r w:rsidRPr="00EA6B65">
        <w:rPr>
          <w:rFonts w:ascii="Verdana" w:hAnsi="Verdana"/>
          <w:sz w:val="16"/>
          <w:szCs w:val="16"/>
          <w:lang w:val="es-MX"/>
        </w:rPr>
        <w:t xml:space="preserve"> en el punto resolutivo octavo y en los párrafos 266 y 267 de la Sentencia del caso </w:t>
      </w:r>
      <w:r w:rsidRPr="00EA6B65">
        <w:rPr>
          <w:rFonts w:ascii="Verdana" w:hAnsi="Verdana"/>
          <w:i/>
          <w:sz w:val="16"/>
          <w:szCs w:val="16"/>
          <w:lang w:val="es-MX"/>
        </w:rPr>
        <w:t>Triunfo de la Cruz.</w:t>
      </w:r>
    </w:p>
  </w:footnote>
  <w:footnote w:id="34">
    <w:p w14:paraId="5564AC43" w14:textId="288FEE6C" w:rsidR="00561282" w:rsidRPr="00EF7615" w:rsidRDefault="00561282" w:rsidP="00E7235A">
      <w:pPr>
        <w:pStyle w:val="Textonotapie"/>
        <w:jc w:val="both"/>
        <w:rPr>
          <w:rFonts w:ascii="Verdana" w:hAnsi="Verdana"/>
          <w:sz w:val="16"/>
          <w:szCs w:val="16"/>
          <w:lang w:val="es-MX"/>
        </w:rPr>
      </w:pPr>
      <w:r w:rsidRPr="00EF7615">
        <w:rPr>
          <w:rStyle w:val="Refdenotaalpie"/>
          <w:rFonts w:ascii="Verdana" w:hAnsi="Verdana"/>
          <w:sz w:val="16"/>
          <w:szCs w:val="16"/>
          <w:lang w:val="es-MX"/>
        </w:rPr>
        <w:footnoteRef/>
      </w:r>
      <w:r w:rsidRPr="00EF7615">
        <w:rPr>
          <w:rFonts w:ascii="Verdana" w:hAnsi="Verdana"/>
          <w:sz w:val="16"/>
          <w:szCs w:val="16"/>
          <w:lang w:val="es-MX"/>
        </w:rPr>
        <w:t xml:space="preserve"> </w:t>
      </w:r>
      <w:r w:rsidRPr="00EF7615">
        <w:rPr>
          <w:rFonts w:ascii="Verdana" w:hAnsi="Verdana"/>
          <w:sz w:val="16"/>
          <w:szCs w:val="16"/>
          <w:lang w:val="es-MX"/>
        </w:rPr>
        <w:tab/>
      </w:r>
      <w:r>
        <w:rPr>
          <w:rFonts w:ascii="Verdana" w:hAnsi="Verdana"/>
          <w:i/>
          <w:sz w:val="16"/>
          <w:szCs w:val="16"/>
          <w:lang w:val="es-MX"/>
        </w:rPr>
        <w:t xml:space="preserve">Cfr. </w:t>
      </w:r>
      <w:r w:rsidRPr="00EF7615">
        <w:rPr>
          <w:rFonts w:ascii="Verdana" w:hAnsi="Verdana"/>
          <w:sz w:val="16"/>
          <w:szCs w:val="16"/>
          <w:lang w:val="es-MX"/>
        </w:rPr>
        <w:t xml:space="preserve">Oficio FGR Nro. 038-2020 del Ministerio Público de 9 de septiembre de 2020 (anexo al informe estatal de 11 de septiembre de 2020). </w:t>
      </w:r>
    </w:p>
  </w:footnote>
  <w:footnote w:id="35">
    <w:p w14:paraId="123156E4" w14:textId="5A10DD66" w:rsidR="00561282" w:rsidRPr="00F9088F" w:rsidRDefault="00561282" w:rsidP="00E7235A">
      <w:pPr>
        <w:pStyle w:val="Textonotapie"/>
        <w:jc w:val="both"/>
        <w:rPr>
          <w:rFonts w:ascii="Verdana" w:hAnsi="Verdana"/>
          <w:sz w:val="16"/>
          <w:szCs w:val="16"/>
          <w:lang w:val="es-MX"/>
        </w:rPr>
      </w:pPr>
      <w:r w:rsidRPr="00F9088F">
        <w:rPr>
          <w:rStyle w:val="Refdenotaalpie"/>
          <w:rFonts w:ascii="Verdana" w:hAnsi="Verdana"/>
          <w:sz w:val="16"/>
          <w:szCs w:val="16"/>
        </w:rPr>
        <w:footnoteRef/>
      </w:r>
      <w:r w:rsidRPr="00A84D20">
        <w:rPr>
          <w:rFonts w:ascii="Verdana" w:hAnsi="Verdana"/>
          <w:sz w:val="16"/>
          <w:szCs w:val="16"/>
          <w:lang w:val="es-CR"/>
        </w:rPr>
        <w:t xml:space="preserve"> </w:t>
      </w:r>
      <w:r w:rsidRPr="00F9088F">
        <w:rPr>
          <w:rFonts w:ascii="Verdana" w:hAnsi="Verdana"/>
          <w:sz w:val="16"/>
          <w:szCs w:val="16"/>
          <w:lang w:val="es-MX"/>
        </w:rPr>
        <w:tab/>
        <w:t>En la audiencia pública celebrada el 4 de marzo de 2021, el Estado refirió que había “</w:t>
      </w:r>
      <w:proofErr w:type="spellStart"/>
      <w:r w:rsidRPr="00F9088F">
        <w:rPr>
          <w:rFonts w:ascii="Verdana" w:hAnsi="Verdana"/>
          <w:sz w:val="16"/>
          <w:szCs w:val="16"/>
          <w:lang w:val="es-MX"/>
        </w:rPr>
        <w:t>program</w:t>
      </w:r>
      <w:proofErr w:type="spellEnd"/>
      <w:r w:rsidRPr="00F9088F">
        <w:rPr>
          <w:rFonts w:ascii="Verdana" w:hAnsi="Verdana"/>
          <w:sz w:val="16"/>
          <w:szCs w:val="16"/>
          <w:lang w:val="es-MX"/>
        </w:rPr>
        <w:t>[</w:t>
      </w:r>
      <w:proofErr w:type="spellStart"/>
      <w:r w:rsidRPr="00F9088F">
        <w:rPr>
          <w:rFonts w:ascii="Verdana" w:hAnsi="Verdana"/>
          <w:sz w:val="16"/>
          <w:szCs w:val="16"/>
          <w:lang w:val="es-MX"/>
        </w:rPr>
        <w:t>ado</w:t>
      </w:r>
      <w:proofErr w:type="spellEnd"/>
      <w:r w:rsidRPr="00F9088F">
        <w:rPr>
          <w:rFonts w:ascii="Verdana" w:hAnsi="Verdana"/>
          <w:sz w:val="16"/>
          <w:szCs w:val="16"/>
          <w:lang w:val="es-MX"/>
        </w:rPr>
        <w:t xml:space="preserve"> una] gira de trabajo [del] 22 al 26 de febrero del presente año para realizar las siguientes diligencias: </w:t>
      </w:r>
      <w:r>
        <w:rPr>
          <w:rFonts w:ascii="Verdana" w:hAnsi="Verdana"/>
          <w:sz w:val="16"/>
          <w:szCs w:val="16"/>
          <w:lang w:val="es-MX"/>
        </w:rPr>
        <w:t xml:space="preserve">[…] </w:t>
      </w:r>
      <w:r w:rsidRPr="00F9088F">
        <w:rPr>
          <w:rFonts w:ascii="Verdana" w:hAnsi="Verdana"/>
          <w:sz w:val="16"/>
          <w:szCs w:val="16"/>
          <w:lang w:val="es-MX"/>
        </w:rPr>
        <w:t>solicitar al juzgado señalamiento de fecha y hora para realizar la toma de declaraciones mediante prueba anticipada de un testigo</w:t>
      </w:r>
      <w:r>
        <w:rPr>
          <w:rFonts w:ascii="Verdana" w:hAnsi="Verdana"/>
          <w:sz w:val="16"/>
          <w:szCs w:val="16"/>
          <w:lang w:val="es-MX"/>
        </w:rPr>
        <w:t>[; …]</w:t>
      </w:r>
      <w:r w:rsidRPr="00F9088F">
        <w:rPr>
          <w:rFonts w:ascii="Verdana" w:hAnsi="Verdana"/>
          <w:sz w:val="16"/>
          <w:szCs w:val="16"/>
          <w:lang w:val="es-MX"/>
        </w:rPr>
        <w:t xml:space="preserve"> realizar las ubicaciones de las viviendas de los familiares de los sospechosos de la Comunidad de Río Miel […], y </w:t>
      </w:r>
      <w:r>
        <w:rPr>
          <w:rFonts w:ascii="Verdana" w:hAnsi="Verdana"/>
          <w:sz w:val="16"/>
          <w:szCs w:val="16"/>
          <w:lang w:val="es-MX"/>
        </w:rPr>
        <w:t>[…]</w:t>
      </w:r>
      <w:r w:rsidRPr="00F9088F">
        <w:rPr>
          <w:rFonts w:ascii="Verdana" w:hAnsi="Verdana"/>
          <w:sz w:val="16"/>
          <w:szCs w:val="16"/>
          <w:lang w:val="es-MX"/>
        </w:rPr>
        <w:t xml:space="preserve"> la identificación plena de los sospechosos para solicitar la correspondiente orden de captura”. El Estado no clarificó si dichas diligencias programadas se habían efectuado. Asimismo, se refirió a las “dificultades” para llevar a cabo la investigación, entre las cuales mencionó las “amenazas directas [y] visitas intimida[</w:t>
      </w:r>
      <w:proofErr w:type="spellStart"/>
      <w:r w:rsidRPr="00F9088F">
        <w:rPr>
          <w:rFonts w:ascii="Verdana" w:hAnsi="Verdana"/>
          <w:sz w:val="16"/>
          <w:szCs w:val="16"/>
          <w:lang w:val="es-MX"/>
        </w:rPr>
        <w:t>torias</w:t>
      </w:r>
      <w:proofErr w:type="spellEnd"/>
      <w:r w:rsidRPr="00F9088F">
        <w:rPr>
          <w:rFonts w:ascii="Verdana" w:hAnsi="Verdana"/>
          <w:sz w:val="16"/>
          <w:szCs w:val="16"/>
          <w:lang w:val="es-MX"/>
        </w:rPr>
        <w:t>] por los pobladores de la comunidad de Río Miel”</w:t>
      </w:r>
      <w:r>
        <w:rPr>
          <w:rFonts w:ascii="Verdana" w:hAnsi="Verdana"/>
          <w:sz w:val="16"/>
          <w:szCs w:val="16"/>
          <w:lang w:val="es-MX"/>
        </w:rPr>
        <w:t>,</w:t>
      </w:r>
      <w:r w:rsidRPr="00F9088F">
        <w:rPr>
          <w:rFonts w:ascii="Verdana" w:hAnsi="Verdana"/>
          <w:sz w:val="16"/>
          <w:szCs w:val="16"/>
          <w:lang w:val="es-MX"/>
        </w:rPr>
        <w:t xml:space="preserve"> y que los miembros de las Comunidades Garífunas “no dan mayor información por no tener autorización” de los representantes.</w:t>
      </w:r>
      <w:r>
        <w:rPr>
          <w:rFonts w:ascii="Verdana" w:hAnsi="Verdana"/>
          <w:sz w:val="16"/>
          <w:szCs w:val="16"/>
          <w:lang w:val="es-MX"/>
        </w:rPr>
        <w:t xml:space="preserve"> Al respecto, </w:t>
      </w:r>
      <w:r w:rsidRPr="00D61895">
        <w:rPr>
          <w:rFonts w:ascii="Verdana" w:hAnsi="Verdana"/>
          <w:sz w:val="16"/>
          <w:szCs w:val="16"/>
          <w:lang w:val="es-MX"/>
        </w:rPr>
        <w:t xml:space="preserve">en la referida audiencia pública </w:t>
      </w:r>
      <w:r>
        <w:rPr>
          <w:rFonts w:ascii="Verdana" w:hAnsi="Verdana"/>
          <w:sz w:val="16"/>
          <w:szCs w:val="16"/>
          <w:lang w:val="es-MX"/>
        </w:rPr>
        <w:t xml:space="preserve">los representantes </w:t>
      </w:r>
      <w:r w:rsidRPr="00D61895">
        <w:rPr>
          <w:rFonts w:ascii="Verdana" w:hAnsi="Verdana"/>
          <w:sz w:val="16"/>
          <w:szCs w:val="16"/>
          <w:lang w:val="es-MX"/>
        </w:rPr>
        <w:t>indicaron que “rechazan contundentemente las afirmaciones de que ha habido negativa de [los repres</w:t>
      </w:r>
      <w:r>
        <w:rPr>
          <w:rFonts w:ascii="Verdana" w:hAnsi="Verdana"/>
          <w:sz w:val="16"/>
          <w:szCs w:val="16"/>
          <w:lang w:val="es-MX"/>
        </w:rPr>
        <w:t>entantes] o los miembros de la C</w:t>
      </w:r>
      <w:r w:rsidRPr="00D61895">
        <w:rPr>
          <w:rFonts w:ascii="Verdana" w:hAnsi="Verdana"/>
          <w:sz w:val="16"/>
          <w:szCs w:val="16"/>
          <w:lang w:val="es-MX"/>
        </w:rPr>
        <w:t>omunidad en participar en las acciones que lleven al cumplimiento de la Sentencia”, y señalaron que “la investigación criminal es monopol</w:t>
      </w:r>
      <w:r>
        <w:rPr>
          <w:rFonts w:ascii="Verdana" w:hAnsi="Verdana"/>
          <w:sz w:val="16"/>
          <w:szCs w:val="16"/>
          <w:lang w:val="es-MX"/>
        </w:rPr>
        <w:t>io”</w:t>
      </w:r>
      <w:r w:rsidRPr="00D61895">
        <w:rPr>
          <w:rFonts w:ascii="Verdana" w:hAnsi="Verdana"/>
          <w:sz w:val="16"/>
          <w:szCs w:val="16"/>
          <w:lang w:val="es-MX"/>
        </w:rPr>
        <w:t xml:space="preserve"> y “potestad de imperio del Estado”, por lo que no es posible afirmar que “porque no se logró una entrevista con miembros de la [representación] y con sus familiares, entonces la investigación se detiene”.</w:t>
      </w:r>
    </w:p>
  </w:footnote>
  <w:footnote w:id="36">
    <w:p w14:paraId="2FE1E8F7" w14:textId="77777777" w:rsidR="00561282" w:rsidRPr="00EF7615" w:rsidRDefault="00561282" w:rsidP="00DB5050">
      <w:pPr>
        <w:pStyle w:val="Textonotapie"/>
        <w:jc w:val="both"/>
        <w:rPr>
          <w:rFonts w:ascii="Verdana" w:hAnsi="Verdana"/>
          <w:sz w:val="16"/>
          <w:szCs w:val="16"/>
          <w:lang w:val="es-MX"/>
        </w:rPr>
      </w:pPr>
      <w:r w:rsidRPr="00EF7615">
        <w:rPr>
          <w:rStyle w:val="Refdenotaalpie"/>
          <w:rFonts w:ascii="Verdana" w:hAnsi="Verdana"/>
          <w:sz w:val="16"/>
          <w:szCs w:val="16"/>
        </w:rPr>
        <w:footnoteRef/>
      </w:r>
      <w:r w:rsidRPr="00A84D20">
        <w:rPr>
          <w:rFonts w:ascii="Verdana" w:hAnsi="Verdana"/>
          <w:sz w:val="16"/>
          <w:szCs w:val="16"/>
          <w:lang w:val="es-CR"/>
        </w:rPr>
        <w:t xml:space="preserve"> </w:t>
      </w:r>
      <w:r w:rsidRPr="00A84D20">
        <w:rPr>
          <w:rFonts w:ascii="Verdana" w:hAnsi="Verdana"/>
          <w:sz w:val="16"/>
          <w:szCs w:val="16"/>
          <w:lang w:val="es-CR"/>
        </w:rPr>
        <w:tab/>
        <w:t xml:space="preserve">“La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D7185"/>
    <w:multiLevelType w:val="hybridMultilevel"/>
    <w:tmpl w:val="72AC8FB4"/>
    <w:lvl w:ilvl="0" w:tplc="140A000F">
      <w:start w:val="1"/>
      <w:numFmt w:val="decimal"/>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1" w15:restartNumberingAfterBreak="0">
    <w:nsid w:val="1AF54F1E"/>
    <w:multiLevelType w:val="hybridMultilevel"/>
    <w:tmpl w:val="1DE06A7A"/>
    <w:lvl w:ilvl="0" w:tplc="B4E2E0A6">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364"/>
        </w:tabs>
        <w:ind w:left="1364" w:hanging="360"/>
      </w:pPr>
    </w:lvl>
    <w:lvl w:ilvl="2" w:tplc="2B641726">
      <w:start w:val="1"/>
      <w:numFmt w:val="lowerLetter"/>
      <w:lvlText w:val="%3)"/>
      <w:lvlJc w:val="left"/>
      <w:pPr>
        <w:ind w:left="2279" w:hanging="375"/>
      </w:pPr>
      <w:rPr>
        <w:rFonts w:hint="default"/>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1C83729D"/>
    <w:multiLevelType w:val="hybridMultilevel"/>
    <w:tmpl w:val="92AA11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B078C3"/>
    <w:multiLevelType w:val="hybridMultilevel"/>
    <w:tmpl w:val="4F5859C6"/>
    <w:lvl w:ilvl="0" w:tplc="140A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33E81B1A"/>
    <w:multiLevelType w:val="hybridMultilevel"/>
    <w:tmpl w:val="9848B1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7398A"/>
    <w:multiLevelType w:val="hybridMultilevel"/>
    <w:tmpl w:val="69F44D2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D6100AD"/>
    <w:multiLevelType w:val="hybridMultilevel"/>
    <w:tmpl w:val="C7F2265E"/>
    <w:lvl w:ilvl="0" w:tplc="2E968F14">
      <w:start w:val="1"/>
      <w:numFmt w:val="decimal"/>
      <w:lvlText w:val="%1."/>
      <w:lvlJc w:val="left"/>
      <w:pPr>
        <w:ind w:left="501"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F66054"/>
    <w:multiLevelType w:val="hybridMultilevel"/>
    <w:tmpl w:val="86389D56"/>
    <w:lvl w:ilvl="0" w:tplc="140A000F">
      <w:start w:val="1"/>
      <w:numFmt w:val="decimal"/>
      <w:lvlText w:val="%1."/>
      <w:lvlJc w:val="left"/>
      <w:pPr>
        <w:ind w:left="3150" w:hanging="360"/>
      </w:pPr>
    </w:lvl>
    <w:lvl w:ilvl="1" w:tplc="140A0019" w:tentative="1">
      <w:start w:val="1"/>
      <w:numFmt w:val="lowerLetter"/>
      <w:lvlText w:val="%2."/>
      <w:lvlJc w:val="left"/>
      <w:pPr>
        <w:ind w:left="3870" w:hanging="360"/>
      </w:pPr>
    </w:lvl>
    <w:lvl w:ilvl="2" w:tplc="140A001B" w:tentative="1">
      <w:start w:val="1"/>
      <w:numFmt w:val="lowerRoman"/>
      <w:lvlText w:val="%3."/>
      <w:lvlJc w:val="right"/>
      <w:pPr>
        <w:ind w:left="4590" w:hanging="180"/>
      </w:pPr>
    </w:lvl>
    <w:lvl w:ilvl="3" w:tplc="140A0011">
      <w:start w:val="1"/>
      <w:numFmt w:val="decimal"/>
      <w:lvlText w:val="%4)"/>
      <w:lvlJc w:val="left"/>
      <w:pPr>
        <w:ind w:left="3337" w:hanging="360"/>
      </w:pPr>
    </w:lvl>
    <w:lvl w:ilvl="4" w:tplc="140A0019" w:tentative="1">
      <w:start w:val="1"/>
      <w:numFmt w:val="lowerLetter"/>
      <w:lvlText w:val="%5."/>
      <w:lvlJc w:val="left"/>
      <w:pPr>
        <w:ind w:left="6030" w:hanging="360"/>
      </w:pPr>
    </w:lvl>
    <w:lvl w:ilvl="5" w:tplc="140A001B" w:tentative="1">
      <w:start w:val="1"/>
      <w:numFmt w:val="lowerRoman"/>
      <w:lvlText w:val="%6."/>
      <w:lvlJc w:val="right"/>
      <w:pPr>
        <w:ind w:left="6750" w:hanging="180"/>
      </w:pPr>
    </w:lvl>
    <w:lvl w:ilvl="6" w:tplc="140A000F">
      <w:start w:val="1"/>
      <w:numFmt w:val="decimal"/>
      <w:lvlText w:val="%7."/>
      <w:lvlJc w:val="left"/>
      <w:pPr>
        <w:ind w:left="3195" w:hanging="360"/>
      </w:pPr>
    </w:lvl>
    <w:lvl w:ilvl="7" w:tplc="140A0019">
      <w:start w:val="1"/>
      <w:numFmt w:val="lowerLetter"/>
      <w:lvlText w:val="%8."/>
      <w:lvlJc w:val="left"/>
      <w:pPr>
        <w:ind w:left="8190" w:hanging="360"/>
      </w:pPr>
    </w:lvl>
    <w:lvl w:ilvl="8" w:tplc="140A001B" w:tentative="1">
      <w:start w:val="1"/>
      <w:numFmt w:val="lowerRoman"/>
      <w:lvlText w:val="%9."/>
      <w:lvlJc w:val="right"/>
      <w:pPr>
        <w:ind w:left="8910" w:hanging="180"/>
      </w:pPr>
    </w:lvl>
  </w:abstractNum>
  <w:abstractNum w:abstractNumId="9" w15:restartNumberingAfterBreak="0">
    <w:nsid w:val="44E26534"/>
    <w:multiLevelType w:val="hybridMultilevel"/>
    <w:tmpl w:val="1DE06A7A"/>
    <w:lvl w:ilvl="0" w:tplc="B4E2E0A6">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364"/>
        </w:tabs>
        <w:ind w:left="1364" w:hanging="360"/>
      </w:pPr>
    </w:lvl>
    <w:lvl w:ilvl="2" w:tplc="2B641726">
      <w:start w:val="1"/>
      <w:numFmt w:val="lowerLetter"/>
      <w:lvlText w:val="%3)"/>
      <w:lvlJc w:val="left"/>
      <w:pPr>
        <w:ind w:left="2279" w:hanging="375"/>
      </w:pPr>
      <w:rPr>
        <w:rFonts w:hint="default"/>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15:restartNumberingAfterBreak="0">
    <w:nsid w:val="4BBE0E90"/>
    <w:multiLevelType w:val="hybridMultilevel"/>
    <w:tmpl w:val="B2F618E4"/>
    <w:lvl w:ilvl="0" w:tplc="628C0350">
      <w:start w:val="1"/>
      <w:numFmt w:val="decimal"/>
      <w:lvlText w:val="%1."/>
      <w:lvlJc w:val="left"/>
      <w:pPr>
        <w:ind w:left="501"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4E50A15"/>
    <w:multiLevelType w:val="hybridMultilevel"/>
    <w:tmpl w:val="9848B1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10CCE"/>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56D3C"/>
    <w:multiLevelType w:val="hybridMultilevel"/>
    <w:tmpl w:val="15361E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74F0290"/>
    <w:multiLevelType w:val="hybridMultilevel"/>
    <w:tmpl w:val="A66E3262"/>
    <w:lvl w:ilvl="0" w:tplc="6000498E">
      <w:start w:val="1"/>
      <w:numFmt w:val="decimal"/>
      <w:lvlText w:val="%1."/>
      <w:lvlJc w:val="left"/>
      <w:pPr>
        <w:tabs>
          <w:tab w:val="num" w:pos="648"/>
        </w:tabs>
        <w:ind w:left="0" w:firstLine="0"/>
      </w:pPr>
      <w:rPr>
        <w:rFonts w:ascii="Verdana" w:hAnsi="Verdana" w:hint="default"/>
        <w:b w:val="0"/>
        <w:sz w:val="20"/>
        <w:szCs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71EC4805"/>
    <w:multiLevelType w:val="hybridMultilevel"/>
    <w:tmpl w:val="4F5859C6"/>
    <w:lvl w:ilvl="0" w:tplc="140A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600B3B"/>
    <w:multiLevelType w:val="hybridMultilevel"/>
    <w:tmpl w:val="71C2ACE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7C7425"/>
    <w:multiLevelType w:val="hybridMultilevel"/>
    <w:tmpl w:val="60562890"/>
    <w:lvl w:ilvl="0" w:tplc="67E2A2D0">
      <w:start w:val="1"/>
      <w:numFmt w:val="decimal"/>
      <w:lvlText w:val="%1."/>
      <w:lvlJc w:val="left"/>
      <w:pPr>
        <w:ind w:left="720" w:hanging="36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0"/>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8"/>
  </w:num>
  <w:num w:numId="12">
    <w:abstractNumId w:val="12"/>
  </w:num>
  <w:num w:numId="13">
    <w:abstractNumId w:val="16"/>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11"/>
  </w:num>
  <w:num w:numId="19">
    <w:abstractNumId w:val="2"/>
  </w:num>
  <w:num w:numId="2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CR" w:vendorID="64" w:dllVersion="0" w:nlCheck="1" w:checkStyle="0"/>
  <w:activeWritingStyle w:appName="MSWord" w:lang="en-US" w:vendorID="64" w:dllVersion="0" w:nlCheck="1" w:checkStyle="0"/>
  <w:activeWritingStyle w:appName="MSWord" w:lang="pt-BR" w:vendorID="64" w:dllVersion="0" w:nlCheck="1" w:checkStyle="0"/>
  <w:activeWritingStyle w:appName="MSWord" w:lang="pt-BR" w:vendorID="64" w:dllVersion="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D4F"/>
    <w:rsid w:val="00000C93"/>
    <w:rsid w:val="00003526"/>
    <w:rsid w:val="00004F95"/>
    <w:rsid w:val="0000617D"/>
    <w:rsid w:val="00006DB9"/>
    <w:rsid w:val="00011966"/>
    <w:rsid w:val="000121ED"/>
    <w:rsid w:val="000142A3"/>
    <w:rsid w:val="00014366"/>
    <w:rsid w:val="00014626"/>
    <w:rsid w:val="0001515D"/>
    <w:rsid w:val="000159FF"/>
    <w:rsid w:val="00016011"/>
    <w:rsid w:val="00016431"/>
    <w:rsid w:val="00017E73"/>
    <w:rsid w:val="0002220E"/>
    <w:rsid w:val="00024A8B"/>
    <w:rsid w:val="00024E28"/>
    <w:rsid w:val="000264F8"/>
    <w:rsid w:val="0002699A"/>
    <w:rsid w:val="00027193"/>
    <w:rsid w:val="0003039F"/>
    <w:rsid w:val="00030B36"/>
    <w:rsid w:val="00032A4E"/>
    <w:rsid w:val="00032DC9"/>
    <w:rsid w:val="000363D7"/>
    <w:rsid w:val="00036654"/>
    <w:rsid w:val="000368A4"/>
    <w:rsid w:val="00036946"/>
    <w:rsid w:val="00037483"/>
    <w:rsid w:val="00037A62"/>
    <w:rsid w:val="00037DE5"/>
    <w:rsid w:val="000404AB"/>
    <w:rsid w:val="00040684"/>
    <w:rsid w:val="00040B6E"/>
    <w:rsid w:val="00040F84"/>
    <w:rsid w:val="00041B4E"/>
    <w:rsid w:val="000424BA"/>
    <w:rsid w:val="00042ADA"/>
    <w:rsid w:val="00043B6F"/>
    <w:rsid w:val="000444EB"/>
    <w:rsid w:val="00044566"/>
    <w:rsid w:val="000457D4"/>
    <w:rsid w:val="00046F7E"/>
    <w:rsid w:val="00047288"/>
    <w:rsid w:val="000477CE"/>
    <w:rsid w:val="00051309"/>
    <w:rsid w:val="00051A67"/>
    <w:rsid w:val="000534CE"/>
    <w:rsid w:val="00053F84"/>
    <w:rsid w:val="000543B6"/>
    <w:rsid w:val="000546DF"/>
    <w:rsid w:val="00055FA5"/>
    <w:rsid w:val="00060773"/>
    <w:rsid w:val="0006095B"/>
    <w:rsid w:val="00060D08"/>
    <w:rsid w:val="00062392"/>
    <w:rsid w:val="0006247C"/>
    <w:rsid w:val="00062679"/>
    <w:rsid w:val="00063230"/>
    <w:rsid w:val="000639CE"/>
    <w:rsid w:val="00064748"/>
    <w:rsid w:val="00065653"/>
    <w:rsid w:val="00065B58"/>
    <w:rsid w:val="0006620E"/>
    <w:rsid w:val="0006797A"/>
    <w:rsid w:val="00067BD2"/>
    <w:rsid w:val="00070301"/>
    <w:rsid w:val="00072210"/>
    <w:rsid w:val="00072B1C"/>
    <w:rsid w:val="00073016"/>
    <w:rsid w:val="000734F1"/>
    <w:rsid w:val="000743CF"/>
    <w:rsid w:val="00074A0A"/>
    <w:rsid w:val="00074D9E"/>
    <w:rsid w:val="00076512"/>
    <w:rsid w:val="00077139"/>
    <w:rsid w:val="00077CD7"/>
    <w:rsid w:val="00086EA4"/>
    <w:rsid w:val="0009166C"/>
    <w:rsid w:val="00093A98"/>
    <w:rsid w:val="00096CE4"/>
    <w:rsid w:val="00096D7D"/>
    <w:rsid w:val="000A0ADB"/>
    <w:rsid w:val="000A114B"/>
    <w:rsid w:val="000A17A0"/>
    <w:rsid w:val="000A2B57"/>
    <w:rsid w:val="000A552E"/>
    <w:rsid w:val="000A63F0"/>
    <w:rsid w:val="000A7375"/>
    <w:rsid w:val="000B01FF"/>
    <w:rsid w:val="000B0FE6"/>
    <w:rsid w:val="000B143A"/>
    <w:rsid w:val="000B1E0C"/>
    <w:rsid w:val="000B290B"/>
    <w:rsid w:val="000B3179"/>
    <w:rsid w:val="000B3DDE"/>
    <w:rsid w:val="000B541A"/>
    <w:rsid w:val="000B702C"/>
    <w:rsid w:val="000C0420"/>
    <w:rsid w:val="000C042D"/>
    <w:rsid w:val="000C2BEA"/>
    <w:rsid w:val="000C5570"/>
    <w:rsid w:val="000C609F"/>
    <w:rsid w:val="000C7B30"/>
    <w:rsid w:val="000D0E61"/>
    <w:rsid w:val="000D23E2"/>
    <w:rsid w:val="000D247D"/>
    <w:rsid w:val="000D5673"/>
    <w:rsid w:val="000D5FAC"/>
    <w:rsid w:val="000E1063"/>
    <w:rsid w:val="000E1544"/>
    <w:rsid w:val="000E27A3"/>
    <w:rsid w:val="000E29DC"/>
    <w:rsid w:val="000E2AD7"/>
    <w:rsid w:val="000E2D9D"/>
    <w:rsid w:val="000E314A"/>
    <w:rsid w:val="000E320A"/>
    <w:rsid w:val="000E4CDA"/>
    <w:rsid w:val="000E50D8"/>
    <w:rsid w:val="000E5E54"/>
    <w:rsid w:val="000E71A9"/>
    <w:rsid w:val="000E7572"/>
    <w:rsid w:val="000F02A7"/>
    <w:rsid w:val="000F0570"/>
    <w:rsid w:val="000F0C43"/>
    <w:rsid w:val="000F1CF4"/>
    <w:rsid w:val="000F29C9"/>
    <w:rsid w:val="000F7827"/>
    <w:rsid w:val="00101DD9"/>
    <w:rsid w:val="00102481"/>
    <w:rsid w:val="00103769"/>
    <w:rsid w:val="00103B05"/>
    <w:rsid w:val="00104788"/>
    <w:rsid w:val="00106618"/>
    <w:rsid w:val="00106CFE"/>
    <w:rsid w:val="00107929"/>
    <w:rsid w:val="001115FE"/>
    <w:rsid w:val="00112F16"/>
    <w:rsid w:val="00113C3E"/>
    <w:rsid w:val="001141EE"/>
    <w:rsid w:val="00114356"/>
    <w:rsid w:val="00120C2D"/>
    <w:rsid w:val="00121288"/>
    <w:rsid w:val="0012256A"/>
    <w:rsid w:val="001235EA"/>
    <w:rsid w:val="00123AE8"/>
    <w:rsid w:val="0012561A"/>
    <w:rsid w:val="00132974"/>
    <w:rsid w:val="00132F09"/>
    <w:rsid w:val="00132F50"/>
    <w:rsid w:val="00134116"/>
    <w:rsid w:val="001346B7"/>
    <w:rsid w:val="0013602E"/>
    <w:rsid w:val="00136053"/>
    <w:rsid w:val="00136282"/>
    <w:rsid w:val="00136725"/>
    <w:rsid w:val="00137326"/>
    <w:rsid w:val="00137D7D"/>
    <w:rsid w:val="00140319"/>
    <w:rsid w:val="00141C87"/>
    <w:rsid w:val="00142892"/>
    <w:rsid w:val="0014433F"/>
    <w:rsid w:val="001444A1"/>
    <w:rsid w:val="00144943"/>
    <w:rsid w:val="0014599C"/>
    <w:rsid w:val="00145EA9"/>
    <w:rsid w:val="001502F6"/>
    <w:rsid w:val="00150C79"/>
    <w:rsid w:val="00153B56"/>
    <w:rsid w:val="001540F7"/>
    <w:rsid w:val="00156E17"/>
    <w:rsid w:val="00157974"/>
    <w:rsid w:val="001633AC"/>
    <w:rsid w:val="00163C46"/>
    <w:rsid w:val="00164B6A"/>
    <w:rsid w:val="00170DF2"/>
    <w:rsid w:val="001715A2"/>
    <w:rsid w:val="00172A0B"/>
    <w:rsid w:val="00172E9C"/>
    <w:rsid w:val="00173E04"/>
    <w:rsid w:val="00175067"/>
    <w:rsid w:val="001759FF"/>
    <w:rsid w:val="00176486"/>
    <w:rsid w:val="00176B96"/>
    <w:rsid w:val="00177A27"/>
    <w:rsid w:val="00180BB2"/>
    <w:rsid w:val="001877A5"/>
    <w:rsid w:val="001916B5"/>
    <w:rsid w:val="00191815"/>
    <w:rsid w:val="00191A48"/>
    <w:rsid w:val="00193CD3"/>
    <w:rsid w:val="001978EC"/>
    <w:rsid w:val="00197F8D"/>
    <w:rsid w:val="001A0FCF"/>
    <w:rsid w:val="001A1847"/>
    <w:rsid w:val="001A22A9"/>
    <w:rsid w:val="001A23A8"/>
    <w:rsid w:val="001A3510"/>
    <w:rsid w:val="001A4D47"/>
    <w:rsid w:val="001A526E"/>
    <w:rsid w:val="001A5939"/>
    <w:rsid w:val="001A6685"/>
    <w:rsid w:val="001A7302"/>
    <w:rsid w:val="001A7A19"/>
    <w:rsid w:val="001A7D4A"/>
    <w:rsid w:val="001B0433"/>
    <w:rsid w:val="001B0651"/>
    <w:rsid w:val="001B0BB6"/>
    <w:rsid w:val="001B501F"/>
    <w:rsid w:val="001B525D"/>
    <w:rsid w:val="001B5547"/>
    <w:rsid w:val="001B6169"/>
    <w:rsid w:val="001B618D"/>
    <w:rsid w:val="001C048B"/>
    <w:rsid w:val="001C0DED"/>
    <w:rsid w:val="001C1572"/>
    <w:rsid w:val="001C16BD"/>
    <w:rsid w:val="001C223A"/>
    <w:rsid w:val="001C3529"/>
    <w:rsid w:val="001C3AB5"/>
    <w:rsid w:val="001C3D4D"/>
    <w:rsid w:val="001C483E"/>
    <w:rsid w:val="001C5E0F"/>
    <w:rsid w:val="001C6F38"/>
    <w:rsid w:val="001C70A4"/>
    <w:rsid w:val="001C7D73"/>
    <w:rsid w:val="001C7FF3"/>
    <w:rsid w:val="001D2018"/>
    <w:rsid w:val="001D225F"/>
    <w:rsid w:val="001D2812"/>
    <w:rsid w:val="001D4F99"/>
    <w:rsid w:val="001D5633"/>
    <w:rsid w:val="001E19A3"/>
    <w:rsid w:val="001E23A6"/>
    <w:rsid w:val="001E4180"/>
    <w:rsid w:val="001E43A2"/>
    <w:rsid w:val="001E557C"/>
    <w:rsid w:val="001E59FD"/>
    <w:rsid w:val="001E6189"/>
    <w:rsid w:val="001E64A7"/>
    <w:rsid w:val="001F019B"/>
    <w:rsid w:val="001F0D57"/>
    <w:rsid w:val="001F10A0"/>
    <w:rsid w:val="001F378A"/>
    <w:rsid w:val="001F62D3"/>
    <w:rsid w:val="00200A26"/>
    <w:rsid w:val="0020120B"/>
    <w:rsid w:val="00201CA9"/>
    <w:rsid w:val="00202E30"/>
    <w:rsid w:val="00204A2F"/>
    <w:rsid w:val="00205D33"/>
    <w:rsid w:val="00210718"/>
    <w:rsid w:val="00210D4B"/>
    <w:rsid w:val="00210EE4"/>
    <w:rsid w:val="0021729A"/>
    <w:rsid w:val="002174A2"/>
    <w:rsid w:val="0022285C"/>
    <w:rsid w:val="00222DAE"/>
    <w:rsid w:val="00223190"/>
    <w:rsid w:val="002241A4"/>
    <w:rsid w:val="002248C0"/>
    <w:rsid w:val="00224D77"/>
    <w:rsid w:val="002253F6"/>
    <w:rsid w:val="00225C4E"/>
    <w:rsid w:val="00230E45"/>
    <w:rsid w:val="002325B9"/>
    <w:rsid w:val="0023290D"/>
    <w:rsid w:val="00233798"/>
    <w:rsid w:val="00234BFB"/>
    <w:rsid w:val="002350E4"/>
    <w:rsid w:val="00235FA5"/>
    <w:rsid w:val="00236245"/>
    <w:rsid w:val="00236C4D"/>
    <w:rsid w:val="0024188C"/>
    <w:rsid w:val="002432C2"/>
    <w:rsid w:val="002439D0"/>
    <w:rsid w:val="00243B67"/>
    <w:rsid w:val="00244281"/>
    <w:rsid w:val="002446E6"/>
    <w:rsid w:val="00244A31"/>
    <w:rsid w:val="00244DE8"/>
    <w:rsid w:val="00245CE3"/>
    <w:rsid w:val="00246221"/>
    <w:rsid w:val="00247B4B"/>
    <w:rsid w:val="0025143F"/>
    <w:rsid w:val="00251DB6"/>
    <w:rsid w:val="00253240"/>
    <w:rsid w:val="0025511E"/>
    <w:rsid w:val="00255B9F"/>
    <w:rsid w:val="00256517"/>
    <w:rsid w:val="00256A41"/>
    <w:rsid w:val="00256B46"/>
    <w:rsid w:val="00260112"/>
    <w:rsid w:val="002607C6"/>
    <w:rsid w:val="00263218"/>
    <w:rsid w:val="00264887"/>
    <w:rsid w:val="00265A04"/>
    <w:rsid w:val="00265EBD"/>
    <w:rsid w:val="00267DF3"/>
    <w:rsid w:val="00271105"/>
    <w:rsid w:val="00271DC5"/>
    <w:rsid w:val="00272376"/>
    <w:rsid w:val="002733A0"/>
    <w:rsid w:val="002751B7"/>
    <w:rsid w:val="00276A9C"/>
    <w:rsid w:val="00277370"/>
    <w:rsid w:val="002776A8"/>
    <w:rsid w:val="00277AAB"/>
    <w:rsid w:val="0028181B"/>
    <w:rsid w:val="00282608"/>
    <w:rsid w:val="00282B6A"/>
    <w:rsid w:val="002835BA"/>
    <w:rsid w:val="00285A61"/>
    <w:rsid w:val="002878CB"/>
    <w:rsid w:val="00287B1D"/>
    <w:rsid w:val="00290176"/>
    <w:rsid w:val="002911F3"/>
    <w:rsid w:val="0029195E"/>
    <w:rsid w:val="00292657"/>
    <w:rsid w:val="002949C7"/>
    <w:rsid w:val="002955A5"/>
    <w:rsid w:val="002978F2"/>
    <w:rsid w:val="002A0014"/>
    <w:rsid w:val="002A100F"/>
    <w:rsid w:val="002A1BCF"/>
    <w:rsid w:val="002A1BEB"/>
    <w:rsid w:val="002A332B"/>
    <w:rsid w:val="002A3FE8"/>
    <w:rsid w:val="002A4059"/>
    <w:rsid w:val="002A4405"/>
    <w:rsid w:val="002A4433"/>
    <w:rsid w:val="002A6846"/>
    <w:rsid w:val="002A6A70"/>
    <w:rsid w:val="002A727E"/>
    <w:rsid w:val="002B0BE2"/>
    <w:rsid w:val="002B0D3C"/>
    <w:rsid w:val="002B19A5"/>
    <w:rsid w:val="002B1A24"/>
    <w:rsid w:val="002B2018"/>
    <w:rsid w:val="002B366B"/>
    <w:rsid w:val="002B4690"/>
    <w:rsid w:val="002B58C4"/>
    <w:rsid w:val="002B5B09"/>
    <w:rsid w:val="002B604E"/>
    <w:rsid w:val="002B625E"/>
    <w:rsid w:val="002C0A56"/>
    <w:rsid w:val="002C14DE"/>
    <w:rsid w:val="002C1685"/>
    <w:rsid w:val="002C304C"/>
    <w:rsid w:val="002C317F"/>
    <w:rsid w:val="002C33E5"/>
    <w:rsid w:val="002C4036"/>
    <w:rsid w:val="002C4201"/>
    <w:rsid w:val="002C5F27"/>
    <w:rsid w:val="002D018B"/>
    <w:rsid w:val="002D7C72"/>
    <w:rsid w:val="002E0222"/>
    <w:rsid w:val="002E1101"/>
    <w:rsid w:val="002E1EEC"/>
    <w:rsid w:val="002E2E3E"/>
    <w:rsid w:val="002E305D"/>
    <w:rsid w:val="002E484D"/>
    <w:rsid w:val="002E5E90"/>
    <w:rsid w:val="002E64E0"/>
    <w:rsid w:val="002E6550"/>
    <w:rsid w:val="002F006C"/>
    <w:rsid w:val="002F034A"/>
    <w:rsid w:val="002F2AC4"/>
    <w:rsid w:val="002F50F0"/>
    <w:rsid w:val="00300D02"/>
    <w:rsid w:val="00302DAA"/>
    <w:rsid w:val="00303242"/>
    <w:rsid w:val="00303ACC"/>
    <w:rsid w:val="00303D52"/>
    <w:rsid w:val="003040D7"/>
    <w:rsid w:val="0030486D"/>
    <w:rsid w:val="003049BB"/>
    <w:rsid w:val="00304C7F"/>
    <w:rsid w:val="00305471"/>
    <w:rsid w:val="00305BDB"/>
    <w:rsid w:val="00306011"/>
    <w:rsid w:val="00306148"/>
    <w:rsid w:val="00306B0A"/>
    <w:rsid w:val="00306E6B"/>
    <w:rsid w:val="003139CB"/>
    <w:rsid w:val="00314864"/>
    <w:rsid w:val="00314A94"/>
    <w:rsid w:val="003151C8"/>
    <w:rsid w:val="00316149"/>
    <w:rsid w:val="0031696B"/>
    <w:rsid w:val="0031749C"/>
    <w:rsid w:val="00317806"/>
    <w:rsid w:val="00317822"/>
    <w:rsid w:val="00317DB3"/>
    <w:rsid w:val="003202D8"/>
    <w:rsid w:val="003213FD"/>
    <w:rsid w:val="00322612"/>
    <w:rsid w:val="003252B1"/>
    <w:rsid w:val="0032570B"/>
    <w:rsid w:val="00326816"/>
    <w:rsid w:val="003303A0"/>
    <w:rsid w:val="003320E3"/>
    <w:rsid w:val="0033372A"/>
    <w:rsid w:val="003359EC"/>
    <w:rsid w:val="00336D48"/>
    <w:rsid w:val="003370F7"/>
    <w:rsid w:val="003378FC"/>
    <w:rsid w:val="00337B59"/>
    <w:rsid w:val="00337FAA"/>
    <w:rsid w:val="00342801"/>
    <w:rsid w:val="00342BD7"/>
    <w:rsid w:val="00342CE4"/>
    <w:rsid w:val="00343B95"/>
    <w:rsid w:val="00343FC2"/>
    <w:rsid w:val="003453C7"/>
    <w:rsid w:val="003453F7"/>
    <w:rsid w:val="0034575B"/>
    <w:rsid w:val="00345E6F"/>
    <w:rsid w:val="00346F6C"/>
    <w:rsid w:val="00350FF2"/>
    <w:rsid w:val="0035134D"/>
    <w:rsid w:val="00351457"/>
    <w:rsid w:val="00353B1C"/>
    <w:rsid w:val="0035455C"/>
    <w:rsid w:val="003548C2"/>
    <w:rsid w:val="003560BA"/>
    <w:rsid w:val="003563C4"/>
    <w:rsid w:val="0035646B"/>
    <w:rsid w:val="00357C33"/>
    <w:rsid w:val="00357F47"/>
    <w:rsid w:val="00362576"/>
    <w:rsid w:val="0036260B"/>
    <w:rsid w:val="003631F8"/>
    <w:rsid w:val="0036327C"/>
    <w:rsid w:val="00365B6B"/>
    <w:rsid w:val="00366370"/>
    <w:rsid w:val="0036774A"/>
    <w:rsid w:val="003677AA"/>
    <w:rsid w:val="00367E71"/>
    <w:rsid w:val="003714A9"/>
    <w:rsid w:val="00372198"/>
    <w:rsid w:val="00372290"/>
    <w:rsid w:val="003728DD"/>
    <w:rsid w:val="00373956"/>
    <w:rsid w:val="00374AB2"/>
    <w:rsid w:val="00375E7C"/>
    <w:rsid w:val="0037625C"/>
    <w:rsid w:val="00376CC9"/>
    <w:rsid w:val="00377207"/>
    <w:rsid w:val="003801C7"/>
    <w:rsid w:val="00380604"/>
    <w:rsid w:val="00380A4C"/>
    <w:rsid w:val="00382381"/>
    <w:rsid w:val="00382617"/>
    <w:rsid w:val="00383078"/>
    <w:rsid w:val="0038360F"/>
    <w:rsid w:val="003840A3"/>
    <w:rsid w:val="00384521"/>
    <w:rsid w:val="00384D60"/>
    <w:rsid w:val="00384F4E"/>
    <w:rsid w:val="00385396"/>
    <w:rsid w:val="0038562F"/>
    <w:rsid w:val="00386F40"/>
    <w:rsid w:val="00387575"/>
    <w:rsid w:val="003878CA"/>
    <w:rsid w:val="00390061"/>
    <w:rsid w:val="00390D23"/>
    <w:rsid w:val="003916E6"/>
    <w:rsid w:val="00392203"/>
    <w:rsid w:val="00392FA8"/>
    <w:rsid w:val="00393991"/>
    <w:rsid w:val="00393F1D"/>
    <w:rsid w:val="003957BE"/>
    <w:rsid w:val="00397C25"/>
    <w:rsid w:val="003A023E"/>
    <w:rsid w:val="003A0D3B"/>
    <w:rsid w:val="003A3682"/>
    <w:rsid w:val="003A474D"/>
    <w:rsid w:val="003B01C3"/>
    <w:rsid w:val="003B3A6D"/>
    <w:rsid w:val="003B4EBF"/>
    <w:rsid w:val="003C11A2"/>
    <w:rsid w:val="003C1505"/>
    <w:rsid w:val="003C1550"/>
    <w:rsid w:val="003C3057"/>
    <w:rsid w:val="003C4013"/>
    <w:rsid w:val="003C4FBD"/>
    <w:rsid w:val="003C7B35"/>
    <w:rsid w:val="003D10E5"/>
    <w:rsid w:val="003D2021"/>
    <w:rsid w:val="003D30E0"/>
    <w:rsid w:val="003D46DD"/>
    <w:rsid w:val="003D4A49"/>
    <w:rsid w:val="003D4B93"/>
    <w:rsid w:val="003D6C2F"/>
    <w:rsid w:val="003E00DA"/>
    <w:rsid w:val="003E1141"/>
    <w:rsid w:val="003E3DB7"/>
    <w:rsid w:val="003E423E"/>
    <w:rsid w:val="003E4608"/>
    <w:rsid w:val="003E4CF5"/>
    <w:rsid w:val="003E590D"/>
    <w:rsid w:val="003E70D1"/>
    <w:rsid w:val="003F0C51"/>
    <w:rsid w:val="003F22C8"/>
    <w:rsid w:val="003F2A8A"/>
    <w:rsid w:val="003F5288"/>
    <w:rsid w:val="003F5F46"/>
    <w:rsid w:val="003F6593"/>
    <w:rsid w:val="004037C3"/>
    <w:rsid w:val="004037CB"/>
    <w:rsid w:val="0040477C"/>
    <w:rsid w:val="004051EA"/>
    <w:rsid w:val="004058DF"/>
    <w:rsid w:val="004063E0"/>
    <w:rsid w:val="00407D2C"/>
    <w:rsid w:val="004111F3"/>
    <w:rsid w:val="00417069"/>
    <w:rsid w:val="00417478"/>
    <w:rsid w:val="004203C4"/>
    <w:rsid w:val="00421A4B"/>
    <w:rsid w:val="0042257C"/>
    <w:rsid w:val="00422EFD"/>
    <w:rsid w:val="00424F4B"/>
    <w:rsid w:val="00426450"/>
    <w:rsid w:val="004267A7"/>
    <w:rsid w:val="004268C3"/>
    <w:rsid w:val="00427378"/>
    <w:rsid w:val="004307F4"/>
    <w:rsid w:val="00431307"/>
    <w:rsid w:val="00433F85"/>
    <w:rsid w:val="004372CF"/>
    <w:rsid w:val="0044042C"/>
    <w:rsid w:val="0044076D"/>
    <w:rsid w:val="00440A80"/>
    <w:rsid w:val="00440B6C"/>
    <w:rsid w:val="00441DB4"/>
    <w:rsid w:val="00443D74"/>
    <w:rsid w:val="00444BC9"/>
    <w:rsid w:val="0044658C"/>
    <w:rsid w:val="004500D1"/>
    <w:rsid w:val="00450D75"/>
    <w:rsid w:val="004517B4"/>
    <w:rsid w:val="00452C6A"/>
    <w:rsid w:val="00453865"/>
    <w:rsid w:val="00456387"/>
    <w:rsid w:val="00456633"/>
    <w:rsid w:val="0045756A"/>
    <w:rsid w:val="004633A4"/>
    <w:rsid w:val="00464ED6"/>
    <w:rsid w:val="00465C31"/>
    <w:rsid w:val="0046737D"/>
    <w:rsid w:val="004674A2"/>
    <w:rsid w:val="00467AED"/>
    <w:rsid w:val="00471329"/>
    <w:rsid w:val="00471923"/>
    <w:rsid w:val="0047217D"/>
    <w:rsid w:val="0047228E"/>
    <w:rsid w:val="00475416"/>
    <w:rsid w:val="00480B28"/>
    <w:rsid w:val="0048138F"/>
    <w:rsid w:val="00483831"/>
    <w:rsid w:val="00484691"/>
    <w:rsid w:val="00484BD0"/>
    <w:rsid w:val="00485674"/>
    <w:rsid w:val="00486805"/>
    <w:rsid w:val="00494C60"/>
    <w:rsid w:val="004955AB"/>
    <w:rsid w:val="00495BF3"/>
    <w:rsid w:val="00496D9E"/>
    <w:rsid w:val="004971B8"/>
    <w:rsid w:val="004972D7"/>
    <w:rsid w:val="004A31B5"/>
    <w:rsid w:val="004A3773"/>
    <w:rsid w:val="004A3EC4"/>
    <w:rsid w:val="004A5EF1"/>
    <w:rsid w:val="004A6365"/>
    <w:rsid w:val="004A6627"/>
    <w:rsid w:val="004A6A22"/>
    <w:rsid w:val="004A73E8"/>
    <w:rsid w:val="004A7FB0"/>
    <w:rsid w:val="004B2193"/>
    <w:rsid w:val="004B392B"/>
    <w:rsid w:val="004B4000"/>
    <w:rsid w:val="004B56D3"/>
    <w:rsid w:val="004C04C4"/>
    <w:rsid w:val="004C05AA"/>
    <w:rsid w:val="004C268E"/>
    <w:rsid w:val="004C27EE"/>
    <w:rsid w:val="004C41A4"/>
    <w:rsid w:val="004C41F8"/>
    <w:rsid w:val="004C430A"/>
    <w:rsid w:val="004C7B35"/>
    <w:rsid w:val="004C7C59"/>
    <w:rsid w:val="004C7DE3"/>
    <w:rsid w:val="004C7E5C"/>
    <w:rsid w:val="004D2BE0"/>
    <w:rsid w:val="004D3129"/>
    <w:rsid w:val="004D31C4"/>
    <w:rsid w:val="004D3929"/>
    <w:rsid w:val="004D40FA"/>
    <w:rsid w:val="004D4C34"/>
    <w:rsid w:val="004D50B3"/>
    <w:rsid w:val="004D54D2"/>
    <w:rsid w:val="004D6330"/>
    <w:rsid w:val="004D6890"/>
    <w:rsid w:val="004D6B4D"/>
    <w:rsid w:val="004D75A5"/>
    <w:rsid w:val="004D764E"/>
    <w:rsid w:val="004E06B1"/>
    <w:rsid w:val="004E37EE"/>
    <w:rsid w:val="004E3998"/>
    <w:rsid w:val="004E6320"/>
    <w:rsid w:val="004E76B0"/>
    <w:rsid w:val="004E7702"/>
    <w:rsid w:val="004E79E1"/>
    <w:rsid w:val="004E79E3"/>
    <w:rsid w:val="004F4B79"/>
    <w:rsid w:val="004F7B3B"/>
    <w:rsid w:val="005012E3"/>
    <w:rsid w:val="00501BB6"/>
    <w:rsid w:val="00502CA6"/>
    <w:rsid w:val="00503458"/>
    <w:rsid w:val="005034A8"/>
    <w:rsid w:val="005034CA"/>
    <w:rsid w:val="00505829"/>
    <w:rsid w:val="00507E83"/>
    <w:rsid w:val="00511D4F"/>
    <w:rsid w:val="005148F8"/>
    <w:rsid w:val="00515286"/>
    <w:rsid w:val="0051635A"/>
    <w:rsid w:val="005173F6"/>
    <w:rsid w:val="00517914"/>
    <w:rsid w:val="00520034"/>
    <w:rsid w:val="00520868"/>
    <w:rsid w:val="00521176"/>
    <w:rsid w:val="00523004"/>
    <w:rsid w:val="005237EB"/>
    <w:rsid w:val="005300A1"/>
    <w:rsid w:val="00530289"/>
    <w:rsid w:val="005326B7"/>
    <w:rsid w:val="00533307"/>
    <w:rsid w:val="00533F1D"/>
    <w:rsid w:val="00533F4B"/>
    <w:rsid w:val="005362D4"/>
    <w:rsid w:val="005369E9"/>
    <w:rsid w:val="00540471"/>
    <w:rsid w:val="00540875"/>
    <w:rsid w:val="00541208"/>
    <w:rsid w:val="005439B2"/>
    <w:rsid w:val="00544D6D"/>
    <w:rsid w:val="005460D3"/>
    <w:rsid w:val="00547E1A"/>
    <w:rsid w:val="0055188F"/>
    <w:rsid w:val="0055296B"/>
    <w:rsid w:val="00555371"/>
    <w:rsid w:val="0055608E"/>
    <w:rsid w:val="00560316"/>
    <w:rsid w:val="00561282"/>
    <w:rsid w:val="005624E4"/>
    <w:rsid w:val="00562EB3"/>
    <w:rsid w:val="00563E3A"/>
    <w:rsid w:val="00563E9B"/>
    <w:rsid w:val="00564D83"/>
    <w:rsid w:val="00565F2A"/>
    <w:rsid w:val="00566985"/>
    <w:rsid w:val="00567043"/>
    <w:rsid w:val="005702BA"/>
    <w:rsid w:val="00570543"/>
    <w:rsid w:val="00571328"/>
    <w:rsid w:val="00571468"/>
    <w:rsid w:val="0057155D"/>
    <w:rsid w:val="00571888"/>
    <w:rsid w:val="005722D3"/>
    <w:rsid w:val="005728E9"/>
    <w:rsid w:val="00573001"/>
    <w:rsid w:val="00573B11"/>
    <w:rsid w:val="0057485F"/>
    <w:rsid w:val="0057609C"/>
    <w:rsid w:val="00576156"/>
    <w:rsid w:val="0057760E"/>
    <w:rsid w:val="0058049A"/>
    <w:rsid w:val="005809F6"/>
    <w:rsid w:val="00582FFB"/>
    <w:rsid w:val="00585FB4"/>
    <w:rsid w:val="0059149A"/>
    <w:rsid w:val="005921C0"/>
    <w:rsid w:val="005923F4"/>
    <w:rsid w:val="00593569"/>
    <w:rsid w:val="005947C4"/>
    <w:rsid w:val="005952CF"/>
    <w:rsid w:val="00595C57"/>
    <w:rsid w:val="0059605C"/>
    <w:rsid w:val="00596D5E"/>
    <w:rsid w:val="005A15F0"/>
    <w:rsid w:val="005A1B3D"/>
    <w:rsid w:val="005A29F3"/>
    <w:rsid w:val="005A2E0C"/>
    <w:rsid w:val="005A2E32"/>
    <w:rsid w:val="005A38AC"/>
    <w:rsid w:val="005A5435"/>
    <w:rsid w:val="005A5BF2"/>
    <w:rsid w:val="005A652A"/>
    <w:rsid w:val="005A7EB4"/>
    <w:rsid w:val="005B146B"/>
    <w:rsid w:val="005B15F4"/>
    <w:rsid w:val="005B3B1C"/>
    <w:rsid w:val="005B3F69"/>
    <w:rsid w:val="005B4A61"/>
    <w:rsid w:val="005B4E25"/>
    <w:rsid w:val="005B5CF2"/>
    <w:rsid w:val="005B5DE1"/>
    <w:rsid w:val="005C016A"/>
    <w:rsid w:val="005C025D"/>
    <w:rsid w:val="005C0DF5"/>
    <w:rsid w:val="005C3529"/>
    <w:rsid w:val="005C3A55"/>
    <w:rsid w:val="005C3EAB"/>
    <w:rsid w:val="005C3FEC"/>
    <w:rsid w:val="005C43C5"/>
    <w:rsid w:val="005C47CA"/>
    <w:rsid w:val="005C6019"/>
    <w:rsid w:val="005C625B"/>
    <w:rsid w:val="005C6DF2"/>
    <w:rsid w:val="005D0846"/>
    <w:rsid w:val="005D26C7"/>
    <w:rsid w:val="005D2D22"/>
    <w:rsid w:val="005D3993"/>
    <w:rsid w:val="005D5BD6"/>
    <w:rsid w:val="005D5CEE"/>
    <w:rsid w:val="005D68FE"/>
    <w:rsid w:val="005D6A03"/>
    <w:rsid w:val="005E0864"/>
    <w:rsid w:val="005E08B4"/>
    <w:rsid w:val="005E1062"/>
    <w:rsid w:val="005E3AA2"/>
    <w:rsid w:val="005E499B"/>
    <w:rsid w:val="005E7AFC"/>
    <w:rsid w:val="005F02DE"/>
    <w:rsid w:val="005F3607"/>
    <w:rsid w:val="005F402B"/>
    <w:rsid w:val="005F40A3"/>
    <w:rsid w:val="005F47C5"/>
    <w:rsid w:val="005F5FCA"/>
    <w:rsid w:val="005F655B"/>
    <w:rsid w:val="005F7C9B"/>
    <w:rsid w:val="0060189A"/>
    <w:rsid w:val="00601BB5"/>
    <w:rsid w:val="00604521"/>
    <w:rsid w:val="00604A2E"/>
    <w:rsid w:val="00605849"/>
    <w:rsid w:val="00605D6F"/>
    <w:rsid w:val="00605FC0"/>
    <w:rsid w:val="006063C0"/>
    <w:rsid w:val="006063D6"/>
    <w:rsid w:val="00606C37"/>
    <w:rsid w:val="00611911"/>
    <w:rsid w:val="00612458"/>
    <w:rsid w:val="00613151"/>
    <w:rsid w:val="00613B0B"/>
    <w:rsid w:val="00614CBC"/>
    <w:rsid w:val="00615157"/>
    <w:rsid w:val="00615471"/>
    <w:rsid w:val="006174E3"/>
    <w:rsid w:val="0061765F"/>
    <w:rsid w:val="00617A05"/>
    <w:rsid w:val="00621AAF"/>
    <w:rsid w:val="006230A5"/>
    <w:rsid w:val="006232CA"/>
    <w:rsid w:val="00624BAD"/>
    <w:rsid w:val="00626183"/>
    <w:rsid w:val="00626E5C"/>
    <w:rsid w:val="00632346"/>
    <w:rsid w:val="00633F7C"/>
    <w:rsid w:val="00634041"/>
    <w:rsid w:val="006347AA"/>
    <w:rsid w:val="00635C41"/>
    <w:rsid w:val="00637414"/>
    <w:rsid w:val="00637484"/>
    <w:rsid w:val="00637E9D"/>
    <w:rsid w:val="006402BF"/>
    <w:rsid w:val="00641A79"/>
    <w:rsid w:val="00643491"/>
    <w:rsid w:val="00644045"/>
    <w:rsid w:val="00644DAC"/>
    <w:rsid w:val="00650832"/>
    <w:rsid w:val="00651322"/>
    <w:rsid w:val="00651E50"/>
    <w:rsid w:val="00654FCC"/>
    <w:rsid w:val="0065581A"/>
    <w:rsid w:val="00656B92"/>
    <w:rsid w:val="00657109"/>
    <w:rsid w:val="00657427"/>
    <w:rsid w:val="006609B6"/>
    <w:rsid w:val="0066175B"/>
    <w:rsid w:val="00661BCC"/>
    <w:rsid w:val="00662CA4"/>
    <w:rsid w:val="00664752"/>
    <w:rsid w:val="00665ECF"/>
    <w:rsid w:val="0066670D"/>
    <w:rsid w:val="00666986"/>
    <w:rsid w:val="00671120"/>
    <w:rsid w:val="006744E5"/>
    <w:rsid w:val="00675265"/>
    <w:rsid w:val="006760C0"/>
    <w:rsid w:val="00676298"/>
    <w:rsid w:val="006772ED"/>
    <w:rsid w:val="00677344"/>
    <w:rsid w:val="00677670"/>
    <w:rsid w:val="00680283"/>
    <w:rsid w:val="00680788"/>
    <w:rsid w:val="006816A0"/>
    <w:rsid w:val="00681861"/>
    <w:rsid w:val="006818D3"/>
    <w:rsid w:val="00682904"/>
    <w:rsid w:val="00684C4D"/>
    <w:rsid w:val="00684D0B"/>
    <w:rsid w:val="00685361"/>
    <w:rsid w:val="00690F38"/>
    <w:rsid w:val="00691A77"/>
    <w:rsid w:val="006921EA"/>
    <w:rsid w:val="00693B7B"/>
    <w:rsid w:val="00694EF7"/>
    <w:rsid w:val="00696093"/>
    <w:rsid w:val="00696331"/>
    <w:rsid w:val="00697E74"/>
    <w:rsid w:val="006A06BC"/>
    <w:rsid w:val="006A08FC"/>
    <w:rsid w:val="006A44E3"/>
    <w:rsid w:val="006A558D"/>
    <w:rsid w:val="006A5B3F"/>
    <w:rsid w:val="006A7AD2"/>
    <w:rsid w:val="006B2725"/>
    <w:rsid w:val="006B5FBC"/>
    <w:rsid w:val="006B6526"/>
    <w:rsid w:val="006B6721"/>
    <w:rsid w:val="006B71B2"/>
    <w:rsid w:val="006C35E6"/>
    <w:rsid w:val="006C40C6"/>
    <w:rsid w:val="006C42FF"/>
    <w:rsid w:val="006C468D"/>
    <w:rsid w:val="006D16BD"/>
    <w:rsid w:val="006D19D6"/>
    <w:rsid w:val="006D4806"/>
    <w:rsid w:val="006D52AB"/>
    <w:rsid w:val="006D5A7B"/>
    <w:rsid w:val="006D7BE5"/>
    <w:rsid w:val="006E0D35"/>
    <w:rsid w:val="006E2E99"/>
    <w:rsid w:val="006E46F7"/>
    <w:rsid w:val="006E502F"/>
    <w:rsid w:val="006E6890"/>
    <w:rsid w:val="006F0304"/>
    <w:rsid w:val="006F03A4"/>
    <w:rsid w:val="006F0AF8"/>
    <w:rsid w:val="006F2F58"/>
    <w:rsid w:val="006F3A0D"/>
    <w:rsid w:val="006F4AF1"/>
    <w:rsid w:val="006F4DDF"/>
    <w:rsid w:val="006F4E0F"/>
    <w:rsid w:val="006F63D9"/>
    <w:rsid w:val="006F6910"/>
    <w:rsid w:val="0070198F"/>
    <w:rsid w:val="00703CE0"/>
    <w:rsid w:val="007047C8"/>
    <w:rsid w:val="00704DDA"/>
    <w:rsid w:val="00705D08"/>
    <w:rsid w:val="007068AB"/>
    <w:rsid w:val="00707F54"/>
    <w:rsid w:val="00710B91"/>
    <w:rsid w:val="007111EF"/>
    <w:rsid w:val="00715182"/>
    <w:rsid w:val="0071555D"/>
    <w:rsid w:val="00715C62"/>
    <w:rsid w:val="00720785"/>
    <w:rsid w:val="00722462"/>
    <w:rsid w:val="007231F2"/>
    <w:rsid w:val="00723BD8"/>
    <w:rsid w:val="007249FC"/>
    <w:rsid w:val="0072546D"/>
    <w:rsid w:val="007273D2"/>
    <w:rsid w:val="007277CE"/>
    <w:rsid w:val="00727DFF"/>
    <w:rsid w:val="007319DB"/>
    <w:rsid w:val="00732C90"/>
    <w:rsid w:val="007343B4"/>
    <w:rsid w:val="00734658"/>
    <w:rsid w:val="007346FD"/>
    <w:rsid w:val="00737410"/>
    <w:rsid w:val="00740F3F"/>
    <w:rsid w:val="00741862"/>
    <w:rsid w:val="00741BE6"/>
    <w:rsid w:val="007424D6"/>
    <w:rsid w:val="00742A71"/>
    <w:rsid w:val="00742DBA"/>
    <w:rsid w:val="00743E84"/>
    <w:rsid w:val="007441D3"/>
    <w:rsid w:val="00745404"/>
    <w:rsid w:val="007454AB"/>
    <w:rsid w:val="00745AE4"/>
    <w:rsid w:val="00750EA5"/>
    <w:rsid w:val="00752514"/>
    <w:rsid w:val="007539C0"/>
    <w:rsid w:val="00753A39"/>
    <w:rsid w:val="007552CA"/>
    <w:rsid w:val="00757F87"/>
    <w:rsid w:val="00760E50"/>
    <w:rsid w:val="00760F6D"/>
    <w:rsid w:val="00762280"/>
    <w:rsid w:val="007636AF"/>
    <w:rsid w:val="00766423"/>
    <w:rsid w:val="00766755"/>
    <w:rsid w:val="007703C8"/>
    <w:rsid w:val="007705EF"/>
    <w:rsid w:val="007747E9"/>
    <w:rsid w:val="00774C04"/>
    <w:rsid w:val="00776900"/>
    <w:rsid w:val="00776A05"/>
    <w:rsid w:val="007771D0"/>
    <w:rsid w:val="007801BE"/>
    <w:rsid w:val="00780404"/>
    <w:rsid w:val="00780718"/>
    <w:rsid w:val="00782730"/>
    <w:rsid w:val="007837AC"/>
    <w:rsid w:val="00783B44"/>
    <w:rsid w:val="007857BD"/>
    <w:rsid w:val="0078661D"/>
    <w:rsid w:val="007874D5"/>
    <w:rsid w:val="00790114"/>
    <w:rsid w:val="00791C6D"/>
    <w:rsid w:val="00796100"/>
    <w:rsid w:val="007962F8"/>
    <w:rsid w:val="007A0BE5"/>
    <w:rsid w:val="007A0ED4"/>
    <w:rsid w:val="007A1BAC"/>
    <w:rsid w:val="007A284E"/>
    <w:rsid w:val="007A4EC7"/>
    <w:rsid w:val="007A5AFF"/>
    <w:rsid w:val="007A636B"/>
    <w:rsid w:val="007B1643"/>
    <w:rsid w:val="007B1D29"/>
    <w:rsid w:val="007B1ECB"/>
    <w:rsid w:val="007B256F"/>
    <w:rsid w:val="007B5310"/>
    <w:rsid w:val="007B5BB1"/>
    <w:rsid w:val="007C0FD8"/>
    <w:rsid w:val="007C56D8"/>
    <w:rsid w:val="007C7732"/>
    <w:rsid w:val="007D03BF"/>
    <w:rsid w:val="007D0C27"/>
    <w:rsid w:val="007D18BD"/>
    <w:rsid w:val="007D426D"/>
    <w:rsid w:val="007D485B"/>
    <w:rsid w:val="007E1C1D"/>
    <w:rsid w:val="007E2728"/>
    <w:rsid w:val="007E3D6E"/>
    <w:rsid w:val="007E5C03"/>
    <w:rsid w:val="007F0A39"/>
    <w:rsid w:val="007F0BB2"/>
    <w:rsid w:val="007F0BDA"/>
    <w:rsid w:val="007F14EC"/>
    <w:rsid w:val="007F28AB"/>
    <w:rsid w:val="007F2D2A"/>
    <w:rsid w:val="007F3106"/>
    <w:rsid w:val="007F3C4A"/>
    <w:rsid w:val="007F4BC5"/>
    <w:rsid w:val="0080128C"/>
    <w:rsid w:val="00801F0E"/>
    <w:rsid w:val="008025D7"/>
    <w:rsid w:val="00810A7F"/>
    <w:rsid w:val="00814445"/>
    <w:rsid w:val="00816734"/>
    <w:rsid w:val="008167FA"/>
    <w:rsid w:val="00816824"/>
    <w:rsid w:val="00817967"/>
    <w:rsid w:val="0082008F"/>
    <w:rsid w:val="00822603"/>
    <w:rsid w:val="00824A22"/>
    <w:rsid w:val="00824B81"/>
    <w:rsid w:val="00825824"/>
    <w:rsid w:val="0082668D"/>
    <w:rsid w:val="008266A9"/>
    <w:rsid w:val="00827A26"/>
    <w:rsid w:val="0083228C"/>
    <w:rsid w:val="008334A7"/>
    <w:rsid w:val="00834D5C"/>
    <w:rsid w:val="00835A21"/>
    <w:rsid w:val="00837D43"/>
    <w:rsid w:val="00840360"/>
    <w:rsid w:val="00841E12"/>
    <w:rsid w:val="00843814"/>
    <w:rsid w:val="00844436"/>
    <w:rsid w:val="00846007"/>
    <w:rsid w:val="00846413"/>
    <w:rsid w:val="0085029B"/>
    <w:rsid w:val="00851CAB"/>
    <w:rsid w:val="00852361"/>
    <w:rsid w:val="00852CD6"/>
    <w:rsid w:val="00853A38"/>
    <w:rsid w:val="00853A89"/>
    <w:rsid w:val="0085654B"/>
    <w:rsid w:val="00857C34"/>
    <w:rsid w:val="008605F0"/>
    <w:rsid w:val="008610BF"/>
    <w:rsid w:val="00861D05"/>
    <w:rsid w:val="00861D6F"/>
    <w:rsid w:val="0086210C"/>
    <w:rsid w:val="00862D86"/>
    <w:rsid w:val="00863257"/>
    <w:rsid w:val="00863C90"/>
    <w:rsid w:val="008648F7"/>
    <w:rsid w:val="00865839"/>
    <w:rsid w:val="00866719"/>
    <w:rsid w:val="0087092F"/>
    <w:rsid w:val="00870E27"/>
    <w:rsid w:val="008713AC"/>
    <w:rsid w:val="00871692"/>
    <w:rsid w:val="008729E6"/>
    <w:rsid w:val="00872A34"/>
    <w:rsid w:val="00873B63"/>
    <w:rsid w:val="00875DCD"/>
    <w:rsid w:val="00876365"/>
    <w:rsid w:val="00876565"/>
    <w:rsid w:val="008767E3"/>
    <w:rsid w:val="0087786A"/>
    <w:rsid w:val="00877EE2"/>
    <w:rsid w:val="008829FE"/>
    <w:rsid w:val="00882E61"/>
    <w:rsid w:val="00883FC9"/>
    <w:rsid w:val="00884295"/>
    <w:rsid w:val="00884DDA"/>
    <w:rsid w:val="00886837"/>
    <w:rsid w:val="00887040"/>
    <w:rsid w:val="0089394E"/>
    <w:rsid w:val="00893BCB"/>
    <w:rsid w:val="00894883"/>
    <w:rsid w:val="00895DBD"/>
    <w:rsid w:val="00896AA2"/>
    <w:rsid w:val="00896C4C"/>
    <w:rsid w:val="008A0811"/>
    <w:rsid w:val="008A0BEF"/>
    <w:rsid w:val="008A1CC8"/>
    <w:rsid w:val="008A355B"/>
    <w:rsid w:val="008A3F77"/>
    <w:rsid w:val="008A52F2"/>
    <w:rsid w:val="008A625C"/>
    <w:rsid w:val="008B0475"/>
    <w:rsid w:val="008B2D37"/>
    <w:rsid w:val="008B36B7"/>
    <w:rsid w:val="008B4ED8"/>
    <w:rsid w:val="008B5244"/>
    <w:rsid w:val="008B63BB"/>
    <w:rsid w:val="008B7C50"/>
    <w:rsid w:val="008C04EC"/>
    <w:rsid w:val="008C0BEA"/>
    <w:rsid w:val="008C0E58"/>
    <w:rsid w:val="008C2089"/>
    <w:rsid w:val="008C2FF8"/>
    <w:rsid w:val="008C4663"/>
    <w:rsid w:val="008C5F98"/>
    <w:rsid w:val="008C6E64"/>
    <w:rsid w:val="008D0210"/>
    <w:rsid w:val="008D0655"/>
    <w:rsid w:val="008D124F"/>
    <w:rsid w:val="008D1D36"/>
    <w:rsid w:val="008D2300"/>
    <w:rsid w:val="008D4662"/>
    <w:rsid w:val="008D4C07"/>
    <w:rsid w:val="008D4CDC"/>
    <w:rsid w:val="008D512C"/>
    <w:rsid w:val="008D5265"/>
    <w:rsid w:val="008D5575"/>
    <w:rsid w:val="008D71BA"/>
    <w:rsid w:val="008D7702"/>
    <w:rsid w:val="008E283B"/>
    <w:rsid w:val="008E2D9E"/>
    <w:rsid w:val="008E499D"/>
    <w:rsid w:val="008E7E69"/>
    <w:rsid w:val="008F1ADF"/>
    <w:rsid w:val="008F2187"/>
    <w:rsid w:val="008F2F7B"/>
    <w:rsid w:val="008F3B2B"/>
    <w:rsid w:val="008F47E2"/>
    <w:rsid w:val="008F5FD0"/>
    <w:rsid w:val="008F716B"/>
    <w:rsid w:val="008F7933"/>
    <w:rsid w:val="00901250"/>
    <w:rsid w:val="00901C7A"/>
    <w:rsid w:val="00902B79"/>
    <w:rsid w:val="009044CD"/>
    <w:rsid w:val="009065E1"/>
    <w:rsid w:val="00906C47"/>
    <w:rsid w:val="00907450"/>
    <w:rsid w:val="00913E5A"/>
    <w:rsid w:val="00914764"/>
    <w:rsid w:val="00920CEB"/>
    <w:rsid w:val="0092349A"/>
    <w:rsid w:val="009258FE"/>
    <w:rsid w:val="00925961"/>
    <w:rsid w:val="00926CE7"/>
    <w:rsid w:val="00927DF1"/>
    <w:rsid w:val="00931EE8"/>
    <w:rsid w:val="0093233E"/>
    <w:rsid w:val="009323FF"/>
    <w:rsid w:val="0093294F"/>
    <w:rsid w:val="00933E53"/>
    <w:rsid w:val="009350E3"/>
    <w:rsid w:val="00935407"/>
    <w:rsid w:val="0093543D"/>
    <w:rsid w:val="009356FF"/>
    <w:rsid w:val="00935B08"/>
    <w:rsid w:val="00935E0A"/>
    <w:rsid w:val="009376CD"/>
    <w:rsid w:val="00937CBE"/>
    <w:rsid w:val="009400E5"/>
    <w:rsid w:val="00940C1C"/>
    <w:rsid w:val="00941696"/>
    <w:rsid w:val="00941769"/>
    <w:rsid w:val="00944002"/>
    <w:rsid w:val="00944594"/>
    <w:rsid w:val="00945133"/>
    <w:rsid w:val="0094552D"/>
    <w:rsid w:val="009455D3"/>
    <w:rsid w:val="009468E5"/>
    <w:rsid w:val="0094756A"/>
    <w:rsid w:val="00947822"/>
    <w:rsid w:val="00950263"/>
    <w:rsid w:val="00950562"/>
    <w:rsid w:val="009534EC"/>
    <w:rsid w:val="00954819"/>
    <w:rsid w:val="0095489F"/>
    <w:rsid w:val="00956100"/>
    <w:rsid w:val="009603D6"/>
    <w:rsid w:val="0096106B"/>
    <w:rsid w:val="0096164F"/>
    <w:rsid w:val="0096496F"/>
    <w:rsid w:val="00965335"/>
    <w:rsid w:val="00967037"/>
    <w:rsid w:val="00967720"/>
    <w:rsid w:val="00970FB5"/>
    <w:rsid w:val="0097275F"/>
    <w:rsid w:val="0097328D"/>
    <w:rsid w:val="00975B02"/>
    <w:rsid w:val="00975F8F"/>
    <w:rsid w:val="009770BC"/>
    <w:rsid w:val="00977F0D"/>
    <w:rsid w:val="00980DB8"/>
    <w:rsid w:val="00982F90"/>
    <w:rsid w:val="009832BA"/>
    <w:rsid w:val="00984195"/>
    <w:rsid w:val="009847DF"/>
    <w:rsid w:val="00984E44"/>
    <w:rsid w:val="00987E8F"/>
    <w:rsid w:val="00987F35"/>
    <w:rsid w:val="009919DB"/>
    <w:rsid w:val="009929D5"/>
    <w:rsid w:val="00992DE1"/>
    <w:rsid w:val="00993038"/>
    <w:rsid w:val="009935C1"/>
    <w:rsid w:val="009936FC"/>
    <w:rsid w:val="00993FE3"/>
    <w:rsid w:val="009955B6"/>
    <w:rsid w:val="0099578D"/>
    <w:rsid w:val="009957D3"/>
    <w:rsid w:val="009A04EC"/>
    <w:rsid w:val="009A47C6"/>
    <w:rsid w:val="009A59D0"/>
    <w:rsid w:val="009A5D72"/>
    <w:rsid w:val="009A7871"/>
    <w:rsid w:val="009A7AA3"/>
    <w:rsid w:val="009B2AEB"/>
    <w:rsid w:val="009B4B9D"/>
    <w:rsid w:val="009B591D"/>
    <w:rsid w:val="009B606A"/>
    <w:rsid w:val="009B66C6"/>
    <w:rsid w:val="009B7947"/>
    <w:rsid w:val="009C0D1F"/>
    <w:rsid w:val="009C1254"/>
    <w:rsid w:val="009C1694"/>
    <w:rsid w:val="009C36DE"/>
    <w:rsid w:val="009C3F30"/>
    <w:rsid w:val="009C4F99"/>
    <w:rsid w:val="009C5D40"/>
    <w:rsid w:val="009C5D74"/>
    <w:rsid w:val="009C7A15"/>
    <w:rsid w:val="009D0674"/>
    <w:rsid w:val="009D0B36"/>
    <w:rsid w:val="009D133B"/>
    <w:rsid w:val="009D38BD"/>
    <w:rsid w:val="009D4381"/>
    <w:rsid w:val="009D5421"/>
    <w:rsid w:val="009D5A20"/>
    <w:rsid w:val="009E007E"/>
    <w:rsid w:val="009E0869"/>
    <w:rsid w:val="009E1C16"/>
    <w:rsid w:val="009E258A"/>
    <w:rsid w:val="009E3502"/>
    <w:rsid w:val="009E41CE"/>
    <w:rsid w:val="009E5722"/>
    <w:rsid w:val="009F0325"/>
    <w:rsid w:val="009F18AA"/>
    <w:rsid w:val="009F1FB0"/>
    <w:rsid w:val="009F215D"/>
    <w:rsid w:val="009F2D15"/>
    <w:rsid w:val="009F372D"/>
    <w:rsid w:val="009F3EF7"/>
    <w:rsid w:val="009F6389"/>
    <w:rsid w:val="009F6C70"/>
    <w:rsid w:val="009F762E"/>
    <w:rsid w:val="009F78E3"/>
    <w:rsid w:val="00A01F37"/>
    <w:rsid w:val="00A03057"/>
    <w:rsid w:val="00A03D9A"/>
    <w:rsid w:val="00A0422D"/>
    <w:rsid w:val="00A0459D"/>
    <w:rsid w:val="00A053C2"/>
    <w:rsid w:val="00A05E37"/>
    <w:rsid w:val="00A0685F"/>
    <w:rsid w:val="00A06FA3"/>
    <w:rsid w:val="00A11FC0"/>
    <w:rsid w:val="00A12DF2"/>
    <w:rsid w:val="00A168C5"/>
    <w:rsid w:val="00A17306"/>
    <w:rsid w:val="00A17343"/>
    <w:rsid w:val="00A1762F"/>
    <w:rsid w:val="00A203FC"/>
    <w:rsid w:val="00A2172D"/>
    <w:rsid w:val="00A21D0F"/>
    <w:rsid w:val="00A21E26"/>
    <w:rsid w:val="00A2280B"/>
    <w:rsid w:val="00A22859"/>
    <w:rsid w:val="00A23A1A"/>
    <w:rsid w:val="00A23C67"/>
    <w:rsid w:val="00A23F9B"/>
    <w:rsid w:val="00A244D1"/>
    <w:rsid w:val="00A26C2B"/>
    <w:rsid w:val="00A30923"/>
    <w:rsid w:val="00A31022"/>
    <w:rsid w:val="00A31FEA"/>
    <w:rsid w:val="00A32230"/>
    <w:rsid w:val="00A32A1B"/>
    <w:rsid w:val="00A32A57"/>
    <w:rsid w:val="00A32C77"/>
    <w:rsid w:val="00A33745"/>
    <w:rsid w:val="00A345FB"/>
    <w:rsid w:val="00A3535C"/>
    <w:rsid w:val="00A36016"/>
    <w:rsid w:val="00A37C26"/>
    <w:rsid w:val="00A44422"/>
    <w:rsid w:val="00A44628"/>
    <w:rsid w:val="00A44DA6"/>
    <w:rsid w:val="00A44DC7"/>
    <w:rsid w:val="00A47337"/>
    <w:rsid w:val="00A4796F"/>
    <w:rsid w:val="00A51436"/>
    <w:rsid w:val="00A5151E"/>
    <w:rsid w:val="00A52F18"/>
    <w:rsid w:val="00A550D6"/>
    <w:rsid w:val="00A63ABA"/>
    <w:rsid w:val="00A66616"/>
    <w:rsid w:val="00A70230"/>
    <w:rsid w:val="00A7090A"/>
    <w:rsid w:val="00A70FB0"/>
    <w:rsid w:val="00A7334B"/>
    <w:rsid w:val="00A75FA4"/>
    <w:rsid w:val="00A7610D"/>
    <w:rsid w:val="00A76391"/>
    <w:rsid w:val="00A77F1D"/>
    <w:rsid w:val="00A80879"/>
    <w:rsid w:val="00A80F3F"/>
    <w:rsid w:val="00A812DC"/>
    <w:rsid w:val="00A82CF5"/>
    <w:rsid w:val="00A83ADA"/>
    <w:rsid w:val="00A84D20"/>
    <w:rsid w:val="00A870DF"/>
    <w:rsid w:val="00A87702"/>
    <w:rsid w:val="00A922D7"/>
    <w:rsid w:val="00A93889"/>
    <w:rsid w:val="00A93D4F"/>
    <w:rsid w:val="00A94984"/>
    <w:rsid w:val="00A95180"/>
    <w:rsid w:val="00A95EF8"/>
    <w:rsid w:val="00A96519"/>
    <w:rsid w:val="00A96B72"/>
    <w:rsid w:val="00A970D6"/>
    <w:rsid w:val="00AA15B0"/>
    <w:rsid w:val="00AA35BA"/>
    <w:rsid w:val="00AA4953"/>
    <w:rsid w:val="00AA4DFC"/>
    <w:rsid w:val="00AA535D"/>
    <w:rsid w:val="00AA6956"/>
    <w:rsid w:val="00AA6C2A"/>
    <w:rsid w:val="00AA7A7A"/>
    <w:rsid w:val="00AB0AC4"/>
    <w:rsid w:val="00AB0B52"/>
    <w:rsid w:val="00AB4968"/>
    <w:rsid w:val="00AB5CB9"/>
    <w:rsid w:val="00AB75E5"/>
    <w:rsid w:val="00AC00B0"/>
    <w:rsid w:val="00AC06AE"/>
    <w:rsid w:val="00AC2872"/>
    <w:rsid w:val="00AC295E"/>
    <w:rsid w:val="00AC3574"/>
    <w:rsid w:val="00AC4F19"/>
    <w:rsid w:val="00AC5B51"/>
    <w:rsid w:val="00AC5F1D"/>
    <w:rsid w:val="00AD00FC"/>
    <w:rsid w:val="00AD186A"/>
    <w:rsid w:val="00AD277C"/>
    <w:rsid w:val="00AD38E8"/>
    <w:rsid w:val="00AD4184"/>
    <w:rsid w:val="00AD49D3"/>
    <w:rsid w:val="00AD4AF6"/>
    <w:rsid w:val="00AD55D4"/>
    <w:rsid w:val="00AD5EF7"/>
    <w:rsid w:val="00AD613A"/>
    <w:rsid w:val="00AE115F"/>
    <w:rsid w:val="00AE16C3"/>
    <w:rsid w:val="00AE338B"/>
    <w:rsid w:val="00AE36A3"/>
    <w:rsid w:val="00AE4446"/>
    <w:rsid w:val="00AE5E44"/>
    <w:rsid w:val="00AE72B1"/>
    <w:rsid w:val="00AF0BA9"/>
    <w:rsid w:val="00AF100B"/>
    <w:rsid w:val="00AF1D4D"/>
    <w:rsid w:val="00AF216A"/>
    <w:rsid w:val="00AF2D6B"/>
    <w:rsid w:val="00AF30BD"/>
    <w:rsid w:val="00AF33ED"/>
    <w:rsid w:val="00AF556E"/>
    <w:rsid w:val="00AF62B7"/>
    <w:rsid w:val="00B0005F"/>
    <w:rsid w:val="00B00248"/>
    <w:rsid w:val="00B02CF8"/>
    <w:rsid w:val="00B02D14"/>
    <w:rsid w:val="00B045AF"/>
    <w:rsid w:val="00B04633"/>
    <w:rsid w:val="00B05007"/>
    <w:rsid w:val="00B052E9"/>
    <w:rsid w:val="00B05B19"/>
    <w:rsid w:val="00B065D7"/>
    <w:rsid w:val="00B12573"/>
    <w:rsid w:val="00B12851"/>
    <w:rsid w:val="00B16193"/>
    <w:rsid w:val="00B16F50"/>
    <w:rsid w:val="00B208CE"/>
    <w:rsid w:val="00B21207"/>
    <w:rsid w:val="00B2128A"/>
    <w:rsid w:val="00B243BE"/>
    <w:rsid w:val="00B2535E"/>
    <w:rsid w:val="00B2584F"/>
    <w:rsid w:val="00B26EB9"/>
    <w:rsid w:val="00B2714A"/>
    <w:rsid w:val="00B27C16"/>
    <w:rsid w:val="00B316BB"/>
    <w:rsid w:val="00B31963"/>
    <w:rsid w:val="00B32467"/>
    <w:rsid w:val="00B33ABF"/>
    <w:rsid w:val="00B352C5"/>
    <w:rsid w:val="00B36822"/>
    <w:rsid w:val="00B3766F"/>
    <w:rsid w:val="00B37AB5"/>
    <w:rsid w:val="00B4033F"/>
    <w:rsid w:val="00B407F1"/>
    <w:rsid w:val="00B44FB1"/>
    <w:rsid w:val="00B4505D"/>
    <w:rsid w:val="00B4510B"/>
    <w:rsid w:val="00B453BC"/>
    <w:rsid w:val="00B45588"/>
    <w:rsid w:val="00B465CA"/>
    <w:rsid w:val="00B51EB7"/>
    <w:rsid w:val="00B54B90"/>
    <w:rsid w:val="00B56C20"/>
    <w:rsid w:val="00B56D98"/>
    <w:rsid w:val="00B60F3A"/>
    <w:rsid w:val="00B61CDB"/>
    <w:rsid w:val="00B62A84"/>
    <w:rsid w:val="00B67ACA"/>
    <w:rsid w:val="00B7196B"/>
    <w:rsid w:val="00B71BB4"/>
    <w:rsid w:val="00B72232"/>
    <w:rsid w:val="00B726DB"/>
    <w:rsid w:val="00B72976"/>
    <w:rsid w:val="00B72BAF"/>
    <w:rsid w:val="00B72F8F"/>
    <w:rsid w:val="00B7365D"/>
    <w:rsid w:val="00B74340"/>
    <w:rsid w:val="00B7524A"/>
    <w:rsid w:val="00B75CD4"/>
    <w:rsid w:val="00B76500"/>
    <w:rsid w:val="00B77912"/>
    <w:rsid w:val="00B80404"/>
    <w:rsid w:val="00B80E3F"/>
    <w:rsid w:val="00B82998"/>
    <w:rsid w:val="00B83AD1"/>
    <w:rsid w:val="00B8433D"/>
    <w:rsid w:val="00B855F5"/>
    <w:rsid w:val="00B86026"/>
    <w:rsid w:val="00B86DC2"/>
    <w:rsid w:val="00B91433"/>
    <w:rsid w:val="00B926AD"/>
    <w:rsid w:val="00B92AB1"/>
    <w:rsid w:val="00B934F7"/>
    <w:rsid w:val="00B94831"/>
    <w:rsid w:val="00B94ED3"/>
    <w:rsid w:val="00B95604"/>
    <w:rsid w:val="00B971F9"/>
    <w:rsid w:val="00BA05BE"/>
    <w:rsid w:val="00BA2ABA"/>
    <w:rsid w:val="00BA2E5D"/>
    <w:rsid w:val="00BA2EEF"/>
    <w:rsid w:val="00BA3948"/>
    <w:rsid w:val="00BA3E4A"/>
    <w:rsid w:val="00BA4A6F"/>
    <w:rsid w:val="00BA5F1B"/>
    <w:rsid w:val="00BA618E"/>
    <w:rsid w:val="00BA6D2A"/>
    <w:rsid w:val="00BA7C80"/>
    <w:rsid w:val="00BA7DE3"/>
    <w:rsid w:val="00BB0476"/>
    <w:rsid w:val="00BB0BF8"/>
    <w:rsid w:val="00BB0F81"/>
    <w:rsid w:val="00BB25CB"/>
    <w:rsid w:val="00BB2906"/>
    <w:rsid w:val="00BB3A65"/>
    <w:rsid w:val="00BB77A2"/>
    <w:rsid w:val="00BC04C9"/>
    <w:rsid w:val="00BC076D"/>
    <w:rsid w:val="00BC0A19"/>
    <w:rsid w:val="00BC126B"/>
    <w:rsid w:val="00BC14E5"/>
    <w:rsid w:val="00BC17FD"/>
    <w:rsid w:val="00BC1B27"/>
    <w:rsid w:val="00BC3976"/>
    <w:rsid w:val="00BC5AD9"/>
    <w:rsid w:val="00BC6974"/>
    <w:rsid w:val="00BD076A"/>
    <w:rsid w:val="00BD3684"/>
    <w:rsid w:val="00BD3694"/>
    <w:rsid w:val="00BD48DD"/>
    <w:rsid w:val="00BD5107"/>
    <w:rsid w:val="00BD66D0"/>
    <w:rsid w:val="00BD6888"/>
    <w:rsid w:val="00BD6F58"/>
    <w:rsid w:val="00BE0A71"/>
    <w:rsid w:val="00BE18A9"/>
    <w:rsid w:val="00BE25DD"/>
    <w:rsid w:val="00BE5360"/>
    <w:rsid w:val="00BF0E49"/>
    <w:rsid w:val="00BF291F"/>
    <w:rsid w:val="00BF36F6"/>
    <w:rsid w:val="00BF43C6"/>
    <w:rsid w:val="00BF45EA"/>
    <w:rsid w:val="00BF4E25"/>
    <w:rsid w:val="00BF6186"/>
    <w:rsid w:val="00BF61F7"/>
    <w:rsid w:val="00BF6F58"/>
    <w:rsid w:val="00C03332"/>
    <w:rsid w:val="00C0376F"/>
    <w:rsid w:val="00C05DD2"/>
    <w:rsid w:val="00C062F5"/>
    <w:rsid w:val="00C064CE"/>
    <w:rsid w:val="00C10923"/>
    <w:rsid w:val="00C10927"/>
    <w:rsid w:val="00C1243A"/>
    <w:rsid w:val="00C12457"/>
    <w:rsid w:val="00C13493"/>
    <w:rsid w:val="00C138C1"/>
    <w:rsid w:val="00C13905"/>
    <w:rsid w:val="00C14714"/>
    <w:rsid w:val="00C164F5"/>
    <w:rsid w:val="00C1710D"/>
    <w:rsid w:val="00C17D1D"/>
    <w:rsid w:val="00C2004E"/>
    <w:rsid w:val="00C234DD"/>
    <w:rsid w:val="00C23779"/>
    <w:rsid w:val="00C24C36"/>
    <w:rsid w:val="00C25D08"/>
    <w:rsid w:val="00C27A78"/>
    <w:rsid w:val="00C30962"/>
    <w:rsid w:val="00C312DC"/>
    <w:rsid w:val="00C314FC"/>
    <w:rsid w:val="00C34BCD"/>
    <w:rsid w:val="00C35766"/>
    <w:rsid w:val="00C35792"/>
    <w:rsid w:val="00C35ECD"/>
    <w:rsid w:val="00C36C69"/>
    <w:rsid w:val="00C40404"/>
    <w:rsid w:val="00C42B83"/>
    <w:rsid w:val="00C42DE7"/>
    <w:rsid w:val="00C44CD6"/>
    <w:rsid w:val="00C450F9"/>
    <w:rsid w:val="00C517D6"/>
    <w:rsid w:val="00C52368"/>
    <w:rsid w:val="00C52796"/>
    <w:rsid w:val="00C52920"/>
    <w:rsid w:val="00C53288"/>
    <w:rsid w:val="00C54374"/>
    <w:rsid w:val="00C565C0"/>
    <w:rsid w:val="00C578E8"/>
    <w:rsid w:val="00C62877"/>
    <w:rsid w:val="00C63519"/>
    <w:rsid w:val="00C6463C"/>
    <w:rsid w:val="00C64C26"/>
    <w:rsid w:val="00C65C6F"/>
    <w:rsid w:val="00C67341"/>
    <w:rsid w:val="00C673D6"/>
    <w:rsid w:val="00C70927"/>
    <w:rsid w:val="00C71288"/>
    <w:rsid w:val="00C7213E"/>
    <w:rsid w:val="00C72563"/>
    <w:rsid w:val="00C729F0"/>
    <w:rsid w:val="00C72E11"/>
    <w:rsid w:val="00C730D1"/>
    <w:rsid w:val="00C737DB"/>
    <w:rsid w:val="00C7507F"/>
    <w:rsid w:val="00C75975"/>
    <w:rsid w:val="00C75D67"/>
    <w:rsid w:val="00C76219"/>
    <w:rsid w:val="00C77CCE"/>
    <w:rsid w:val="00C81C4C"/>
    <w:rsid w:val="00C82A1C"/>
    <w:rsid w:val="00C8434A"/>
    <w:rsid w:val="00C869E0"/>
    <w:rsid w:val="00C8784E"/>
    <w:rsid w:val="00C878BB"/>
    <w:rsid w:val="00C90F35"/>
    <w:rsid w:val="00C91444"/>
    <w:rsid w:val="00C9268D"/>
    <w:rsid w:val="00C93475"/>
    <w:rsid w:val="00C937C1"/>
    <w:rsid w:val="00C9516C"/>
    <w:rsid w:val="00C9565F"/>
    <w:rsid w:val="00C96013"/>
    <w:rsid w:val="00C9665F"/>
    <w:rsid w:val="00C97EB3"/>
    <w:rsid w:val="00CA0606"/>
    <w:rsid w:val="00CA35C3"/>
    <w:rsid w:val="00CA4E0C"/>
    <w:rsid w:val="00CA647E"/>
    <w:rsid w:val="00CB09A2"/>
    <w:rsid w:val="00CB1CDB"/>
    <w:rsid w:val="00CB51F2"/>
    <w:rsid w:val="00CB52F1"/>
    <w:rsid w:val="00CB5365"/>
    <w:rsid w:val="00CB56E2"/>
    <w:rsid w:val="00CB6FDA"/>
    <w:rsid w:val="00CB7B5A"/>
    <w:rsid w:val="00CC0645"/>
    <w:rsid w:val="00CC1D2C"/>
    <w:rsid w:val="00CC33EE"/>
    <w:rsid w:val="00CC3601"/>
    <w:rsid w:val="00CC3B13"/>
    <w:rsid w:val="00CC7247"/>
    <w:rsid w:val="00CC7365"/>
    <w:rsid w:val="00CD131C"/>
    <w:rsid w:val="00CD223B"/>
    <w:rsid w:val="00CD2BD7"/>
    <w:rsid w:val="00CD44FE"/>
    <w:rsid w:val="00CD4637"/>
    <w:rsid w:val="00CD4DDE"/>
    <w:rsid w:val="00CD4F66"/>
    <w:rsid w:val="00CD5CB8"/>
    <w:rsid w:val="00CD5EB3"/>
    <w:rsid w:val="00CD60EF"/>
    <w:rsid w:val="00CD6830"/>
    <w:rsid w:val="00CD70F3"/>
    <w:rsid w:val="00CD79C6"/>
    <w:rsid w:val="00CE1383"/>
    <w:rsid w:val="00CE1D20"/>
    <w:rsid w:val="00CE269E"/>
    <w:rsid w:val="00CE2C33"/>
    <w:rsid w:val="00CE529B"/>
    <w:rsid w:val="00CE5453"/>
    <w:rsid w:val="00CE5950"/>
    <w:rsid w:val="00CF0138"/>
    <w:rsid w:val="00CF02B4"/>
    <w:rsid w:val="00CF0524"/>
    <w:rsid w:val="00CF06F7"/>
    <w:rsid w:val="00CF4882"/>
    <w:rsid w:val="00CF7B40"/>
    <w:rsid w:val="00CF7F8A"/>
    <w:rsid w:val="00D009BD"/>
    <w:rsid w:val="00D00BB1"/>
    <w:rsid w:val="00D01897"/>
    <w:rsid w:val="00D03615"/>
    <w:rsid w:val="00D03B6E"/>
    <w:rsid w:val="00D06BBE"/>
    <w:rsid w:val="00D06CF8"/>
    <w:rsid w:val="00D12A82"/>
    <w:rsid w:val="00D159A6"/>
    <w:rsid w:val="00D209AF"/>
    <w:rsid w:val="00D22CBF"/>
    <w:rsid w:val="00D23567"/>
    <w:rsid w:val="00D24B0D"/>
    <w:rsid w:val="00D24E80"/>
    <w:rsid w:val="00D24EE9"/>
    <w:rsid w:val="00D251BB"/>
    <w:rsid w:val="00D2578C"/>
    <w:rsid w:val="00D25A1A"/>
    <w:rsid w:val="00D25D60"/>
    <w:rsid w:val="00D27149"/>
    <w:rsid w:val="00D27413"/>
    <w:rsid w:val="00D2767E"/>
    <w:rsid w:val="00D2775B"/>
    <w:rsid w:val="00D30484"/>
    <w:rsid w:val="00D330B9"/>
    <w:rsid w:val="00D33BB6"/>
    <w:rsid w:val="00D35DF8"/>
    <w:rsid w:val="00D3655F"/>
    <w:rsid w:val="00D37730"/>
    <w:rsid w:val="00D37E9B"/>
    <w:rsid w:val="00D40C32"/>
    <w:rsid w:val="00D41864"/>
    <w:rsid w:val="00D41D37"/>
    <w:rsid w:val="00D42487"/>
    <w:rsid w:val="00D42842"/>
    <w:rsid w:val="00D438FE"/>
    <w:rsid w:val="00D50462"/>
    <w:rsid w:val="00D529B7"/>
    <w:rsid w:val="00D52CD7"/>
    <w:rsid w:val="00D52EDC"/>
    <w:rsid w:val="00D53958"/>
    <w:rsid w:val="00D53F87"/>
    <w:rsid w:val="00D5407F"/>
    <w:rsid w:val="00D56236"/>
    <w:rsid w:val="00D56924"/>
    <w:rsid w:val="00D57B97"/>
    <w:rsid w:val="00D57D35"/>
    <w:rsid w:val="00D60AB6"/>
    <w:rsid w:val="00D61283"/>
    <w:rsid w:val="00D61895"/>
    <w:rsid w:val="00D6268E"/>
    <w:rsid w:val="00D64B1F"/>
    <w:rsid w:val="00D652DC"/>
    <w:rsid w:val="00D65D71"/>
    <w:rsid w:val="00D665C7"/>
    <w:rsid w:val="00D668CF"/>
    <w:rsid w:val="00D67524"/>
    <w:rsid w:val="00D70F1E"/>
    <w:rsid w:val="00D7187B"/>
    <w:rsid w:val="00D718FB"/>
    <w:rsid w:val="00D72A08"/>
    <w:rsid w:val="00D72A54"/>
    <w:rsid w:val="00D72CFA"/>
    <w:rsid w:val="00D7381F"/>
    <w:rsid w:val="00D73B08"/>
    <w:rsid w:val="00D75089"/>
    <w:rsid w:val="00D75199"/>
    <w:rsid w:val="00D756BE"/>
    <w:rsid w:val="00D77AB2"/>
    <w:rsid w:val="00D8057A"/>
    <w:rsid w:val="00D82689"/>
    <w:rsid w:val="00D8432E"/>
    <w:rsid w:val="00D84638"/>
    <w:rsid w:val="00D848A6"/>
    <w:rsid w:val="00D85CA3"/>
    <w:rsid w:val="00D85E81"/>
    <w:rsid w:val="00D87BE1"/>
    <w:rsid w:val="00D93484"/>
    <w:rsid w:val="00D9544D"/>
    <w:rsid w:val="00D95916"/>
    <w:rsid w:val="00D9707C"/>
    <w:rsid w:val="00D97F5B"/>
    <w:rsid w:val="00DA14CC"/>
    <w:rsid w:val="00DA2834"/>
    <w:rsid w:val="00DA61EF"/>
    <w:rsid w:val="00DA6F2E"/>
    <w:rsid w:val="00DA7BDF"/>
    <w:rsid w:val="00DA7CCE"/>
    <w:rsid w:val="00DB0F56"/>
    <w:rsid w:val="00DB112B"/>
    <w:rsid w:val="00DB158B"/>
    <w:rsid w:val="00DB48C4"/>
    <w:rsid w:val="00DB5050"/>
    <w:rsid w:val="00DB7EB7"/>
    <w:rsid w:val="00DC0F1B"/>
    <w:rsid w:val="00DC2388"/>
    <w:rsid w:val="00DC4E3F"/>
    <w:rsid w:val="00DC5D85"/>
    <w:rsid w:val="00DC5EAC"/>
    <w:rsid w:val="00DC6152"/>
    <w:rsid w:val="00DC6EC0"/>
    <w:rsid w:val="00DD08A1"/>
    <w:rsid w:val="00DD2755"/>
    <w:rsid w:val="00DD2773"/>
    <w:rsid w:val="00DD2B7F"/>
    <w:rsid w:val="00DD2F02"/>
    <w:rsid w:val="00DD4113"/>
    <w:rsid w:val="00DD5F49"/>
    <w:rsid w:val="00DD6E3C"/>
    <w:rsid w:val="00DD7570"/>
    <w:rsid w:val="00DE247E"/>
    <w:rsid w:val="00DE2CC4"/>
    <w:rsid w:val="00DE42E1"/>
    <w:rsid w:val="00DE45A9"/>
    <w:rsid w:val="00DE4B55"/>
    <w:rsid w:val="00DE7BD4"/>
    <w:rsid w:val="00DF16B1"/>
    <w:rsid w:val="00DF2DE7"/>
    <w:rsid w:val="00DF37D4"/>
    <w:rsid w:val="00DF3FCE"/>
    <w:rsid w:val="00DF468E"/>
    <w:rsid w:val="00DF6333"/>
    <w:rsid w:val="00DF693B"/>
    <w:rsid w:val="00E00F25"/>
    <w:rsid w:val="00E016DC"/>
    <w:rsid w:val="00E023B3"/>
    <w:rsid w:val="00E0303D"/>
    <w:rsid w:val="00E03626"/>
    <w:rsid w:val="00E03813"/>
    <w:rsid w:val="00E03A34"/>
    <w:rsid w:val="00E046CD"/>
    <w:rsid w:val="00E04760"/>
    <w:rsid w:val="00E06C40"/>
    <w:rsid w:val="00E07A61"/>
    <w:rsid w:val="00E11BD2"/>
    <w:rsid w:val="00E11D93"/>
    <w:rsid w:val="00E122B0"/>
    <w:rsid w:val="00E135EE"/>
    <w:rsid w:val="00E15809"/>
    <w:rsid w:val="00E16C3E"/>
    <w:rsid w:val="00E2092C"/>
    <w:rsid w:val="00E247AB"/>
    <w:rsid w:val="00E262FC"/>
    <w:rsid w:val="00E26C67"/>
    <w:rsid w:val="00E30719"/>
    <w:rsid w:val="00E30B3D"/>
    <w:rsid w:val="00E32987"/>
    <w:rsid w:val="00E330C7"/>
    <w:rsid w:val="00E344B8"/>
    <w:rsid w:val="00E35A2D"/>
    <w:rsid w:val="00E35F39"/>
    <w:rsid w:val="00E37A65"/>
    <w:rsid w:val="00E37DD9"/>
    <w:rsid w:val="00E40645"/>
    <w:rsid w:val="00E408EC"/>
    <w:rsid w:val="00E40996"/>
    <w:rsid w:val="00E410FD"/>
    <w:rsid w:val="00E442DA"/>
    <w:rsid w:val="00E4588A"/>
    <w:rsid w:val="00E46CF2"/>
    <w:rsid w:val="00E5029D"/>
    <w:rsid w:val="00E512F4"/>
    <w:rsid w:val="00E51C52"/>
    <w:rsid w:val="00E521E3"/>
    <w:rsid w:val="00E533F8"/>
    <w:rsid w:val="00E54B4F"/>
    <w:rsid w:val="00E578B9"/>
    <w:rsid w:val="00E6023C"/>
    <w:rsid w:val="00E61752"/>
    <w:rsid w:val="00E6431A"/>
    <w:rsid w:val="00E64A0A"/>
    <w:rsid w:val="00E64AA7"/>
    <w:rsid w:val="00E6698B"/>
    <w:rsid w:val="00E669EA"/>
    <w:rsid w:val="00E67865"/>
    <w:rsid w:val="00E71DB0"/>
    <w:rsid w:val="00E7235A"/>
    <w:rsid w:val="00E73EB4"/>
    <w:rsid w:val="00E74F37"/>
    <w:rsid w:val="00E76634"/>
    <w:rsid w:val="00E80EA6"/>
    <w:rsid w:val="00E81E33"/>
    <w:rsid w:val="00E830B6"/>
    <w:rsid w:val="00E83EB7"/>
    <w:rsid w:val="00E85176"/>
    <w:rsid w:val="00E85C13"/>
    <w:rsid w:val="00E85F85"/>
    <w:rsid w:val="00E877B7"/>
    <w:rsid w:val="00E90DD5"/>
    <w:rsid w:val="00E92564"/>
    <w:rsid w:val="00E94A75"/>
    <w:rsid w:val="00E95107"/>
    <w:rsid w:val="00E95989"/>
    <w:rsid w:val="00E96F7A"/>
    <w:rsid w:val="00EA0096"/>
    <w:rsid w:val="00EA0254"/>
    <w:rsid w:val="00EA0D9F"/>
    <w:rsid w:val="00EA200B"/>
    <w:rsid w:val="00EA251D"/>
    <w:rsid w:val="00EA3445"/>
    <w:rsid w:val="00EA6B65"/>
    <w:rsid w:val="00EA6CFF"/>
    <w:rsid w:val="00EB091F"/>
    <w:rsid w:val="00EB0F87"/>
    <w:rsid w:val="00EB1FFB"/>
    <w:rsid w:val="00EB2584"/>
    <w:rsid w:val="00EB301A"/>
    <w:rsid w:val="00EB5230"/>
    <w:rsid w:val="00EB55F6"/>
    <w:rsid w:val="00EB687C"/>
    <w:rsid w:val="00EB78B2"/>
    <w:rsid w:val="00EC0334"/>
    <w:rsid w:val="00EC06A7"/>
    <w:rsid w:val="00EC07E3"/>
    <w:rsid w:val="00EC17FA"/>
    <w:rsid w:val="00EC2A2D"/>
    <w:rsid w:val="00EC3C84"/>
    <w:rsid w:val="00EC3FE3"/>
    <w:rsid w:val="00EC5B9C"/>
    <w:rsid w:val="00EC6433"/>
    <w:rsid w:val="00EC700D"/>
    <w:rsid w:val="00ED184E"/>
    <w:rsid w:val="00ED1DDD"/>
    <w:rsid w:val="00ED25F8"/>
    <w:rsid w:val="00ED2A66"/>
    <w:rsid w:val="00ED5E88"/>
    <w:rsid w:val="00ED5F3C"/>
    <w:rsid w:val="00ED6D6F"/>
    <w:rsid w:val="00EE037A"/>
    <w:rsid w:val="00EE16B6"/>
    <w:rsid w:val="00EE1950"/>
    <w:rsid w:val="00EE245F"/>
    <w:rsid w:val="00EE5573"/>
    <w:rsid w:val="00EF036E"/>
    <w:rsid w:val="00EF12A8"/>
    <w:rsid w:val="00EF41D5"/>
    <w:rsid w:val="00EF420E"/>
    <w:rsid w:val="00EF57F6"/>
    <w:rsid w:val="00EF7615"/>
    <w:rsid w:val="00EF7930"/>
    <w:rsid w:val="00EF7996"/>
    <w:rsid w:val="00F00A04"/>
    <w:rsid w:val="00F00EBC"/>
    <w:rsid w:val="00F02594"/>
    <w:rsid w:val="00F0336F"/>
    <w:rsid w:val="00F03843"/>
    <w:rsid w:val="00F05A17"/>
    <w:rsid w:val="00F12142"/>
    <w:rsid w:val="00F134EE"/>
    <w:rsid w:val="00F13CBD"/>
    <w:rsid w:val="00F1487A"/>
    <w:rsid w:val="00F16A34"/>
    <w:rsid w:val="00F218E9"/>
    <w:rsid w:val="00F235B3"/>
    <w:rsid w:val="00F24C1A"/>
    <w:rsid w:val="00F252A6"/>
    <w:rsid w:val="00F2619C"/>
    <w:rsid w:val="00F30A5D"/>
    <w:rsid w:val="00F325C2"/>
    <w:rsid w:val="00F32DFC"/>
    <w:rsid w:val="00F34DAA"/>
    <w:rsid w:val="00F35C24"/>
    <w:rsid w:val="00F35CB1"/>
    <w:rsid w:val="00F35D06"/>
    <w:rsid w:val="00F35E01"/>
    <w:rsid w:val="00F37F62"/>
    <w:rsid w:val="00F40489"/>
    <w:rsid w:val="00F4463B"/>
    <w:rsid w:val="00F4512C"/>
    <w:rsid w:val="00F46172"/>
    <w:rsid w:val="00F466B0"/>
    <w:rsid w:val="00F47AE3"/>
    <w:rsid w:val="00F51E4F"/>
    <w:rsid w:val="00F5214F"/>
    <w:rsid w:val="00F53A9A"/>
    <w:rsid w:val="00F551CC"/>
    <w:rsid w:val="00F55F82"/>
    <w:rsid w:val="00F56ACD"/>
    <w:rsid w:val="00F57856"/>
    <w:rsid w:val="00F60F7E"/>
    <w:rsid w:val="00F62034"/>
    <w:rsid w:val="00F64AC6"/>
    <w:rsid w:val="00F67486"/>
    <w:rsid w:val="00F70125"/>
    <w:rsid w:val="00F70B39"/>
    <w:rsid w:val="00F71436"/>
    <w:rsid w:val="00F7180F"/>
    <w:rsid w:val="00F7406C"/>
    <w:rsid w:val="00F749C0"/>
    <w:rsid w:val="00F75C98"/>
    <w:rsid w:val="00F76BFB"/>
    <w:rsid w:val="00F7756E"/>
    <w:rsid w:val="00F81399"/>
    <w:rsid w:val="00F81EA8"/>
    <w:rsid w:val="00F83AFD"/>
    <w:rsid w:val="00F84F35"/>
    <w:rsid w:val="00F85D78"/>
    <w:rsid w:val="00F87D11"/>
    <w:rsid w:val="00F87D5C"/>
    <w:rsid w:val="00F9088F"/>
    <w:rsid w:val="00F90AD1"/>
    <w:rsid w:val="00F9143D"/>
    <w:rsid w:val="00F92D2B"/>
    <w:rsid w:val="00F93D5C"/>
    <w:rsid w:val="00F943B8"/>
    <w:rsid w:val="00F97981"/>
    <w:rsid w:val="00FA010E"/>
    <w:rsid w:val="00FA1BD6"/>
    <w:rsid w:val="00FA4FDB"/>
    <w:rsid w:val="00FA5F62"/>
    <w:rsid w:val="00FA6A41"/>
    <w:rsid w:val="00FA78BA"/>
    <w:rsid w:val="00FB101F"/>
    <w:rsid w:val="00FB123D"/>
    <w:rsid w:val="00FB1FC4"/>
    <w:rsid w:val="00FB2607"/>
    <w:rsid w:val="00FB2E7A"/>
    <w:rsid w:val="00FB377C"/>
    <w:rsid w:val="00FB3834"/>
    <w:rsid w:val="00FB4D85"/>
    <w:rsid w:val="00FB74F8"/>
    <w:rsid w:val="00FC04BE"/>
    <w:rsid w:val="00FC20AD"/>
    <w:rsid w:val="00FC3D5D"/>
    <w:rsid w:val="00FC4512"/>
    <w:rsid w:val="00FC4A0E"/>
    <w:rsid w:val="00FC4A13"/>
    <w:rsid w:val="00FC5CBC"/>
    <w:rsid w:val="00FC5F6D"/>
    <w:rsid w:val="00FC7FC5"/>
    <w:rsid w:val="00FD060B"/>
    <w:rsid w:val="00FD2DD8"/>
    <w:rsid w:val="00FD5005"/>
    <w:rsid w:val="00FD573E"/>
    <w:rsid w:val="00FD6A37"/>
    <w:rsid w:val="00FE0BB1"/>
    <w:rsid w:val="00FE2AC2"/>
    <w:rsid w:val="00FE3F6C"/>
    <w:rsid w:val="00FE6451"/>
    <w:rsid w:val="00FE6D52"/>
    <w:rsid w:val="00FE6D62"/>
    <w:rsid w:val="00FF030B"/>
    <w:rsid w:val="00FF04A0"/>
    <w:rsid w:val="00FF0BA9"/>
    <w:rsid w:val="00FF2F28"/>
    <w:rsid w:val="00FF35FB"/>
    <w:rsid w:val="00FF3897"/>
    <w:rsid w:val="00FF39D6"/>
    <w:rsid w:val="00FF482C"/>
    <w:rsid w:val="00FF6308"/>
    <w:rsid w:val="00FF640B"/>
    <w:rsid w:val="00FF7645"/>
    <w:rsid w:val="00FF7723"/>
    <w:rsid w:val="00FF7E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4A45B8"/>
  <w15:chartTrackingRefBased/>
  <w15:docId w15:val="{90E6474C-9815-42F8-900A-9987CBBC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unhideWhenUsed/>
    <w:qFormat/>
    <w:rsid w:val="006B5F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Cuadrculamedia1-nfasis21">
    <w:name w:val="Cuadrícula media 1 - Énfasis 21"/>
    <w:aliases w:val="Footnote,Párrafo de lista1,Colorful List - Accent 11"/>
    <w:basedOn w:val="Normal"/>
    <w:link w:val="Cuadrculamedia1-nfasis2Car"/>
    <w:uiPriority w:val="34"/>
    <w:qFormat/>
    <w:rsid w:val="00D665C7"/>
    <w:pPr>
      <w:ind w:left="720"/>
      <w:contextualSpacing/>
    </w:pPr>
  </w:style>
  <w:style w:type="character" w:customStyle="1" w:styleId="Cuadrculamedia1-nfasis2Car">
    <w:name w:val="Cuadrícula media 1 - Énfasis 2 Car"/>
    <w:aliases w:val="Footnote Car,Párrafo de lista1 Car,Colorful List - Accent 11 Car,Párrafo de lista Car,List Paragraph1 Car,Cuadrícula clara - Énfasis 31 Car,List Paragraph2 Car,Lista vistosa - Énfasis 11 Car"/>
    <w:link w:val="Cuadrculamedia1-nfasis2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Listamedia2-nfasis21">
    <w:name w:val="Lista media 2 - Énfasis 21"/>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abladecuadrcula31">
    <w:name w:val="Tabla de cuadrícula 3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rsid w:val="005A5BF2"/>
    <w:rPr>
      <w:rFonts w:eastAsia="Times New Roman"/>
      <w:sz w:val="20"/>
      <w:szCs w:val="20"/>
      <w:lang w:val="es-CR" w:eastAsia="es-CR"/>
    </w:rPr>
  </w:style>
  <w:style w:type="paragraph" w:styleId="Textoindependiente2">
    <w:name w:val="Body Text 2"/>
    <w:basedOn w:val="Normal"/>
    <w:link w:val="Textoindependiente2Car"/>
    <w:uiPriority w:val="99"/>
    <w:semiHidden/>
    <w:unhideWhenUsed/>
    <w:rsid w:val="004037CB"/>
    <w:pPr>
      <w:spacing w:after="120" w:line="480" w:lineRule="auto"/>
    </w:pPr>
  </w:style>
  <w:style w:type="character" w:customStyle="1" w:styleId="Textoindependiente2Car">
    <w:name w:val="Texto independiente 2 Car"/>
    <w:link w:val="Textoindependiente2"/>
    <w:uiPriority w:val="99"/>
    <w:semiHidden/>
    <w:rsid w:val="004037CB"/>
    <w:rPr>
      <w:sz w:val="22"/>
      <w:szCs w:val="22"/>
      <w:lang w:val="en-US" w:eastAsia="en-US"/>
    </w:rPr>
  </w:style>
  <w:style w:type="paragraph" w:styleId="NormalWeb">
    <w:name w:val="Normal (Web)"/>
    <w:basedOn w:val="Normal"/>
    <w:uiPriority w:val="99"/>
    <w:semiHidden/>
    <w:unhideWhenUsed/>
    <w:rsid w:val="0020120B"/>
    <w:rPr>
      <w:rFonts w:ascii="Times New Roman" w:hAnsi="Times New Roman"/>
      <w:sz w:val="24"/>
      <w:szCs w:val="24"/>
    </w:rPr>
  </w:style>
  <w:style w:type="paragraph" w:customStyle="1" w:styleId="Listavistosa-nfasis11">
    <w:name w:val="Lista vistosa - Énfasis 11"/>
    <w:basedOn w:val="Normal"/>
    <w:uiPriority w:val="34"/>
    <w:qFormat/>
    <w:rsid w:val="00E35F39"/>
    <w:pPr>
      <w:ind w:left="720"/>
      <w:contextualSpacing/>
    </w:pPr>
  </w:style>
  <w:style w:type="paragraph" w:styleId="Prrafodelista">
    <w:name w:val="List Paragraph"/>
    <w:aliases w:val="List Paragraph1,Cuadrícula clara - Énfasis 31,List Paragraph2,Lista vistosa - Énfasis 11"/>
    <w:basedOn w:val="Normal"/>
    <w:uiPriority w:val="34"/>
    <w:qFormat/>
    <w:rsid w:val="005C43C5"/>
    <w:pPr>
      <w:ind w:left="720"/>
      <w:contextualSpacing/>
    </w:pPr>
    <w:rPr>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5214F"/>
    <w:pPr>
      <w:spacing w:after="0" w:line="240" w:lineRule="auto"/>
      <w:jc w:val="both"/>
    </w:pPr>
    <w:rPr>
      <w:sz w:val="20"/>
      <w:szCs w:val="20"/>
      <w:vertAlign w:val="superscript"/>
      <w:lang w:val="es-CR" w:eastAsia="es-CR"/>
    </w:rPr>
  </w:style>
  <w:style w:type="paragraph" w:styleId="Ttulo">
    <w:name w:val="Title"/>
    <w:basedOn w:val="Normal"/>
    <w:next w:val="Normal"/>
    <w:link w:val="TtuloCar"/>
    <w:uiPriority w:val="10"/>
    <w:qFormat/>
    <w:rsid w:val="004E79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79E1"/>
    <w:rPr>
      <w:rFonts w:asciiTheme="majorHAnsi" w:eastAsiaTheme="majorEastAsia" w:hAnsiTheme="majorHAnsi" w:cstheme="majorBidi"/>
      <w:spacing w:val="-10"/>
      <w:kern w:val="28"/>
      <w:sz w:val="56"/>
      <w:szCs w:val="56"/>
      <w:lang w:val="en-US" w:eastAsia="en-US"/>
    </w:rPr>
  </w:style>
  <w:style w:type="character" w:styleId="Hipervnculovisitado">
    <w:name w:val="FollowedHyperlink"/>
    <w:basedOn w:val="Fuentedeprrafopredeter"/>
    <w:uiPriority w:val="99"/>
    <w:semiHidden/>
    <w:unhideWhenUsed/>
    <w:rsid w:val="00CB09A2"/>
    <w:rPr>
      <w:color w:val="954F72" w:themeColor="followedHyperlink"/>
      <w:u w:val="single"/>
    </w:rPr>
  </w:style>
  <w:style w:type="character" w:customStyle="1" w:styleId="Ttulo2Car">
    <w:name w:val="Título 2 Car"/>
    <w:basedOn w:val="Fuentedeprrafopredeter"/>
    <w:link w:val="Ttulo2"/>
    <w:uiPriority w:val="9"/>
    <w:rsid w:val="006B5FBC"/>
    <w:rPr>
      <w:rFonts w:asciiTheme="majorHAnsi" w:eastAsiaTheme="majorEastAsia" w:hAnsiTheme="majorHAnsi" w:cstheme="majorBidi"/>
      <w:color w:val="2E74B5" w:themeColor="accent1" w:themeShade="BF"/>
      <w:sz w:val="26"/>
      <w:szCs w:val="26"/>
      <w:lang w:val="en-US" w:eastAsia="en-US"/>
    </w:rPr>
  </w:style>
  <w:style w:type="paragraph" w:styleId="Textoindependiente3">
    <w:name w:val="Body Text 3"/>
    <w:basedOn w:val="Normal"/>
    <w:link w:val="Textoindependiente3Car"/>
    <w:rsid w:val="00D53F87"/>
    <w:pPr>
      <w:spacing w:after="120" w:line="240" w:lineRule="auto"/>
    </w:pPr>
    <w:rPr>
      <w:rFonts w:ascii="Times New Roman" w:eastAsia="Times New Roman" w:hAnsi="Times New Roman"/>
      <w:sz w:val="16"/>
      <w:szCs w:val="16"/>
      <w:lang w:val="es-ES_tradnl"/>
    </w:rPr>
  </w:style>
  <w:style w:type="character" w:customStyle="1" w:styleId="Textoindependiente3Car">
    <w:name w:val="Texto independiente 3 Car"/>
    <w:basedOn w:val="Fuentedeprrafopredeter"/>
    <w:link w:val="Textoindependiente3"/>
    <w:rsid w:val="00D53F87"/>
    <w:rPr>
      <w:rFonts w:ascii="Times New Roman" w:eastAsia="Times New Roman" w:hAnsi="Times New Roman"/>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4748">
      <w:bodyDiv w:val="1"/>
      <w:marLeft w:val="0"/>
      <w:marRight w:val="0"/>
      <w:marTop w:val="0"/>
      <w:marBottom w:val="0"/>
      <w:divBdr>
        <w:top w:val="none" w:sz="0" w:space="0" w:color="auto"/>
        <w:left w:val="none" w:sz="0" w:space="0" w:color="auto"/>
        <w:bottom w:val="none" w:sz="0" w:space="0" w:color="auto"/>
        <w:right w:val="none" w:sz="0" w:space="0" w:color="auto"/>
      </w:divBdr>
    </w:div>
    <w:div w:id="36586494">
      <w:bodyDiv w:val="1"/>
      <w:marLeft w:val="0"/>
      <w:marRight w:val="0"/>
      <w:marTop w:val="0"/>
      <w:marBottom w:val="0"/>
      <w:divBdr>
        <w:top w:val="none" w:sz="0" w:space="0" w:color="auto"/>
        <w:left w:val="none" w:sz="0" w:space="0" w:color="auto"/>
        <w:bottom w:val="none" w:sz="0" w:space="0" w:color="auto"/>
        <w:right w:val="none" w:sz="0" w:space="0" w:color="auto"/>
      </w:divBdr>
    </w:div>
    <w:div w:id="60565891">
      <w:bodyDiv w:val="1"/>
      <w:marLeft w:val="0"/>
      <w:marRight w:val="0"/>
      <w:marTop w:val="0"/>
      <w:marBottom w:val="0"/>
      <w:divBdr>
        <w:top w:val="none" w:sz="0" w:space="0" w:color="auto"/>
        <w:left w:val="none" w:sz="0" w:space="0" w:color="auto"/>
        <w:bottom w:val="none" w:sz="0" w:space="0" w:color="auto"/>
        <w:right w:val="none" w:sz="0" w:space="0" w:color="auto"/>
      </w:divBdr>
      <w:divsChild>
        <w:div w:id="2047170663">
          <w:marLeft w:val="0"/>
          <w:marRight w:val="0"/>
          <w:marTop w:val="0"/>
          <w:marBottom w:val="0"/>
          <w:divBdr>
            <w:top w:val="none" w:sz="0" w:space="0" w:color="auto"/>
            <w:left w:val="none" w:sz="0" w:space="0" w:color="auto"/>
            <w:bottom w:val="none" w:sz="0" w:space="0" w:color="auto"/>
            <w:right w:val="none" w:sz="0" w:space="0" w:color="auto"/>
          </w:divBdr>
          <w:divsChild>
            <w:div w:id="1371683867">
              <w:marLeft w:val="0"/>
              <w:marRight w:val="0"/>
              <w:marTop w:val="0"/>
              <w:marBottom w:val="0"/>
              <w:divBdr>
                <w:top w:val="none" w:sz="0" w:space="0" w:color="auto"/>
                <w:left w:val="none" w:sz="0" w:space="0" w:color="auto"/>
                <w:bottom w:val="none" w:sz="0" w:space="0" w:color="auto"/>
                <w:right w:val="none" w:sz="0" w:space="0" w:color="auto"/>
              </w:divBdr>
              <w:divsChild>
                <w:div w:id="4644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5739">
      <w:bodyDiv w:val="1"/>
      <w:marLeft w:val="0"/>
      <w:marRight w:val="0"/>
      <w:marTop w:val="0"/>
      <w:marBottom w:val="0"/>
      <w:divBdr>
        <w:top w:val="none" w:sz="0" w:space="0" w:color="auto"/>
        <w:left w:val="none" w:sz="0" w:space="0" w:color="auto"/>
        <w:bottom w:val="none" w:sz="0" w:space="0" w:color="auto"/>
        <w:right w:val="none" w:sz="0" w:space="0" w:color="auto"/>
      </w:divBdr>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38558638">
      <w:bodyDiv w:val="1"/>
      <w:marLeft w:val="0"/>
      <w:marRight w:val="0"/>
      <w:marTop w:val="0"/>
      <w:marBottom w:val="0"/>
      <w:divBdr>
        <w:top w:val="none" w:sz="0" w:space="0" w:color="auto"/>
        <w:left w:val="none" w:sz="0" w:space="0" w:color="auto"/>
        <w:bottom w:val="none" w:sz="0" w:space="0" w:color="auto"/>
        <w:right w:val="none" w:sz="0" w:space="0" w:color="auto"/>
      </w:divBdr>
      <w:divsChild>
        <w:div w:id="1671562487">
          <w:marLeft w:val="0"/>
          <w:marRight w:val="0"/>
          <w:marTop w:val="0"/>
          <w:marBottom w:val="0"/>
          <w:divBdr>
            <w:top w:val="none" w:sz="0" w:space="0" w:color="auto"/>
            <w:left w:val="none" w:sz="0" w:space="0" w:color="auto"/>
            <w:bottom w:val="none" w:sz="0" w:space="0" w:color="auto"/>
            <w:right w:val="none" w:sz="0" w:space="0" w:color="auto"/>
          </w:divBdr>
          <w:divsChild>
            <w:div w:id="294718067">
              <w:marLeft w:val="0"/>
              <w:marRight w:val="0"/>
              <w:marTop w:val="0"/>
              <w:marBottom w:val="0"/>
              <w:divBdr>
                <w:top w:val="none" w:sz="0" w:space="0" w:color="auto"/>
                <w:left w:val="none" w:sz="0" w:space="0" w:color="auto"/>
                <w:bottom w:val="none" w:sz="0" w:space="0" w:color="auto"/>
                <w:right w:val="none" w:sz="0" w:space="0" w:color="auto"/>
              </w:divBdr>
              <w:divsChild>
                <w:div w:id="700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4655">
      <w:bodyDiv w:val="1"/>
      <w:marLeft w:val="0"/>
      <w:marRight w:val="0"/>
      <w:marTop w:val="0"/>
      <w:marBottom w:val="0"/>
      <w:divBdr>
        <w:top w:val="none" w:sz="0" w:space="0" w:color="auto"/>
        <w:left w:val="none" w:sz="0" w:space="0" w:color="auto"/>
        <w:bottom w:val="none" w:sz="0" w:space="0" w:color="auto"/>
        <w:right w:val="none" w:sz="0" w:space="0" w:color="auto"/>
      </w:divBdr>
    </w:div>
    <w:div w:id="337928898">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434403136">
      <w:bodyDiv w:val="1"/>
      <w:marLeft w:val="0"/>
      <w:marRight w:val="0"/>
      <w:marTop w:val="0"/>
      <w:marBottom w:val="0"/>
      <w:divBdr>
        <w:top w:val="none" w:sz="0" w:space="0" w:color="auto"/>
        <w:left w:val="none" w:sz="0" w:space="0" w:color="auto"/>
        <w:bottom w:val="none" w:sz="0" w:space="0" w:color="auto"/>
        <w:right w:val="none" w:sz="0" w:space="0" w:color="auto"/>
      </w:divBdr>
    </w:div>
    <w:div w:id="530072647">
      <w:bodyDiv w:val="1"/>
      <w:marLeft w:val="0"/>
      <w:marRight w:val="0"/>
      <w:marTop w:val="0"/>
      <w:marBottom w:val="0"/>
      <w:divBdr>
        <w:top w:val="none" w:sz="0" w:space="0" w:color="auto"/>
        <w:left w:val="none" w:sz="0" w:space="0" w:color="auto"/>
        <w:bottom w:val="none" w:sz="0" w:space="0" w:color="auto"/>
        <w:right w:val="none" w:sz="0" w:space="0" w:color="auto"/>
      </w:divBdr>
    </w:div>
    <w:div w:id="540559006">
      <w:bodyDiv w:val="1"/>
      <w:marLeft w:val="0"/>
      <w:marRight w:val="0"/>
      <w:marTop w:val="0"/>
      <w:marBottom w:val="0"/>
      <w:divBdr>
        <w:top w:val="none" w:sz="0" w:space="0" w:color="auto"/>
        <w:left w:val="none" w:sz="0" w:space="0" w:color="auto"/>
        <w:bottom w:val="none" w:sz="0" w:space="0" w:color="auto"/>
        <w:right w:val="none" w:sz="0" w:space="0" w:color="auto"/>
      </w:divBdr>
    </w:div>
    <w:div w:id="548421286">
      <w:bodyDiv w:val="1"/>
      <w:marLeft w:val="0"/>
      <w:marRight w:val="0"/>
      <w:marTop w:val="0"/>
      <w:marBottom w:val="0"/>
      <w:divBdr>
        <w:top w:val="none" w:sz="0" w:space="0" w:color="auto"/>
        <w:left w:val="none" w:sz="0" w:space="0" w:color="auto"/>
        <w:bottom w:val="none" w:sz="0" w:space="0" w:color="auto"/>
        <w:right w:val="none" w:sz="0" w:space="0" w:color="auto"/>
      </w:divBdr>
    </w:div>
    <w:div w:id="555094237">
      <w:bodyDiv w:val="1"/>
      <w:marLeft w:val="0"/>
      <w:marRight w:val="0"/>
      <w:marTop w:val="0"/>
      <w:marBottom w:val="0"/>
      <w:divBdr>
        <w:top w:val="none" w:sz="0" w:space="0" w:color="auto"/>
        <w:left w:val="none" w:sz="0" w:space="0" w:color="auto"/>
        <w:bottom w:val="none" w:sz="0" w:space="0" w:color="auto"/>
        <w:right w:val="none" w:sz="0" w:space="0" w:color="auto"/>
      </w:divBdr>
    </w:div>
    <w:div w:id="559368443">
      <w:bodyDiv w:val="1"/>
      <w:marLeft w:val="0"/>
      <w:marRight w:val="0"/>
      <w:marTop w:val="0"/>
      <w:marBottom w:val="0"/>
      <w:divBdr>
        <w:top w:val="none" w:sz="0" w:space="0" w:color="auto"/>
        <w:left w:val="none" w:sz="0" w:space="0" w:color="auto"/>
        <w:bottom w:val="none" w:sz="0" w:space="0" w:color="auto"/>
        <w:right w:val="none" w:sz="0" w:space="0" w:color="auto"/>
      </w:divBdr>
      <w:divsChild>
        <w:div w:id="1691448592">
          <w:marLeft w:val="0"/>
          <w:marRight w:val="0"/>
          <w:marTop w:val="0"/>
          <w:marBottom w:val="0"/>
          <w:divBdr>
            <w:top w:val="none" w:sz="0" w:space="0" w:color="auto"/>
            <w:left w:val="none" w:sz="0" w:space="0" w:color="auto"/>
            <w:bottom w:val="none" w:sz="0" w:space="0" w:color="auto"/>
            <w:right w:val="none" w:sz="0" w:space="0" w:color="auto"/>
          </w:divBdr>
          <w:divsChild>
            <w:div w:id="470486503">
              <w:marLeft w:val="0"/>
              <w:marRight w:val="0"/>
              <w:marTop w:val="0"/>
              <w:marBottom w:val="0"/>
              <w:divBdr>
                <w:top w:val="none" w:sz="0" w:space="0" w:color="auto"/>
                <w:left w:val="none" w:sz="0" w:space="0" w:color="auto"/>
                <w:bottom w:val="none" w:sz="0" w:space="0" w:color="auto"/>
                <w:right w:val="none" w:sz="0" w:space="0" w:color="auto"/>
              </w:divBdr>
              <w:divsChild>
                <w:div w:id="158796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96707">
      <w:bodyDiv w:val="1"/>
      <w:marLeft w:val="0"/>
      <w:marRight w:val="0"/>
      <w:marTop w:val="0"/>
      <w:marBottom w:val="0"/>
      <w:divBdr>
        <w:top w:val="none" w:sz="0" w:space="0" w:color="auto"/>
        <w:left w:val="none" w:sz="0" w:space="0" w:color="auto"/>
        <w:bottom w:val="none" w:sz="0" w:space="0" w:color="auto"/>
        <w:right w:val="none" w:sz="0" w:space="0" w:color="auto"/>
      </w:divBdr>
      <w:divsChild>
        <w:div w:id="902981900">
          <w:marLeft w:val="0"/>
          <w:marRight w:val="0"/>
          <w:marTop w:val="0"/>
          <w:marBottom w:val="0"/>
          <w:divBdr>
            <w:top w:val="none" w:sz="0" w:space="0" w:color="auto"/>
            <w:left w:val="none" w:sz="0" w:space="0" w:color="auto"/>
            <w:bottom w:val="none" w:sz="0" w:space="0" w:color="auto"/>
            <w:right w:val="none" w:sz="0" w:space="0" w:color="auto"/>
          </w:divBdr>
          <w:divsChild>
            <w:div w:id="1973366348">
              <w:marLeft w:val="0"/>
              <w:marRight w:val="0"/>
              <w:marTop w:val="0"/>
              <w:marBottom w:val="0"/>
              <w:divBdr>
                <w:top w:val="none" w:sz="0" w:space="0" w:color="auto"/>
                <w:left w:val="none" w:sz="0" w:space="0" w:color="auto"/>
                <w:bottom w:val="none" w:sz="0" w:space="0" w:color="auto"/>
                <w:right w:val="none" w:sz="0" w:space="0" w:color="auto"/>
              </w:divBdr>
              <w:divsChild>
                <w:div w:id="131657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30372">
      <w:bodyDiv w:val="1"/>
      <w:marLeft w:val="0"/>
      <w:marRight w:val="0"/>
      <w:marTop w:val="0"/>
      <w:marBottom w:val="0"/>
      <w:divBdr>
        <w:top w:val="none" w:sz="0" w:space="0" w:color="auto"/>
        <w:left w:val="none" w:sz="0" w:space="0" w:color="auto"/>
        <w:bottom w:val="none" w:sz="0" w:space="0" w:color="auto"/>
        <w:right w:val="none" w:sz="0" w:space="0" w:color="auto"/>
      </w:divBdr>
    </w:div>
    <w:div w:id="605885158">
      <w:bodyDiv w:val="1"/>
      <w:marLeft w:val="0"/>
      <w:marRight w:val="0"/>
      <w:marTop w:val="0"/>
      <w:marBottom w:val="0"/>
      <w:divBdr>
        <w:top w:val="none" w:sz="0" w:space="0" w:color="auto"/>
        <w:left w:val="none" w:sz="0" w:space="0" w:color="auto"/>
        <w:bottom w:val="none" w:sz="0" w:space="0" w:color="auto"/>
        <w:right w:val="none" w:sz="0" w:space="0" w:color="auto"/>
      </w:divBdr>
    </w:div>
    <w:div w:id="625502291">
      <w:bodyDiv w:val="1"/>
      <w:marLeft w:val="0"/>
      <w:marRight w:val="0"/>
      <w:marTop w:val="0"/>
      <w:marBottom w:val="0"/>
      <w:divBdr>
        <w:top w:val="none" w:sz="0" w:space="0" w:color="auto"/>
        <w:left w:val="none" w:sz="0" w:space="0" w:color="auto"/>
        <w:bottom w:val="none" w:sz="0" w:space="0" w:color="auto"/>
        <w:right w:val="none" w:sz="0" w:space="0" w:color="auto"/>
      </w:divBdr>
    </w:div>
    <w:div w:id="630093859">
      <w:bodyDiv w:val="1"/>
      <w:marLeft w:val="0"/>
      <w:marRight w:val="0"/>
      <w:marTop w:val="0"/>
      <w:marBottom w:val="0"/>
      <w:divBdr>
        <w:top w:val="none" w:sz="0" w:space="0" w:color="auto"/>
        <w:left w:val="none" w:sz="0" w:space="0" w:color="auto"/>
        <w:bottom w:val="none" w:sz="0" w:space="0" w:color="auto"/>
        <w:right w:val="none" w:sz="0" w:space="0" w:color="auto"/>
      </w:divBdr>
      <w:divsChild>
        <w:div w:id="1814367524">
          <w:marLeft w:val="0"/>
          <w:marRight w:val="0"/>
          <w:marTop w:val="0"/>
          <w:marBottom w:val="0"/>
          <w:divBdr>
            <w:top w:val="none" w:sz="0" w:space="0" w:color="auto"/>
            <w:left w:val="none" w:sz="0" w:space="0" w:color="auto"/>
            <w:bottom w:val="none" w:sz="0" w:space="0" w:color="auto"/>
            <w:right w:val="none" w:sz="0" w:space="0" w:color="auto"/>
          </w:divBdr>
          <w:divsChild>
            <w:div w:id="1553997859">
              <w:marLeft w:val="0"/>
              <w:marRight w:val="0"/>
              <w:marTop w:val="0"/>
              <w:marBottom w:val="0"/>
              <w:divBdr>
                <w:top w:val="none" w:sz="0" w:space="0" w:color="auto"/>
                <w:left w:val="none" w:sz="0" w:space="0" w:color="auto"/>
                <w:bottom w:val="none" w:sz="0" w:space="0" w:color="auto"/>
                <w:right w:val="none" w:sz="0" w:space="0" w:color="auto"/>
              </w:divBdr>
              <w:divsChild>
                <w:div w:id="18804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4367">
      <w:bodyDiv w:val="1"/>
      <w:marLeft w:val="0"/>
      <w:marRight w:val="0"/>
      <w:marTop w:val="0"/>
      <w:marBottom w:val="0"/>
      <w:divBdr>
        <w:top w:val="none" w:sz="0" w:space="0" w:color="auto"/>
        <w:left w:val="none" w:sz="0" w:space="0" w:color="auto"/>
        <w:bottom w:val="none" w:sz="0" w:space="0" w:color="auto"/>
        <w:right w:val="none" w:sz="0" w:space="0" w:color="auto"/>
      </w:divBdr>
    </w:div>
    <w:div w:id="918825544">
      <w:bodyDiv w:val="1"/>
      <w:marLeft w:val="0"/>
      <w:marRight w:val="0"/>
      <w:marTop w:val="0"/>
      <w:marBottom w:val="0"/>
      <w:divBdr>
        <w:top w:val="none" w:sz="0" w:space="0" w:color="auto"/>
        <w:left w:val="none" w:sz="0" w:space="0" w:color="auto"/>
        <w:bottom w:val="none" w:sz="0" w:space="0" w:color="auto"/>
        <w:right w:val="none" w:sz="0" w:space="0" w:color="auto"/>
      </w:divBdr>
    </w:div>
    <w:div w:id="964890654">
      <w:bodyDiv w:val="1"/>
      <w:marLeft w:val="0"/>
      <w:marRight w:val="0"/>
      <w:marTop w:val="0"/>
      <w:marBottom w:val="0"/>
      <w:divBdr>
        <w:top w:val="none" w:sz="0" w:space="0" w:color="auto"/>
        <w:left w:val="none" w:sz="0" w:space="0" w:color="auto"/>
        <w:bottom w:val="none" w:sz="0" w:space="0" w:color="auto"/>
        <w:right w:val="none" w:sz="0" w:space="0" w:color="auto"/>
      </w:divBdr>
    </w:div>
    <w:div w:id="970599741">
      <w:bodyDiv w:val="1"/>
      <w:marLeft w:val="0"/>
      <w:marRight w:val="0"/>
      <w:marTop w:val="0"/>
      <w:marBottom w:val="0"/>
      <w:divBdr>
        <w:top w:val="none" w:sz="0" w:space="0" w:color="auto"/>
        <w:left w:val="none" w:sz="0" w:space="0" w:color="auto"/>
        <w:bottom w:val="none" w:sz="0" w:space="0" w:color="auto"/>
        <w:right w:val="none" w:sz="0" w:space="0" w:color="auto"/>
      </w:divBdr>
    </w:div>
    <w:div w:id="1130979361">
      <w:bodyDiv w:val="1"/>
      <w:marLeft w:val="0"/>
      <w:marRight w:val="0"/>
      <w:marTop w:val="0"/>
      <w:marBottom w:val="0"/>
      <w:divBdr>
        <w:top w:val="none" w:sz="0" w:space="0" w:color="auto"/>
        <w:left w:val="none" w:sz="0" w:space="0" w:color="auto"/>
        <w:bottom w:val="none" w:sz="0" w:space="0" w:color="auto"/>
        <w:right w:val="none" w:sz="0" w:space="0" w:color="auto"/>
      </w:divBdr>
    </w:div>
    <w:div w:id="1206067448">
      <w:bodyDiv w:val="1"/>
      <w:marLeft w:val="0"/>
      <w:marRight w:val="0"/>
      <w:marTop w:val="0"/>
      <w:marBottom w:val="0"/>
      <w:divBdr>
        <w:top w:val="none" w:sz="0" w:space="0" w:color="auto"/>
        <w:left w:val="none" w:sz="0" w:space="0" w:color="auto"/>
        <w:bottom w:val="none" w:sz="0" w:space="0" w:color="auto"/>
        <w:right w:val="none" w:sz="0" w:space="0" w:color="auto"/>
      </w:divBdr>
      <w:divsChild>
        <w:div w:id="2083409584">
          <w:marLeft w:val="0"/>
          <w:marRight w:val="0"/>
          <w:marTop w:val="0"/>
          <w:marBottom w:val="0"/>
          <w:divBdr>
            <w:top w:val="none" w:sz="0" w:space="0" w:color="auto"/>
            <w:left w:val="none" w:sz="0" w:space="0" w:color="auto"/>
            <w:bottom w:val="none" w:sz="0" w:space="0" w:color="auto"/>
            <w:right w:val="none" w:sz="0" w:space="0" w:color="auto"/>
          </w:divBdr>
          <w:divsChild>
            <w:div w:id="55664233">
              <w:marLeft w:val="0"/>
              <w:marRight w:val="0"/>
              <w:marTop w:val="0"/>
              <w:marBottom w:val="0"/>
              <w:divBdr>
                <w:top w:val="none" w:sz="0" w:space="0" w:color="auto"/>
                <w:left w:val="none" w:sz="0" w:space="0" w:color="auto"/>
                <w:bottom w:val="none" w:sz="0" w:space="0" w:color="auto"/>
                <w:right w:val="none" w:sz="0" w:space="0" w:color="auto"/>
              </w:divBdr>
              <w:divsChild>
                <w:div w:id="496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0164">
      <w:bodyDiv w:val="1"/>
      <w:marLeft w:val="0"/>
      <w:marRight w:val="0"/>
      <w:marTop w:val="0"/>
      <w:marBottom w:val="0"/>
      <w:divBdr>
        <w:top w:val="none" w:sz="0" w:space="0" w:color="auto"/>
        <w:left w:val="none" w:sz="0" w:space="0" w:color="auto"/>
        <w:bottom w:val="none" w:sz="0" w:space="0" w:color="auto"/>
        <w:right w:val="none" w:sz="0" w:space="0" w:color="auto"/>
      </w:divBdr>
    </w:div>
    <w:div w:id="1264536528">
      <w:bodyDiv w:val="1"/>
      <w:marLeft w:val="0"/>
      <w:marRight w:val="0"/>
      <w:marTop w:val="0"/>
      <w:marBottom w:val="0"/>
      <w:divBdr>
        <w:top w:val="none" w:sz="0" w:space="0" w:color="auto"/>
        <w:left w:val="none" w:sz="0" w:space="0" w:color="auto"/>
        <w:bottom w:val="none" w:sz="0" w:space="0" w:color="auto"/>
        <w:right w:val="none" w:sz="0" w:space="0" w:color="auto"/>
      </w:divBdr>
    </w:div>
    <w:div w:id="1277056662">
      <w:bodyDiv w:val="1"/>
      <w:marLeft w:val="0"/>
      <w:marRight w:val="0"/>
      <w:marTop w:val="0"/>
      <w:marBottom w:val="0"/>
      <w:divBdr>
        <w:top w:val="none" w:sz="0" w:space="0" w:color="auto"/>
        <w:left w:val="none" w:sz="0" w:space="0" w:color="auto"/>
        <w:bottom w:val="none" w:sz="0" w:space="0" w:color="auto"/>
        <w:right w:val="none" w:sz="0" w:space="0" w:color="auto"/>
      </w:divBdr>
    </w:div>
    <w:div w:id="1282304666">
      <w:bodyDiv w:val="1"/>
      <w:marLeft w:val="0"/>
      <w:marRight w:val="0"/>
      <w:marTop w:val="0"/>
      <w:marBottom w:val="0"/>
      <w:divBdr>
        <w:top w:val="none" w:sz="0" w:space="0" w:color="auto"/>
        <w:left w:val="none" w:sz="0" w:space="0" w:color="auto"/>
        <w:bottom w:val="none" w:sz="0" w:space="0" w:color="auto"/>
        <w:right w:val="none" w:sz="0" w:space="0" w:color="auto"/>
      </w:divBdr>
      <w:divsChild>
        <w:div w:id="494148822">
          <w:marLeft w:val="0"/>
          <w:marRight w:val="0"/>
          <w:marTop w:val="0"/>
          <w:marBottom w:val="0"/>
          <w:divBdr>
            <w:top w:val="none" w:sz="0" w:space="0" w:color="auto"/>
            <w:left w:val="none" w:sz="0" w:space="0" w:color="auto"/>
            <w:bottom w:val="none" w:sz="0" w:space="0" w:color="auto"/>
            <w:right w:val="none" w:sz="0" w:space="0" w:color="auto"/>
          </w:divBdr>
          <w:divsChild>
            <w:div w:id="1143812741">
              <w:marLeft w:val="0"/>
              <w:marRight w:val="0"/>
              <w:marTop w:val="0"/>
              <w:marBottom w:val="0"/>
              <w:divBdr>
                <w:top w:val="none" w:sz="0" w:space="0" w:color="auto"/>
                <w:left w:val="none" w:sz="0" w:space="0" w:color="auto"/>
                <w:bottom w:val="none" w:sz="0" w:space="0" w:color="auto"/>
                <w:right w:val="none" w:sz="0" w:space="0" w:color="auto"/>
              </w:divBdr>
              <w:divsChild>
                <w:div w:id="10765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67840">
      <w:bodyDiv w:val="1"/>
      <w:marLeft w:val="0"/>
      <w:marRight w:val="0"/>
      <w:marTop w:val="0"/>
      <w:marBottom w:val="0"/>
      <w:divBdr>
        <w:top w:val="none" w:sz="0" w:space="0" w:color="auto"/>
        <w:left w:val="none" w:sz="0" w:space="0" w:color="auto"/>
        <w:bottom w:val="none" w:sz="0" w:space="0" w:color="auto"/>
        <w:right w:val="none" w:sz="0" w:space="0" w:color="auto"/>
      </w:divBdr>
      <w:divsChild>
        <w:div w:id="1457286841">
          <w:marLeft w:val="0"/>
          <w:marRight w:val="0"/>
          <w:marTop w:val="0"/>
          <w:marBottom w:val="0"/>
          <w:divBdr>
            <w:top w:val="none" w:sz="0" w:space="0" w:color="auto"/>
            <w:left w:val="none" w:sz="0" w:space="0" w:color="auto"/>
            <w:bottom w:val="none" w:sz="0" w:space="0" w:color="auto"/>
            <w:right w:val="none" w:sz="0" w:space="0" w:color="auto"/>
          </w:divBdr>
          <w:divsChild>
            <w:div w:id="237441654">
              <w:marLeft w:val="0"/>
              <w:marRight w:val="0"/>
              <w:marTop w:val="0"/>
              <w:marBottom w:val="0"/>
              <w:divBdr>
                <w:top w:val="none" w:sz="0" w:space="0" w:color="auto"/>
                <w:left w:val="none" w:sz="0" w:space="0" w:color="auto"/>
                <w:bottom w:val="none" w:sz="0" w:space="0" w:color="auto"/>
                <w:right w:val="none" w:sz="0" w:space="0" w:color="auto"/>
              </w:divBdr>
              <w:divsChild>
                <w:div w:id="6850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2981">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486313603">
      <w:bodyDiv w:val="1"/>
      <w:marLeft w:val="0"/>
      <w:marRight w:val="0"/>
      <w:marTop w:val="0"/>
      <w:marBottom w:val="0"/>
      <w:divBdr>
        <w:top w:val="none" w:sz="0" w:space="0" w:color="auto"/>
        <w:left w:val="none" w:sz="0" w:space="0" w:color="auto"/>
        <w:bottom w:val="none" w:sz="0" w:space="0" w:color="auto"/>
        <w:right w:val="none" w:sz="0" w:space="0" w:color="auto"/>
      </w:divBdr>
    </w:div>
    <w:div w:id="1573202396">
      <w:bodyDiv w:val="1"/>
      <w:marLeft w:val="0"/>
      <w:marRight w:val="0"/>
      <w:marTop w:val="0"/>
      <w:marBottom w:val="0"/>
      <w:divBdr>
        <w:top w:val="none" w:sz="0" w:space="0" w:color="auto"/>
        <w:left w:val="none" w:sz="0" w:space="0" w:color="auto"/>
        <w:bottom w:val="none" w:sz="0" w:space="0" w:color="auto"/>
        <w:right w:val="none" w:sz="0" w:space="0" w:color="auto"/>
      </w:divBdr>
      <w:divsChild>
        <w:div w:id="1950619091">
          <w:marLeft w:val="0"/>
          <w:marRight w:val="0"/>
          <w:marTop w:val="0"/>
          <w:marBottom w:val="0"/>
          <w:divBdr>
            <w:top w:val="none" w:sz="0" w:space="0" w:color="auto"/>
            <w:left w:val="none" w:sz="0" w:space="0" w:color="auto"/>
            <w:bottom w:val="none" w:sz="0" w:space="0" w:color="auto"/>
            <w:right w:val="none" w:sz="0" w:space="0" w:color="auto"/>
          </w:divBdr>
          <w:divsChild>
            <w:div w:id="1131362961">
              <w:marLeft w:val="0"/>
              <w:marRight w:val="0"/>
              <w:marTop w:val="0"/>
              <w:marBottom w:val="0"/>
              <w:divBdr>
                <w:top w:val="none" w:sz="0" w:space="0" w:color="auto"/>
                <w:left w:val="none" w:sz="0" w:space="0" w:color="auto"/>
                <w:bottom w:val="none" w:sz="0" w:space="0" w:color="auto"/>
                <w:right w:val="none" w:sz="0" w:space="0" w:color="auto"/>
              </w:divBdr>
              <w:divsChild>
                <w:div w:id="2436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724020189">
      <w:bodyDiv w:val="1"/>
      <w:marLeft w:val="0"/>
      <w:marRight w:val="0"/>
      <w:marTop w:val="0"/>
      <w:marBottom w:val="0"/>
      <w:divBdr>
        <w:top w:val="none" w:sz="0" w:space="0" w:color="auto"/>
        <w:left w:val="none" w:sz="0" w:space="0" w:color="auto"/>
        <w:bottom w:val="none" w:sz="0" w:space="0" w:color="auto"/>
        <w:right w:val="none" w:sz="0" w:space="0" w:color="auto"/>
      </w:divBdr>
    </w:div>
    <w:div w:id="1802841450">
      <w:bodyDiv w:val="1"/>
      <w:marLeft w:val="0"/>
      <w:marRight w:val="0"/>
      <w:marTop w:val="0"/>
      <w:marBottom w:val="0"/>
      <w:divBdr>
        <w:top w:val="none" w:sz="0" w:space="0" w:color="auto"/>
        <w:left w:val="none" w:sz="0" w:space="0" w:color="auto"/>
        <w:bottom w:val="none" w:sz="0" w:space="0" w:color="auto"/>
        <w:right w:val="none" w:sz="0" w:space="0" w:color="auto"/>
      </w:divBdr>
    </w:div>
    <w:div w:id="1807240214">
      <w:bodyDiv w:val="1"/>
      <w:marLeft w:val="0"/>
      <w:marRight w:val="0"/>
      <w:marTop w:val="0"/>
      <w:marBottom w:val="0"/>
      <w:divBdr>
        <w:top w:val="none" w:sz="0" w:space="0" w:color="auto"/>
        <w:left w:val="none" w:sz="0" w:space="0" w:color="auto"/>
        <w:bottom w:val="none" w:sz="0" w:space="0" w:color="auto"/>
        <w:right w:val="none" w:sz="0" w:space="0" w:color="auto"/>
      </w:divBdr>
    </w:div>
    <w:div w:id="1812088067">
      <w:bodyDiv w:val="1"/>
      <w:marLeft w:val="0"/>
      <w:marRight w:val="0"/>
      <w:marTop w:val="0"/>
      <w:marBottom w:val="0"/>
      <w:divBdr>
        <w:top w:val="none" w:sz="0" w:space="0" w:color="auto"/>
        <w:left w:val="none" w:sz="0" w:space="0" w:color="auto"/>
        <w:bottom w:val="none" w:sz="0" w:space="0" w:color="auto"/>
        <w:right w:val="none" w:sz="0" w:space="0" w:color="auto"/>
      </w:divBdr>
      <w:divsChild>
        <w:div w:id="350883600">
          <w:marLeft w:val="0"/>
          <w:marRight w:val="0"/>
          <w:marTop w:val="0"/>
          <w:marBottom w:val="0"/>
          <w:divBdr>
            <w:top w:val="none" w:sz="0" w:space="0" w:color="auto"/>
            <w:left w:val="none" w:sz="0" w:space="0" w:color="auto"/>
            <w:bottom w:val="none" w:sz="0" w:space="0" w:color="auto"/>
            <w:right w:val="none" w:sz="0" w:space="0" w:color="auto"/>
          </w:divBdr>
          <w:divsChild>
            <w:div w:id="2123379282">
              <w:marLeft w:val="0"/>
              <w:marRight w:val="0"/>
              <w:marTop w:val="0"/>
              <w:marBottom w:val="0"/>
              <w:divBdr>
                <w:top w:val="none" w:sz="0" w:space="0" w:color="auto"/>
                <w:left w:val="none" w:sz="0" w:space="0" w:color="auto"/>
                <w:bottom w:val="none" w:sz="0" w:space="0" w:color="auto"/>
                <w:right w:val="none" w:sz="0" w:space="0" w:color="auto"/>
              </w:divBdr>
              <w:divsChild>
                <w:div w:id="15610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6484">
      <w:bodyDiv w:val="1"/>
      <w:marLeft w:val="0"/>
      <w:marRight w:val="0"/>
      <w:marTop w:val="0"/>
      <w:marBottom w:val="0"/>
      <w:divBdr>
        <w:top w:val="none" w:sz="0" w:space="0" w:color="auto"/>
        <w:left w:val="none" w:sz="0" w:space="0" w:color="auto"/>
        <w:bottom w:val="none" w:sz="0" w:space="0" w:color="auto"/>
        <w:right w:val="none" w:sz="0" w:space="0" w:color="auto"/>
      </w:divBdr>
    </w:div>
    <w:div w:id="1851605122">
      <w:bodyDiv w:val="1"/>
      <w:marLeft w:val="0"/>
      <w:marRight w:val="0"/>
      <w:marTop w:val="0"/>
      <w:marBottom w:val="0"/>
      <w:divBdr>
        <w:top w:val="none" w:sz="0" w:space="0" w:color="auto"/>
        <w:left w:val="none" w:sz="0" w:space="0" w:color="auto"/>
        <w:bottom w:val="none" w:sz="0" w:space="0" w:color="auto"/>
        <w:right w:val="none" w:sz="0" w:space="0" w:color="auto"/>
      </w:divBdr>
      <w:divsChild>
        <w:div w:id="1184170150">
          <w:marLeft w:val="0"/>
          <w:marRight w:val="0"/>
          <w:marTop w:val="0"/>
          <w:marBottom w:val="0"/>
          <w:divBdr>
            <w:top w:val="none" w:sz="0" w:space="0" w:color="auto"/>
            <w:left w:val="none" w:sz="0" w:space="0" w:color="auto"/>
            <w:bottom w:val="none" w:sz="0" w:space="0" w:color="auto"/>
            <w:right w:val="none" w:sz="0" w:space="0" w:color="auto"/>
          </w:divBdr>
          <w:divsChild>
            <w:div w:id="309872877">
              <w:marLeft w:val="0"/>
              <w:marRight w:val="0"/>
              <w:marTop w:val="0"/>
              <w:marBottom w:val="0"/>
              <w:divBdr>
                <w:top w:val="none" w:sz="0" w:space="0" w:color="auto"/>
                <w:left w:val="none" w:sz="0" w:space="0" w:color="auto"/>
                <w:bottom w:val="none" w:sz="0" w:space="0" w:color="auto"/>
                <w:right w:val="none" w:sz="0" w:space="0" w:color="auto"/>
              </w:divBdr>
              <w:divsChild>
                <w:div w:id="899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68918">
      <w:bodyDiv w:val="1"/>
      <w:marLeft w:val="0"/>
      <w:marRight w:val="0"/>
      <w:marTop w:val="0"/>
      <w:marBottom w:val="0"/>
      <w:divBdr>
        <w:top w:val="none" w:sz="0" w:space="0" w:color="auto"/>
        <w:left w:val="none" w:sz="0" w:space="0" w:color="auto"/>
        <w:bottom w:val="none" w:sz="0" w:space="0" w:color="auto"/>
        <w:right w:val="none" w:sz="0" w:space="0" w:color="auto"/>
      </w:divBdr>
      <w:divsChild>
        <w:div w:id="1995523377">
          <w:marLeft w:val="0"/>
          <w:marRight w:val="0"/>
          <w:marTop w:val="0"/>
          <w:marBottom w:val="0"/>
          <w:divBdr>
            <w:top w:val="none" w:sz="0" w:space="0" w:color="auto"/>
            <w:left w:val="none" w:sz="0" w:space="0" w:color="auto"/>
            <w:bottom w:val="none" w:sz="0" w:space="0" w:color="auto"/>
            <w:right w:val="none" w:sz="0" w:space="0" w:color="auto"/>
          </w:divBdr>
          <w:divsChild>
            <w:div w:id="789321349">
              <w:marLeft w:val="0"/>
              <w:marRight w:val="0"/>
              <w:marTop w:val="0"/>
              <w:marBottom w:val="0"/>
              <w:divBdr>
                <w:top w:val="none" w:sz="0" w:space="0" w:color="auto"/>
                <w:left w:val="none" w:sz="0" w:space="0" w:color="auto"/>
                <w:bottom w:val="none" w:sz="0" w:space="0" w:color="auto"/>
                <w:right w:val="none" w:sz="0" w:space="0" w:color="auto"/>
              </w:divBdr>
              <w:divsChild>
                <w:div w:id="878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0587">
      <w:bodyDiv w:val="1"/>
      <w:marLeft w:val="0"/>
      <w:marRight w:val="0"/>
      <w:marTop w:val="0"/>
      <w:marBottom w:val="0"/>
      <w:divBdr>
        <w:top w:val="none" w:sz="0" w:space="0" w:color="auto"/>
        <w:left w:val="none" w:sz="0" w:space="0" w:color="auto"/>
        <w:bottom w:val="none" w:sz="0" w:space="0" w:color="auto"/>
        <w:right w:val="none" w:sz="0" w:space="0" w:color="auto"/>
      </w:divBdr>
    </w:div>
    <w:div w:id="206879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casos_en_supervision_por_pais.cfm" TargetMode="External"/><Relationship Id="rId2" Type="http://schemas.openxmlformats.org/officeDocument/2006/relationships/hyperlink" Target="http://www.corteidh.or.cr/docs/casos/articulos/seriec_305_esp.pdf" TargetMode="External"/><Relationship Id="rId1" Type="http://schemas.openxmlformats.org/officeDocument/2006/relationships/hyperlink" Target="http://www.corteidh.or.cr/docs/casos/articulos/seriec_304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49BDF-877B-4795-9D7E-4597E063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9393</Words>
  <Characters>51666</Characters>
  <Application>Microsoft Office Word</Application>
  <DocSecurity>0</DocSecurity>
  <Lines>430</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60938</CharactersWithSpaces>
  <SharedDoc>false</SharedDoc>
  <HLinks>
    <vt:vector size="90" baseType="variant">
      <vt:variant>
        <vt:i4>1179697</vt:i4>
      </vt:variant>
      <vt:variant>
        <vt:i4>68</vt:i4>
      </vt:variant>
      <vt:variant>
        <vt:i4>0</vt:i4>
      </vt:variant>
      <vt:variant>
        <vt:i4>5</vt:i4>
      </vt:variant>
      <vt:variant>
        <vt:lpwstr/>
      </vt:variant>
      <vt:variant>
        <vt:lpwstr>_Toc67242670</vt:lpwstr>
      </vt:variant>
      <vt:variant>
        <vt:i4>1769520</vt:i4>
      </vt:variant>
      <vt:variant>
        <vt:i4>62</vt:i4>
      </vt:variant>
      <vt:variant>
        <vt:i4>0</vt:i4>
      </vt:variant>
      <vt:variant>
        <vt:i4>5</vt:i4>
      </vt:variant>
      <vt:variant>
        <vt:lpwstr/>
      </vt:variant>
      <vt:variant>
        <vt:lpwstr>_Toc67242669</vt:lpwstr>
      </vt:variant>
      <vt:variant>
        <vt:i4>1703984</vt:i4>
      </vt:variant>
      <vt:variant>
        <vt:i4>56</vt:i4>
      </vt:variant>
      <vt:variant>
        <vt:i4>0</vt:i4>
      </vt:variant>
      <vt:variant>
        <vt:i4>5</vt:i4>
      </vt:variant>
      <vt:variant>
        <vt:lpwstr/>
      </vt:variant>
      <vt:variant>
        <vt:lpwstr>_Toc67242668</vt:lpwstr>
      </vt:variant>
      <vt:variant>
        <vt:i4>1376304</vt:i4>
      </vt:variant>
      <vt:variant>
        <vt:i4>50</vt:i4>
      </vt:variant>
      <vt:variant>
        <vt:i4>0</vt:i4>
      </vt:variant>
      <vt:variant>
        <vt:i4>5</vt:i4>
      </vt:variant>
      <vt:variant>
        <vt:lpwstr/>
      </vt:variant>
      <vt:variant>
        <vt:lpwstr>_Toc67242667</vt:lpwstr>
      </vt:variant>
      <vt:variant>
        <vt:i4>1310768</vt:i4>
      </vt:variant>
      <vt:variant>
        <vt:i4>44</vt:i4>
      </vt:variant>
      <vt:variant>
        <vt:i4>0</vt:i4>
      </vt:variant>
      <vt:variant>
        <vt:i4>5</vt:i4>
      </vt:variant>
      <vt:variant>
        <vt:lpwstr/>
      </vt:variant>
      <vt:variant>
        <vt:lpwstr>_Toc67242666</vt:lpwstr>
      </vt:variant>
      <vt:variant>
        <vt:i4>1507376</vt:i4>
      </vt:variant>
      <vt:variant>
        <vt:i4>38</vt:i4>
      </vt:variant>
      <vt:variant>
        <vt:i4>0</vt:i4>
      </vt:variant>
      <vt:variant>
        <vt:i4>5</vt:i4>
      </vt:variant>
      <vt:variant>
        <vt:lpwstr/>
      </vt:variant>
      <vt:variant>
        <vt:lpwstr>_Toc67242665</vt:lpwstr>
      </vt:variant>
      <vt:variant>
        <vt:i4>1441840</vt:i4>
      </vt:variant>
      <vt:variant>
        <vt:i4>32</vt:i4>
      </vt:variant>
      <vt:variant>
        <vt:i4>0</vt:i4>
      </vt:variant>
      <vt:variant>
        <vt:i4>5</vt:i4>
      </vt:variant>
      <vt:variant>
        <vt:lpwstr/>
      </vt:variant>
      <vt:variant>
        <vt:lpwstr>_Toc67242664</vt:lpwstr>
      </vt:variant>
      <vt:variant>
        <vt:i4>1114160</vt:i4>
      </vt:variant>
      <vt:variant>
        <vt:i4>26</vt:i4>
      </vt:variant>
      <vt:variant>
        <vt:i4>0</vt:i4>
      </vt:variant>
      <vt:variant>
        <vt:i4>5</vt:i4>
      </vt:variant>
      <vt:variant>
        <vt:lpwstr/>
      </vt:variant>
      <vt:variant>
        <vt:lpwstr>_Toc67242663</vt:lpwstr>
      </vt:variant>
      <vt:variant>
        <vt:i4>1048624</vt:i4>
      </vt:variant>
      <vt:variant>
        <vt:i4>20</vt:i4>
      </vt:variant>
      <vt:variant>
        <vt:i4>0</vt:i4>
      </vt:variant>
      <vt:variant>
        <vt:i4>5</vt:i4>
      </vt:variant>
      <vt:variant>
        <vt:lpwstr/>
      </vt:variant>
      <vt:variant>
        <vt:lpwstr>_Toc67242662</vt:lpwstr>
      </vt:variant>
      <vt:variant>
        <vt:i4>1245232</vt:i4>
      </vt:variant>
      <vt:variant>
        <vt:i4>14</vt:i4>
      </vt:variant>
      <vt:variant>
        <vt:i4>0</vt:i4>
      </vt:variant>
      <vt:variant>
        <vt:i4>5</vt:i4>
      </vt:variant>
      <vt:variant>
        <vt:lpwstr/>
      </vt:variant>
      <vt:variant>
        <vt:lpwstr>_Toc67242661</vt:lpwstr>
      </vt:variant>
      <vt:variant>
        <vt:i4>1179696</vt:i4>
      </vt:variant>
      <vt:variant>
        <vt:i4>8</vt:i4>
      </vt:variant>
      <vt:variant>
        <vt:i4>0</vt:i4>
      </vt:variant>
      <vt:variant>
        <vt:i4>5</vt:i4>
      </vt:variant>
      <vt:variant>
        <vt:lpwstr/>
      </vt:variant>
      <vt:variant>
        <vt:lpwstr>_Toc67242660</vt:lpwstr>
      </vt:variant>
      <vt:variant>
        <vt:i4>1769523</vt:i4>
      </vt:variant>
      <vt:variant>
        <vt:i4>2</vt:i4>
      </vt:variant>
      <vt:variant>
        <vt:i4>0</vt:i4>
      </vt:variant>
      <vt:variant>
        <vt:i4>5</vt:i4>
      </vt:variant>
      <vt:variant>
        <vt:lpwstr/>
      </vt:variant>
      <vt:variant>
        <vt:lpwstr>_Toc67242659</vt:lpwstr>
      </vt:variant>
      <vt:variant>
        <vt:i4>3211315</vt:i4>
      </vt:variant>
      <vt:variant>
        <vt:i4>6</vt:i4>
      </vt:variant>
      <vt:variant>
        <vt:i4>0</vt:i4>
      </vt:variant>
      <vt:variant>
        <vt:i4>5</vt:i4>
      </vt:variant>
      <vt:variant>
        <vt:lpwstr>https://www.corteidh.or.cr/casos_en_supervision_por_pais.cfm</vt:lpwstr>
      </vt:variant>
      <vt:variant>
        <vt:lpwstr/>
      </vt:variant>
      <vt:variant>
        <vt:i4>5242962</vt:i4>
      </vt:variant>
      <vt:variant>
        <vt:i4>3</vt:i4>
      </vt:variant>
      <vt:variant>
        <vt:i4>0</vt:i4>
      </vt:variant>
      <vt:variant>
        <vt:i4>5</vt:i4>
      </vt:variant>
      <vt:variant>
        <vt:lpwstr>http://www.corteidh.or.cr/docs/casos/articulos/seriec_305_esp.pdf</vt:lpwstr>
      </vt:variant>
      <vt:variant>
        <vt:lpwstr/>
      </vt:variant>
      <vt:variant>
        <vt:i4>5242963</vt:i4>
      </vt:variant>
      <vt:variant>
        <vt:i4>0</vt:i4>
      </vt:variant>
      <vt:variant>
        <vt:i4>0</vt:i4>
      </vt:variant>
      <vt:variant>
        <vt:i4>5</vt:i4>
      </vt:variant>
      <vt:variant>
        <vt:lpwstr>http://www.corteidh.or.cr/docs/casos/articulos/seriec_304_esp.pdf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2021-06-17T14:17:00Z</cp:lastPrinted>
  <dcterms:created xsi:type="dcterms:W3CDTF">2021-07-07T19:28:00Z</dcterms:created>
  <dcterms:modified xsi:type="dcterms:W3CDTF">2021-07-07T19:28:00Z</dcterms:modified>
</cp:coreProperties>
</file>