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E44C8" w14:textId="605E7C26" w:rsidR="00FC5694" w:rsidRPr="003F2C54" w:rsidRDefault="00FC5694" w:rsidP="00FC5694">
      <w:pPr>
        <w:pStyle w:val="NormalWeb"/>
        <w:jc w:val="both"/>
        <w:rPr>
          <w:rFonts w:ascii="Verdana" w:hAnsi="Verdana" w:cs="Calibri"/>
          <w:b/>
          <w:sz w:val="20"/>
          <w:szCs w:val="20"/>
        </w:rPr>
      </w:pPr>
    </w:p>
    <w:p w14:paraId="23CDA1D6" w14:textId="583DAE64" w:rsidR="00544CEF" w:rsidRPr="003F2C54" w:rsidRDefault="00544CEF" w:rsidP="00FC5694">
      <w:pPr>
        <w:pStyle w:val="NormalWeb"/>
        <w:jc w:val="both"/>
        <w:rPr>
          <w:rFonts w:ascii="Verdana" w:hAnsi="Verdana" w:cs="Calibri"/>
          <w:b/>
          <w:sz w:val="20"/>
          <w:szCs w:val="20"/>
        </w:rPr>
      </w:pPr>
    </w:p>
    <w:p w14:paraId="515822CB" w14:textId="6B35F4D0" w:rsidR="00544CEF" w:rsidRPr="003F2C54" w:rsidRDefault="00544CEF" w:rsidP="00FC5694">
      <w:pPr>
        <w:pStyle w:val="NormalWeb"/>
        <w:jc w:val="both"/>
        <w:rPr>
          <w:rFonts w:ascii="Verdana" w:hAnsi="Verdana" w:cs="Calibri"/>
          <w:b/>
          <w:sz w:val="20"/>
          <w:szCs w:val="20"/>
        </w:rPr>
      </w:pPr>
    </w:p>
    <w:p w14:paraId="0FFDBED6" w14:textId="535FE2EA" w:rsidR="00544CEF" w:rsidRPr="003F2C54" w:rsidRDefault="00544CEF" w:rsidP="00FC5694">
      <w:pPr>
        <w:pStyle w:val="NormalWeb"/>
        <w:jc w:val="both"/>
        <w:rPr>
          <w:rFonts w:ascii="Verdana" w:hAnsi="Verdana" w:cs="Calibri"/>
          <w:b/>
          <w:sz w:val="20"/>
          <w:szCs w:val="20"/>
        </w:rPr>
      </w:pPr>
    </w:p>
    <w:p w14:paraId="209109CB" w14:textId="05BC93BE" w:rsidR="00544CEF" w:rsidRPr="003F2C54" w:rsidRDefault="00544CEF" w:rsidP="00FC5694">
      <w:pPr>
        <w:pStyle w:val="NormalWeb"/>
        <w:jc w:val="both"/>
        <w:rPr>
          <w:rFonts w:ascii="Verdana" w:hAnsi="Verdana" w:cs="Calibri"/>
          <w:b/>
          <w:sz w:val="20"/>
          <w:szCs w:val="20"/>
        </w:rPr>
      </w:pPr>
    </w:p>
    <w:p w14:paraId="2E7C973F" w14:textId="0EC3A128" w:rsidR="00544CEF" w:rsidRPr="003F2C54" w:rsidRDefault="00544CEF" w:rsidP="00FC5694">
      <w:pPr>
        <w:pStyle w:val="NormalWeb"/>
        <w:jc w:val="both"/>
        <w:rPr>
          <w:rFonts w:ascii="Verdana" w:hAnsi="Verdana" w:cs="Calibri"/>
          <w:b/>
          <w:sz w:val="20"/>
          <w:szCs w:val="20"/>
        </w:rPr>
      </w:pPr>
    </w:p>
    <w:p w14:paraId="020A3501" w14:textId="77777777" w:rsidR="00544CEF" w:rsidRPr="003F2C54" w:rsidRDefault="00544CEF" w:rsidP="00FC5694">
      <w:pPr>
        <w:pStyle w:val="NormalWeb"/>
        <w:jc w:val="both"/>
        <w:rPr>
          <w:rFonts w:ascii="Verdana" w:hAnsi="Verdana" w:cs="Calibri"/>
          <w:b/>
          <w:sz w:val="20"/>
          <w:szCs w:val="20"/>
        </w:rPr>
      </w:pPr>
    </w:p>
    <w:p w14:paraId="079D529C" w14:textId="65A65839" w:rsidR="0016448A" w:rsidRPr="00716618" w:rsidRDefault="0016448A" w:rsidP="0016448A">
      <w:pPr>
        <w:pStyle w:val="NormalWeb"/>
        <w:jc w:val="center"/>
        <w:rPr>
          <w:rFonts w:ascii="Verdana" w:hAnsi="Verdana" w:cs="Calibri"/>
          <w:b/>
          <w:color w:val="000000"/>
          <w:sz w:val="20"/>
          <w:szCs w:val="20"/>
        </w:rPr>
      </w:pPr>
      <w:r w:rsidRPr="00716618">
        <w:rPr>
          <w:rFonts w:ascii="Verdana" w:hAnsi="Verdana" w:cs="Calibri"/>
          <w:b/>
          <w:color w:val="000000"/>
          <w:sz w:val="20"/>
          <w:szCs w:val="20"/>
        </w:rPr>
        <w:t xml:space="preserve">RESOLUCIÓN DE LA </w:t>
      </w:r>
    </w:p>
    <w:p w14:paraId="3976D8FA" w14:textId="77777777" w:rsidR="0016448A" w:rsidRPr="00716618" w:rsidRDefault="0016448A" w:rsidP="0016448A">
      <w:pPr>
        <w:pStyle w:val="NormalWeb"/>
        <w:jc w:val="center"/>
        <w:rPr>
          <w:rFonts w:ascii="Verdana" w:hAnsi="Verdana" w:cs="Calibri"/>
          <w:b/>
          <w:color w:val="000000"/>
          <w:sz w:val="20"/>
          <w:szCs w:val="20"/>
        </w:rPr>
      </w:pPr>
      <w:r w:rsidRPr="00716618">
        <w:rPr>
          <w:rFonts w:ascii="Verdana" w:hAnsi="Verdana" w:cs="Calibri"/>
          <w:b/>
          <w:color w:val="000000"/>
          <w:sz w:val="20"/>
          <w:szCs w:val="20"/>
        </w:rPr>
        <w:t>CORTE INTERAMERICANA DE DERECHOS HUMANOS</w:t>
      </w:r>
      <w:r w:rsidRPr="005E7788">
        <w:rPr>
          <w:rFonts w:ascii="Verdana" w:hAnsi="Verdana" w:cs="Calibri"/>
          <w:b/>
          <w:color w:val="000000"/>
          <w:sz w:val="20"/>
          <w:szCs w:val="20"/>
          <w:vertAlign w:val="superscript"/>
        </w:rPr>
        <w:t>*</w:t>
      </w:r>
    </w:p>
    <w:p w14:paraId="1F6ED267" w14:textId="77777777" w:rsidR="00B64E77" w:rsidRDefault="00B64E77" w:rsidP="0016448A">
      <w:pPr>
        <w:pStyle w:val="NormalWeb"/>
        <w:jc w:val="center"/>
        <w:rPr>
          <w:rFonts w:ascii="Verdana" w:hAnsi="Verdana" w:cs="Calibri"/>
          <w:b/>
          <w:color w:val="000000"/>
          <w:sz w:val="20"/>
          <w:szCs w:val="20"/>
        </w:rPr>
      </w:pPr>
    </w:p>
    <w:p w14:paraId="798A7C40" w14:textId="7B6E3B8E" w:rsidR="0016448A" w:rsidRPr="00716618" w:rsidRDefault="0016448A" w:rsidP="0016448A">
      <w:pPr>
        <w:pStyle w:val="NormalWeb"/>
        <w:jc w:val="center"/>
        <w:rPr>
          <w:rFonts w:ascii="Verdana" w:hAnsi="Verdana" w:cs="Calibri"/>
          <w:b/>
          <w:color w:val="000000"/>
          <w:sz w:val="20"/>
          <w:szCs w:val="20"/>
        </w:rPr>
      </w:pPr>
      <w:r w:rsidRPr="00716618">
        <w:rPr>
          <w:rFonts w:ascii="Verdana" w:hAnsi="Verdana" w:cs="Calibri"/>
          <w:b/>
          <w:color w:val="000000"/>
          <w:sz w:val="20"/>
          <w:szCs w:val="20"/>
        </w:rPr>
        <w:t xml:space="preserve">DE </w:t>
      </w:r>
      <w:r w:rsidR="00544CEF">
        <w:rPr>
          <w:rFonts w:ascii="Verdana" w:hAnsi="Verdana" w:cs="Calibri"/>
          <w:b/>
          <w:color w:val="000000"/>
          <w:sz w:val="20"/>
          <w:szCs w:val="20"/>
        </w:rPr>
        <w:t>22</w:t>
      </w:r>
      <w:r w:rsidR="00544CEF" w:rsidRPr="00716618">
        <w:rPr>
          <w:rFonts w:ascii="Verdana" w:hAnsi="Verdana" w:cs="Calibri"/>
          <w:b/>
          <w:color w:val="000000"/>
          <w:sz w:val="20"/>
          <w:szCs w:val="20"/>
        </w:rPr>
        <w:t xml:space="preserve"> </w:t>
      </w:r>
      <w:r w:rsidRPr="00716618">
        <w:rPr>
          <w:rFonts w:ascii="Verdana" w:hAnsi="Verdana" w:cs="Calibri"/>
          <w:b/>
          <w:color w:val="000000"/>
          <w:sz w:val="20"/>
          <w:szCs w:val="20"/>
        </w:rPr>
        <w:t xml:space="preserve">DE </w:t>
      </w:r>
      <w:r w:rsidR="00544CEF">
        <w:rPr>
          <w:rFonts w:ascii="Verdana" w:hAnsi="Verdana" w:cs="Calibri"/>
          <w:b/>
          <w:color w:val="000000"/>
          <w:sz w:val="20"/>
          <w:szCs w:val="20"/>
        </w:rPr>
        <w:t>ABRIL</w:t>
      </w:r>
      <w:r w:rsidR="00544CEF" w:rsidRPr="00716618">
        <w:rPr>
          <w:rFonts w:ascii="Verdana" w:hAnsi="Verdana" w:cs="Calibri"/>
          <w:b/>
          <w:color w:val="000000"/>
          <w:sz w:val="20"/>
          <w:szCs w:val="20"/>
        </w:rPr>
        <w:t xml:space="preserve"> </w:t>
      </w:r>
      <w:r w:rsidRPr="00716618">
        <w:rPr>
          <w:rFonts w:ascii="Verdana" w:hAnsi="Verdana" w:cs="Calibri"/>
          <w:b/>
          <w:color w:val="000000"/>
          <w:sz w:val="20"/>
          <w:szCs w:val="20"/>
        </w:rPr>
        <w:t>DE 20</w:t>
      </w:r>
      <w:r>
        <w:rPr>
          <w:rFonts w:ascii="Verdana" w:hAnsi="Verdana" w:cs="Calibri"/>
          <w:b/>
          <w:color w:val="000000"/>
          <w:sz w:val="20"/>
          <w:szCs w:val="20"/>
        </w:rPr>
        <w:t>21</w:t>
      </w:r>
    </w:p>
    <w:p w14:paraId="50CDA45A" w14:textId="77777777" w:rsidR="0016448A" w:rsidRPr="00716618" w:rsidRDefault="0016448A" w:rsidP="0016448A">
      <w:pPr>
        <w:pStyle w:val="NormalWeb"/>
        <w:jc w:val="center"/>
        <w:rPr>
          <w:rFonts w:ascii="Verdana" w:hAnsi="Verdana" w:cs="Calibri"/>
          <w:b/>
          <w:color w:val="000000"/>
          <w:sz w:val="20"/>
          <w:szCs w:val="20"/>
        </w:rPr>
      </w:pPr>
    </w:p>
    <w:p w14:paraId="7C26E955" w14:textId="77777777" w:rsidR="0016448A" w:rsidRPr="005E7788" w:rsidRDefault="0016448A" w:rsidP="0016448A">
      <w:pPr>
        <w:pStyle w:val="NormalWeb"/>
        <w:jc w:val="center"/>
        <w:rPr>
          <w:rFonts w:ascii="Verdana" w:hAnsi="Verdana" w:cs="Calibri"/>
          <w:b/>
          <w:i/>
          <w:color w:val="000000"/>
          <w:sz w:val="20"/>
          <w:szCs w:val="20"/>
        </w:rPr>
      </w:pPr>
      <w:r w:rsidRPr="005E7788">
        <w:rPr>
          <w:rFonts w:ascii="Verdana" w:hAnsi="Verdana" w:cs="Calibri"/>
          <w:b/>
          <w:i/>
          <w:color w:val="000000"/>
          <w:sz w:val="20"/>
          <w:szCs w:val="20"/>
        </w:rPr>
        <w:t>CASO GORIGOITÍA VS. ARGENTINA</w:t>
      </w:r>
    </w:p>
    <w:p w14:paraId="7BD25D82" w14:textId="77777777" w:rsidR="0016448A" w:rsidRPr="00716618" w:rsidRDefault="0016448A" w:rsidP="0016448A">
      <w:pPr>
        <w:pStyle w:val="NormalWeb"/>
        <w:jc w:val="center"/>
        <w:rPr>
          <w:rFonts w:ascii="Verdana" w:hAnsi="Verdana" w:cs="Calibri"/>
          <w:b/>
          <w:color w:val="000000"/>
          <w:sz w:val="20"/>
          <w:szCs w:val="20"/>
        </w:rPr>
      </w:pPr>
    </w:p>
    <w:p w14:paraId="505A3957" w14:textId="77777777" w:rsidR="0016448A" w:rsidRPr="00716618" w:rsidRDefault="0016448A" w:rsidP="0016448A">
      <w:pPr>
        <w:pStyle w:val="NormalWeb"/>
        <w:jc w:val="center"/>
        <w:rPr>
          <w:rFonts w:ascii="Verdana" w:hAnsi="Verdana" w:cs="Calibri"/>
          <w:b/>
          <w:color w:val="000000"/>
          <w:sz w:val="20"/>
          <w:szCs w:val="20"/>
        </w:rPr>
      </w:pPr>
      <w:r w:rsidRPr="00716618">
        <w:rPr>
          <w:rFonts w:ascii="Verdana" w:hAnsi="Verdana" w:cs="Calibri"/>
          <w:b/>
          <w:color w:val="000000"/>
          <w:sz w:val="20"/>
          <w:szCs w:val="20"/>
        </w:rPr>
        <w:t>SUPERVISIÓN DE CUMPLIMIENTO DE SENTENCIA</w:t>
      </w:r>
    </w:p>
    <w:p w14:paraId="305694D9" w14:textId="77777777" w:rsidR="0016448A" w:rsidRPr="00716618" w:rsidRDefault="0016448A" w:rsidP="0016448A">
      <w:pPr>
        <w:pStyle w:val="NormalWeb"/>
        <w:jc w:val="center"/>
        <w:rPr>
          <w:rFonts w:ascii="Verdana" w:hAnsi="Verdana" w:cs="Calibri"/>
          <w:color w:val="000000"/>
          <w:sz w:val="20"/>
          <w:szCs w:val="20"/>
        </w:rPr>
      </w:pPr>
    </w:p>
    <w:p w14:paraId="02388DA2" w14:textId="048FE60B" w:rsidR="0016448A" w:rsidRPr="005E7788" w:rsidRDefault="0016448A" w:rsidP="001E5BD4">
      <w:pPr>
        <w:pStyle w:val="NormalWeb"/>
        <w:spacing w:before="120" w:after="120"/>
        <w:rPr>
          <w:rFonts w:ascii="Verdana" w:hAnsi="Verdana" w:cs="Calibri"/>
          <w:b/>
          <w:color w:val="000000"/>
          <w:sz w:val="20"/>
          <w:szCs w:val="20"/>
        </w:rPr>
      </w:pPr>
      <w:r w:rsidRPr="00716618">
        <w:rPr>
          <w:rFonts w:ascii="Verdana" w:hAnsi="Verdana" w:cs="Calibri"/>
          <w:b/>
          <w:color w:val="000000"/>
          <w:sz w:val="20"/>
          <w:szCs w:val="20"/>
        </w:rPr>
        <w:t xml:space="preserve">VISTO: </w:t>
      </w:r>
    </w:p>
    <w:p w14:paraId="4E9E3C18" w14:textId="49161224" w:rsidR="004F6001" w:rsidRPr="004F6001" w:rsidRDefault="0016448A" w:rsidP="001E5BD4">
      <w:pPr>
        <w:pStyle w:val="Prrafodelista"/>
        <w:numPr>
          <w:ilvl w:val="0"/>
          <w:numId w:val="2"/>
        </w:numPr>
        <w:spacing w:before="120" w:after="120"/>
        <w:ind w:left="0" w:firstLine="0"/>
        <w:jc w:val="both"/>
        <w:rPr>
          <w:b/>
          <w:bCs/>
        </w:rPr>
      </w:pPr>
      <w:r w:rsidRPr="004F6001">
        <w:rPr>
          <w:rFonts w:ascii="Verdana" w:hAnsi="Verdana"/>
          <w:sz w:val="20"/>
        </w:rPr>
        <w:t>La Sentencia de excepción preliminar, fondo, reparaciones y costas dictada por la Corte Interamericana de Derechos Humanos (en adelante “la Corte”, “la Corte Interamericana” o “el Tribunal”) el 2 de septiembre de 2019</w:t>
      </w:r>
      <w:r>
        <w:rPr>
          <w:rStyle w:val="Refdenotaalpie"/>
          <w:rFonts w:ascii="Verdana" w:hAnsi="Verdana"/>
          <w:sz w:val="20"/>
        </w:rPr>
        <w:footnoteReference w:id="1"/>
      </w:r>
      <w:r w:rsidRPr="004F6001">
        <w:rPr>
          <w:rFonts w:ascii="Verdana" w:hAnsi="Verdana"/>
          <w:sz w:val="20"/>
        </w:rPr>
        <w:t>.</w:t>
      </w:r>
      <w:r w:rsidRPr="004F6001">
        <w:rPr>
          <w:rFonts w:ascii="Verdana" w:hAnsi="Verdana"/>
          <w:color w:val="000000"/>
          <w:sz w:val="18"/>
          <w:szCs w:val="20"/>
        </w:rPr>
        <w:t xml:space="preserve"> </w:t>
      </w:r>
      <w:r w:rsidR="00624685" w:rsidRPr="00624685">
        <w:rPr>
          <w:rFonts w:ascii="Verdana" w:hAnsi="Verdana"/>
          <w:color w:val="000000"/>
          <w:sz w:val="20"/>
          <w:szCs w:val="20"/>
        </w:rPr>
        <w:t xml:space="preserve">La Corte declaró </w:t>
      </w:r>
      <w:r w:rsidR="00624685">
        <w:rPr>
          <w:rFonts w:ascii="Verdana" w:hAnsi="Verdana"/>
          <w:color w:val="000000"/>
          <w:sz w:val="20"/>
          <w:szCs w:val="20"/>
        </w:rPr>
        <w:t xml:space="preserve">responsable internacionalmente a la República Argentina (en adelante “el Estado” o “Argentina”) por la violación del derecho a recurrir </w:t>
      </w:r>
      <w:r w:rsidR="00B87AD9">
        <w:rPr>
          <w:rFonts w:ascii="Verdana" w:hAnsi="Verdana"/>
          <w:color w:val="000000"/>
          <w:sz w:val="20"/>
          <w:szCs w:val="20"/>
        </w:rPr>
        <w:t>d</w:t>
      </w:r>
      <w:r w:rsidR="00624685">
        <w:rPr>
          <w:rFonts w:ascii="Verdana" w:hAnsi="Verdana"/>
          <w:color w:val="000000"/>
          <w:sz w:val="20"/>
          <w:szCs w:val="20"/>
        </w:rPr>
        <w:t xml:space="preserve">el fallo ante un juez o tribunal superior, en perjuicio del señor Oscar Raúl </w:t>
      </w:r>
      <w:proofErr w:type="spellStart"/>
      <w:r w:rsidR="00624685">
        <w:rPr>
          <w:rFonts w:ascii="Verdana" w:hAnsi="Verdana"/>
          <w:color w:val="000000"/>
          <w:sz w:val="20"/>
          <w:szCs w:val="20"/>
        </w:rPr>
        <w:t>Gorigoitía</w:t>
      </w:r>
      <w:proofErr w:type="spellEnd"/>
      <w:r w:rsidR="00624685">
        <w:rPr>
          <w:rFonts w:ascii="Verdana" w:hAnsi="Verdana"/>
          <w:color w:val="000000"/>
          <w:sz w:val="20"/>
          <w:szCs w:val="20"/>
        </w:rPr>
        <w:t xml:space="preserve">. El señor </w:t>
      </w:r>
      <w:proofErr w:type="spellStart"/>
      <w:r w:rsidR="00624685">
        <w:rPr>
          <w:rFonts w:ascii="Verdana" w:hAnsi="Verdana"/>
          <w:color w:val="000000"/>
          <w:sz w:val="20"/>
          <w:szCs w:val="20"/>
        </w:rPr>
        <w:t>Gori</w:t>
      </w:r>
      <w:r w:rsidR="003C1ADD">
        <w:rPr>
          <w:rFonts w:ascii="Verdana" w:hAnsi="Verdana"/>
          <w:color w:val="000000"/>
          <w:sz w:val="20"/>
          <w:szCs w:val="20"/>
        </w:rPr>
        <w:t>goitía</w:t>
      </w:r>
      <w:proofErr w:type="spellEnd"/>
      <w:r w:rsidR="003C1ADD">
        <w:rPr>
          <w:rFonts w:ascii="Verdana" w:hAnsi="Verdana"/>
          <w:color w:val="000000"/>
          <w:sz w:val="20"/>
          <w:szCs w:val="20"/>
        </w:rPr>
        <w:t xml:space="preserve">, quien era Sargento Ayudante de la Policía de Mendoza, fue condenado penalmente por sentencia emitida el 12 de septiembre de 1997 </w:t>
      </w:r>
      <w:r w:rsidR="00FB4437">
        <w:rPr>
          <w:rFonts w:ascii="Verdana" w:hAnsi="Verdana"/>
          <w:color w:val="000000"/>
          <w:sz w:val="20"/>
          <w:szCs w:val="20"/>
        </w:rPr>
        <w:t>por</w:t>
      </w:r>
      <w:r w:rsidR="003C1ADD">
        <w:rPr>
          <w:rFonts w:ascii="Verdana" w:hAnsi="Verdana"/>
          <w:color w:val="000000"/>
          <w:sz w:val="20"/>
          <w:szCs w:val="20"/>
        </w:rPr>
        <w:t xml:space="preserve"> la Cámara Primera del </w:t>
      </w:r>
      <w:r w:rsidR="005E7788">
        <w:rPr>
          <w:rFonts w:ascii="Verdana" w:hAnsi="Verdana"/>
          <w:color w:val="000000"/>
          <w:sz w:val="20"/>
          <w:szCs w:val="20"/>
        </w:rPr>
        <w:t>Crimen</w:t>
      </w:r>
      <w:r w:rsidR="003C1ADD">
        <w:rPr>
          <w:rFonts w:ascii="Verdana" w:hAnsi="Verdana"/>
          <w:color w:val="000000"/>
          <w:sz w:val="20"/>
          <w:szCs w:val="20"/>
        </w:rPr>
        <w:t xml:space="preserve"> de Mendoza. Esta sentencia fue recurrida por el señor </w:t>
      </w:r>
      <w:proofErr w:type="spellStart"/>
      <w:r w:rsidR="003C1ADD">
        <w:rPr>
          <w:rFonts w:ascii="Verdana" w:hAnsi="Verdana"/>
          <w:color w:val="000000"/>
          <w:sz w:val="20"/>
          <w:szCs w:val="20"/>
        </w:rPr>
        <w:t>Gorigoitía</w:t>
      </w:r>
      <w:proofErr w:type="spellEnd"/>
      <w:r w:rsidR="003C1ADD">
        <w:rPr>
          <w:rFonts w:ascii="Verdana" w:hAnsi="Verdana"/>
          <w:color w:val="000000"/>
          <w:sz w:val="20"/>
          <w:szCs w:val="20"/>
        </w:rPr>
        <w:t xml:space="preserve"> debido a su falta de motivación y arbitrariedad; sin embargo, tal recurso de casación fue rechazado “</w:t>
      </w:r>
      <w:r w:rsidR="003C1ADD" w:rsidRPr="000E127A">
        <w:rPr>
          <w:rFonts w:ascii="Verdana" w:hAnsi="Verdana"/>
          <w:i/>
          <w:color w:val="000000"/>
          <w:sz w:val="20"/>
          <w:szCs w:val="20"/>
        </w:rPr>
        <w:t>in limine</w:t>
      </w:r>
      <w:r w:rsidR="003C1ADD">
        <w:rPr>
          <w:rFonts w:ascii="Verdana" w:hAnsi="Verdana"/>
          <w:color w:val="000000"/>
          <w:sz w:val="20"/>
          <w:szCs w:val="20"/>
        </w:rPr>
        <w:t xml:space="preserve">” por sentencia de </w:t>
      </w:r>
      <w:r w:rsidR="003C1ADD" w:rsidRPr="000E127A">
        <w:rPr>
          <w:rFonts w:ascii="Verdana" w:hAnsi="Verdana"/>
          <w:color w:val="000000"/>
          <w:sz w:val="20"/>
          <w:szCs w:val="20"/>
        </w:rPr>
        <w:t xml:space="preserve">19 de diciembre de 1997 de la Sala Segunda de la Suprema Corte de </w:t>
      </w:r>
      <w:r w:rsidR="005E7788">
        <w:rPr>
          <w:rFonts w:ascii="Verdana" w:hAnsi="Verdana"/>
          <w:color w:val="000000"/>
          <w:sz w:val="20"/>
          <w:szCs w:val="20"/>
        </w:rPr>
        <w:t>Justicia de la</w:t>
      </w:r>
      <w:r w:rsidR="003C1ADD" w:rsidRPr="000E127A">
        <w:rPr>
          <w:rFonts w:ascii="Verdana" w:hAnsi="Verdana"/>
          <w:color w:val="000000"/>
          <w:sz w:val="20"/>
          <w:szCs w:val="20"/>
        </w:rPr>
        <w:t xml:space="preserve"> Provincia de Mendoza</w:t>
      </w:r>
      <w:r w:rsidR="003C1ADD" w:rsidRPr="000E127A">
        <w:rPr>
          <w:rStyle w:val="Refdenotaalpie"/>
          <w:rFonts w:ascii="Verdana" w:hAnsi="Verdana"/>
          <w:color w:val="000000"/>
          <w:sz w:val="20"/>
          <w:szCs w:val="20"/>
        </w:rPr>
        <w:footnoteReference w:id="2"/>
      </w:r>
      <w:r w:rsidR="003C1ADD" w:rsidRPr="000E127A">
        <w:rPr>
          <w:rFonts w:ascii="Verdana" w:hAnsi="Verdana"/>
          <w:color w:val="000000"/>
          <w:sz w:val="20"/>
          <w:szCs w:val="20"/>
        </w:rPr>
        <w:t>. Al respecto, la Corte constató que la negativa de dicha Sala de revisar la cuestión de fondo planteada p</w:t>
      </w:r>
      <w:r w:rsidR="005E7788">
        <w:rPr>
          <w:rFonts w:ascii="Verdana" w:hAnsi="Verdana"/>
          <w:color w:val="000000"/>
          <w:sz w:val="20"/>
          <w:szCs w:val="20"/>
        </w:rPr>
        <w:t xml:space="preserve">or la defensa del señor </w:t>
      </w:r>
      <w:proofErr w:type="spellStart"/>
      <w:r w:rsidR="005E7788">
        <w:rPr>
          <w:rFonts w:ascii="Verdana" w:hAnsi="Verdana"/>
          <w:color w:val="000000"/>
          <w:sz w:val="20"/>
          <w:szCs w:val="20"/>
        </w:rPr>
        <w:t>Gorigoit</w:t>
      </w:r>
      <w:r w:rsidR="003C1ADD" w:rsidRPr="000E127A">
        <w:rPr>
          <w:rFonts w:ascii="Verdana" w:hAnsi="Verdana"/>
          <w:color w:val="000000"/>
          <w:sz w:val="20"/>
          <w:szCs w:val="20"/>
        </w:rPr>
        <w:t>ía</w:t>
      </w:r>
      <w:proofErr w:type="spellEnd"/>
      <w:r w:rsidR="003C1ADD" w:rsidRPr="000E127A">
        <w:rPr>
          <w:rFonts w:ascii="Verdana" w:hAnsi="Verdana"/>
          <w:color w:val="000000"/>
          <w:sz w:val="20"/>
          <w:szCs w:val="20"/>
        </w:rPr>
        <w:t xml:space="preserve"> constituyó</w:t>
      </w:r>
      <w:r w:rsidR="003C1ADD" w:rsidRPr="000E127A">
        <w:rPr>
          <w:rFonts w:ascii="Verdana" w:hAnsi="Verdana"/>
          <w:sz w:val="20"/>
          <w:szCs w:val="20"/>
        </w:rPr>
        <w:t xml:space="preserve"> un hecho ilícito internacional en tanto resultó en un incumplimiento del deber de revisión integral del fallo, por cuanto </w:t>
      </w:r>
      <w:r w:rsidR="005E7788">
        <w:rPr>
          <w:rFonts w:ascii="Verdana" w:hAnsi="Verdana"/>
          <w:sz w:val="20"/>
          <w:szCs w:val="20"/>
        </w:rPr>
        <w:t xml:space="preserve">no </w:t>
      </w:r>
      <w:r w:rsidR="003C1ADD" w:rsidRPr="000E127A">
        <w:rPr>
          <w:rFonts w:ascii="Verdana" w:hAnsi="Verdana"/>
          <w:sz w:val="20"/>
          <w:szCs w:val="20"/>
        </w:rPr>
        <w:t>fue posible la revisión de cuestiones fácticas y/o probatorias por un tribunal superior.</w:t>
      </w:r>
      <w:r w:rsidR="00624685">
        <w:rPr>
          <w:rFonts w:ascii="Verdana" w:hAnsi="Verdana"/>
          <w:color w:val="000000"/>
          <w:sz w:val="20"/>
          <w:szCs w:val="20"/>
        </w:rPr>
        <w:t xml:space="preserve"> </w:t>
      </w:r>
      <w:r w:rsidR="00B87AD9">
        <w:rPr>
          <w:rFonts w:ascii="Verdana" w:hAnsi="Verdana"/>
          <w:color w:val="000000"/>
          <w:sz w:val="20"/>
          <w:szCs w:val="20"/>
        </w:rPr>
        <w:t xml:space="preserve">Asimismo, </w:t>
      </w:r>
      <w:r w:rsidR="00B87AD9">
        <w:rPr>
          <w:rFonts w:ascii="Verdana" w:hAnsi="Verdana"/>
          <w:sz w:val="20"/>
        </w:rPr>
        <w:t>e</w:t>
      </w:r>
      <w:r w:rsidRPr="004F6001">
        <w:rPr>
          <w:rFonts w:ascii="Verdana" w:hAnsi="Verdana"/>
          <w:sz w:val="20"/>
        </w:rPr>
        <w:t xml:space="preserve">l Tribunal concluyó que el Estado </w:t>
      </w:r>
      <w:r w:rsidR="00B87AD9">
        <w:rPr>
          <w:rFonts w:ascii="Verdana" w:hAnsi="Verdana"/>
          <w:sz w:val="20"/>
        </w:rPr>
        <w:t>incumplió con su obligación</w:t>
      </w:r>
      <w:r w:rsidRPr="004F6001">
        <w:rPr>
          <w:rFonts w:ascii="Verdana" w:hAnsi="Verdana"/>
          <w:sz w:val="20"/>
        </w:rPr>
        <w:t xml:space="preserve"> de adoptar disposiciones del derecho interno, en relación con </w:t>
      </w:r>
      <w:r w:rsidR="00B87AD9">
        <w:rPr>
          <w:rFonts w:ascii="Verdana" w:hAnsi="Verdana"/>
          <w:sz w:val="20"/>
        </w:rPr>
        <w:t>el derecho a recurrir del fallo</w:t>
      </w:r>
      <w:r w:rsidRPr="004F6001">
        <w:rPr>
          <w:rFonts w:ascii="Verdana" w:hAnsi="Verdana"/>
          <w:sz w:val="20"/>
          <w:szCs w:val="20"/>
        </w:rPr>
        <w:t xml:space="preserve">, </w:t>
      </w:r>
      <w:r w:rsidR="00601984">
        <w:rPr>
          <w:rFonts w:ascii="Verdana" w:hAnsi="Verdana"/>
          <w:sz w:val="20"/>
          <w:szCs w:val="20"/>
        </w:rPr>
        <w:t>ya que</w:t>
      </w:r>
      <w:r w:rsidR="005E7788">
        <w:rPr>
          <w:rFonts w:ascii="Verdana" w:hAnsi="Verdana"/>
          <w:sz w:val="20"/>
          <w:szCs w:val="20"/>
        </w:rPr>
        <w:t>,</w:t>
      </w:r>
      <w:r w:rsidR="00601984">
        <w:rPr>
          <w:rFonts w:ascii="Verdana" w:hAnsi="Verdana"/>
          <w:sz w:val="20"/>
          <w:szCs w:val="20"/>
        </w:rPr>
        <w:t xml:space="preserve"> de la literalidad de las normas pertinentes del Código Proce</w:t>
      </w:r>
      <w:r w:rsidR="00855ACF">
        <w:rPr>
          <w:rFonts w:ascii="Verdana" w:hAnsi="Verdana"/>
          <w:sz w:val="20"/>
          <w:szCs w:val="20"/>
        </w:rPr>
        <w:t>s</w:t>
      </w:r>
      <w:r w:rsidR="00601984">
        <w:rPr>
          <w:rFonts w:ascii="Verdana" w:hAnsi="Verdana"/>
          <w:sz w:val="20"/>
          <w:szCs w:val="20"/>
        </w:rPr>
        <w:t xml:space="preserve">al Penal de la Provincia de Mendoza, aplicable en la época de los hechos, en materia de casación, </w:t>
      </w:r>
      <w:r w:rsidRPr="004F6001">
        <w:rPr>
          <w:rFonts w:ascii="Verdana" w:hAnsi="Verdana"/>
          <w:sz w:val="20"/>
          <w:szCs w:val="20"/>
        </w:rPr>
        <w:t xml:space="preserve">no </w:t>
      </w:r>
      <w:r w:rsidR="00601984">
        <w:rPr>
          <w:rFonts w:ascii="Verdana" w:hAnsi="Verdana"/>
          <w:sz w:val="20"/>
          <w:szCs w:val="20"/>
        </w:rPr>
        <w:t>era</w:t>
      </w:r>
      <w:r w:rsidR="00601984" w:rsidRPr="004F6001">
        <w:rPr>
          <w:rFonts w:ascii="Verdana" w:hAnsi="Verdana"/>
          <w:sz w:val="20"/>
          <w:szCs w:val="20"/>
        </w:rPr>
        <w:t xml:space="preserve"> </w:t>
      </w:r>
      <w:r w:rsidRPr="004F6001">
        <w:rPr>
          <w:rFonts w:ascii="Verdana" w:hAnsi="Verdana"/>
          <w:sz w:val="20"/>
          <w:szCs w:val="20"/>
        </w:rPr>
        <w:t>posible la revisión de cuestiones fácticas y/o probatorias por un tribunal superior.</w:t>
      </w:r>
      <w:r w:rsidR="004F6001">
        <w:rPr>
          <w:rFonts w:ascii="Verdana" w:hAnsi="Verdana"/>
          <w:sz w:val="20"/>
          <w:szCs w:val="20"/>
        </w:rPr>
        <w:t xml:space="preserve"> </w:t>
      </w:r>
      <w:r w:rsidR="00624685">
        <w:rPr>
          <w:rFonts w:ascii="Verdana" w:hAnsi="Verdana"/>
          <w:sz w:val="20"/>
          <w:szCs w:val="20"/>
        </w:rPr>
        <w:t>L</w:t>
      </w:r>
      <w:r w:rsidR="004F6001" w:rsidRPr="004F6001">
        <w:rPr>
          <w:rFonts w:ascii="Verdana" w:hAnsi="Verdana"/>
          <w:sz w:val="20"/>
          <w:szCs w:val="20"/>
        </w:rPr>
        <w:t xml:space="preserve">a Corte </w:t>
      </w:r>
      <w:r w:rsidR="00624685">
        <w:rPr>
          <w:rFonts w:ascii="Verdana" w:hAnsi="Verdana"/>
          <w:sz w:val="20"/>
          <w:szCs w:val="20"/>
        </w:rPr>
        <w:t xml:space="preserve">estableció que su Sentencia constituye por sí misma una forma de reparación y </w:t>
      </w:r>
      <w:r w:rsidR="004F6001" w:rsidRPr="004F6001">
        <w:rPr>
          <w:rFonts w:ascii="Verdana" w:hAnsi="Verdana"/>
          <w:sz w:val="20"/>
          <w:szCs w:val="20"/>
        </w:rPr>
        <w:t xml:space="preserve">ordenó al Estado </w:t>
      </w:r>
      <w:r w:rsidR="004F6001" w:rsidRPr="004F6001">
        <w:rPr>
          <w:rFonts w:ascii="Verdana" w:hAnsi="Verdana"/>
          <w:sz w:val="20"/>
        </w:rPr>
        <w:t xml:space="preserve">determinadas medidas de </w:t>
      </w:r>
      <w:r w:rsidR="004F6001">
        <w:rPr>
          <w:rFonts w:ascii="Verdana" w:hAnsi="Verdana"/>
          <w:sz w:val="20"/>
        </w:rPr>
        <w:t xml:space="preserve">reparación </w:t>
      </w:r>
      <w:r w:rsidR="00624685">
        <w:rPr>
          <w:rFonts w:ascii="Verdana" w:hAnsi="Verdana"/>
          <w:sz w:val="20"/>
        </w:rPr>
        <w:lastRenderedPageBreak/>
        <w:t xml:space="preserve">adicionales </w:t>
      </w:r>
      <w:r w:rsidR="004F6001">
        <w:rPr>
          <w:rFonts w:ascii="Verdana" w:hAnsi="Verdana"/>
          <w:sz w:val="20"/>
        </w:rPr>
        <w:t>(</w:t>
      </w:r>
      <w:r w:rsidR="004F6001" w:rsidRPr="004F6001">
        <w:rPr>
          <w:rFonts w:ascii="Verdana" w:hAnsi="Verdana"/>
          <w:i/>
          <w:sz w:val="20"/>
        </w:rPr>
        <w:t>infra</w:t>
      </w:r>
      <w:r w:rsidR="004F6001">
        <w:rPr>
          <w:rFonts w:ascii="Verdana" w:hAnsi="Verdana"/>
          <w:sz w:val="20"/>
        </w:rPr>
        <w:t xml:space="preserve"> Considerando</w:t>
      </w:r>
      <w:r w:rsidR="008C06A3">
        <w:rPr>
          <w:rFonts w:ascii="Verdana" w:hAnsi="Verdana"/>
          <w:sz w:val="20"/>
        </w:rPr>
        <w:t>s 3 y</w:t>
      </w:r>
      <w:r w:rsidR="004F6001">
        <w:rPr>
          <w:rFonts w:ascii="Verdana" w:hAnsi="Verdana"/>
          <w:sz w:val="20"/>
        </w:rPr>
        <w:t xml:space="preserve"> </w:t>
      </w:r>
      <w:r w:rsidR="0034544A">
        <w:rPr>
          <w:rFonts w:ascii="Verdana" w:hAnsi="Verdana"/>
          <w:sz w:val="20"/>
        </w:rPr>
        <w:t>4</w:t>
      </w:r>
      <w:r w:rsidR="004F6001" w:rsidRPr="004F6001">
        <w:rPr>
          <w:rFonts w:ascii="Verdana" w:hAnsi="Verdana"/>
          <w:sz w:val="20"/>
        </w:rPr>
        <w:t>)</w:t>
      </w:r>
      <w:r w:rsidR="00624685">
        <w:rPr>
          <w:rFonts w:ascii="Verdana" w:hAnsi="Verdana"/>
          <w:sz w:val="20"/>
        </w:rPr>
        <w:t>.</w:t>
      </w:r>
      <w:r w:rsidR="004F6001" w:rsidRPr="004F6001">
        <w:rPr>
          <w:rFonts w:ascii="Verdana" w:hAnsi="Verdana"/>
          <w:sz w:val="20"/>
        </w:rPr>
        <w:t xml:space="preserve"> </w:t>
      </w:r>
      <w:r w:rsidR="00624685">
        <w:rPr>
          <w:rFonts w:ascii="Verdana" w:hAnsi="Verdana"/>
          <w:sz w:val="20"/>
        </w:rPr>
        <w:t xml:space="preserve">Asimismo, dispuso </w:t>
      </w:r>
      <w:r w:rsidR="004F6001" w:rsidRPr="004F6001">
        <w:rPr>
          <w:rFonts w:ascii="Verdana" w:hAnsi="Verdana"/>
          <w:sz w:val="20"/>
        </w:rPr>
        <w:t xml:space="preserve">el reintegro al Fondo de Asistencia Legal de </w:t>
      </w:r>
      <w:r w:rsidR="00624685" w:rsidRPr="004F6001">
        <w:rPr>
          <w:rFonts w:ascii="Verdana" w:hAnsi="Verdana"/>
          <w:sz w:val="20"/>
        </w:rPr>
        <w:t>Víctimas</w:t>
      </w:r>
      <w:r w:rsidR="004F6001" w:rsidRPr="004F6001">
        <w:rPr>
          <w:rFonts w:ascii="Verdana" w:hAnsi="Verdana"/>
          <w:sz w:val="20"/>
        </w:rPr>
        <w:t xml:space="preserve"> de la Corte (en adelante</w:t>
      </w:r>
      <w:r w:rsidR="00624685">
        <w:rPr>
          <w:rFonts w:ascii="Verdana" w:hAnsi="Verdana"/>
          <w:sz w:val="20"/>
        </w:rPr>
        <w:t xml:space="preserve"> también</w:t>
      </w:r>
      <w:r w:rsidR="004F6001" w:rsidRPr="004F6001">
        <w:rPr>
          <w:rFonts w:ascii="Verdana" w:hAnsi="Verdana"/>
          <w:sz w:val="20"/>
        </w:rPr>
        <w:t xml:space="preserve"> “el Fondo de Asistencia”).</w:t>
      </w:r>
    </w:p>
    <w:p w14:paraId="7D13816D" w14:textId="48F36135" w:rsidR="00C80B68" w:rsidRPr="008C06A3" w:rsidRDefault="00C80B68" w:rsidP="001E5BD4">
      <w:pPr>
        <w:pStyle w:val="Prrafodelista"/>
        <w:numPr>
          <w:ilvl w:val="0"/>
          <w:numId w:val="2"/>
        </w:numPr>
        <w:spacing w:before="120" w:after="120"/>
        <w:ind w:left="0" w:firstLine="0"/>
        <w:jc w:val="both"/>
        <w:rPr>
          <w:rFonts w:ascii="Verdana" w:hAnsi="Verdana"/>
          <w:bCs/>
          <w:sz w:val="20"/>
          <w:szCs w:val="20"/>
        </w:rPr>
      </w:pPr>
      <w:r w:rsidRPr="001E5BD4">
        <w:rPr>
          <w:rFonts w:ascii="Verdana" w:hAnsi="Verdana"/>
          <w:bCs/>
          <w:sz w:val="20"/>
        </w:rPr>
        <w:t>La nota de la Secretaría de la Corte de 7 de agosto de 2020</w:t>
      </w:r>
      <w:r w:rsidR="001E5BD4" w:rsidRPr="001E5BD4">
        <w:rPr>
          <w:rFonts w:ascii="Verdana" w:hAnsi="Verdana"/>
          <w:bCs/>
          <w:sz w:val="20"/>
        </w:rPr>
        <w:t xml:space="preserve">, mediante la cual, siguiendo instrucciones de la </w:t>
      </w:r>
      <w:proofErr w:type="gramStart"/>
      <w:r w:rsidR="001E5BD4" w:rsidRPr="001E5BD4">
        <w:rPr>
          <w:rFonts w:ascii="Verdana" w:hAnsi="Verdana"/>
          <w:bCs/>
          <w:sz w:val="20"/>
        </w:rPr>
        <w:t>Presidenta</w:t>
      </w:r>
      <w:proofErr w:type="gramEnd"/>
      <w:r w:rsidR="001E5BD4" w:rsidRPr="001E5BD4">
        <w:rPr>
          <w:rFonts w:ascii="Verdana" w:hAnsi="Verdana"/>
          <w:bCs/>
          <w:sz w:val="20"/>
        </w:rPr>
        <w:t xml:space="preserve"> del Tribunal y de conformidad con el artículo 76 del Reglamento de la Corte, se hizo la rectificación de un error material en el punto </w:t>
      </w:r>
      <w:r w:rsidR="001E5BD4" w:rsidRPr="008C06A3">
        <w:rPr>
          <w:rFonts w:ascii="Verdana" w:hAnsi="Verdana"/>
          <w:bCs/>
          <w:sz w:val="20"/>
          <w:szCs w:val="20"/>
        </w:rPr>
        <w:t xml:space="preserve">resolutivo </w:t>
      </w:r>
      <w:r w:rsidR="008C06A3" w:rsidRPr="008C06A3">
        <w:rPr>
          <w:rFonts w:ascii="Verdana" w:hAnsi="Verdana"/>
          <w:bCs/>
          <w:sz w:val="20"/>
          <w:szCs w:val="20"/>
        </w:rPr>
        <w:t>décimo</w:t>
      </w:r>
      <w:r w:rsidR="001E5BD4" w:rsidRPr="008C06A3">
        <w:rPr>
          <w:rFonts w:ascii="Verdana" w:hAnsi="Verdana"/>
          <w:bCs/>
          <w:sz w:val="20"/>
          <w:szCs w:val="20"/>
        </w:rPr>
        <w:t xml:space="preserve"> de la Sentencia</w:t>
      </w:r>
      <w:r w:rsidR="001E5BD4" w:rsidRPr="008C06A3">
        <w:rPr>
          <w:rStyle w:val="Refdenotaalpie"/>
          <w:rFonts w:ascii="Verdana" w:hAnsi="Verdana"/>
          <w:bCs/>
          <w:sz w:val="20"/>
          <w:szCs w:val="20"/>
        </w:rPr>
        <w:footnoteReference w:id="3"/>
      </w:r>
      <w:r w:rsidR="001E5BD4" w:rsidRPr="008C06A3">
        <w:rPr>
          <w:rFonts w:ascii="Verdana" w:hAnsi="Verdana"/>
          <w:bCs/>
          <w:sz w:val="20"/>
          <w:szCs w:val="20"/>
        </w:rPr>
        <w:t xml:space="preserve">. </w:t>
      </w:r>
    </w:p>
    <w:p w14:paraId="31CA5A0A" w14:textId="07086EA9" w:rsidR="004F6001" w:rsidRPr="008C06A3" w:rsidRDefault="004F6001" w:rsidP="001E5BD4">
      <w:pPr>
        <w:pStyle w:val="Prrafodelista"/>
        <w:numPr>
          <w:ilvl w:val="0"/>
          <w:numId w:val="2"/>
        </w:numPr>
        <w:spacing w:before="120" w:after="120"/>
        <w:ind w:left="0" w:firstLine="0"/>
        <w:jc w:val="both"/>
        <w:rPr>
          <w:rFonts w:ascii="Verdana" w:hAnsi="Verdana"/>
          <w:b/>
          <w:bCs/>
          <w:sz w:val="20"/>
          <w:szCs w:val="20"/>
        </w:rPr>
      </w:pPr>
      <w:r w:rsidRPr="008C06A3">
        <w:rPr>
          <w:rFonts w:ascii="Verdana" w:hAnsi="Verdana"/>
          <w:sz w:val="20"/>
          <w:szCs w:val="20"/>
        </w:rPr>
        <w:t xml:space="preserve">Los informes presentados por el Estado entre abril </w:t>
      </w:r>
      <w:r w:rsidR="00725C04" w:rsidRPr="008C06A3">
        <w:rPr>
          <w:rFonts w:ascii="Verdana" w:hAnsi="Verdana"/>
          <w:sz w:val="20"/>
          <w:szCs w:val="20"/>
        </w:rPr>
        <w:t xml:space="preserve">de 2020 </w:t>
      </w:r>
      <w:r w:rsidRPr="008C06A3">
        <w:rPr>
          <w:rFonts w:ascii="Verdana" w:hAnsi="Verdana"/>
          <w:sz w:val="20"/>
          <w:szCs w:val="20"/>
        </w:rPr>
        <w:t xml:space="preserve">y </w:t>
      </w:r>
      <w:r w:rsidR="00725C04" w:rsidRPr="008C06A3">
        <w:rPr>
          <w:rFonts w:ascii="Verdana" w:hAnsi="Verdana"/>
          <w:sz w:val="20"/>
          <w:szCs w:val="20"/>
        </w:rPr>
        <w:t>febrero</w:t>
      </w:r>
      <w:r w:rsidR="00717911" w:rsidRPr="008C06A3">
        <w:rPr>
          <w:rFonts w:ascii="Verdana" w:hAnsi="Verdana"/>
          <w:sz w:val="20"/>
          <w:szCs w:val="20"/>
        </w:rPr>
        <w:t xml:space="preserve"> de 202</w:t>
      </w:r>
      <w:r w:rsidR="00725C04" w:rsidRPr="008C06A3">
        <w:rPr>
          <w:rFonts w:ascii="Verdana" w:hAnsi="Verdana"/>
          <w:sz w:val="20"/>
          <w:szCs w:val="20"/>
        </w:rPr>
        <w:t>1</w:t>
      </w:r>
      <w:r w:rsidR="008C06A3" w:rsidRPr="008C06A3">
        <w:rPr>
          <w:rFonts w:ascii="Verdana" w:hAnsi="Verdana"/>
          <w:sz w:val="20"/>
          <w:szCs w:val="20"/>
        </w:rPr>
        <w:t>, en respuesta a solicitudes efectuadas por la Corte o su Presidencia, mediante notas de la Secretaría del Tribunal (en adelante “la Secretaría”).</w:t>
      </w:r>
    </w:p>
    <w:p w14:paraId="30966CE2" w14:textId="39523986" w:rsidR="004F6001" w:rsidRPr="0072379C" w:rsidRDefault="004F6001" w:rsidP="001E5BD4">
      <w:pPr>
        <w:pStyle w:val="Prrafodelista"/>
        <w:numPr>
          <w:ilvl w:val="0"/>
          <w:numId w:val="2"/>
        </w:numPr>
        <w:spacing w:before="120" w:after="120"/>
        <w:ind w:left="0" w:firstLine="0"/>
        <w:jc w:val="both"/>
        <w:rPr>
          <w:rFonts w:ascii="Verdana" w:hAnsi="Verdana"/>
          <w:b/>
          <w:bCs/>
          <w:sz w:val="20"/>
        </w:rPr>
      </w:pPr>
      <w:r w:rsidRPr="004F6001">
        <w:rPr>
          <w:rFonts w:ascii="Verdana" w:hAnsi="Verdana"/>
          <w:sz w:val="20"/>
        </w:rPr>
        <w:t xml:space="preserve">Los escritos de </w:t>
      </w:r>
      <w:r w:rsidR="00717911">
        <w:rPr>
          <w:rFonts w:ascii="Verdana" w:hAnsi="Verdana"/>
          <w:sz w:val="20"/>
        </w:rPr>
        <w:t>observaciones presentados por lo</w:t>
      </w:r>
      <w:r w:rsidRPr="004F6001">
        <w:rPr>
          <w:rFonts w:ascii="Verdana" w:hAnsi="Verdana"/>
          <w:sz w:val="20"/>
        </w:rPr>
        <w:t>s representantes de las víctimas (en ade</w:t>
      </w:r>
      <w:r w:rsidR="00717911">
        <w:rPr>
          <w:rFonts w:ascii="Verdana" w:hAnsi="Verdana"/>
          <w:sz w:val="20"/>
        </w:rPr>
        <w:t>lante “lo</w:t>
      </w:r>
      <w:r w:rsidRPr="004F6001">
        <w:rPr>
          <w:rFonts w:ascii="Verdana" w:hAnsi="Verdana"/>
          <w:sz w:val="20"/>
        </w:rPr>
        <w:t>s representantes”)</w:t>
      </w:r>
      <w:r w:rsidR="00601984">
        <w:rPr>
          <w:rStyle w:val="Refdenotaalpie"/>
          <w:rFonts w:ascii="Verdana" w:hAnsi="Verdana"/>
          <w:sz w:val="20"/>
        </w:rPr>
        <w:footnoteReference w:id="4"/>
      </w:r>
      <w:r w:rsidR="006B5E90">
        <w:rPr>
          <w:rFonts w:ascii="Verdana" w:hAnsi="Verdana"/>
          <w:sz w:val="20"/>
        </w:rPr>
        <w:t xml:space="preserve"> </w:t>
      </w:r>
      <w:r w:rsidR="00717911">
        <w:rPr>
          <w:rFonts w:ascii="Verdana" w:hAnsi="Verdana"/>
          <w:sz w:val="20"/>
        </w:rPr>
        <w:t>entre</w:t>
      </w:r>
      <w:r w:rsidRPr="004F6001">
        <w:rPr>
          <w:rFonts w:ascii="Verdana" w:hAnsi="Verdana"/>
          <w:sz w:val="20"/>
        </w:rPr>
        <w:t xml:space="preserve"> </w:t>
      </w:r>
      <w:r w:rsidR="00717911">
        <w:rPr>
          <w:rFonts w:ascii="Verdana" w:hAnsi="Verdana"/>
          <w:sz w:val="20"/>
        </w:rPr>
        <w:t xml:space="preserve">abril </w:t>
      </w:r>
      <w:r w:rsidR="00601984">
        <w:rPr>
          <w:rFonts w:ascii="Verdana" w:hAnsi="Verdana"/>
          <w:sz w:val="20"/>
        </w:rPr>
        <w:t xml:space="preserve">de 2020 </w:t>
      </w:r>
      <w:r w:rsidR="00717911" w:rsidRPr="00725C04">
        <w:rPr>
          <w:rFonts w:ascii="Verdana" w:hAnsi="Verdana"/>
          <w:sz w:val="20"/>
        </w:rPr>
        <w:t xml:space="preserve">y </w:t>
      </w:r>
      <w:r w:rsidR="00601984" w:rsidRPr="00725C04">
        <w:rPr>
          <w:rFonts w:ascii="Verdana" w:hAnsi="Verdana"/>
          <w:sz w:val="20"/>
        </w:rPr>
        <w:t xml:space="preserve">febrero </w:t>
      </w:r>
      <w:r w:rsidRPr="00725C04">
        <w:rPr>
          <w:rFonts w:ascii="Verdana" w:hAnsi="Verdana"/>
          <w:sz w:val="20"/>
        </w:rPr>
        <w:t xml:space="preserve">de </w:t>
      </w:r>
      <w:r w:rsidR="00601984" w:rsidRPr="00725C04">
        <w:rPr>
          <w:rFonts w:ascii="Verdana" w:hAnsi="Verdana"/>
          <w:sz w:val="20"/>
        </w:rPr>
        <w:t>2021</w:t>
      </w:r>
      <w:r w:rsidRPr="00725C04">
        <w:rPr>
          <w:rFonts w:ascii="Verdana" w:hAnsi="Verdana"/>
          <w:sz w:val="20"/>
        </w:rPr>
        <w:t>.</w:t>
      </w:r>
      <w:r w:rsidRPr="004F6001">
        <w:rPr>
          <w:rFonts w:ascii="Verdana" w:hAnsi="Verdana"/>
          <w:sz w:val="20"/>
        </w:rPr>
        <w:t xml:space="preserve"> </w:t>
      </w:r>
    </w:p>
    <w:p w14:paraId="21B8E9F5" w14:textId="77777777" w:rsidR="00C80B68" w:rsidRDefault="00601984" w:rsidP="001E5BD4">
      <w:pPr>
        <w:pStyle w:val="Prrafodelista"/>
        <w:numPr>
          <w:ilvl w:val="0"/>
          <w:numId w:val="2"/>
        </w:numPr>
        <w:spacing w:before="120" w:after="120"/>
        <w:ind w:left="0" w:firstLine="0"/>
        <w:jc w:val="both"/>
        <w:rPr>
          <w:rFonts w:ascii="Verdana" w:hAnsi="Verdana"/>
          <w:bCs/>
          <w:sz w:val="20"/>
        </w:rPr>
      </w:pPr>
      <w:r w:rsidRPr="0072379C">
        <w:rPr>
          <w:rFonts w:ascii="Verdana" w:hAnsi="Verdana"/>
          <w:bCs/>
          <w:sz w:val="20"/>
        </w:rPr>
        <w:t>El escrito de observaciones presentado por la Comisión Interamericana de Derechos Humanos el 22 de diciembre de 2020.</w:t>
      </w:r>
      <w:r w:rsidR="005E7788">
        <w:rPr>
          <w:rFonts w:ascii="Verdana" w:hAnsi="Verdana"/>
          <w:bCs/>
          <w:sz w:val="20"/>
        </w:rPr>
        <w:t xml:space="preserve"> </w:t>
      </w:r>
    </w:p>
    <w:p w14:paraId="0152BA55" w14:textId="77777777" w:rsidR="00C80B68" w:rsidRPr="00C80B68" w:rsidRDefault="00C80B68" w:rsidP="00C80B68">
      <w:pPr>
        <w:pStyle w:val="Prrafodelista"/>
        <w:rPr>
          <w:rFonts w:ascii="Verdana" w:hAnsi="Verdana"/>
          <w:color w:val="7030A0"/>
          <w:sz w:val="16"/>
        </w:rPr>
      </w:pPr>
    </w:p>
    <w:p w14:paraId="5D8D9393" w14:textId="77777777" w:rsidR="00993169" w:rsidRPr="00596ECD" w:rsidRDefault="00993169" w:rsidP="00993169">
      <w:pPr>
        <w:pStyle w:val="Prrafodelista"/>
        <w:spacing w:line="276" w:lineRule="auto"/>
        <w:ind w:left="0"/>
        <w:jc w:val="both"/>
        <w:rPr>
          <w:rFonts w:ascii="Verdana" w:hAnsi="Verdana"/>
          <w:b/>
          <w:sz w:val="20"/>
        </w:rPr>
      </w:pPr>
      <w:r w:rsidRPr="00596ECD">
        <w:rPr>
          <w:rFonts w:ascii="Verdana" w:hAnsi="Verdana"/>
          <w:b/>
          <w:sz w:val="20"/>
        </w:rPr>
        <w:t xml:space="preserve">CONSIDERANDO QUE: </w:t>
      </w:r>
    </w:p>
    <w:p w14:paraId="4EB417B5" w14:textId="6A7E2978" w:rsidR="00993169" w:rsidRPr="00993169" w:rsidRDefault="00993169" w:rsidP="004117C8">
      <w:pPr>
        <w:pStyle w:val="Prrafodelista"/>
        <w:numPr>
          <w:ilvl w:val="0"/>
          <w:numId w:val="3"/>
        </w:numPr>
        <w:spacing w:before="120" w:after="120"/>
        <w:ind w:left="0" w:firstLine="0"/>
        <w:jc w:val="both"/>
        <w:rPr>
          <w:rFonts w:ascii="Verdana" w:hAnsi="Verdana"/>
          <w:b/>
          <w:sz w:val="14"/>
          <w:szCs w:val="20"/>
        </w:rPr>
      </w:pPr>
      <w:r w:rsidRPr="00596ECD">
        <w:rPr>
          <w:rFonts w:ascii="Verdana" w:hAnsi="Verdana"/>
          <w:sz w:val="20"/>
        </w:rPr>
        <w:t>En el ejercicio de su función jurisdiccional de supervisar el cumplimiento de sus decisiones</w:t>
      </w:r>
      <w:r>
        <w:rPr>
          <w:rStyle w:val="Refdenotaalpie"/>
          <w:rFonts w:ascii="Verdana" w:hAnsi="Verdana"/>
          <w:sz w:val="20"/>
        </w:rPr>
        <w:footnoteReference w:id="5"/>
      </w:r>
      <w:r w:rsidRPr="00596ECD">
        <w:rPr>
          <w:rFonts w:ascii="Verdana" w:hAnsi="Verdana"/>
          <w:sz w:val="20"/>
        </w:rPr>
        <w:t>, la Corte ha venido supervisando la ejecución de la Sentencia emitida en el presente caso en el 201</w:t>
      </w:r>
      <w:r>
        <w:rPr>
          <w:rFonts w:ascii="Verdana" w:hAnsi="Verdana"/>
          <w:sz w:val="20"/>
        </w:rPr>
        <w:t>9</w:t>
      </w:r>
      <w:r w:rsidRPr="00596ECD">
        <w:rPr>
          <w:rFonts w:ascii="Verdana" w:hAnsi="Verdana"/>
          <w:sz w:val="20"/>
        </w:rPr>
        <w:t xml:space="preserve"> (</w:t>
      </w:r>
      <w:r w:rsidRPr="00813791">
        <w:rPr>
          <w:rFonts w:ascii="Verdana" w:hAnsi="Verdana"/>
          <w:i/>
          <w:sz w:val="20"/>
        </w:rPr>
        <w:t>supra</w:t>
      </w:r>
      <w:r w:rsidRPr="00596ECD">
        <w:rPr>
          <w:rFonts w:ascii="Verdana" w:hAnsi="Verdana"/>
          <w:sz w:val="20"/>
        </w:rPr>
        <w:t xml:space="preserve"> Visto 1). En la Sentencia, el Tribunal dispuso</w:t>
      </w:r>
      <w:r>
        <w:rPr>
          <w:rFonts w:ascii="Verdana" w:hAnsi="Verdana"/>
          <w:sz w:val="20"/>
        </w:rPr>
        <w:t xml:space="preserve"> seis</w:t>
      </w:r>
      <w:r w:rsidRPr="00596ECD">
        <w:rPr>
          <w:rFonts w:ascii="Verdana" w:hAnsi="Verdana"/>
          <w:sz w:val="20"/>
        </w:rPr>
        <w:t xml:space="preserve"> medidas de reparación y el reintegro al Fondo de Asistencia</w:t>
      </w:r>
      <w:r w:rsidR="00EC2886">
        <w:rPr>
          <w:rFonts w:ascii="Verdana" w:hAnsi="Verdana"/>
          <w:sz w:val="20"/>
        </w:rPr>
        <w:t xml:space="preserve"> Legal de Víctimas de la Corte por los gastos incurridos en la etapa contenciosa de este caso</w:t>
      </w:r>
      <w:r w:rsidR="00EC2886">
        <w:rPr>
          <w:rStyle w:val="Refdenotaalpie"/>
          <w:rFonts w:ascii="Verdana" w:hAnsi="Verdana"/>
          <w:sz w:val="20"/>
        </w:rPr>
        <w:footnoteReference w:id="6"/>
      </w:r>
      <w:r w:rsidRPr="00596ECD">
        <w:rPr>
          <w:rFonts w:ascii="Verdana" w:hAnsi="Verdana"/>
          <w:sz w:val="20"/>
        </w:rPr>
        <w:t>.</w:t>
      </w:r>
    </w:p>
    <w:p w14:paraId="6DFE55F0" w14:textId="77777777" w:rsidR="00993169" w:rsidRPr="00993169" w:rsidRDefault="00993169" w:rsidP="004117C8">
      <w:pPr>
        <w:pStyle w:val="Prrafodelista"/>
        <w:numPr>
          <w:ilvl w:val="0"/>
          <w:numId w:val="3"/>
        </w:numPr>
        <w:spacing w:before="120" w:after="120"/>
        <w:ind w:left="0" w:firstLine="0"/>
        <w:jc w:val="both"/>
        <w:rPr>
          <w:rFonts w:ascii="Verdana" w:hAnsi="Verdana"/>
          <w:b/>
          <w:sz w:val="12"/>
          <w:szCs w:val="20"/>
        </w:rPr>
      </w:pPr>
      <w:r w:rsidRPr="00BF41E1">
        <w:rPr>
          <w:rFonts w:ascii="Verdana" w:hAnsi="Verdana"/>
          <w:sz w:val="20"/>
        </w:rPr>
        <w:t xml:space="preserve">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w:t>
      </w:r>
      <w:r>
        <w:rPr>
          <w:rFonts w:ascii="Verdana" w:hAnsi="Verdana"/>
          <w:sz w:val="20"/>
        </w:rPr>
        <w:t>de la Sentencia en su conjunto</w:t>
      </w:r>
      <w:r>
        <w:rPr>
          <w:rStyle w:val="Refdenotaalpie"/>
          <w:rFonts w:ascii="Verdana" w:hAnsi="Verdana"/>
          <w:sz w:val="20"/>
        </w:rPr>
        <w:footnoteReference w:id="7"/>
      </w:r>
      <w:r w:rsidRPr="00BF41E1">
        <w:rPr>
          <w:rFonts w:ascii="Verdana" w:hAnsi="Verdana"/>
          <w:sz w:val="20"/>
        </w:rPr>
        <w:t>. Los Estados Parte en la Convención deben garantizar el cumplimiento de las disposiciones convencionales y sus efectos propios (</w:t>
      </w:r>
      <w:proofErr w:type="spellStart"/>
      <w:r w:rsidRPr="00FB4489">
        <w:rPr>
          <w:rFonts w:ascii="Verdana" w:hAnsi="Verdana"/>
          <w:i/>
          <w:sz w:val="20"/>
        </w:rPr>
        <w:t>effet</w:t>
      </w:r>
      <w:proofErr w:type="spellEnd"/>
      <w:r w:rsidRPr="00FB4489">
        <w:rPr>
          <w:rFonts w:ascii="Verdana" w:hAnsi="Verdana"/>
          <w:i/>
          <w:sz w:val="20"/>
        </w:rPr>
        <w:t xml:space="preserve"> </w:t>
      </w:r>
      <w:proofErr w:type="spellStart"/>
      <w:r w:rsidRPr="00FB4489">
        <w:rPr>
          <w:rFonts w:ascii="Verdana" w:hAnsi="Verdana"/>
          <w:i/>
          <w:sz w:val="20"/>
        </w:rPr>
        <w:t>utile</w:t>
      </w:r>
      <w:proofErr w:type="spellEnd"/>
      <w:r w:rsidRPr="00BF41E1">
        <w:rPr>
          <w:rFonts w:ascii="Verdana" w:hAnsi="Verdana"/>
          <w:sz w:val="20"/>
        </w:rPr>
        <w:t>) en el plano de sus respectivos derechos internos. Estas obligaciones deben ser interpretadas y aplicadas de manera que la garantía protegida sea verdaderamente práctica y eficaz, teniendo presente la naturaleza especial de l</w:t>
      </w:r>
      <w:r>
        <w:rPr>
          <w:rFonts w:ascii="Verdana" w:hAnsi="Verdana"/>
          <w:sz w:val="20"/>
        </w:rPr>
        <w:t>os tratados de derechos humanos</w:t>
      </w:r>
      <w:r>
        <w:rPr>
          <w:rStyle w:val="Refdenotaalpie"/>
          <w:rFonts w:ascii="Verdana" w:hAnsi="Verdana"/>
          <w:sz w:val="20"/>
        </w:rPr>
        <w:footnoteReference w:id="8"/>
      </w:r>
      <w:r>
        <w:rPr>
          <w:rFonts w:ascii="Verdana" w:hAnsi="Verdana"/>
          <w:sz w:val="20"/>
        </w:rPr>
        <w:t>.</w:t>
      </w:r>
    </w:p>
    <w:p w14:paraId="4B220355" w14:textId="3D40684C" w:rsidR="00FE58A0" w:rsidRPr="008B3169" w:rsidRDefault="00234DEC" w:rsidP="004117C8">
      <w:pPr>
        <w:pStyle w:val="Prrafodelista"/>
        <w:numPr>
          <w:ilvl w:val="0"/>
          <w:numId w:val="3"/>
        </w:numPr>
        <w:spacing w:before="120" w:after="120"/>
        <w:ind w:left="0" w:firstLine="0"/>
        <w:jc w:val="both"/>
      </w:pPr>
      <w:r>
        <w:rPr>
          <w:rFonts w:ascii="Verdana" w:hAnsi="Verdana"/>
          <w:sz w:val="20"/>
          <w:szCs w:val="20"/>
        </w:rPr>
        <w:t>Seguidamente, l</w:t>
      </w:r>
      <w:r w:rsidR="00C6013F">
        <w:rPr>
          <w:rFonts w:ascii="Verdana" w:hAnsi="Verdana"/>
          <w:sz w:val="20"/>
          <w:szCs w:val="20"/>
        </w:rPr>
        <w:t>a</w:t>
      </w:r>
      <w:r w:rsidR="00993169" w:rsidRPr="0095697A">
        <w:rPr>
          <w:rFonts w:ascii="Verdana" w:hAnsi="Verdana"/>
          <w:sz w:val="20"/>
          <w:szCs w:val="20"/>
        </w:rPr>
        <w:t xml:space="preserve"> Corte </w:t>
      </w:r>
      <w:r w:rsidR="00C6013F">
        <w:rPr>
          <w:rFonts w:ascii="Verdana" w:hAnsi="Verdana"/>
          <w:sz w:val="20"/>
          <w:szCs w:val="20"/>
        </w:rPr>
        <w:t>se pronunciará sobre</w:t>
      </w:r>
      <w:r w:rsidR="00993169" w:rsidRPr="0095697A">
        <w:rPr>
          <w:rFonts w:ascii="Verdana" w:hAnsi="Verdana"/>
          <w:sz w:val="20"/>
          <w:szCs w:val="20"/>
        </w:rPr>
        <w:t xml:space="preserve"> el grado de cumplimiento por parte del Estado de </w:t>
      </w:r>
      <w:r w:rsidR="00F712F9">
        <w:rPr>
          <w:rFonts w:ascii="Verdana" w:hAnsi="Verdana"/>
          <w:sz w:val="20"/>
          <w:szCs w:val="20"/>
        </w:rPr>
        <w:t>cinco</w:t>
      </w:r>
      <w:r w:rsidR="008B3169">
        <w:rPr>
          <w:rFonts w:ascii="Verdana" w:hAnsi="Verdana"/>
          <w:sz w:val="20"/>
          <w:szCs w:val="20"/>
        </w:rPr>
        <w:t xml:space="preserve"> de las seis</w:t>
      </w:r>
      <w:r w:rsidR="00F712F9" w:rsidRPr="0095697A">
        <w:rPr>
          <w:rFonts w:ascii="Verdana" w:hAnsi="Verdana"/>
          <w:sz w:val="20"/>
          <w:szCs w:val="20"/>
        </w:rPr>
        <w:t xml:space="preserve"> </w:t>
      </w:r>
      <w:r w:rsidR="00993169" w:rsidRPr="0095697A">
        <w:rPr>
          <w:rFonts w:ascii="Verdana" w:hAnsi="Verdana"/>
          <w:sz w:val="20"/>
          <w:szCs w:val="20"/>
        </w:rPr>
        <w:t>reparaciones ordenadas en la Sentencia</w:t>
      </w:r>
      <w:r w:rsidR="00993169">
        <w:rPr>
          <w:rFonts w:ascii="Verdana" w:hAnsi="Verdana"/>
          <w:sz w:val="20"/>
          <w:szCs w:val="20"/>
        </w:rPr>
        <w:t>,</w:t>
      </w:r>
      <w:r w:rsidR="00993169" w:rsidRPr="0095697A">
        <w:rPr>
          <w:rFonts w:ascii="Verdana" w:hAnsi="Verdana"/>
          <w:sz w:val="20"/>
        </w:rPr>
        <w:t xml:space="preserve"> respecto de las cuales se ha aportado su</w:t>
      </w:r>
      <w:r w:rsidR="008B3169">
        <w:rPr>
          <w:rFonts w:ascii="Verdana" w:hAnsi="Verdana"/>
          <w:sz w:val="20"/>
        </w:rPr>
        <w:t>ficiente información que permite</w:t>
      </w:r>
      <w:r w:rsidR="00993169" w:rsidRPr="0095697A">
        <w:rPr>
          <w:rFonts w:ascii="Verdana" w:hAnsi="Verdana"/>
          <w:sz w:val="20"/>
        </w:rPr>
        <w:t xml:space="preserve"> valorar su cumplimiento.</w:t>
      </w:r>
      <w:r>
        <w:rPr>
          <w:rFonts w:ascii="Verdana" w:hAnsi="Verdana"/>
          <w:sz w:val="20"/>
          <w:szCs w:val="20"/>
        </w:rPr>
        <w:t xml:space="preserve"> </w:t>
      </w:r>
      <w:r w:rsidR="00F712F9">
        <w:rPr>
          <w:rFonts w:ascii="Verdana" w:hAnsi="Verdana"/>
          <w:sz w:val="20"/>
          <w:szCs w:val="20"/>
        </w:rPr>
        <w:t>La información que ha sido aportada</w:t>
      </w:r>
      <w:r w:rsidR="00A06629">
        <w:rPr>
          <w:rFonts w:ascii="Verdana" w:hAnsi="Verdana"/>
          <w:sz w:val="20"/>
          <w:szCs w:val="20"/>
        </w:rPr>
        <w:t xml:space="preserve"> por las partes</w:t>
      </w:r>
      <w:r w:rsidR="00F712F9">
        <w:rPr>
          <w:rFonts w:ascii="Verdana" w:hAnsi="Verdana"/>
          <w:sz w:val="20"/>
          <w:szCs w:val="20"/>
        </w:rPr>
        <w:t xml:space="preserve"> sobre la garantía de no repetición </w:t>
      </w:r>
      <w:r w:rsidR="008C06A3">
        <w:rPr>
          <w:rFonts w:ascii="Verdana" w:hAnsi="Verdana"/>
          <w:sz w:val="20"/>
          <w:szCs w:val="20"/>
        </w:rPr>
        <w:t xml:space="preserve">ordenada en el punto resolutivo noveno de la Sentencia, </w:t>
      </w:r>
      <w:r w:rsidR="00F712F9">
        <w:rPr>
          <w:rFonts w:ascii="Verdana" w:hAnsi="Verdana"/>
          <w:sz w:val="20"/>
          <w:szCs w:val="20"/>
        </w:rPr>
        <w:t xml:space="preserve">relativa a “adecuar </w:t>
      </w:r>
      <w:r w:rsidR="00FE58A0">
        <w:rPr>
          <w:rFonts w:ascii="Verdana" w:hAnsi="Verdana"/>
          <w:sz w:val="20"/>
          <w:szCs w:val="20"/>
        </w:rPr>
        <w:t>su ordenamiento jurídico interno a los parámetros establecidos en [la] Sentencia sobre el derecho a recurrir del fallo ante el juez o tribunal superior”</w:t>
      </w:r>
      <w:r w:rsidR="004656A2">
        <w:rPr>
          <w:rFonts w:ascii="Verdana" w:hAnsi="Verdana"/>
          <w:sz w:val="20"/>
          <w:szCs w:val="20"/>
        </w:rPr>
        <w:t xml:space="preserve">, </w:t>
      </w:r>
      <w:r w:rsidR="00FE58A0">
        <w:rPr>
          <w:rFonts w:ascii="Verdana" w:hAnsi="Verdana"/>
          <w:sz w:val="20"/>
          <w:szCs w:val="20"/>
        </w:rPr>
        <w:t xml:space="preserve">será valorada </w:t>
      </w:r>
      <w:r w:rsidR="00FE58A0">
        <w:rPr>
          <w:rFonts w:ascii="Verdana" w:hAnsi="Verdana"/>
          <w:sz w:val="20"/>
          <w:szCs w:val="20"/>
        </w:rPr>
        <w:lastRenderedPageBreak/>
        <w:t xml:space="preserve">posteriormente, según lo dispuesto en el párrafo 74 de la Sentencia, </w:t>
      </w:r>
      <w:r w:rsidR="004656A2">
        <w:rPr>
          <w:rFonts w:ascii="Verdana" w:hAnsi="Verdana"/>
          <w:sz w:val="20"/>
          <w:szCs w:val="20"/>
        </w:rPr>
        <w:t xml:space="preserve">en una resolución que se emita </w:t>
      </w:r>
      <w:r w:rsidR="00FE58A0">
        <w:rPr>
          <w:rFonts w:ascii="Verdana" w:hAnsi="Verdana"/>
          <w:sz w:val="20"/>
          <w:szCs w:val="20"/>
        </w:rPr>
        <w:t xml:space="preserve">de manera conjunta </w:t>
      </w:r>
      <w:r w:rsidR="004656A2">
        <w:rPr>
          <w:rFonts w:ascii="Verdana" w:hAnsi="Verdana"/>
          <w:sz w:val="20"/>
          <w:szCs w:val="20"/>
        </w:rPr>
        <w:t xml:space="preserve">con el </w:t>
      </w:r>
      <w:r w:rsidR="00FE58A0" w:rsidRPr="008B3169">
        <w:rPr>
          <w:rFonts w:ascii="Verdana" w:hAnsi="Verdana"/>
          <w:i/>
          <w:sz w:val="20"/>
          <w:szCs w:val="20"/>
        </w:rPr>
        <w:t>Caso Mendoza y otros Vs. Argentina</w:t>
      </w:r>
      <w:r w:rsidR="004656A2">
        <w:rPr>
          <w:rFonts w:ascii="Verdana" w:hAnsi="Verdana"/>
          <w:sz w:val="20"/>
          <w:szCs w:val="20"/>
        </w:rPr>
        <w:t>, en el cual se dispuso una garantía de no repetición similar</w:t>
      </w:r>
      <w:r w:rsidR="008C06A3">
        <w:rPr>
          <w:rStyle w:val="Refdenotaalpie"/>
          <w:rFonts w:ascii="Verdana" w:hAnsi="Verdana"/>
          <w:sz w:val="20"/>
          <w:szCs w:val="20"/>
        </w:rPr>
        <w:footnoteReference w:id="9"/>
      </w:r>
      <w:r w:rsidR="00FE58A0">
        <w:rPr>
          <w:rFonts w:ascii="Verdana" w:hAnsi="Verdana"/>
          <w:sz w:val="20"/>
          <w:szCs w:val="20"/>
        </w:rPr>
        <w:t xml:space="preserve">. </w:t>
      </w:r>
      <w:r w:rsidR="00985DC6">
        <w:rPr>
          <w:rFonts w:ascii="Verdana" w:hAnsi="Verdana"/>
          <w:sz w:val="20"/>
          <w:szCs w:val="20"/>
        </w:rPr>
        <w:t>E</w:t>
      </w:r>
      <w:r>
        <w:rPr>
          <w:rFonts w:ascii="Verdana" w:hAnsi="Verdana"/>
          <w:sz w:val="20"/>
          <w:szCs w:val="20"/>
        </w:rPr>
        <w:t xml:space="preserve">l cumplimiento del reintegro al Fondo de Asistencia Legal de Víctimas </w:t>
      </w:r>
      <w:r w:rsidR="008B3169">
        <w:rPr>
          <w:rFonts w:ascii="Verdana" w:hAnsi="Verdana"/>
          <w:sz w:val="20"/>
          <w:szCs w:val="20"/>
        </w:rPr>
        <w:t xml:space="preserve">de la Corte </w:t>
      </w:r>
      <w:r>
        <w:rPr>
          <w:rFonts w:ascii="Verdana" w:hAnsi="Verdana"/>
          <w:sz w:val="20"/>
          <w:szCs w:val="20"/>
        </w:rPr>
        <w:t>será valorado posteriormente, en razón de que el Estado sostuvo</w:t>
      </w:r>
      <w:r w:rsidR="00985DC6">
        <w:rPr>
          <w:rFonts w:ascii="Verdana" w:hAnsi="Verdana"/>
          <w:sz w:val="20"/>
          <w:szCs w:val="20"/>
        </w:rPr>
        <w:t>,</w:t>
      </w:r>
      <w:r>
        <w:rPr>
          <w:rFonts w:ascii="Verdana" w:hAnsi="Verdana"/>
          <w:sz w:val="20"/>
          <w:szCs w:val="20"/>
        </w:rPr>
        <w:t xml:space="preserve"> en su informe de noviembre de 2020</w:t>
      </w:r>
      <w:r w:rsidR="00985DC6">
        <w:rPr>
          <w:rFonts w:ascii="Verdana" w:hAnsi="Verdana"/>
          <w:sz w:val="20"/>
          <w:szCs w:val="20"/>
        </w:rPr>
        <w:t>,</w:t>
      </w:r>
      <w:r>
        <w:rPr>
          <w:rFonts w:ascii="Verdana" w:hAnsi="Verdana"/>
          <w:sz w:val="20"/>
          <w:szCs w:val="20"/>
        </w:rPr>
        <w:t xml:space="preserve"> que</w:t>
      </w:r>
      <w:r w:rsidR="00E70641">
        <w:rPr>
          <w:rFonts w:ascii="Verdana" w:hAnsi="Verdana"/>
          <w:sz w:val="20"/>
          <w:szCs w:val="20"/>
        </w:rPr>
        <w:t xml:space="preserve"> “se </w:t>
      </w:r>
      <w:proofErr w:type="spellStart"/>
      <w:r w:rsidR="00E70641">
        <w:rPr>
          <w:rFonts w:ascii="Verdana" w:hAnsi="Verdana"/>
          <w:sz w:val="20"/>
          <w:szCs w:val="20"/>
        </w:rPr>
        <w:t>esta</w:t>
      </w:r>
      <w:proofErr w:type="spellEnd"/>
      <w:r w:rsidR="00E70641">
        <w:rPr>
          <w:rFonts w:ascii="Verdana" w:hAnsi="Verdana"/>
          <w:sz w:val="20"/>
          <w:szCs w:val="20"/>
        </w:rPr>
        <w:t>[</w:t>
      </w:r>
      <w:proofErr w:type="spellStart"/>
      <w:r w:rsidR="00E70641">
        <w:rPr>
          <w:rFonts w:ascii="Verdana" w:hAnsi="Verdana"/>
          <w:sz w:val="20"/>
          <w:szCs w:val="20"/>
        </w:rPr>
        <w:t>ban</w:t>
      </w:r>
      <w:proofErr w:type="spellEnd"/>
      <w:r w:rsidR="00E70641">
        <w:rPr>
          <w:rFonts w:ascii="Verdana" w:hAnsi="Verdana"/>
          <w:sz w:val="20"/>
          <w:szCs w:val="20"/>
        </w:rPr>
        <w:t>] haciendo las gestiones necesarias para su materialización”</w:t>
      </w:r>
      <w:r w:rsidR="00871EF2">
        <w:rPr>
          <w:rStyle w:val="Refdenotaalpie"/>
          <w:rFonts w:ascii="Verdana" w:hAnsi="Verdana"/>
          <w:sz w:val="20"/>
          <w:szCs w:val="20"/>
        </w:rPr>
        <w:footnoteReference w:id="10"/>
      </w:r>
      <w:r w:rsidR="00E70641">
        <w:rPr>
          <w:rFonts w:ascii="Verdana" w:hAnsi="Verdana"/>
          <w:sz w:val="20"/>
          <w:szCs w:val="20"/>
        </w:rPr>
        <w:t xml:space="preserve">. </w:t>
      </w:r>
    </w:p>
    <w:p w14:paraId="5133DA90" w14:textId="17BD102B" w:rsidR="00993169" w:rsidRPr="00993169" w:rsidRDefault="00993169" w:rsidP="001E5BD4">
      <w:pPr>
        <w:pStyle w:val="Prrafodelista"/>
        <w:numPr>
          <w:ilvl w:val="0"/>
          <w:numId w:val="3"/>
        </w:numPr>
        <w:spacing w:before="120" w:after="120"/>
        <w:ind w:left="0" w:firstLine="0"/>
        <w:jc w:val="both"/>
      </w:pPr>
      <w:r w:rsidRPr="0095697A">
        <w:rPr>
          <w:rFonts w:ascii="Verdana" w:hAnsi="Verdana"/>
          <w:sz w:val="20"/>
        </w:rPr>
        <w:t>El Tribunal estructurará sus consideraciones en el siguiente orden:</w:t>
      </w:r>
    </w:p>
    <w:p w14:paraId="3473AD06" w14:textId="4A17AE96" w:rsidR="00725C04" w:rsidRPr="00725C04" w:rsidRDefault="00725C04" w:rsidP="001E5BD4">
      <w:pPr>
        <w:pStyle w:val="TDC1"/>
        <w:tabs>
          <w:tab w:val="left" w:pos="851"/>
          <w:tab w:val="right" w:leader="dot" w:pos="8222"/>
        </w:tabs>
        <w:spacing w:before="120" w:after="120" w:line="240" w:lineRule="auto"/>
        <w:ind w:left="426" w:right="616"/>
        <w:jc w:val="both"/>
        <w:rPr>
          <w:rFonts w:ascii="Verdana" w:hAnsi="Verdana"/>
          <w:noProof/>
          <w:sz w:val="16"/>
          <w:szCs w:val="16"/>
        </w:rPr>
      </w:pPr>
      <w:r w:rsidRPr="00725C04">
        <w:rPr>
          <w:rFonts w:ascii="Verdana" w:hAnsi="Verdana"/>
          <w:i/>
          <w:sz w:val="16"/>
          <w:szCs w:val="16"/>
        </w:rPr>
        <w:fldChar w:fldCharType="begin"/>
      </w:r>
      <w:r w:rsidRPr="00725C04">
        <w:rPr>
          <w:rFonts w:ascii="Verdana" w:hAnsi="Verdana"/>
          <w:i/>
          <w:sz w:val="16"/>
          <w:szCs w:val="16"/>
        </w:rPr>
        <w:instrText xml:space="preserve"> TOC \o "1-1" \h \z \u </w:instrText>
      </w:r>
      <w:r w:rsidRPr="00725C04">
        <w:rPr>
          <w:rFonts w:ascii="Verdana" w:hAnsi="Verdana"/>
          <w:i/>
          <w:sz w:val="16"/>
          <w:szCs w:val="16"/>
        </w:rPr>
        <w:fldChar w:fldCharType="separate"/>
      </w:r>
      <w:hyperlink w:anchor="_Toc66808340" w:history="1">
        <w:r w:rsidRPr="00725C04">
          <w:rPr>
            <w:rStyle w:val="Hipervnculo"/>
            <w:rFonts w:ascii="Verdana" w:hAnsi="Verdana"/>
            <w:i/>
            <w:noProof/>
            <w:sz w:val="16"/>
            <w:szCs w:val="16"/>
          </w:rPr>
          <w:t>A.</w:t>
        </w:r>
        <w:r w:rsidRPr="00725C04">
          <w:rPr>
            <w:rFonts w:ascii="Verdana" w:hAnsi="Verdana"/>
            <w:noProof/>
            <w:sz w:val="16"/>
            <w:szCs w:val="16"/>
          </w:rPr>
          <w:tab/>
        </w:r>
        <w:r w:rsidRPr="00725C04">
          <w:rPr>
            <w:rStyle w:val="Hipervnculo"/>
            <w:rFonts w:ascii="Verdana" w:hAnsi="Verdana"/>
            <w:i/>
            <w:noProof/>
            <w:sz w:val="16"/>
            <w:szCs w:val="16"/>
          </w:rPr>
          <w:t>Garantizar al señor Gorigoitía el derecho de recurrir el fallo condenatorio</w:t>
        </w:r>
        <w:r w:rsidRPr="00725C04">
          <w:rPr>
            <w:rFonts w:ascii="Verdana" w:hAnsi="Verdana"/>
            <w:noProof/>
            <w:webHidden/>
            <w:sz w:val="16"/>
            <w:szCs w:val="16"/>
          </w:rPr>
          <w:tab/>
        </w:r>
        <w:r w:rsidRPr="00725C04">
          <w:rPr>
            <w:rFonts w:ascii="Verdana" w:hAnsi="Verdana"/>
            <w:noProof/>
            <w:webHidden/>
            <w:sz w:val="16"/>
            <w:szCs w:val="16"/>
          </w:rPr>
          <w:fldChar w:fldCharType="begin"/>
        </w:r>
        <w:r w:rsidRPr="00725C04">
          <w:rPr>
            <w:rFonts w:ascii="Verdana" w:hAnsi="Verdana"/>
            <w:noProof/>
            <w:webHidden/>
            <w:sz w:val="16"/>
            <w:szCs w:val="16"/>
          </w:rPr>
          <w:instrText xml:space="preserve"> PAGEREF _Toc66808340 \h </w:instrText>
        </w:r>
        <w:r w:rsidRPr="00725C04">
          <w:rPr>
            <w:rFonts w:ascii="Verdana" w:hAnsi="Verdana"/>
            <w:noProof/>
            <w:webHidden/>
            <w:sz w:val="16"/>
            <w:szCs w:val="16"/>
          </w:rPr>
        </w:r>
        <w:r w:rsidRPr="00725C04">
          <w:rPr>
            <w:rFonts w:ascii="Verdana" w:hAnsi="Verdana"/>
            <w:noProof/>
            <w:webHidden/>
            <w:sz w:val="16"/>
            <w:szCs w:val="16"/>
          </w:rPr>
          <w:fldChar w:fldCharType="separate"/>
        </w:r>
        <w:r w:rsidR="000819CA">
          <w:rPr>
            <w:rFonts w:ascii="Verdana" w:hAnsi="Verdana"/>
            <w:noProof/>
            <w:webHidden/>
            <w:sz w:val="16"/>
            <w:szCs w:val="16"/>
          </w:rPr>
          <w:t>3</w:t>
        </w:r>
        <w:r w:rsidRPr="00725C04">
          <w:rPr>
            <w:rFonts w:ascii="Verdana" w:hAnsi="Verdana"/>
            <w:noProof/>
            <w:webHidden/>
            <w:sz w:val="16"/>
            <w:szCs w:val="16"/>
          </w:rPr>
          <w:fldChar w:fldCharType="end"/>
        </w:r>
      </w:hyperlink>
    </w:p>
    <w:p w14:paraId="54C19F16" w14:textId="0398EF07" w:rsidR="00725C04" w:rsidRPr="00725C04" w:rsidRDefault="00586557" w:rsidP="001E5BD4">
      <w:pPr>
        <w:pStyle w:val="TDC1"/>
        <w:tabs>
          <w:tab w:val="left" w:pos="851"/>
          <w:tab w:val="right" w:leader="dot" w:pos="8222"/>
        </w:tabs>
        <w:spacing w:before="120" w:after="120" w:line="240" w:lineRule="auto"/>
        <w:ind w:left="426" w:right="616"/>
        <w:jc w:val="both"/>
        <w:rPr>
          <w:rFonts w:ascii="Verdana" w:hAnsi="Verdana"/>
          <w:noProof/>
          <w:sz w:val="16"/>
          <w:szCs w:val="16"/>
        </w:rPr>
      </w:pPr>
      <w:hyperlink w:anchor="_Toc66808341" w:history="1">
        <w:r w:rsidR="00725C04" w:rsidRPr="00725C04">
          <w:rPr>
            <w:rStyle w:val="Hipervnculo"/>
            <w:rFonts w:ascii="Verdana" w:hAnsi="Verdana"/>
            <w:i/>
            <w:noProof/>
            <w:sz w:val="16"/>
            <w:szCs w:val="16"/>
          </w:rPr>
          <w:t>B.</w:t>
        </w:r>
        <w:r w:rsidR="00725C04" w:rsidRPr="00725C04">
          <w:rPr>
            <w:rFonts w:ascii="Verdana" w:hAnsi="Verdana"/>
            <w:noProof/>
            <w:sz w:val="16"/>
            <w:szCs w:val="16"/>
          </w:rPr>
          <w:tab/>
        </w:r>
        <w:r w:rsidR="00725C04" w:rsidRPr="00725C04">
          <w:rPr>
            <w:rStyle w:val="Hipervnculo"/>
            <w:rFonts w:ascii="Verdana" w:hAnsi="Verdana"/>
            <w:i/>
            <w:noProof/>
            <w:sz w:val="16"/>
            <w:szCs w:val="16"/>
          </w:rPr>
          <w:t>Publicación y difusión de la Sentencia</w:t>
        </w:r>
        <w:r w:rsidR="00725C04" w:rsidRPr="00725C04">
          <w:rPr>
            <w:rFonts w:ascii="Verdana" w:hAnsi="Verdana"/>
            <w:noProof/>
            <w:webHidden/>
            <w:sz w:val="16"/>
            <w:szCs w:val="16"/>
          </w:rPr>
          <w:tab/>
        </w:r>
        <w:r w:rsidR="00725C04" w:rsidRPr="00725C04">
          <w:rPr>
            <w:rFonts w:ascii="Verdana" w:hAnsi="Verdana"/>
            <w:noProof/>
            <w:webHidden/>
            <w:sz w:val="16"/>
            <w:szCs w:val="16"/>
          </w:rPr>
          <w:fldChar w:fldCharType="begin"/>
        </w:r>
        <w:r w:rsidR="00725C04" w:rsidRPr="00725C04">
          <w:rPr>
            <w:rFonts w:ascii="Verdana" w:hAnsi="Verdana"/>
            <w:noProof/>
            <w:webHidden/>
            <w:sz w:val="16"/>
            <w:szCs w:val="16"/>
          </w:rPr>
          <w:instrText xml:space="preserve"> PAGEREF _Toc66808341 \h </w:instrText>
        </w:r>
        <w:r w:rsidR="00725C04" w:rsidRPr="00725C04">
          <w:rPr>
            <w:rFonts w:ascii="Verdana" w:hAnsi="Verdana"/>
            <w:noProof/>
            <w:webHidden/>
            <w:sz w:val="16"/>
            <w:szCs w:val="16"/>
          </w:rPr>
        </w:r>
        <w:r w:rsidR="00725C04" w:rsidRPr="00725C04">
          <w:rPr>
            <w:rFonts w:ascii="Verdana" w:hAnsi="Verdana"/>
            <w:noProof/>
            <w:webHidden/>
            <w:sz w:val="16"/>
            <w:szCs w:val="16"/>
          </w:rPr>
          <w:fldChar w:fldCharType="separate"/>
        </w:r>
        <w:r w:rsidR="000819CA">
          <w:rPr>
            <w:rFonts w:ascii="Verdana" w:hAnsi="Verdana"/>
            <w:noProof/>
            <w:webHidden/>
            <w:sz w:val="16"/>
            <w:szCs w:val="16"/>
          </w:rPr>
          <w:t>4</w:t>
        </w:r>
        <w:r w:rsidR="00725C04" w:rsidRPr="00725C04">
          <w:rPr>
            <w:rFonts w:ascii="Verdana" w:hAnsi="Verdana"/>
            <w:noProof/>
            <w:webHidden/>
            <w:sz w:val="16"/>
            <w:szCs w:val="16"/>
          </w:rPr>
          <w:fldChar w:fldCharType="end"/>
        </w:r>
      </w:hyperlink>
    </w:p>
    <w:p w14:paraId="2300FC04" w14:textId="063E168D" w:rsidR="00725C04" w:rsidRPr="00725C04" w:rsidRDefault="00586557" w:rsidP="001E5BD4">
      <w:pPr>
        <w:pStyle w:val="TDC1"/>
        <w:tabs>
          <w:tab w:val="left" w:pos="851"/>
          <w:tab w:val="right" w:leader="dot" w:pos="8222"/>
        </w:tabs>
        <w:spacing w:before="120" w:after="120" w:line="240" w:lineRule="auto"/>
        <w:ind w:left="426" w:right="616"/>
        <w:jc w:val="both"/>
        <w:rPr>
          <w:rFonts w:ascii="Verdana" w:hAnsi="Verdana"/>
          <w:noProof/>
          <w:sz w:val="16"/>
          <w:szCs w:val="16"/>
        </w:rPr>
      </w:pPr>
      <w:hyperlink w:anchor="_Toc66808342" w:history="1">
        <w:r w:rsidR="00725C04" w:rsidRPr="00725C04">
          <w:rPr>
            <w:rStyle w:val="Hipervnculo"/>
            <w:rFonts w:ascii="Verdana" w:hAnsi="Verdana"/>
            <w:i/>
            <w:noProof/>
            <w:sz w:val="16"/>
            <w:szCs w:val="16"/>
          </w:rPr>
          <w:t>C.</w:t>
        </w:r>
        <w:r w:rsidR="00725C04" w:rsidRPr="00725C04">
          <w:rPr>
            <w:rFonts w:ascii="Verdana" w:hAnsi="Verdana"/>
            <w:noProof/>
            <w:sz w:val="16"/>
            <w:szCs w:val="16"/>
          </w:rPr>
          <w:tab/>
        </w:r>
        <w:r w:rsidR="00725C04" w:rsidRPr="00725C04">
          <w:rPr>
            <w:rStyle w:val="Hipervnculo"/>
            <w:rFonts w:ascii="Verdana" w:hAnsi="Verdana"/>
            <w:i/>
            <w:noProof/>
            <w:sz w:val="16"/>
            <w:szCs w:val="16"/>
          </w:rPr>
          <w:t>Indemnización por daño inmaterial y reintegro de costas y gastos</w:t>
        </w:r>
        <w:r w:rsidR="00725C04" w:rsidRPr="00725C04">
          <w:rPr>
            <w:rFonts w:ascii="Verdana" w:hAnsi="Verdana"/>
            <w:noProof/>
            <w:webHidden/>
            <w:sz w:val="16"/>
            <w:szCs w:val="16"/>
          </w:rPr>
          <w:tab/>
        </w:r>
        <w:r w:rsidR="00725C04" w:rsidRPr="00725C04">
          <w:rPr>
            <w:rFonts w:ascii="Verdana" w:hAnsi="Verdana"/>
            <w:noProof/>
            <w:webHidden/>
            <w:sz w:val="16"/>
            <w:szCs w:val="16"/>
          </w:rPr>
          <w:fldChar w:fldCharType="begin"/>
        </w:r>
        <w:r w:rsidR="00725C04" w:rsidRPr="00725C04">
          <w:rPr>
            <w:rFonts w:ascii="Verdana" w:hAnsi="Verdana"/>
            <w:noProof/>
            <w:webHidden/>
            <w:sz w:val="16"/>
            <w:szCs w:val="16"/>
          </w:rPr>
          <w:instrText xml:space="preserve"> PAGEREF _Toc66808342 \h </w:instrText>
        </w:r>
        <w:r w:rsidR="00725C04" w:rsidRPr="00725C04">
          <w:rPr>
            <w:rFonts w:ascii="Verdana" w:hAnsi="Verdana"/>
            <w:noProof/>
            <w:webHidden/>
            <w:sz w:val="16"/>
            <w:szCs w:val="16"/>
          </w:rPr>
        </w:r>
        <w:r w:rsidR="00725C04" w:rsidRPr="00725C04">
          <w:rPr>
            <w:rFonts w:ascii="Verdana" w:hAnsi="Verdana"/>
            <w:noProof/>
            <w:webHidden/>
            <w:sz w:val="16"/>
            <w:szCs w:val="16"/>
          </w:rPr>
          <w:fldChar w:fldCharType="separate"/>
        </w:r>
        <w:r w:rsidR="000819CA">
          <w:rPr>
            <w:rFonts w:ascii="Verdana" w:hAnsi="Verdana"/>
            <w:noProof/>
            <w:webHidden/>
            <w:sz w:val="16"/>
            <w:szCs w:val="16"/>
          </w:rPr>
          <w:t>5</w:t>
        </w:r>
        <w:r w:rsidR="00725C04" w:rsidRPr="00725C04">
          <w:rPr>
            <w:rFonts w:ascii="Verdana" w:hAnsi="Verdana"/>
            <w:noProof/>
            <w:webHidden/>
            <w:sz w:val="16"/>
            <w:szCs w:val="16"/>
          </w:rPr>
          <w:fldChar w:fldCharType="end"/>
        </w:r>
      </w:hyperlink>
    </w:p>
    <w:p w14:paraId="6E60C8FE" w14:textId="2066AC7F" w:rsidR="00725C04" w:rsidRDefault="00725C04" w:rsidP="001E5BD4">
      <w:pPr>
        <w:pStyle w:val="Prrafodelista"/>
        <w:tabs>
          <w:tab w:val="left" w:pos="851"/>
          <w:tab w:val="right" w:leader="dot" w:pos="8222"/>
        </w:tabs>
        <w:spacing w:before="120" w:after="120"/>
        <w:ind w:left="426" w:right="616"/>
        <w:jc w:val="both"/>
        <w:rPr>
          <w:rFonts w:ascii="Verdana" w:hAnsi="Verdana"/>
          <w:b/>
          <w:i/>
          <w:sz w:val="20"/>
        </w:rPr>
      </w:pPr>
      <w:r w:rsidRPr="00725C04">
        <w:rPr>
          <w:rFonts w:ascii="Verdana" w:hAnsi="Verdana"/>
          <w:i/>
          <w:sz w:val="16"/>
          <w:szCs w:val="16"/>
        </w:rPr>
        <w:fldChar w:fldCharType="end"/>
      </w:r>
    </w:p>
    <w:p w14:paraId="39BE6061" w14:textId="4E9ADB58" w:rsidR="00993169" w:rsidRDefault="000B4FF3" w:rsidP="00725C04">
      <w:pPr>
        <w:pStyle w:val="Prrafodelista"/>
        <w:numPr>
          <w:ilvl w:val="0"/>
          <w:numId w:val="5"/>
        </w:numPr>
        <w:spacing w:before="120" w:after="120"/>
        <w:jc w:val="both"/>
        <w:outlineLvl w:val="0"/>
        <w:rPr>
          <w:rFonts w:ascii="Verdana" w:hAnsi="Verdana"/>
          <w:b/>
          <w:i/>
          <w:sz w:val="20"/>
        </w:rPr>
      </w:pPr>
      <w:bookmarkStart w:id="0" w:name="_Toc66808340"/>
      <w:r>
        <w:rPr>
          <w:rFonts w:ascii="Verdana" w:hAnsi="Verdana"/>
          <w:b/>
          <w:i/>
          <w:sz w:val="20"/>
        </w:rPr>
        <w:t>G</w:t>
      </w:r>
      <w:r w:rsidRPr="00C6013F">
        <w:rPr>
          <w:rFonts w:ascii="Verdana" w:hAnsi="Verdana"/>
          <w:b/>
          <w:i/>
          <w:sz w:val="20"/>
        </w:rPr>
        <w:t xml:space="preserve">arantizar </w:t>
      </w:r>
      <w:r>
        <w:rPr>
          <w:rFonts w:ascii="Verdana" w:hAnsi="Verdana"/>
          <w:b/>
          <w:i/>
          <w:sz w:val="20"/>
        </w:rPr>
        <w:t xml:space="preserve">al señor </w:t>
      </w:r>
      <w:proofErr w:type="spellStart"/>
      <w:r>
        <w:rPr>
          <w:rFonts w:ascii="Verdana" w:hAnsi="Verdana"/>
          <w:b/>
          <w:i/>
          <w:sz w:val="20"/>
        </w:rPr>
        <w:t>Gorigoitía</w:t>
      </w:r>
      <w:proofErr w:type="spellEnd"/>
      <w:r>
        <w:rPr>
          <w:rFonts w:ascii="Verdana" w:hAnsi="Verdana"/>
          <w:b/>
          <w:i/>
          <w:sz w:val="20"/>
        </w:rPr>
        <w:t xml:space="preserve"> </w:t>
      </w:r>
      <w:r w:rsidR="00C6013F" w:rsidRPr="00C6013F">
        <w:rPr>
          <w:rFonts w:ascii="Verdana" w:hAnsi="Verdana"/>
          <w:b/>
          <w:i/>
          <w:sz w:val="20"/>
        </w:rPr>
        <w:t>el derecho de recurrir el fallo condenatorio</w:t>
      </w:r>
      <w:r w:rsidR="009D19FB">
        <w:rPr>
          <w:rFonts w:ascii="Verdana" w:hAnsi="Verdana"/>
          <w:b/>
          <w:i/>
          <w:sz w:val="20"/>
        </w:rPr>
        <w:t xml:space="preserve"> </w:t>
      </w:r>
      <w:bookmarkEnd w:id="0"/>
    </w:p>
    <w:p w14:paraId="57844373" w14:textId="6BBEF9BA" w:rsidR="00C6013F" w:rsidRDefault="00C6013F" w:rsidP="004117C8">
      <w:pPr>
        <w:pStyle w:val="Prrafodelista"/>
        <w:spacing w:before="120" w:after="120"/>
        <w:ind w:left="0" w:firstLine="708"/>
        <w:jc w:val="both"/>
        <w:rPr>
          <w:rFonts w:ascii="Verdana" w:hAnsi="Verdana"/>
          <w:i/>
          <w:sz w:val="20"/>
        </w:rPr>
      </w:pPr>
      <w:r w:rsidRPr="0095697A">
        <w:rPr>
          <w:rFonts w:ascii="Verdana" w:hAnsi="Verdana"/>
          <w:i/>
          <w:sz w:val="20"/>
        </w:rPr>
        <w:t>A.1. Medida</w:t>
      </w:r>
      <w:r w:rsidR="00E70641">
        <w:rPr>
          <w:rFonts w:ascii="Verdana" w:hAnsi="Verdana"/>
          <w:i/>
          <w:sz w:val="20"/>
        </w:rPr>
        <w:t>s</w:t>
      </w:r>
      <w:r w:rsidRPr="0095697A">
        <w:rPr>
          <w:rFonts w:ascii="Verdana" w:hAnsi="Verdana"/>
          <w:i/>
          <w:sz w:val="20"/>
        </w:rPr>
        <w:t xml:space="preserve"> ordenada</w:t>
      </w:r>
      <w:r w:rsidR="00E70641">
        <w:rPr>
          <w:rFonts w:ascii="Verdana" w:hAnsi="Verdana"/>
          <w:i/>
          <w:sz w:val="20"/>
        </w:rPr>
        <w:t>s</w:t>
      </w:r>
      <w:r w:rsidRPr="0095697A">
        <w:rPr>
          <w:rFonts w:ascii="Verdana" w:hAnsi="Verdana"/>
          <w:i/>
          <w:sz w:val="20"/>
        </w:rPr>
        <w:t xml:space="preserve"> por la Corte</w:t>
      </w:r>
    </w:p>
    <w:p w14:paraId="66F2B741" w14:textId="77777777" w:rsidR="008B3169" w:rsidRDefault="00C6013F" w:rsidP="004117C8">
      <w:pPr>
        <w:pStyle w:val="Prrafodelista"/>
        <w:numPr>
          <w:ilvl w:val="0"/>
          <w:numId w:val="3"/>
        </w:numPr>
        <w:spacing w:before="120" w:after="120"/>
        <w:ind w:left="0" w:firstLine="0"/>
        <w:jc w:val="both"/>
        <w:rPr>
          <w:rFonts w:ascii="Verdana" w:hAnsi="Verdana"/>
          <w:sz w:val="20"/>
          <w:szCs w:val="20"/>
        </w:rPr>
      </w:pPr>
      <w:r w:rsidRPr="00AC4EFA">
        <w:rPr>
          <w:rFonts w:ascii="Verdana" w:hAnsi="Verdana"/>
          <w:sz w:val="20"/>
          <w:szCs w:val="20"/>
        </w:rPr>
        <w:t xml:space="preserve">En </w:t>
      </w:r>
      <w:r w:rsidR="0003110E">
        <w:rPr>
          <w:rFonts w:ascii="Verdana" w:hAnsi="Verdana"/>
          <w:sz w:val="20"/>
          <w:szCs w:val="20"/>
        </w:rPr>
        <w:t>los</w:t>
      </w:r>
      <w:r w:rsidR="0003110E" w:rsidRPr="00AC4EFA">
        <w:rPr>
          <w:rFonts w:ascii="Verdana" w:hAnsi="Verdana"/>
          <w:sz w:val="20"/>
          <w:szCs w:val="20"/>
        </w:rPr>
        <w:t xml:space="preserve"> </w:t>
      </w:r>
      <w:r w:rsidRPr="00AC4EFA">
        <w:rPr>
          <w:rFonts w:ascii="Verdana" w:hAnsi="Verdana"/>
          <w:sz w:val="20"/>
          <w:szCs w:val="20"/>
        </w:rPr>
        <w:t>punto</w:t>
      </w:r>
      <w:r w:rsidR="0003110E">
        <w:rPr>
          <w:rFonts w:ascii="Verdana" w:hAnsi="Verdana"/>
          <w:sz w:val="20"/>
          <w:szCs w:val="20"/>
        </w:rPr>
        <w:t>s</w:t>
      </w:r>
      <w:r w:rsidRPr="00AC4EFA">
        <w:rPr>
          <w:rFonts w:ascii="Verdana" w:hAnsi="Verdana"/>
          <w:sz w:val="20"/>
          <w:szCs w:val="20"/>
        </w:rPr>
        <w:t xml:space="preserve"> </w:t>
      </w:r>
      <w:r w:rsidR="0003110E">
        <w:rPr>
          <w:rFonts w:ascii="Verdana" w:hAnsi="Verdana"/>
          <w:sz w:val="20"/>
          <w:szCs w:val="20"/>
        </w:rPr>
        <w:t>resolutivos</w:t>
      </w:r>
      <w:r w:rsidR="0003110E" w:rsidRPr="00AC4EFA">
        <w:rPr>
          <w:rFonts w:ascii="Verdana" w:hAnsi="Verdana"/>
          <w:sz w:val="20"/>
          <w:szCs w:val="20"/>
        </w:rPr>
        <w:t xml:space="preserve"> </w:t>
      </w:r>
      <w:r>
        <w:rPr>
          <w:rFonts w:ascii="Verdana" w:hAnsi="Verdana"/>
          <w:sz w:val="20"/>
          <w:szCs w:val="20"/>
        </w:rPr>
        <w:t>sexto</w:t>
      </w:r>
      <w:r w:rsidRPr="00AC4EFA">
        <w:rPr>
          <w:rFonts w:ascii="Verdana" w:hAnsi="Verdana"/>
          <w:sz w:val="20"/>
          <w:szCs w:val="20"/>
        </w:rPr>
        <w:t xml:space="preserve"> y </w:t>
      </w:r>
      <w:r w:rsidR="0003110E">
        <w:rPr>
          <w:rFonts w:ascii="Verdana" w:hAnsi="Verdana"/>
          <w:sz w:val="20"/>
          <w:szCs w:val="20"/>
        </w:rPr>
        <w:t xml:space="preserve">séptimo y </w:t>
      </w:r>
      <w:r w:rsidR="006B5E90">
        <w:rPr>
          <w:rFonts w:ascii="Verdana" w:hAnsi="Verdana"/>
          <w:sz w:val="20"/>
          <w:szCs w:val="20"/>
        </w:rPr>
        <w:t>en el párrafo 66</w:t>
      </w:r>
      <w:r w:rsidRPr="00AC4EFA">
        <w:rPr>
          <w:rFonts w:ascii="Verdana" w:hAnsi="Verdana"/>
          <w:sz w:val="20"/>
          <w:szCs w:val="20"/>
        </w:rPr>
        <w:t xml:space="preserve"> de la Sentencia, se dispuso</w:t>
      </w:r>
      <w:r w:rsidR="000B4FF3">
        <w:rPr>
          <w:rFonts w:ascii="Verdana" w:hAnsi="Verdana"/>
          <w:sz w:val="20"/>
          <w:szCs w:val="20"/>
        </w:rPr>
        <w:t>, respectivamente,</w:t>
      </w:r>
      <w:r w:rsidRPr="00AC4EFA">
        <w:rPr>
          <w:rFonts w:ascii="Verdana" w:hAnsi="Verdana"/>
          <w:sz w:val="20"/>
          <w:szCs w:val="20"/>
        </w:rPr>
        <w:t xml:space="preserve"> que</w:t>
      </w:r>
      <w:r w:rsidR="000B4FF3">
        <w:rPr>
          <w:rFonts w:ascii="Verdana" w:hAnsi="Verdana"/>
          <w:sz w:val="20"/>
          <w:szCs w:val="20"/>
        </w:rPr>
        <w:t xml:space="preserve"> </w:t>
      </w:r>
      <w:r w:rsidRPr="00EF4857">
        <w:rPr>
          <w:rFonts w:ascii="Verdana" w:hAnsi="Verdana"/>
          <w:sz w:val="20"/>
          <w:szCs w:val="20"/>
        </w:rPr>
        <w:t xml:space="preserve">el Estado </w:t>
      </w:r>
      <w:r w:rsidRPr="006B5E90">
        <w:rPr>
          <w:rFonts w:ascii="Verdana" w:hAnsi="Verdana"/>
          <w:sz w:val="20"/>
          <w:szCs w:val="20"/>
        </w:rPr>
        <w:t>debe</w:t>
      </w:r>
      <w:r w:rsidR="000B4FF3">
        <w:rPr>
          <w:rFonts w:ascii="Verdana" w:hAnsi="Verdana"/>
          <w:sz w:val="20"/>
          <w:szCs w:val="20"/>
        </w:rPr>
        <w:t xml:space="preserve">: </w:t>
      </w:r>
    </w:p>
    <w:p w14:paraId="16EFC351" w14:textId="21914A91" w:rsidR="008B3169" w:rsidRDefault="000B4FF3" w:rsidP="008B3169">
      <w:pPr>
        <w:pStyle w:val="Prrafodelista"/>
        <w:numPr>
          <w:ilvl w:val="0"/>
          <w:numId w:val="8"/>
        </w:numPr>
        <w:spacing w:before="120" w:after="120"/>
        <w:jc w:val="both"/>
        <w:rPr>
          <w:rFonts w:ascii="Verdana" w:hAnsi="Verdana"/>
          <w:sz w:val="20"/>
          <w:szCs w:val="20"/>
        </w:rPr>
      </w:pPr>
      <w:r>
        <w:rPr>
          <w:rFonts w:ascii="Verdana" w:hAnsi="Verdana"/>
          <w:sz w:val="20"/>
          <w:szCs w:val="20"/>
        </w:rPr>
        <w:t>“</w:t>
      </w:r>
      <w:r w:rsidR="0003110E">
        <w:rPr>
          <w:rFonts w:ascii="Verdana" w:hAnsi="Verdana"/>
          <w:sz w:val="20"/>
          <w:szCs w:val="20"/>
        </w:rPr>
        <w:t xml:space="preserve">dentro del plazo de seis meses a partir de la notificación de [la] Sentencia, </w:t>
      </w:r>
      <w:r w:rsidR="006B5E90" w:rsidRPr="006B5E90">
        <w:rPr>
          <w:rFonts w:ascii="Verdana" w:hAnsi="Verdana"/>
          <w:sz w:val="20"/>
          <w:szCs w:val="20"/>
        </w:rPr>
        <w:t xml:space="preserve">adoptar las medidas necesarias para garantizar al señor Oscar Raúl </w:t>
      </w:r>
      <w:proofErr w:type="spellStart"/>
      <w:r w:rsidR="006B5E90" w:rsidRPr="006B5E90">
        <w:rPr>
          <w:rFonts w:ascii="Verdana" w:hAnsi="Verdana"/>
          <w:sz w:val="20"/>
          <w:szCs w:val="20"/>
        </w:rPr>
        <w:t>Gorigoitía</w:t>
      </w:r>
      <w:proofErr w:type="spellEnd"/>
      <w:r w:rsidR="006B5E90" w:rsidRPr="006B5E90">
        <w:rPr>
          <w:rFonts w:ascii="Verdana" w:hAnsi="Verdana"/>
          <w:sz w:val="20"/>
          <w:szCs w:val="20"/>
        </w:rPr>
        <w:t xml:space="preserve"> el derecho de recurrir el fallo condenatorio emitido por la Cámara Primera del Crimen de Mendoza el 12 de septiembre de 1997</w:t>
      </w:r>
      <w:r w:rsidR="00C6013F">
        <w:rPr>
          <w:rFonts w:ascii="Verdana" w:hAnsi="Verdana"/>
          <w:sz w:val="20"/>
          <w:szCs w:val="20"/>
        </w:rPr>
        <w:t>”</w:t>
      </w:r>
      <w:r>
        <w:rPr>
          <w:rFonts w:ascii="Verdana" w:hAnsi="Verdana"/>
          <w:sz w:val="20"/>
          <w:szCs w:val="20"/>
        </w:rPr>
        <w:t>, y</w:t>
      </w:r>
    </w:p>
    <w:p w14:paraId="081C874B" w14:textId="2D21896F" w:rsidR="00C6013F" w:rsidRDefault="000B4FF3" w:rsidP="008B3169">
      <w:pPr>
        <w:pStyle w:val="Prrafodelista"/>
        <w:numPr>
          <w:ilvl w:val="0"/>
          <w:numId w:val="8"/>
        </w:numPr>
        <w:spacing w:before="120" w:after="120"/>
        <w:jc w:val="both"/>
        <w:rPr>
          <w:rFonts w:ascii="Verdana" w:hAnsi="Verdana"/>
          <w:sz w:val="20"/>
          <w:szCs w:val="20"/>
        </w:rPr>
      </w:pPr>
      <w:r>
        <w:rPr>
          <w:rFonts w:ascii="Verdana" w:hAnsi="Verdana"/>
          <w:sz w:val="20"/>
          <w:szCs w:val="20"/>
        </w:rPr>
        <w:t xml:space="preserve">“adoptar las medidas necesarias para que los efectos jurídicos del referido fallo condenatorio, en especial lo atinente al beneficio jubilatorio y el registro de antecedentes queden en suspenso hasta que se emita una decisión de fondo, una vez garantizado el derecho a recurrir según lo indicado en el inciso anterior”. </w:t>
      </w:r>
    </w:p>
    <w:p w14:paraId="2A23BC02" w14:textId="77777777" w:rsidR="00C6013F" w:rsidRPr="00FF0060" w:rsidRDefault="00C6013F" w:rsidP="004117C8">
      <w:pPr>
        <w:pStyle w:val="Prrafodelista"/>
        <w:spacing w:before="120" w:after="120"/>
        <w:ind w:left="708"/>
        <w:jc w:val="both"/>
        <w:rPr>
          <w:rFonts w:ascii="Verdana" w:hAnsi="Verdana"/>
          <w:i/>
          <w:sz w:val="20"/>
          <w:szCs w:val="20"/>
        </w:rPr>
      </w:pPr>
      <w:r w:rsidRPr="00FF0060">
        <w:rPr>
          <w:rFonts w:ascii="Verdana" w:hAnsi="Verdana"/>
          <w:i/>
          <w:sz w:val="20"/>
          <w:szCs w:val="20"/>
        </w:rPr>
        <w:t>A.2. Consideraciones de la Corte</w:t>
      </w:r>
    </w:p>
    <w:p w14:paraId="37F052DF" w14:textId="3A3C9E4D" w:rsidR="004305FD" w:rsidRPr="00994D33" w:rsidRDefault="00DC3769" w:rsidP="004117C8">
      <w:pPr>
        <w:pStyle w:val="Prrafodelista"/>
        <w:numPr>
          <w:ilvl w:val="0"/>
          <w:numId w:val="3"/>
        </w:numPr>
        <w:spacing w:before="120" w:after="120"/>
        <w:ind w:left="0" w:firstLine="0"/>
        <w:jc w:val="both"/>
        <w:rPr>
          <w:rFonts w:ascii="Verdana" w:hAnsi="Verdana"/>
          <w:sz w:val="20"/>
          <w:szCs w:val="20"/>
        </w:rPr>
      </w:pPr>
      <w:r>
        <w:rPr>
          <w:rFonts w:ascii="Verdana" w:hAnsi="Verdana"/>
          <w:sz w:val="20"/>
          <w:szCs w:val="20"/>
        </w:rPr>
        <w:t>La Corte constata</w:t>
      </w:r>
      <w:r w:rsidR="004719F5">
        <w:rPr>
          <w:rFonts w:ascii="Verdana" w:hAnsi="Verdana"/>
          <w:sz w:val="20"/>
          <w:szCs w:val="20"/>
        </w:rPr>
        <w:t xml:space="preserve"> que</w:t>
      </w:r>
      <w:r w:rsidR="00C43F85">
        <w:rPr>
          <w:rFonts w:ascii="Verdana" w:hAnsi="Verdana"/>
          <w:sz w:val="20"/>
          <w:szCs w:val="20"/>
        </w:rPr>
        <w:t>,</w:t>
      </w:r>
      <w:r w:rsidR="004719F5">
        <w:rPr>
          <w:rFonts w:ascii="Verdana" w:hAnsi="Verdana"/>
          <w:sz w:val="20"/>
          <w:szCs w:val="20"/>
        </w:rPr>
        <w:t xml:space="preserve"> </w:t>
      </w:r>
      <w:r w:rsidR="00C43F85">
        <w:rPr>
          <w:rFonts w:ascii="Verdana" w:hAnsi="Verdana" w:cs="Times New Roman"/>
          <w:sz w:val="20"/>
          <w:szCs w:val="20"/>
        </w:rPr>
        <w:t>en una</w:t>
      </w:r>
      <w:r>
        <w:rPr>
          <w:rFonts w:ascii="Verdana" w:hAnsi="Verdana" w:cs="Times New Roman"/>
          <w:sz w:val="20"/>
          <w:szCs w:val="20"/>
        </w:rPr>
        <w:t xml:space="preserve"> audiencia celebrada el </w:t>
      </w:r>
      <w:r w:rsidR="004719F5" w:rsidRPr="004719F5">
        <w:rPr>
          <w:rFonts w:ascii="Verdana" w:hAnsi="Verdana" w:cs="Times New Roman"/>
          <w:sz w:val="20"/>
          <w:szCs w:val="20"/>
        </w:rPr>
        <w:t xml:space="preserve">26 de </w:t>
      </w:r>
      <w:r w:rsidR="004719F5" w:rsidRPr="004305FD">
        <w:rPr>
          <w:rFonts w:ascii="Verdana" w:hAnsi="Verdana" w:cs="Times New Roman"/>
          <w:sz w:val="20"/>
          <w:szCs w:val="20"/>
        </w:rPr>
        <w:t>diciembre de 2019</w:t>
      </w:r>
      <w:r w:rsidR="00C43F85">
        <w:rPr>
          <w:rFonts w:ascii="Verdana" w:hAnsi="Verdana" w:cs="Times New Roman"/>
          <w:sz w:val="20"/>
          <w:szCs w:val="20"/>
        </w:rPr>
        <w:t xml:space="preserve"> </w:t>
      </w:r>
      <w:r>
        <w:rPr>
          <w:rFonts w:ascii="Verdana" w:hAnsi="Verdana" w:cs="Times New Roman"/>
          <w:sz w:val="20"/>
          <w:szCs w:val="20"/>
        </w:rPr>
        <w:t xml:space="preserve">ante </w:t>
      </w:r>
      <w:r w:rsidR="004719F5" w:rsidRPr="004305FD">
        <w:rPr>
          <w:rFonts w:ascii="Verdana" w:hAnsi="Verdana" w:cs="Times New Roman"/>
          <w:sz w:val="20"/>
          <w:szCs w:val="20"/>
        </w:rPr>
        <w:t xml:space="preserve">la Sala Segunda de la </w:t>
      </w:r>
      <w:r w:rsidR="00A873E8">
        <w:rPr>
          <w:rFonts w:ascii="Verdana" w:hAnsi="Verdana" w:cs="Times New Roman"/>
          <w:sz w:val="20"/>
          <w:szCs w:val="20"/>
        </w:rPr>
        <w:t xml:space="preserve">Suprema </w:t>
      </w:r>
      <w:r w:rsidR="004719F5" w:rsidRPr="004305FD">
        <w:rPr>
          <w:rFonts w:ascii="Verdana" w:hAnsi="Verdana" w:cs="Times New Roman"/>
          <w:sz w:val="20"/>
          <w:szCs w:val="20"/>
        </w:rPr>
        <w:t xml:space="preserve">Corte </w:t>
      </w:r>
      <w:r w:rsidR="00A873E8">
        <w:rPr>
          <w:rFonts w:ascii="Verdana" w:hAnsi="Verdana" w:cs="Times New Roman"/>
          <w:sz w:val="20"/>
          <w:szCs w:val="20"/>
        </w:rPr>
        <w:t>de Justicia de Mendoza</w:t>
      </w:r>
      <w:r w:rsidR="004719F5" w:rsidRPr="004305FD">
        <w:rPr>
          <w:rFonts w:ascii="Verdana" w:hAnsi="Verdana" w:cs="Times New Roman"/>
          <w:sz w:val="20"/>
          <w:szCs w:val="20"/>
        </w:rPr>
        <w:t>,</w:t>
      </w:r>
      <w:r w:rsidR="004719F5" w:rsidRPr="004305FD">
        <w:rPr>
          <w:rFonts w:ascii="Verdana" w:hAnsi="Verdana"/>
          <w:sz w:val="20"/>
          <w:szCs w:val="20"/>
        </w:rPr>
        <w:t xml:space="preserve"> </w:t>
      </w:r>
      <w:r w:rsidR="004305FD">
        <w:rPr>
          <w:rFonts w:ascii="Verdana" w:hAnsi="Verdana" w:cs="Times New Roman"/>
          <w:sz w:val="20"/>
          <w:szCs w:val="20"/>
        </w:rPr>
        <w:t xml:space="preserve">se informó </w:t>
      </w:r>
      <w:r>
        <w:rPr>
          <w:rFonts w:ascii="Verdana" w:hAnsi="Verdana" w:cs="Times New Roman"/>
          <w:sz w:val="20"/>
          <w:szCs w:val="20"/>
        </w:rPr>
        <w:t xml:space="preserve">al señor </w:t>
      </w:r>
      <w:proofErr w:type="spellStart"/>
      <w:r>
        <w:rPr>
          <w:rFonts w:ascii="Verdana" w:hAnsi="Verdana" w:cs="Times New Roman"/>
          <w:sz w:val="20"/>
          <w:szCs w:val="20"/>
        </w:rPr>
        <w:t>Gorigoitía</w:t>
      </w:r>
      <w:proofErr w:type="spellEnd"/>
      <w:r w:rsidR="004305FD">
        <w:rPr>
          <w:rFonts w:ascii="Verdana" w:hAnsi="Verdana" w:cs="Times New Roman"/>
          <w:sz w:val="20"/>
          <w:szCs w:val="20"/>
        </w:rPr>
        <w:t xml:space="preserve"> </w:t>
      </w:r>
      <w:r w:rsidR="004305FD" w:rsidRPr="004305FD">
        <w:rPr>
          <w:rFonts w:ascii="Verdana" w:hAnsi="Verdana" w:cs="Times New Roman"/>
          <w:sz w:val="20"/>
          <w:szCs w:val="20"/>
        </w:rPr>
        <w:t xml:space="preserve">que </w:t>
      </w:r>
      <w:r w:rsidR="004305FD">
        <w:rPr>
          <w:rFonts w:ascii="Verdana" w:hAnsi="Verdana" w:cs="Times New Roman"/>
          <w:sz w:val="20"/>
          <w:szCs w:val="20"/>
        </w:rPr>
        <w:t>“</w:t>
      </w:r>
      <w:r w:rsidR="004305FD" w:rsidRPr="004305FD">
        <w:rPr>
          <w:rFonts w:ascii="Verdana" w:hAnsi="Verdana" w:cs="Times New Roman"/>
          <w:sz w:val="20"/>
          <w:szCs w:val="20"/>
        </w:rPr>
        <w:t xml:space="preserve">le </w:t>
      </w:r>
      <w:proofErr w:type="spellStart"/>
      <w:r w:rsidR="004305FD" w:rsidRPr="004305FD">
        <w:rPr>
          <w:rFonts w:ascii="Verdana" w:hAnsi="Verdana" w:cs="Times New Roman"/>
          <w:sz w:val="20"/>
          <w:szCs w:val="20"/>
        </w:rPr>
        <w:t>asist</w:t>
      </w:r>
      <w:proofErr w:type="spellEnd"/>
      <w:r w:rsidR="005B4794">
        <w:rPr>
          <w:rFonts w:ascii="Verdana" w:hAnsi="Verdana" w:cs="Times New Roman"/>
          <w:sz w:val="20"/>
          <w:szCs w:val="20"/>
        </w:rPr>
        <w:t>[</w:t>
      </w:r>
      <w:proofErr w:type="spellStart"/>
      <w:r w:rsidR="004305FD" w:rsidRPr="004305FD">
        <w:rPr>
          <w:rFonts w:ascii="Verdana" w:hAnsi="Verdana" w:cs="Times New Roman"/>
          <w:sz w:val="20"/>
          <w:szCs w:val="20"/>
        </w:rPr>
        <w:t>ía</w:t>
      </w:r>
      <w:proofErr w:type="spellEnd"/>
      <w:r w:rsidR="005B4794">
        <w:rPr>
          <w:rFonts w:ascii="Verdana" w:hAnsi="Verdana" w:cs="Times New Roman"/>
          <w:sz w:val="20"/>
          <w:szCs w:val="20"/>
        </w:rPr>
        <w:t>]</w:t>
      </w:r>
      <w:r w:rsidR="004305FD" w:rsidRPr="004305FD">
        <w:rPr>
          <w:rFonts w:ascii="Verdana" w:hAnsi="Verdana" w:cs="Times New Roman"/>
          <w:sz w:val="20"/>
          <w:szCs w:val="20"/>
        </w:rPr>
        <w:t xml:space="preserve"> el derecho </w:t>
      </w:r>
      <w:r w:rsidR="005B4794">
        <w:rPr>
          <w:rFonts w:ascii="Verdana" w:hAnsi="Verdana" w:cs="Times New Roman"/>
          <w:sz w:val="20"/>
          <w:szCs w:val="20"/>
        </w:rPr>
        <w:t>de</w:t>
      </w:r>
      <w:r w:rsidR="005B4794" w:rsidRPr="004305FD">
        <w:rPr>
          <w:rFonts w:ascii="Verdana" w:hAnsi="Verdana" w:cs="Times New Roman"/>
          <w:sz w:val="20"/>
          <w:szCs w:val="20"/>
        </w:rPr>
        <w:t xml:space="preserve"> </w:t>
      </w:r>
      <w:r w:rsidR="004305FD" w:rsidRPr="004305FD">
        <w:rPr>
          <w:rFonts w:ascii="Verdana" w:hAnsi="Verdana" w:cs="Times New Roman"/>
          <w:sz w:val="20"/>
          <w:szCs w:val="20"/>
        </w:rPr>
        <w:t xml:space="preserve">solicitar la revisión integral de la sentencia </w:t>
      </w:r>
      <w:r w:rsidR="005B4794">
        <w:rPr>
          <w:rFonts w:ascii="Verdana" w:hAnsi="Verdana" w:cs="Times New Roman"/>
          <w:sz w:val="20"/>
          <w:szCs w:val="20"/>
        </w:rPr>
        <w:t>condenatoria</w:t>
      </w:r>
      <w:r w:rsidR="005B4794" w:rsidRPr="004305FD">
        <w:rPr>
          <w:rFonts w:ascii="Verdana" w:hAnsi="Verdana" w:cs="Times New Roman"/>
          <w:sz w:val="20"/>
          <w:szCs w:val="20"/>
        </w:rPr>
        <w:t xml:space="preserve"> </w:t>
      </w:r>
      <w:r w:rsidR="004305FD" w:rsidRPr="004305FD">
        <w:rPr>
          <w:rFonts w:ascii="Verdana" w:hAnsi="Verdana" w:cs="Times New Roman"/>
          <w:sz w:val="20"/>
          <w:szCs w:val="20"/>
        </w:rPr>
        <w:t xml:space="preserve">recaída en </w:t>
      </w:r>
      <w:r w:rsidR="005B4794">
        <w:rPr>
          <w:rFonts w:ascii="Verdana" w:hAnsi="Verdana" w:cs="Times New Roman"/>
          <w:sz w:val="20"/>
          <w:szCs w:val="20"/>
        </w:rPr>
        <w:t>[su contra]</w:t>
      </w:r>
      <w:r w:rsidR="008B3169">
        <w:rPr>
          <w:rFonts w:ascii="Verdana" w:hAnsi="Verdana" w:cs="Times New Roman"/>
          <w:sz w:val="20"/>
          <w:szCs w:val="20"/>
        </w:rPr>
        <w:t>”. S</w:t>
      </w:r>
      <w:r w:rsidR="005B4794">
        <w:rPr>
          <w:rFonts w:ascii="Verdana" w:hAnsi="Verdana" w:cs="Times New Roman"/>
          <w:sz w:val="20"/>
          <w:szCs w:val="20"/>
        </w:rPr>
        <w:t xml:space="preserve">in embargo, </w:t>
      </w:r>
      <w:r w:rsidR="004305FD" w:rsidRPr="004305FD">
        <w:rPr>
          <w:rFonts w:ascii="Verdana" w:hAnsi="Verdana" w:cs="Times New Roman"/>
          <w:sz w:val="20"/>
          <w:szCs w:val="20"/>
        </w:rPr>
        <w:t xml:space="preserve">el señor </w:t>
      </w:r>
      <w:proofErr w:type="spellStart"/>
      <w:r w:rsidR="004305FD" w:rsidRPr="004305FD">
        <w:rPr>
          <w:rFonts w:ascii="Verdana" w:hAnsi="Verdana" w:cs="Times New Roman"/>
          <w:sz w:val="20"/>
          <w:szCs w:val="20"/>
        </w:rPr>
        <w:t>Gorigoitía</w:t>
      </w:r>
      <w:proofErr w:type="spellEnd"/>
      <w:r w:rsidR="004305FD" w:rsidRPr="004305FD">
        <w:rPr>
          <w:rFonts w:ascii="Verdana" w:hAnsi="Verdana" w:cs="Times New Roman"/>
          <w:sz w:val="20"/>
          <w:szCs w:val="20"/>
        </w:rPr>
        <w:t xml:space="preserve"> </w:t>
      </w:r>
      <w:r w:rsidR="005B4794">
        <w:rPr>
          <w:rFonts w:ascii="Verdana" w:hAnsi="Verdana" w:cs="Times New Roman"/>
          <w:sz w:val="20"/>
          <w:szCs w:val="20"/>
        </w:rPr>
        <w:t>“</w:t>
      </w:r>
      <w:proofErr w:type="spellStart"/>
      <w:r w:rsidR="005B4794">
        <w:rPr>
          <w:rFonts w:ascii="Verdana" w:hAnsi="Verdana" w:cs="Times New Roman"/>
          <w:sz w:val="20"/>
          <w:szCs w:val="20"/>
        </w:rPr>
        <w:t>manif</w:t>
      </w:r>
      <w:proofErr w:type="spellEnd"/>
      <w:r w:rsidR="005B4794">
        <w:rPr>
          <w:rFonts w:ascii="Verdana" w:hAnsi="Verdana" w:cs="Times New Roman"/>
          <w:sz w:val="20"/>
          <w:szCs w:val="20"/>
        </w:rPr>
        <w:t>[</w:t>
      </w:r>
      <w:proofErr w:type="spellStart"/>
      <w:r w:rsidR="005B4794">
        <w:rPr>
          <w:rFonts w:ascii="Verdana" w:hAnsi="Verdana" w:cs="Times New Roman"/>
          <w:sz w:val="20"/>
          <w:szCs w:val="20"/>
        </w:rPr>
        <w:t>estó</w:t>
      </w:r>
      <w:proofErr w:type="spellEnd"/>
      <w:r w:rsidR="005B4794">
        <w:rPr>
          <w:rFonts w:ascii="Verdana" w:hAnsi="Verdana" w:cs="Times New Roman"/>
          <w:sz w:val="20"/>
          <w:szCs w:val="20"/>
        </w:rPr>
        <w:t xml:space="preserve">] </w:t>
      </w:r>
      <w:r w:rsidR="004305FD" w:rsidRPr="004305FD">
        <w:rPr>
          <w:rFonts w:ascii="Verdana" w:hAnsi="Verdana" w:cs="Times New Roman"/>
          <w:sz w:val="20"/>
          <w:szCs w:val="20"/>
        </w:rPr>
        <w:t>que no desea</w:t>
      </w:r>
      <w:r w:rsidR="005B4794">
        <w:rPr>
          <w:rFonts w:ascii="Verdana" w:hAnsi="Verdana" w:cs="Times New Roman"/>
          <w:sz w:val="20"/>
          <w:szCs w:val="20"/>
        </w:rPr>
        <w:t>[</w:t>
      </w:r>
      <w:proofErr w:type="spellStart"/>
      <w:r w:rsidR="004305FD" w:rsidRPr="004305FD">
        <w:rPr>
          <w:rFonts w:ascii="Verdana" w:hAnsi="Verdana" w:cs="Times New Roman"/>
          <w:sz w:val="20"/>
          <w:szCs w:val="20"/>
        </w:rPr>
        <w:t>ba</w:t>
      </w:r>
      <w:proofErr w:type="spellEnd"/>
      <w:r w:rsidR="005B4794">
        <w:rPr>
          <w:rFonts w:ascii="Verdana" w:hAnsi="Verdana" w:cs="Times New Roman"/>
          <w:sz w:val="20"/>
          <w:szCs w:val="20"/>
        </w:rPr>
        <w:t>]</w:t>
      </w:r>
      <w:r w:rsidR="004305FD" w:rsidRPr="004305FD">
        <w:rPr>
          <w:rFonts w:ascii="Verdana" w:hAnsi="Verdana" w:cs="Times New Roman"/>
          <w:sz w:val="20"/>
          <w:szCs w:val="20"/>
        </w:rPr>
        <w:t xml:space="preserve"> hacer uso de</w:t>
      </w:r>
      <w:r w:rsidR="005B4794">
        <w:rPr>
          <w:rFonts w:ascii="Verdana" w:hAnsi="Verdana" w:cs="Times New Roman"/>
          <w:sz w:val="20"/>
          <w:szCs w:val="20"/>
        </w:rPr>
        <w:t>l</w:t>
      </w:r>
      <w:r w:rsidR="004305FD" w:rsidRPr="004305FD">
        <w:rPr>
          <w:rFonts w:ascii="Verdana" w:hAnsi="Verdana" w:cs="Times New Roman"/>
          <w:sz w:val="20"/>
          <w:szCs w:val="20"/>
        </w:rPr>
        <w:t xml:space="preserve"> derecho</w:t>
      </w:r>
      <w:r w:rsidR="005B4794">
        <w:rPr>
          <w:rFonts w:ascii="Verdana" w:hAnsi="Verdana" w:cs="Times New Roman"/>
          <w:sz w:val="20"/>
          <w:szCs w:val="20"/>
        </w:rPr>
        <w:t xml:space="preserve"> de recurrir</w:t>
      </w:r>
      <w:r w:rsidR="004305FD">
        <w:rPr>
          <w:rFonts w:ascii="Verdana" w:hAnsi="Verdana" w:cs="Times New Roman"/>
          <w:sz w:val="20"/>
          <w:szCs w:val="20"/>
        </w:rPr>
        <w:t>”</w:t>
      </w:r>
      <w:r w:rsidR="005B4794">
        <w:rPr>
          <w:rStyle w:val="Refdenotaalpie"/>
          <w:rFonts w:ascii="Verdana" w:hAnsi="Verdana" w:cs="Times New Roman"/>
          <w:sz w:val="20"/>
          <w:szCs w:val="20"/>
        </w:rPr>
        <w:footnoteReference w:id="11"/>
      </w:r>
      <w:r w:rsidR="004305FD">
        <w:rPr>
          <w:rFonts w:ascii="Verdana" w:hAnsi="Verdana" w:cs="Times New Roman"/>
          <w:sz w:val="20"/>
          <w:szCs w:val="20"/>
        </w:rPr>
        <w:t xml:space="preserve">. </w:t>
      </w:r>
      <w:r w:rsidR="00294FF0" w:rsidRPr="008B3169">
        <w:rPr>
          <w:rFonts w:ascii="Verdana" w:hAnsi="Verdana" w:cs="Times New Roman"/>
          <w:sz w:val="20"/>
          <w:szCs w:val="20"/>
        </w:rPr>
        <w:t>La</w:t>
      </w:r>
      <w:r w:rsidR="00294FF0">
        <w:rPr>
          <w:rFonts w:ascii="Verdana" w:hAnsi="Verdana" w:cs="Times New Roman"/>
          <w:sz w:val="20"/>
          <w:szCs w:val="20"/>
        </w:rPr>
        <w:t xml:space="preserve"> referida manifestación fue formalmente ratificada e</w:t>
      </w:r>
      <w:r w:rsidR="00F7641E">
        <w:rPr>
          <w:rFonts w:ascii="Verdana" w:hAnsi="Verdana" w:cs="Times New Roman"/>
          <w:sz w:val="20"/>
          <w:szCs w:val="20"/>
        </w:rPr>
        <w:t>l 3 de febrero de 20</w:t>
      </w:r>
      <w:r w:rsidR="003F2BBC">
        <w:rPr>
          <w:rFonts w:ascii="Verdana" w:hAnsi="Verdana" w:cs="Times New Roman"/>
          <w:sz w:val="20"/>
          <w:szCs w:val="20"/>
        </w:rPr>
        <w:t>20</w:t>
      </w:r>
      <w:r w:rsidR="00F7641E">
        <w:rPr>
          <w:rFonts w:ascii="Verdana" w:hAnsi="Verdana" w:cs="Times New Roman"/>
          <w:sz w:val="20"/>
          <w:szCs w:val="20"/>
        </w:rPr>
        <w:t xml:space="preserve"> </w:t>
      </w:r>
      <w:r w:rsidR="00294FF0">
        <w:rPr>
          <w:rFonts w:ascii="Verdana" w:hAnsi="Verdana" w:cs="Times New Roman"/>
          <w:sz w:val="20"/>
          <w:szCs w:val="20"/>
        </w:rPr>
        <w:t xml:space="preserve">por </w:t>
      </w:r>
      <w:r w:rsidR="00A575C0">
        <w:rPr>
          <w:rFonts w:ascii="Verdana" w:hAnsi="Verdana" w:cs="Times New Roman"/>
          <w:sz w:val="20"/>
          <w:szCs w:val="20"/>
        </w:rPr>
        <w:t>l</w:t>
      </w:r>
      <w:r w:rsidR="00294FF0">
        <w:rPr>
          <w:rFonts w:ascii="Verdana" w:hAnsi="Verdana" w:cs="Times New Roman"/>
          <w:sz w:val="20"/>
          <w:szCs w:val="20"/>
        </w:rPr>
        <w:t>a defensora pública</w:t>
      </w:r>
      <w:r w:rsidR="00A575C0">
        <w:rPr>
          <w:rFonts w:ascii="Verdana" w:hAnsi="Verdana" w:cs="Times New Roman"/>
          <w:sz w:val="20"/>
          <w:szCs w:val="20"/>
        </w:rPr>
        <w:t xml:space="preserve"> que </w:t>
      </w:r>
      <w:r w:rsidR="00F7641E">
        <w:rPr>
          <w:rFonts w:ascii="Verdana" w:hAnsi="Verdana" w:cs="Times New Roman"/>
          <w:sz w:val="20"/>
          <w:szCs w:val="20"/>
        </w:rPr>
        <w:t>represent</w:t>
      </w:r>
      <w:r w:rsidR="00A575C0">
        <w:rPr>
          <w:rFonts w:ascii="Verdana" w:hAnsi="Verdana" w:cs="Times New Roman"/>
          <w:sz w:val="20"/>
          <w:szCs w:val="20"/>
        </w:rPr>
        <w:t>ó</w:t>
      </w:r>
      <w:r w:rsidR="00F7641E">
        <w:rPr>
          <w:rFonts w:ascii="Verdana" w:hAnsi="Verdana" w:cs="Times New Roman"/>
          <w:sz w:val="20"/>
          <w:szCs w:val="20"/>
        </w:rPr>
        <w:t xml:space="preserve"> </w:t>
      </w:r>
      <w:r w:rsidR="00294FF0">
        <w:rPr>
          <w:rFonts w:ascii="Verdana" w:hAnsi="Verdana" w:cs="Times New Roman"/>
          <w:sz w:val="20"/>
          <w:szCs w:val="20"/>
        </w:rPr>
        <w:t>legal</w:t>
      </w:r>
      <w:r w:rsidR="00A575C0">
        <w:rPr>
          <w:rFonts w:ascii="Verdana" w:hAnsi="Verdana" w:cs="Times New Roman"/>
          <w:sz w:val="20"/>
          <w:szCs w:val="20"/>
        </w:rPr>
        <w:t xml:space="preserve">mente </w:t>
      </w:r>
      <w:proofErr w:type="gramStart"/>
      <w:r w:rsidR="00A575C0">
        <w:rPr>
          <w:rFonts w:ascii="Verdana" w:hAnsi="Verdana" w:cs="Times New Roman"/>
          <w:sz w:val="20"/>
          <w:szCs w:val="20"/>
        </w:rPr>
        <w:t>al</w:t>
      </w:r>
      <w:r w:rsidR="00294FF0">
        <w:rPr>
          <w:rFonts w:ascii="Verdana" w:hAnsi="Verdana" w:cs="Times New Roman"/>
          <w:sz w:val="20"/>
          <w:szCs w:val="20"/>
        </w:rPr>
        <w:t xml:space="preserve"> </w:t>
      </w:r>
      <w:r w:rsidR="008B3169">
        <w:rPr>
          <w:rFonts w:ascii="Verdana" w:hAnsi="Verdana" w:cs="Times New Roman"/>
          <w:sz w:val="20"/>
          <w:szCs w:val="20"/>
        </w:rPr>
        <w:t xml:space="preserve"> señor</w:t>
      </w:r>
      <w:proofErr w:type="gramEnd"/>
      <w:r w:rsidR="008B3169">
        <w:rPr>
          <w:rFonts w:ascii="Verdana" w:hAnsi="Verdana" w:cs="Times New Roman"/>
          <w:sz w:val="20"/>
          <w:szCs w:val="20"/>
        </w:rPr>
        <w:t xml:space="preserve"> </w:t>
      </w:r>
      <w:proofErr w:type="spellStart"/>
      <w:r w:rsidR="008B3169">
        <w:rPr>
          <w:rFonts w:ascii="Verdana" w:hAnsi="Verdana" w:cs="Times New Roman"/>
          <w:sz w:val="20"/>
          <w:szCs w:val="20"/>
        </w:rPr>
        <w:t>Gorigoitía</w:t>
      </w:r>
      <w:proofErr w:type="spellEnd"/>
      <w:r w:rsidR="008B3169">
        <w:rPr>
          <w:rFonts w:ascii="Verdana" w:hAnsi="Verdana" w:cs="Times New Roman"/>
          <w:sz w:val="20"/>
          <w:szCs w:val="20"/>
        </w:rPr>
        <w:t xml:space="preserve"> </w:t>
      </w:r>
      <w:r w:rsidR="00294FF0">
        <w:rPr>
          <w:rFonts w:ascii="Verdana" w:hAnsi="Verdana" w:cs="Times New Roman"/>
          <w:sz w:val="20"/>
          <w:szCs w:val="20"/>
        </w:rPr>
        <w:t>para tales efectos</w:t>
      </w:r>
      <w:r w:rsidR="00F53825">
        <w:rPr>
          <w:rStyle w:val="Refdenotaalpie"/>
          <w:rFonts w:ascii="Verdana" w:hAnsi="Verdana" w:cs="Times New Roman"/>
          <w:sz w:val="20"/>
          <w:szCs w:val="20"/>
        </w:rPr>
        <w:footnoteReference w:id="12"/>
      </w:r>
      <w:r w:rsidR="00F7641E">
        <w:rPr>
          <w:rFonts w:ascii="Verdana" w:hAnsi="Verdana" w:cs="Times New Roman"/>
          <w:sz w:val="20"/>
          <w:szCs w:val="20"/>
        </w:rPr>
        <w:t>.</w:t>
      </w:r>
      <w:r w:rsidR="00F53825">
        <w:rPr>
          <w:rFonts w:ascii="Verdana" w:hAnsi="Verdana" w:cs="Times New Roman"/>
          <w:sz w:val="20"/>
          <w:szCs w:val="20"/>
        </w:rPr>
        <w:t xml:space="preserve"> </w:t>
      </w:r>
    </w:p>
    <w:p w14:paraId="496D1697" w14:textId="17A23BFF" w:rsidR="004874EA" w:rsidRPr="003770C1" w:rsidRDefault="004874EA" w:rsidP="004117C8">
      <w:pPr>
        <w:pStyle w:val="Prrafodelista"/>
        <w:numPr>
          <w:ilvl w:val="0"/>
          <w:numId w:val="3"/>
        </w:numPr>
        <w:spacing w:before="120" w:after="120"/>
        <w:ind w:left="0" w:firstLine="0"/>
        <w:jc w:val="both"/>
        <w:rPr>
          <w:rFonts w:ascii="Verdana" w:hAnsi="Verdana"/>
          <w:sz w:val="24"/>
          <w:szCs w:val="20"/>
        </w:rPr>
      </w:pPr>
      <w:r>
        <w:rPr>
          <w:rFonts w:ascii="Verdana" w:hAnsi="Verdana" w:cs="Times New Roman"/>
          <w:sz w:val="20"/>
          <w:szCs w:val="20"/>
        </w:rPr>
        <w:lastRenderedPageBreak/>
        <w:t xml:space="preserve">En su informe de noviembre de 2020, el Estado consideró </w:t>
      </w:r>
      <w:r w:rsidR="008B3169">
        <w:rPr>
          <w:rFonts w:ascii="Verdana" w:hAnsi="Verdana" w:cs="Times New Roman"/>
          <w:sz w:val="20"/>
          <w:szCs w:val="20"/>
        </w:rPr>
        <w:t xml:space="preserve">que </w:t>
      </w:r>
      <w:r>
        <w:rPr>
          <w:rFonts w:ascii="Verdana" w:hAnsi="Verdana" w:cs="Times New Roman"/>
          <w:sz w:val="20"/>
          <w:szCs w:val="20"/>
        </w:rPr>
        <w:t>“de lo expuesto surge el cabal cumplimiento de los puntos 6 y</w:t>
      </w:r>
      <w:r w:rsidR="00B57E79">
        <w:rPr>
          <w:rFonts w:ascii="Verdana" w:hAnsi="Verdana" w:cs="Times New Roman"/>
          <w:sz w:val="20"/>
          <w:szCs w:val="20"/>
        </w:rPr>
        <w:t xml:space="preserve"> </w:t>
      </w:r>
      <w:r>
        <w:rPr>
          <w:rFonts w:ascii="Verdana" w:hAnsi="Verdana" w:cs="Times New Roman"/>
          <w:sz w:val="20"/>
          <w:szCs w:val="20"/>
        </w:rPr>
        <w:t>7 de la sentencia”.</w:t>
      </w:r>
      <w:r w:rsidR="008B3169">
        <w:rPr>
          <w:rFonts w:ascii="Verdana" w:hAnsi="Verdana" w:cs="Times New Roman"/>
          <w:sz w:val="20"/>
          <w:szCs w:val="20"/>
        </w:rPr>
        <w:t xml:space="preserve"> </w:t>
      </w:r>
      <w:r w:rsidR="00994D33">
        <w:rPr>
          <w:rFonts w:ascii="Verdana" w:hAnsi="Verdana" w:cs="Times New Roman"/>
          <w:sz w:val="20"/>
          <w:szCs w:val="20"/>
        </w:rPr>
        <w:t xml:space="preserve">En </w:t>
      </w:r>
      <w:r>
        <w:rPr>
          <w:rFonts w:ascii="Verdana" w:hAnsi="Verdana" w:cs="Times New Roman"/>
          <w:sz w:val="20"/>
          <w:szCs w:val="20"/>
        </w:rPr>
        <w:t xml:space="preserve">su escrito de </w:t>
      </w:r>
      <w:r w:rsidR="00994D33">
        <w:rPr>
          <w:rFonts w:ascii="Verdana" w:hAnsi="Verdana" w:cs="Times New Roman"/>
          <w:sz w:val="20"/>
          <w:szCs w:val="20"/>
        </w:rPr>
        <w:t xml:space="preserve">observaciones de diciembre de 2020, los representantes </w:t>
      </w:r>
      <w:r>
        <w:rPr>
          <w:rFonts w:ascii="Verdana" w:hAnsi="Verdana" w:cs="Times New Roman"/>
          <w:sz w:val="20"/>
          <w:szCs w:val="20"/>
        </w:rPr>
        <w:t>obse</w:t>
      </w:r>
      <w:r w:rsidR="008B3169">
        <w:rPr>
          <w:rFonts w:ascii="Verdana" w:hAnsi="Verdana" w:cs="Times New Roman"/>
          <w:sz w:val="20"/>
          <w:szCs w:val="20"/>
        </w:rPr>
        <w:t>rvaron, de manera general</w:t>
      </w:r>
      <w:r w:rsidR="00B57E79">
        <w:rPr>
          <w:rFonts w:ascii="Verdana" w:hAnsi="Verdana" w:cs="Times New Roman"/>
          <w:sz w:val="20"/>
          <w:szCs w:val="20"/>
        </w:rPr>
        <w:t>,</w:t>
      </w:r>
      <w:r w:rsidR="008B3169">
        <w:rPr>
          <w:rFonts w:ascii="Verdana" w:hAnsi="Verdana" w:cs="Times New Roman"/>
          <w:sz w:val="20"/>
          <w:szCs w:val="20"/>
        </w:rPr>
        <w:t xml:space="preserve"> que “[e]</w:t>
      </w:r>
      <w:r>
        <w:rPr>
          <w:rFonts w:ascii="Verdana" w:hAnsi="Verdana" w:cs="Times New Roman"/>
          <w:sz w:val="20"/>
          <w:szCs w:val="20"/>
        </w:rPr>
        <w:t xml:space="preserve">l Estado ha cumplido con […] el otorgamiento del recurso de casación al [señor </w:t>
      </w:r>
      <w:proofErr w:type="spellStart"/>
      <w:r>
        <w:rPr>
          <w:rFonts w:ascii="Verdana" w:hAnsi="Verdana" w:cs="Times New Roman"/>
          <w:sz w:val="20"/>
          <w:szCs w:val="20"/>
        </w:rPr>
        <w:t>Gorigoitía</w:t>
      </w:r>
      <w:proofErr w:type="spellEnd"/>
      <w:r>
        <w:rPr>
          <w:rFonts w:ascii="Verdana" w:hAnsi="Verdana" w:cs="Times New Roman"/>
          <w:sz w:val="20"/>
          <w:szCs w:val="20"/>
        </w:rPr>
        <w:t>]</w:t>
      </w:r>
      <w:r w:rsidR="00B57E79">
        <w:rPr>
          <w:rFonts w:ascii="Verdana" w:hAnsi="Verdana" w:cs="Times New Roman"/>
          <w:sz w:val="20"/>
          <w:szCs w:val="20"/>
        </w:rPr>
        <w:t>”</w:t>
      </w:r>
      <w:r>
        <w:rPr>
          <w:rFonts w:ascii="Verdana" w:hAnsi="Verdana" w:cs="Times New Roman"/>
          <w:sz w:val="20"/>
          <w:szCs w:val="20"/>
        </w:rPr>
        <w:t xml:space="preserve">. Además, </w:t>
      </w:r>
      <w:r w:rsidR="00994D33">
        <w:rPr>
          <w:rFonts w:ascii="Verdana" w:hAnsi="Verdana" w:cs="Times New Roman"/>
          <w:sz w:val="20"/>
          <w:szCs w:val="20"/>
        </w:rPr>
        <w:t xml:space="preserve">confirmaron que, </w:t>
      </w:r>
      <w:r>
        <w:rPr>
          <w:rFonts w:ascii="Verdana" w:hAnsi="Verdana" w:cs="Times New Roman"/>
          <w:sz w:val="20"/>
          <w:szCs w:val="20"/>
        </w:rPr>
        <w:t>“</w:t>
      </w:r>
      <w:r w:rsidR="00994D33">
        <w:rPr>
          <w:rFonts w:ascii="Verdana" w:hAnsi="Verdana" w:cs="Times New Roman"/>
          <w:sz w:val="20"/>
          <w:szCs w:val="20"/>
        </w:rPr>
        <w:t xml:space="preserve">en efecto, </w:t>
      </w:r>
      <w:r>
        <w:rPr>
          <w:rFonts w:ascii="Verdana" w:hAnsi="Verdana" w:cs="Times New Roman"/>
          <w:sz w:val="20"/>
          <w:szCs w:val="20"/>
        </w:rPr>
        <w:t xml:space="preserve">la víctima ha expresado su voluntad de no hacer uso del </w:t>
      </w:r>
      <w:proofErr w:type="gramStart"/>
      <w:r>
        <w:rPr>
          <w:rFonts w:ascii="Verdana" w:hAnsi="Verdana" w:cs="Times New Roman"/>
          <w:sz w:val="20"/>
          <w:szCs w:val="20"/>
        </w:rPr>
        <w:t>recurso[</w:t>
      </w:r>
      <w:proofErr w:type="gramEnd"/>
      <w:r>
        <w:rPr>
          <w:rFonts w:ascii="Verdana" w:hAnsi="Verdana" w:cs="Times New Roman"/>
          <w:sz w:val="20"/>
          <w:szCs w:val="20"/>
        </w:rPr>
        <w:t>,] atento a que ha cumplido la totalidad de la pena impuesta y a</w:t>
      </w:r>
      <w:r w:rsidR="00994D33">
        <w:rPr>
          <w:rFonts w:ascii="Verdana" w:hAnsi="Verdana" w:cs="Times New Roman"/>
          <w:sz w:val="20"/>
          <w:szCs w:val="20"/>
        </w:rPr>
        <w:t xml:space="preserve"> no </w:t>
      </w:r>
      <w:r>
        <w:rPr>
          <w:rFonts w:ascii="Verdana" w:hAnsi="Verdana" w:cs="Times New Roman"/>
          <w:sz w:val="20"/>
          <w:szCs w:val="20"/>
        </w:rPr>
        <w:t xml:space="preserve">tener ya </w:t>
      </w:r>
      <w:r w:rsidR="00994D33">
        <w:rPr>
          <w:rFonts w:ascii="Verdana" w:hAnsi="Verdana" w:cs="Times New Roman"/>
          <w:sz w:val="20"/>
          <w:szCs w:val="20"/>
        </w:rPr>
        <w:t>aspiración [de] que el expediente sea nuevamente revisado</w:t>
      </w:r>
      <w:r>
        <w:rPr>
          <w:rFonts w:ascii="Verdana" w:hAnsi="Verdana" w:cs="Times New Roman"/>
          <w:sz w:val="20"/>
          <w:szCs w:val="20"/>
        </w:rPr>
        <w:t>, y en caso de adversidad intentar agotar los recursos federales</w:t>
      </w:r>
      <w:r w:rsidR="00994D33">
        <w:rPr>
          <w:rFonts w:ascii="Verdana" w:hAnsi="Verdana" w:cs="Times New Roman"/>
          <w:sz w:val="20"/>
          <w:szCs w:val="20"/>
        </w:rPr>
        <w:t xml:space="preserve">”. </w:t>
      </w:r>
    </w:p>
    <w:p w14:paraId="19A80D0E" w14:textId="463AA7C9" w:rsidR="00C6013F" w:rsidRPr="00994D33" w:rsidRDefault="001D388D" w:rsidP="004117C8">
      <w:pPr>
        <w:pStyle w:val="Prrafodelista"/>
        <w:numPr>
          <w:ilvl w:val="0"/>
          <w:numId w:val="3"/>
        </w:numPr>
        <w:spacing w:before="120" w:after="120"/>
        <w:ind w:left="0" w:firstLine="0"/>
        <w:jc w:val="both"/>
        <w:rPr>
          <w:rFonts w:ascii="Verdana" w:hAnsi="Verdana"/>
          <w:sz w:val="24"/>
          <w:szCs w:val="20"/>
        </w:rPr>
      </w:pPr>
      <w:r>
        <w:rPr>
          <w:rFonts w:ascii="Verdana" w:hAnsi="Verdana"/>
          <w:sz w:val="20"/>
          <w:szCs w:val="20"/>
        </w:rPr>
        <w:t xml:space="preserve">La Corte destaca las acciones adoptadas por la Sala Segunda de la Suprema Corte de Justicia de Mendoza dirigidas al cumplimiento de las referidas reparaciones. </w:t>
      </w:r>
      <w:r w:rsidR="00B57E79">
        <w:rPr>
          <w:rFonts w:ascii="Verdana" w:hAnsi="Verdana"/>
          <w:sz w:val="20"/>
          <w:szCs w:val="20"/>
        </w:rPr>
        <w:t>L</w:t>
      </w:r>
      <w:r w:rsidRPr="003770C1">
        <w:rPr>
          <w:rFonts w:ascii="Verdana" w:hAnsi="Verdana"/>
          <w:sz w:val="20"/>
          <w:szCs w:val="20"/>
        </w:rPr>
        <w:t>os representantes de la víctima reconocieron tal voluntad de cumplimiento</w:t>
      </w:r>
      <w:r w:rsidR="00B57E79">
        <w:rPr>
          <w:rFonts w:ascii="Verdana" w:hAnsi="Verdana"/>
          <w:sz w:val="20"/>
          <w:szCs w:val="20"/>
        </w:rPr>
        <w:t>;</w:t>
      </w:r>
      <w:r w:rsidRPr="003770C1">
        <w:rPr>
          <w:rFonts w:ascii="Verdana" w:hAnsi="Verdana"/>
          <w:sz w:val="20"/>
          <w:szCs w:val="20"/>
        </w:rPr>
        <w:t xml:space="preserve"> </w:t>
      </w:r>
      <w:r w:rsidR="00B57E79">
        <w:rPr>
          <w:rFonts w:ascii="Verdana" w:hAnsi="Verdana"/>
          <w:sz w:val="20"/>
          <w:szCs w:val="20"/>
        </w:rPr>
        <w:t xml:space="preserve">sin embargo, </w:t>
      </w:r>
      <w:r w:rsidRPr="003770C1">
        <w:rPr>
          <w:rFonts w:ascii="Verdana" w:hAnsi="Verdana"/>
          <w:sz w:val="20"/>
          <w:szCs w:val="20"/>
        </w:rPr>
        <w:t xml:space="preserve">expusieron motivos razonables por los cuales la víctima no desea hacer uso de su derecho a recurrir del fallo penal condenatorio. Debe recordarse que, al igual que en otros casos, las medidas de reparación ordenadas en éste por la Corte buscaban garantizar al señor </w:t>
      </w:r>
      <w:proofErr w:type="spellStart"/>
      <w:r w:rsidRPr="003770C1">
        <w:rPr>
          <w:rFonts w:ascii="Verdana" w:hAnsi="Verdana"/>
          <w:sz w:val="20"/>
          <w:szCs w:val="20"/>
        </w:rPr>
        <w:t>Gorigoitía</w:t>
      </w:r>
      <w:proofErr w:type="spellEnd"/>
      <w:r w:rsidRPr="003770C1">
        <w:rPr>
          <w:rFonts w:ascii="Verdana" w:hAnsi="Verdana"/>
          <w:sz w:val="20"/>
          <w:szCs w:val="20"/>
        </w:rPr>
        <w:t xml:space="preserve"> los derechos conculcados y reparar de manera integral las consecuencias que </w:t>
      </w:r>
      <w:r w:rsidR="003770C1" w:rsidRPr="003770C1">
        <w:rPr>
          <w:rFonts w:ascii="Verdana" w:hAnsi="Verdana"/>
          <w:sz w:val="20"/>
          <w:szCs w:val="20"/>
        </w:rPr>
        <w:t xml:space="preserve">las infracciones </w:t>
      </w:r>
      <w:r w:rsidRPr="003770C1">
        <w:rPr>
          <w:rFonts w:ascii="Verdana" w:hAnsi="Verdana"/>
          <w:sz w:val="20"/>
          <w:szCs w:val="20"/>
        </w:rPr>
        <w:t>le produjeron</w:t>
      </w:r>
      <w:r w:rsidR="003770C1" w:rsidRPr="003770C1">
        <w:rPr>
          <w:rStyle w:val="Refdenotaalpie"/>
          <w:rFonts w:ascii="Verdana" w:hAnsi="Verdana"/>
          <w:sz w:val="20"/>
          <w:szCs w:val="20"/>
        </w:rPr>
        <w:footnoteReference w:id="13"/>
      </w:r>
      <w:r w:rsidRPr="003770C1">
        <w:rPr>
          <w:rFonts w:ascii="Verdana" w:hAnsi="Verdana"/>
          <w:sz w:val="20"/>
          <w:szCs w:val="20"/>
        </w:rPr>
        <w:t>, sin causarle un perjuicio con su cumplimiento. Tomando en consideración la voluntad de la víctima, la Corte concluye la supervisión de cumplimiento de los puntos resolutivos sexto y séptimo de la Sentencia del presente caso</w:t>
      </w:r>
      <w:r w:rsidRPr="003770C1">
        <w:rPr>
          <w:rStyle w:val="Refdenotaalpie"/>
          <w:rFonts w:ascii="Verdana" w:hAnsi="Verdana"/>
          <w:sz w:val="20"/>
          <w:szCs w:val="20"/>
        </w:rPr>
        <w:footnoteReference w:id="14"/>
      </w:r>
      <w:r w:rsidRPr="003770C1">
        <w:rPr>
          <w:rFonts w:ascii="Verdana" w:hAnsi="Verdana"/>
          <w:sz w:val="20"/>
          <w:szCs w:val="20"/>
        </w:rPr>
        <w:t>.</w:t>
      </w:r>
    </w:p>
    <w:p w14:paraId="7241D9B5" w14:textId="77777777" w:rsidR="00A406E2" w:rsidRPr="00E77190" w:rsidRDefault="00A406E2" w:rsidP="004117C8">
      <w:pPr>
        <w:pStyle w:val="Prrafodelista"/>
        <w:spacing w:before="120" w:after="120"/>
        <w:ind w:left="0"/>
        <w:jc w:val="both"/>
        <w:rPr>
          <w:rFonts w:ascii="Verdana" w:hAnsi="Verdana"/>
          <w:sz w:val="16"/>
          <w:szCs w:val="16"/>
        </w:rPr>
      </w:pPr>
    </w:p>
    <w:p w14:paraId="6349F81A" w14:textId="385B9B6A" w:rsidR="005744C4" w:rsidRPr="00E70641" w:rsidRDefault="006B5E90" w:rsidP="00725C04">
      <w:pPr>
        <w:pStyle w:val="Prrafodelista"/>
        <w:numPr>
          <w:ilvl w:val="0"/>
          <w:numId w:val="5"/>
        </w:numPr>
        <w:spacing w:before="120" w:after="120"/>
        <w:jc w:val="both"/>
        <w:outlineLvl w:val="0"/>
        <w:rPr>
          <w:rFonts w:ascii="Verdana" w:hAnsi="Verdana"/>
          <w:b/>
          <w:i/>
          <w:sz w:val="20"/>
        </w:rPr>
      </w:pPr>
      <w:bookmarkStart w:id="1" w:name="_Toc66808341"/>
      <w:r w:rsidRPr="00E70641">
        <w:rPr>
          <w:rFonts w:ascii="Verdana" w:hAnsi="Verdana"/>
          <w:b/>
          <w:i/>
          <w:sz w:val="20"/>
        </w:rPr>
        <w:t>Publicación y difusión de la Sentencia</w:t>
      </w:r>
      <w:bookmarkEnd w:id="1"/>
    </w:p>
    <w:p w14:paraId="27BFE752" w14:textId="0DD32336" w:rsidR="006B5E90" w:rsidRPr="006B5E90" w:rsidRDefault="00E70641" w:rsidP="004117C8">
      <w:pPr>
        <w:spacing w:before="120" w:after="120" w:line="240" w:lineRule="auto"/>
        <w:ind w:firstLine="851"/>
        <w:rPr>
          <w:rFonts w:ascii="Verdana" w:hAnsi="Verdana"/>
          <w:i/>
          <w:sz w:val="20"/>
        </w:rPr>
      </w:pPr>
      <w:r>
        <w:rPr>
          <w:rFonts w:ascii="Verdana" w:hAnsi="Verdana"/>
          <w:i/>
          <w:sz w:val="20"/>
        </w:rPr>
        <w:t>B</w:t>
      </w:r>
      <w:r w:rsidR="006B5E90" w:rsidRPr="00E96ED7">
        <w:rPr>
          <w:rFonts w:ascii="Verdana" w:hAnsi="Verdana"/>
          <w:i/>
          <w:sz w:val="20"/>
        </w:rPr>
        <w:t>.1.</w:t>
      </w:r>
      <w:r w:rsidR="006B5E90" w:rsidRPr="0095697A">
        <w:rPr>
          <w:rFonts w:ascii="Verdana" w:hAnsi="Verdana"/>
          <w:i/>
          <w:sz w:val="20"/>
        </w:rPr>
        <w:t xml:space="preserve"> Medida</w:t>
      </w:r>
      <w:r>
        <w:rPr>
          <w:rFonts w:ascii="Verdana" w:hAnsi="Verdana"/>
          <w:i/>
          <w:sz w:val="20"/>
        </w:rPr>
        <w:t>s</w:t>
      </w:r>
      <w:r w:rsidR="006B5E90" w:rsidRPr="0095697A">
        <w:rPr>
          <w:rFonts w:ascii="Verdana" w:hAnsi="Verdana"/>
          <w:i/>
          <w:sz w:val="20"/>
        </w:rPr>
        <w:t xml:space="preserve"> ordenada</w:t>
      </w:r>
      <w:r>
        <w:rPr>
          <w:rFonts w:ascii="Verdana" w:hAnsi="Verdana"/>
          <w:i/>
          <w:sz w:val="20"/>
        </w:rPr>
        <w:t>s</w:t>
      </w:r>
      <w:r w:rsidR="006B5E90" w:rsidRPr="0095697A">
        <w:rPr>
          <w:rFonts w:ascii="Verdana" w:hAnsi="Verdana"/>
          <w:i/>
          <w:sz w:val="20"/>
        </w:rPr>
        <w:t xml:space="preserve"> por la Corte</w:t>
      </w:r>
    </w:p>
    <w:p w14:paraId="081A0185" w14:textId="4D4FCCDF" w:rsidR="006B5E90" w:rsidRDefault="006B5E90" w:rsidP="004117C8">
      <w:pPr>
        <w:pStyle w:val="Prrafodelista"/>
        <w:numPr>
          <w:ilvl w:val="0"/>
          <w:numId w:val="3"/>
        </w:numPr>
        <w:spacing w:before="120" w:after="120"/>
        <w:ind w:left="0" w:firstLine="0"/>
        <w:jc w:val="both"/>
        <w:rPr>
          <w:rFonts w:ascii="Verdana" w:eastAsia="Verdana" w:hAnsi="Verdana" w:cs="Verdana"/>
          <w:bCs/>
          <w:kern w:val="1"/>
          <w:sz w:val="20"/>
          <w:szCs w:val="20"/>
          <w:lang w:val="es-ES" w:bidi="x-none"/>
        </w:rPr>
      </w:pPr>
      <w:r w:rsidRPr="00E96ED7">
        <w:rPr>
          <w:rFonts w:ascii="Verdana" w:eastAsia="Verdana" w:hAnsi="Verdana" w:cs="Verdana"/>
          <w:bCs/>
          <w:kern w:val="1"/>
          <w:sz w:val="20"/>
          <w:szCs w:val="20"/>
          <w:lang w:val="es-ES" w:bidi="x-none"/>
        </w:rPr>
        <w:t xml:space="preserve">En el punto resolutivo </w:t>
      </w:r>
      <w:r w:rsidR="005744C4">
        <w:rPr>
          <w:rFonts w:ascii="Verdana" w:eastAsia="Verdana" w:hAnsi="Verdana" w:cs="Verdana"/>
          <w:bCs/>
          <w:kern w:val="1"/>
          <w:sz w:val="20"/>
          <w:szCs w:val="20"/>
          <w:lang w:val="es-ES" w:bidi="x-none"/>
        </w:rPr>
        <w:t>octavo</w:t>
      </w:r>
      <w:r w:rsidRPr="00E96ED7">
        <w:rPr>
          <w:rFonts w:ascii="Verdana" w:eastAsia="Verdana" w:hAnsi="Verdana" w:cs="Verdana"/>
          <w:bCs/>
          <w:kern w:val="1"/>
          <w:sz w:val="20"/>
          <w:szCs w:val="20"/>
          <w:lang w:val="es-ES" w:bidi="x-none"/>
        </w:rPr>
        <w:t xml:space="preserve"> y </w:t>
      </w:r>
      <w:r w:rsidR="005744C4">
        <w:rPr>
          <w:rFonts w:ascii="Verdana" w:eastAsia="Verdana" w:hAnsi="Verdana" w:cs="Verdana"/>
          <w:bCs/>
          <w:kern w:val="1"/>
          <w:sz w:val="20"/>
          <w:szCs w:val="20"/>
          <w:lang w:val="es-ES" w:bidi="x-none"/>
        </w:rPr>
        <w:t xml:space="preserve">en </w:t>
      </w:r>
      <w:r w:rsidRPr="00E96ED7">
        <w:rPr>
          <w:rFonts w:ascii="Verdana" w:eastAsia="Verdana" w:hAnsi="Verdana" w:cs="Verdana"/>
          <w:bCs/>
          <w:kern w:val="1"/>
          <w:sz w:val="20"/>
          <w:szCs w:val="20"/>
          <w:lang w:val="es-ES" w:bidi="x-none"/>
        </w:rPr>
        <w:t xml:space="preserve">el párrafo </w:t>
      </w:r>
      <w:r w:rsidR="005744C4">
        <w:rPr>
          <w:rFonts w:ascii="Verdana" w:eastAsia="Verdana" w:hAnsi="Verdana" w:cs="Verdana"/>
          <w:bCs/>
          <w:kern w:val="1"/>
          <w:sz w:val="20"/>
          <w:szCs w:val="20"/>
          <w:lang w:val="es-ES" w:bidi="x-none"/>
        </w:rPr>
        <w:t>68</w:t>
      </w:r>
      <w:r w:rsidRPr="00E96ED7">
        <w:rPr>
          <w:rFonts w:ascii="Verdana" w:eastAsia="Verdana" w:hAnsi="Verdana" w:cs="Verdana"/>
          <w:bCs/>
          <w:kern w:val="1"/>
          <w:sz w:val="20"/>
          <w:szCs w:val="20"/>
          <w:lang w:val="es-ES" w:bidi="x-none"/>
        </w:rPr>
        <w:t xml:space="preserve"> de la Sentencia, se ordenó al Estado “</w:t>
      </w:r>
      <w:r w:rsidR="00071042">
        <w:rPr>
          <w:rFonts w:ascii="Verdana" w:eastAsia="Verdana" w:hAnsi="Verdana" w:cs="Verdana"/>
          <w:bCs/>
          <w:kern w:val="1"/>
          <w:sz w:val="20"/>
          <w:szCs w:val="20"/>
          <w:lang w:val="es-ES" w:bidi="x-none"/>
        </w:rPr>
        <w:t xml:space="preserve">que, </w:t>
      </w:r>
      <w:r w:rsidRPr="00E96ED7">
        <w:rPr>
          <w:rFonts w:ascii="Verdana" w:eastAsia="Verdana" w:hAnsi="Verdana" w:cs="Verdana"/>
          <w:bCs/>
          <w:kern w:val="1"/>
          <w:sz w:val="20"/>
          <w:szCs w:val="20"/>
          <w:lang w:val="es-ES" w:bidi="x-none"/>
        </w:rPr>
        <w:t>en el plazo de seis meses, contado a partir de la notificación de la Sentencia,</w:t>
      </w:r>
      <w:r w:rsidR="00071042">
        <w:rPr>
          <w:rFonts w:ascii="Verdana" w:eastAsia="Verdana" w:hAnsi="Verdana" w:cs="Verdana"/>
          <w:bCs/>
          <w:kern w:val="1"/>
          <w:sz w:val="20"/>
          <w:szCs w:val="20"/>
          <w:lang w:val="es-ES" w:bidi="x-none"/>
        </w:rPr>
        <w:t xml:space="preserve"> realice las siguientes</w:t>
      </w:r>
      <w:r w:rsidRPr="00E96ED7">
        <w:rPr>
          <w:rFonts w:ascii="Verdana" w:eastAsia="Verdana" w:hAnsi="Verdana" w:cs="Verdana"/>
          <w:bCs/>
          <w:kern w:val="1"/>
          <w:sz w:val="20"/>
          <w:szCs w:val="20"/>
          <w:lang w:val="es-ES" w:bidi="x-none"/>
        </w:rPr>
        <w:t xml:space="preserve"> </w:t>
      </w:r>
      <w:r w:rsidR="00071042" w:rsidRPr="00E96ED7">
        <w:rPr>
          <w:rFonts w:ascii="Verdana" w:eastAsia="Verdana" w:hAnsi="Verdana" w:cs="Verdana"/>
          <w:bCs/>
          <w:kern w:val="1"/>
          <w:sz w:val="20"/>
          <w:szCs w:val="20"/>
          <w:lang w:val="es-ES" w:bidi="x-none"/>
        </w:rPr>
        <w:t>publica</w:t>
      </w:r>
      <w:r w:rsidR="00071042">
        <w:rPr>
          <w:rFonts w:ascii="Verdana" w:eastAsia="Verdana" w:hAnsi="Verdana" w:cs="Verdana"/>
          <w:bCs/>
          <w:kern w:val="1"/>
          <w:sz w:val="20"/>
          <w:szCs w:val="20"/>
          <w:lang w:val="es-ES" w:bidi="x-none"/>
        </w:rPr>
        <w:t>ciones:</w:t>
      </w:r>
      <w:r w:rsidRPr="00E96ED7">
        <w:rPr>
          <w:rFonts w:ascii="Verdana" w:eastAsia="Verdana" w:hAnsi="Verdana" w:cs="Verdana"/>
          <w:bCs/>
          <w:kern w:val="1"/>
          <w:sz w:val="20"/>
          <w:szCs w:val="20"/>
          <w:lang w:val="es-ES" w:bidi="x-none"/>
        </w:rPr>
        <w:t xml:space="preserve"> </w:t>
      </w:r>
      <w:r w:rsidR="00071042">
        <w:rPr>
          <w:rFonts w:ascii="Verdana" w:eastAsia="Verdana" w:hAnsi="Verdana" w:cs="Verdana"/>
          <w:bCs/>
          <w:kern w:val="1"/>
          <w:sz w:val="20"/>
          <w:szCs w:val="20"/>
          <w:lang w:val="es-ES" w:bidi="x-none"/>
        </w:rPr>
        <w:t xml:space="preserve">a) </w:t>
      </w:r>
      <w:r w:rsidRPr="00E96ED7">
        <w:rPr>
          <w:rFonts w:ascii="Verdana" w:eastAsia="Verdana" w:hAnsi="Verdana" w:cs="Verdana"/>
          <w:bCs/>
          <w:kern w:val="1"/>
          <w:sz w:val="20"/>
          <w:szCs w:val="20"/>
          <w:lang w:val="es-ES" w:bidi="x-none"/>
        </w:rPr>
        <w:t xml:space="preserve">el resumen oficial de la </w:t>
      </w:r>
      <w:r w:rsidR="00071042">
        <w:rPr>
          <w:rFonts w:ascii="Verdana" w:eastAsia="Verdana" w:hAnsi="Verdana" w:cs="Verdana"/>
          <w:bCs/>
          <w:kern w:val="1"/>
          <w:sz w:val="20"/>
          <w:szCs w:val="20"/>
          <w:lang w:val="es-ES" w:bidi="x-none"/>
        </w:rPr>
        <w:t>Sentencia</w:t>
      </w:r>
      <w:r w:rsidR="00071042" w:rsidRPr="00E96ED7">
        <w:rPr>
          <w:rFonts w:ascii="Verdana" w:eastAsia="Verdana" w:hAnsi="Verdana" w:cs="Verdana"/>
          <w:bCs/>
          <w:kern w:val="1"/>
          <w:sz w:val="20"/>
          <w:szCs w:val="20"/>
          <w:lang w:val="es-ES" w:bidi="x-none"/>
        </w:rPr>
        <w:t xml:space="preserve"> </w:t>
      </w:r>
      <w:r w:rsidRPr="00E96ED7">
        <w:rPr>
          <w:rFonts w:ascii="Verdana" w:eastAsia="Verdana" w:hAnsi="Verdana" w:cs="Verdana"/>
          <w:bCs/>
          <w:kern w:val="1"/>
          <w:sz w:val="20"/>
          <w:szCs w:val="20"/>
          <w:lang w:val="es-ES" w:bidi="x-none"/>
        </w:rPr>
        <w:t>elaborado por la Corte, por una sola vez, en el Diario Oficial</w:t>
      </w:r>
      <w:r w:rsidR="00071042">
        <w:rPr>
          <w:rFonts w:ascii="Verdana" w:eastAsia="Verdana" w:hAnsi="Verdana" w:cs="Verdana"/>
          <w:bCs/>
          <w:kern w:val="1"/>
          <w:sz w:val="20"/>
          <w:szCs w:val="20"/>
          <w:lang w:val="es-ES" w:bidi="x-none"/>
        </w:rPr>
        <w:t>,</w:t>
      </w:r>
      <w:r w:rsidR="001963D4">
        <w:rPr>
          <w:rFonts w:ascii="Verdana" w:eastAsia="Verdana" w:hAnsi="Verdana" w:cs="Verdana"/>
          <w:bCs/>
          <w:kern w:val="1"/>
          <w:sz w:val="20"/>
          <w:szCs w:val="20"/>
          <w:lang w:val="es-ES" w:bidi="x-none"/>
        </w:rPr>
        <w:t xml:space="preserve"> </w:t>
      </w:r>
      <w:r w:rsidRPr="00E96ED7">
        <w:rPr>
          <w:rFonts w:ascii="Verdana" w:eastAsia="Verdana" w:hAnsi="Verdana" w:cs="Verdana"/>
          <w:bCs/>
          <w:kern w:val="1"/>
          <w:sz w:val="20"/>
          <w:szCs w:val="20"/>
          <w:lang w:val="es-ES" w:bidi="x-none"/>
        </w:rPr>
        <w:t>en un diario de amplia circulación nacional</w:t>
      </w:r>
      <w:r w:rsidR="00BE0884">
        <w:rPr>
          <w:rFonts w:ascii="Verdana" w:eastAsia="Verdana" w:hAnsi="Verdana" w:cs="Verdana"/>
          <w:bCs/>
          <w:kern w:val="1"/>
          <w:sz w:val="20"/>
          <w:szCs w:val="20"/>
          <w:lang w:val="es-ES" w:bidi="x-none"/>
        </w:rPr>
        <w:t xml:space="preserve"> y en un diario de </w:t>
      </w:r>
      <w:r>
        <w:rPr>
          <w:rFonts w:ascii="Verdana" w:eastAsia="Verdana" w:hAnsi="Verdana" w:cs="Verdana"/>
          <w:bCs/>
          <w:kern w:val="1"/>
          <w:sz w:val="20"/>
          <w:szCs w:val="20"/>
          <w:lang w:val="es-ES" w:bidi="x-none"/>
        </w:rPr>
        <w:t>ampli</w:t>
      </w:r>
      <w:r w:rsidR="00BE0884">
        <w:rPr>
          <w:rFonts w:ascii="Verdana" w:eastAsia="Verdana" w:hAnsi="Verdana" w:cs="Verdana"/>
          <w:bCs/>
          <w:kern w:val="1"/>
          <w:sz w:val="20"/>
          <w:szCs w:val="20"/>
          <w:lang w:val="es-ES" w:bidi="x-none"/>
        </w:rPr>
        <w:t>a</w:t>
      </w:r>
      <w:r>
        <w:rPr>
          <w:rFonts w:ascii="Verdana" w:eastAsia="Verdana" w:hAnsi="Verdana" w:cs="Verdana"/>
          <w:bCs/>
          <w:kern w:val="1"/>
          <w:sz w:val="20"/>
          <w:szCs w:val="20"/>
          <w:lang w:val="es-ES" w:bidi="x-none"/>
        </w:rPr>
        <w:t xml:space="preserve"> </w:t>
      </w:r>
      <w:r w:rsidR="00BE0884">
        <w:rPr>
          <w:rFonts w:ascii="Verdana" w:eastAsia="Verdana" w:hAnsi="Verdana" w:cs="Verdana"/>
          <w:bCs/>
          <w:kern w:val="1"/>
          <w:sz w:val="20"/>
          <w:szCs w:val="20"/>
          <w:lang w:val="es-ES" w:bidi="x-none"/>
        </w:rPr>
        <w:t xml:space="preserve">circulación </w:t>
      </w:r>
      <w:r>
        <w:rPr>
          <w:rFonts w:ascii="Verdana" w:eastAsia="Verdana" w:hAnsi="Verdana" w:cs="Verdana"/>
          <w:bCs/>
          <w:kern w:val="1"/>
          <w:sz w:val="20"/>
          <w:szCs w:val="20"/>
          <w:lang w:val="es-ES" w:bidi="x-none"/>
        </w:rPr>
        <w:t>en la Provincia de Mendoza</w:t>
      </w:r>
      <w:r w:rsidR="00BE0884">
        <w:rPr>
          <w:rFonts w:ascii="Verdana" w:eastAsia="Verdana" w:hAnsi="Verdana" w:cs="Verdana"/>
          <w:bCs/>
          <w:kern w:val="1"/>
          <w:sz w:val="20"/>
          <w:szCs w:val="20"/>
          <w:lang w:val="es-ES" w:bidi="x-none"/>
        </w:rPr>
        <w:t xml:space="preserve">, en un tamaño de letra legible y adecuado, y b) </w:t>
      </w:r>
      <w:r>
        <w:rPr>
          <w:rFonts w:ascii="Verdana" w:eastAsia="Verdana" w:hAnsi="Verdana" w:cs="Verdana"/>
          <w:bCs/>
          <w:kern w:val="1"/>
          <w:sz w:val="20"/>
          <w:szCs w:val="20"/>
          <w:lang w:val="es-ES" w:bidi="x-none"/>
        </w:rPr>
        <w:t xml:space="preserve">la </w:t>
      </w:r>
      <w:r w:rsidR="00BE0884">
        <w:rPr>
          <w:rFonts w:ascii="Verdana" w:eastAsia="Verdana" w:hAnsi="Verdana" w:cs="Verdana"/>
          <w:bCs/>
          <w:kern w:val="1"/>
          <w:sz w:val="20"/>
          <w:szCs w:val="20"/>
          <w:lang w:val="es-ES" w:bidi="x-none"/>
        </w:rPr>
        <w:t xml:space="preserve">[…] </w:t>
      </w:r>
      <w:r>
        <w:rPr>
          <w:rFonts w:ascii="Verdana" w:eastAsia="Verdana" w:hAnsi="Verdana" w:cs="Verdana"/>
          <w:bCs/>
          <w:kern w:val="1"/>
          <w:sz w:val="20"/>
          <w:szCs w:val="20"/>
          <w:lang w:val="es-ES" w:bidi="x-none"/>
        </w:rPr>
        <w:t xml:space="preserve">Sentencia </w:t>
      </w:r>
      <w:r w:rsidR="005744C4">
        <w:rPr>
          <w:rFonts w:ascii="Verdana" w:eastAsia="Verdana" w:hAnsi="Verdana" w:cs="Verdana"/>
          <w:bCs/>
          <w:kern w:val="1"/>
          <w:sz w:val="20"/>
          <w:szCs w:val="20"/>
          <w:lang w:val="es-ES" w:bidi="x-none"/>
        </w:rPr>
        <w:t>en su integrid</w:t>
      </w:r>
      <w:r w:rsidR="005744C4" w:rsidRPr="005744C4">
        <w:rPr>
          <w:rFonts w:ascii="Verdana" w:eastAsia="Verdana" w:hAnsi="Verdana" w:cs="Verdana"/>
          <w:bCs/>
          <w:kern w:val="1"/>
          <w:sz w:val="20"/>
          <w:szCs w:val="20"/>
          <w:lang w:val="es-ES" w:bidi="x-none"/>
        </w:rPr>
        <w:t>ad</w:t>
      </w:r>
      <w:r w:rsidR="005744C4" w:rsidRPr="005744C4">
        <w:rPr>
          <w:rFonts w:ascii="Verdana" w:hAnsi="Verdana"/>
          <w:sz w:val="20"/>
          <w:szCs w:val="20"/>
        </w:rPr>
        <w:t xml:space="preserve">, disponible al menos por un período de un año, en los sitios </w:t>
      </w:r>
      <w:r w:rsidR="005744C4" w:rsidRPr="003210BA">
        <w:rPr>
          <w:rFonts w:ascii="Verdana" w:hAnsi="Verdana"/>
          <w:i/>
          <w:sz w:val="20"/>
          <w:szCs w:val="20"/>
        </w:rPr>
        <w:t>web</w:t>
      </w:r>
      <w:r w:rsidR="005744C4" w:rsidRPr="005744C4">
        <w:rPr>
          <w:rFonts w:ascii="Verdana" w:hAnsi="Verdana"/>
          <w:sz w:val="20"/>
          <w:szCs w:val="20"/>
        </w:rPr>
        <w:t xml:space="preserve"> oficiales del Poder Judicial de la Provincia de Mendoza, de manera accesible al público</w:t>
      </w:r>
      <w:r w:rsidR="001963D4">
        <w:rPr>
          <w:rFonts w:ascii="Verdana" w:eastAsia="Verdana" w:hAnsi="Verdana" w:cs="Verdana"/>
          <w:bCs/>
          <w:kern w:val="1"/>
          <w:sz w:val="20"/>
          <w:szCs w:val="20"/>
          <w:lang w:bidi="x-none"/>
        </w:rPr>
        <w:t>”</w:t>
      </w:r>
      <w:r w:rsidRPr="005744C4">
        <w:rPr>
          <w:rFonts w:ascii="Verdana" w:eastAsia="Verdana" w:hAnsi="Verdana" w:cs="Verdana"/>
          <w:bCs/>
          <w:kern w:val="1"/>
          <w:sz w:val="20"/>
          <w:szCs w:val="20"/>
          <w:lang w:val="es-ES" w:bidi="x-none"/>
        </w:rPr>
        <w:t>.</w:t>
      </w:r>
    </w:p>
    <w:p w14:paraId="68B8FECA" w14:textId="7986EF68" w:rsidR="006B5E90" w:rsidRPr="006B5E90" w:rsidRDefault="00E70641" w:rsidP="004117C8">
      <w:pPr>
        <w:pStyle w:val="Prrafodelista"/>
        <w:spacing w:before="120" w:after="120"/>
        <w:jc w:val="both"/>
        <w:rPr>
          <w:rFonts w:ascii="Verdana" w:eastAsia="Verdana" w:hAnsi="Verdana" w:cs="Verdana"/>
          <w:bCs/>
          <w:kern w:val="1"/>
          <w:sz w:val="20"/>
          <w:szCs w:val="20"/>
          <w:lang w:val="es-ES" w:bidi="x-none"/>
        </w:rPr>
      </w:pPr>
      <w:r>
        <w:rPr>
          <w:rFonts w:ascii="Verdana" w:hAnsi="Verdana"/>
          <w:i/>
          <w:sz w:val="20"/>
          <w:szCs w:val="20"/>
        </w:rPr>
        <w:t>B</w:t>
      </w:r>
      <w:r w:rsidR="006B5E90" w:rsidRPr="006B5E90">
        <w:rPr>
          <w:rFonts w:ascii="Verdana" w:hAnsi="Verdana"/>
          <w:i/>
          <w:sz w:val="20"/>
          <w:szCs w:val="20"/>
        </w:rPr>
        <w:t>.2. Consideraciones de la Corte</w:t>
      </w:r>
    </w:p>
    <w:p w14:paraId="1C13836C" w14:textId="40E97CBA" w:rsidR="0016448A" w:rsidRPr="004719F5" w:rsidRDefault="00FE58A0" w:rsidP="004117C8">
      <w:pPr>
        <w:pStyle w:val="Prrafodelista"/>
        <w:numPr>
          <w:ilvl w:val="0"/>
          <w:numId w:val="3"/>
        </w:numPr>
        <w:spacing w:before="120" w:after="120"/>
        <w:ind w:left="0" w:firstLine="0"/>
        <w:jc w:val="both"/>
        <w:rPr>
          <w:rFonts w:ascii="Verdana" w:eastAsia="Verdana" w:hAnsi="Verdana" w:cs="Verdana"/>
          <w:bCs/>
          <w:kern w:val="1"/>
          <w:sz w:val="20"/>
          <w:szCs w:val="20"/>
          <w:lang w:val="es-ES" w:bidi="x-none"/>
        </w:rPr>
      </w:pPr>
      <w:r>
        <w:rPr>
          <w:rFonts w:ascii="Verdana" w:eastAsia="Verdana" w:hAnsi="Verdana" w:cs="Verdana"/>
          <w:bCs/>
          <w:kern w:val="1"/>
          <w:sz w:val="20"/>
          <w:szCs w:val="20"/>
          <w:lang w:val="es-ES" w:bidi="x-none"/>
        </w:rPr>
        <w:t>C</w:t>
      </w:r>
      <w:r w:rsidR="00E71DD7">
        <w:rPr>
          <w:rFonts w:ascii="Verdana" w:eastAsia="Verdana" w:hAnsi="Verdana" w:cs="Verdana"/>
          <w:bCs/>
          <w:kern w:val="1"/>
          <w:sz w:val="20"/>
          <w:szCs w:val="20"/>
          <w:lang w:val="es-ES" w:bidi="x-none"/>
        </w:rPr>
        <w:t xml:space="preserve">on base en </w:t>
      </w:r>
      <w:r w:rsidR="003B7F35">
        <w:rPr>
          <w:rFonts w:ascii="Verdana" w:eastAsia="Verdana" w:hAnsi="Verdana" w:cs="Verdana"/>
          <w:bCs/>
          <w:kern w:val="1"/>
          <w:sz w:val="20"/>
          <w:szCs w:val="20"/>
          <w:lang w:val="es-ES" w:bidi="x-none"/>
        </w:rPr>
        <w:t xml:space="preserve">la información y </w:t>
      </w:r>
      <w:r w:rsidR="00E71DD7">
        <w:rPr>
          <w:rFonts w:ascii="Verdana" w:eastAsia="Verdana" w:hAnsi="Verdana" w:cs="Verdana"/>
          <w:bCs/>
          <w:kern w:val="1"/>
          <w:sz w:val="20"/>
          <w:szCs w:val="20"/>
          <w:lang w:val="es-ES" w:bidi="x-none"/>
        </w:rPr>
        <w:t xml:space="preserve">los comprobantes aportados por </w:t>
      </w:r>
      <w:r>
        <w:rPr>
          <w:rFonts w:ascii="Verdana" w:eastAsia="Verdana" w:hAnsi="Verdana" w:cs="Verdana"/>
          <w:bCs/>
          <w:kern w:val="1"/>
          <w:sz w:val="20"/>
          <w:szCs w:val="20"/>
          <w:lang w:val="es-ES" w:bidi="x-none"/>
        </w:rPr>
        <w:t>Argentina</w:t>
      </w:r>
      <w:r w:rsidR="00E71DD7">
        <w:rPr>
          <w:rFonts w:ascii="Verdana" w:eastAsia="Verdana" w:hAnsi="Verdana" w:cs="Verdana"/>
          <w:bCs/>
          <w:kern w:val="1"/>
          <w:sz w:val="20"/>
          <w:szCs w:val="20"/>
          <w:lang w:val="es-ES" w:bidi="x-none"/>
        </w:rPr>
        <w:t xml:space="preserve"> y las observaciones </w:t>
      </w:r>
      <w:r w:rsidR="00A84825">
        <w:rPr>
          <w:rFonts w:ascii="Verdana" w:eastAsia="Verdana" w:hAnsi="Verdana" w:cs="Verdana"/>
          <w:bCs/>
          <w:kern w:val="1"/>
          <w:sz w:val="20"/>
          <w:szCs w:val="20"/>
          <w:lang w:val="es-ES" w:bidi="x-none"/>
        </w:rPr>
        <w:t>de los representantes</w:t>
      </w:r>
      <w:r>
        <w:rPr>
          <w:rFonts w:ascii="Verdana" w:eastAsia="Verdana" w:hAnsi="Verdana" w:cs="Verdana"/>
          <w:bCs/>
          <w:kern w:val="1"/>
          <w:sz w:val="20"/>
          <w:szCs w:val="20"/>
          <w:lang w:val="es-ES" w:bidi="x-none"/>
        </w:rPr>
        <w:t xml:space="preserve"> en cuanto al cumplimiento de esta medida</w:t>
      </w:r>
      <w:r>
        <w:rPr>
          <w:rStyle w:val="Refdenotaalpie"/>
          <w:rFonts w:ascii="Verdana" w:eastAsia="Verdana" w:hAnsi="Verdana" w:cs="Verdana"/>
          <w:bCs/>
          <w:kern w:val="1"/>
          <w:sz w:val="20"/>
          <w:szCs w:val="20"/>
          <w:lang w:val="es-ES" w:bidi="x-none"/>
        </w:rPr>
        <w:footnoteReference w:id="15"/>
      </w:r>
      <w:r w:rsidR="00A84825">
        <w:rPr>
          <w:rFonts w:ascii="Verdana" w:eastAsia="Verdana" w:hAnsi="Verdana" w:cs="Verdana"/>
          <w:bCs/>
          <w:kern w:val="1"/>
          <w:sz w:val="20"/>
          <w:szCs w:val="20"/>
          <w:lang w:val="es-ES" w:bidi="x-none"/>
        </w:rPr>
        <w:t xml:space="preserve">, </w:t>
      </w:r>
      <w:r>
        <w:rPr>
          <w:rFonts w:ascii="Verdana" w:eastAsia="Verdana" w:hAnsi="Verdana" w:cs="Verdana"/>
          <w:bCs/>
          <w:kern w:val="1"/>
          <w:sz w:val="20"/>
          <w:szCs w:val="20"/>
          <w:lang w:val="es-ES" w:bidi="x-none"/>
        </w:rPr>
        <w:t xml:space="preserve">la Corte constata que se realizaron las referidas publicaciones, ya </w:t>
      </w:r>
      <w:r w:rsidR="00A84825">
        <w:rPr>
          <w:rFonts w:ascii="Verdana" w:eastAsia="Verdana" w:hAnsi="Verdana" w:cs="Verdana"/>
          <w:bCs/>
          <w:kern w:val="1"/>
          <w:sz w:val="20"/>
          <w:szCs w:val="20"/>
          <w:lang w:val="es-ES" w:bidi="x-none"/>
        </w:rPr>
        <w:t xml:space="preserve">que Argentina </w:t>
      </w:r>
      <w:r w:rsidR="004656A2">
        <w:rPr>
          <w:rFonts w:ascii="Verdana" w:eastAsia="Verdana" w:hAnsi="Verdana" w:cs="Verdana"/>
          <w:bCs/>
          <w:kern w:val="1"/>
          <w:sz w:val="20"/>
          <w:szCs w:val="20"/>
          <w:lang w:val="es-ES" w:bidi="x-none"/>
        </w:rPr>
        <w:t>publicó</w:t>
      </w:r>
      <w:r w:rsidR="00A84825" w:rsidRPr="00A84825">
        <w:rPr>
          <w:rFonts w:ascii="Verdana" w:hAnsi="Verdana"/>
          <w:sz w:val="20"/>
          <w:szCs w:val="20"/>
        </w:rPr>
        <w:t xml:space="preserve"> el resumen oficial de la Sentencia</w:t>
      </w:r>
      <w:r w:rsidR="004656A2">
        <w:rPr>
          <w:rFonts w:ascii="Verdana" w:hAnsi="Verdana"/>
          <w:sz w:val="20"/>
          <w:szCs w:val="20"/>
        </w:rPr>
        <w:t xml:space="preserve"> elaborado por la Corte</w:t>
      </w:r>
      <w:r w:rsidR="00A84825" w:rsidRPr="00A84825">
        <w:rPr>
          <w:rFonts w:ascii="Verdana" w:hAnsi="Verdana"/>
          <w:sz w:val="20"/>
          <w:szCs w:val="20"/>
        </w:rPr>
        <w:t xml:space="preserve"> en el </w:t>
      </w:r>
      <w:r w:rsidR="004656A2">
        <w:rPr>
          <w:rFonts w:ascii="Verdana" w:hAnsi="Verdana"/>
          <w:sz w:val="20"/>
          <w:szCs w:val="20"/>
        </w:rPr>
        <w:t>Boletín</w:t>
      </w:r>
      <w:r w:rsidR="004656A2" w:rsidRPr="00A84825">
        <w:rPr>
          <w:rFonts w:ascii="Verdana" w:hAnsi="Verdana"/>
          <w:sz w:val="20"/>
          <w:szCs w:val="20"/>
        </w:rPr>
        <w:t xml:space="preserve"> </w:t>
      </w:r>
      <w:r w:rsidR="00A84825">
        <w:rPr>
          <w:rFonts w:ascii="Verdana" w:hAnsi="Verdana"/>
          <w:sz w:val="20"/>
          <w:szCs w:val="20"/>
        </w:rPr>
        <w:t>Oficial</w:t>
      </w:r>
      <w:r w:rsidR="004656A2">
        <w:rPr>
          <w:rFonts w:ascii="Verdana" w:hAnsi="Verdana"/>
          <w:sz w:val="20"/>
          <w:szCs w:val="20"/>
        </w:rPr>
        <w:t xml:space="preserve"> de la Nación</w:t>
      </w:r>
      <w:r w:rsidR="00DD7A44">
        <w:rPr>
          <w:rStyle w:val="Refdenotaalpie"/>
          <w:rFonts w:ascii="Verdana" w:hAnsi="Verdana"/>
          <w:sz w:val="20"/>
          <w:szCs w:val="20"/>
        </w:rPr>
        <w:footnoteReference w:id="16"/>
      </w:r>
      <w:r w:rsidR="00A84825" w:rsidRPr="00A84825">
        <w:rPr>
          <w:rFonts w:ascii="Verdana" w:hAnsi="Verdana"/>
          <w:sz w:val="20"/>
          <w:szCs w:val="20"/>
        </w:rPr>
        <w:t xml:space="preserve">, en un </w:t>
      </w:r>
      <w:r w:rsidR="003B7F35">
        <w:rPr>
          <w:rFonts w:ascii="Verdana" w:hAnsi="Verdana"/>
          <w:sz w:val="20"/>
          <w:szCs w:val="20"/>
        </w:rPr>
        <w:t>“</w:t>
      </w:r>
      <w:r w:rsidR="00A84825" w:rsidRPr="00A84825">
        <w:rPr>
          <w:rFonts w:ascii="Verdana" w:hAnsi="Verdana"/>
          <w:sz w:val="20"/>
          <w:szCs w:val="20"/>
        </w:rPr>
        <w:t xml:space="preserve">diario </w:t>
      </w:r>
      <w:r w:rsidR="00A84825">
        <w:rPr>
          <w:rFonts w:ascii="Verdana" w:hAnsi="Verdana"/>
          <w:sz w:val="20"/>
          <w:szCs w:val="20"/>
        </w:rPr>
        <w:t>de circulación nacional</w:t>
      </w:r>
      <w:r w:rsidR="003B7F35">
        <w:rPr>
          <w:rFonts w:ascii="Verdana" w:hAnsi="Verdana"/>
          <w:sz w:val="20"/>
          <w:szCs w:val="20"/>
        </w:rPr>
        <w:t>” (BAE Negocios)</w:t>
      </w:r>
      <w:r w:rsidR="003B7F35">
        <w:rPr>
          <w:rStyle w:val="Refdenotaalpie"/>
          <w:rFonts w:ascii="Verdana" w:hAnsi="Verdana"/>
          <w:sz w:val="20"/>
          <w:szCs w:val="20"/>
        </w:rPr>
        <w:footnoteReference w:id="17"/>
      </w:r>
      <w:r w:rsidR="00A84825" w:rsidRPr="00A84825">
        <w:rPr>
          <w:rFonts w:ascii="Verdana" w:hAnsi="Verdana"/>
          <w:sz w:val="20"/>
          <w:szCs w:val="20"/>
        </w:rPr>
        <w:t xml:space="preserve"> y en un </w:t>
      </w:r>
      <w:r w:rsidR="003B7F35">
        <w:rPr>
          <w:rFonts w:ascii="Verdana" w:hAnsi="Verdana"/>
          <w:sz w:val="20"/>
          <w:szCs w:val="20"/>
        </w:rPr>
        <w:t>“</w:t>
      </w:r>
      <w:r w:rsidR="00A84825" w:rsidRPr="00A84825">
        <w:rPr>
          <w:rFonts w:ascii="Verdana" w:hAnsi="Verdana"/>
          <w:sz w:val="20"/>
          <w:szCs w:val="20"/>
        </w:rPr>
        <w:t xml:space="preserve">diario de amplia </w:t>
      </w:r>
      <w:r w:rsidR="00A84825" w:rsidRPr="00A84825">
        <w:rPr>
          <w:rFonts w:ascii="Verdana" w:hAnsi="Verdana"/>
          <w:sz w:val="20"/>
          <w:szCs w:val="20"/>
        </w:rPr>
        <w:lastRenderedPageBreak/>
        <w:t xml:space="preserve">circulación </w:t>
      </w:r>
      <w:r w:rsidR="003B7F35">
        <w:rPr>
          <w:rFonts w:ascii="Verdana" w:hAnsi="Verdana"/>
          <w:sz w:val="20"/>
          <w:szCs w:val="20"/>
        </w:rPr>
        <w:t>de</w:t>
      </w:r>
      <w:r w:rsidR="003B7F35" w:rsidRPr="00A84825">
        <w:rPr>
          <w:rFonts w:ascii="Verdana" w:hAnsi="Verdana"/>
          <w:sz w:val="20"/>
          <w:szCs w:val="20"/>
        </w:rPr>
        <w:t xml:space="preserve"> </w:t>
      </w:r>
      <w:r w:rsidR="00A84825">
        <w:rPr>
          <w:rFonts w:ascii="Verdana" w:hAnsi="Verdana"/>
          <w:sz w:val="20"/>
          <w:szCs w:val="20"/>
        </w:rPr>
        <w:t>la Provincia de Mendoza</w:t>
      </w:r>
      <w:r w:rsidR="003B7F35">
        <w:rPr>
          <w:rFonts w:ascii="Verdana" w:hAnsi="Verdana"/>
          <w:sz w:val="20"/>
          <w:szCs w:val="20"/>
        </w:rPr>
        <w:t>” (Los Andes)</w:t>
      </w:r>
      <w:r w:rsidR="003B7F35">
        <w:rPr>
          <w:rStyle w:val="Refdenotaalpie"/>
          <w:rFonts w:ascii="Verdana" w:hAnsi="Verdana"/>
          <w:sz w:val="20"/>
          <w:szCs w:val="20"/>
        </w:rPr>
        <w:footnoteReference w:id="18"/>
      </w:r>
      <w:r w:rsidR="00EC7BDA">
        <w:rPr>
          <w:rFonts w:ascii="Verdana" w:hAnsi="Verdana"/>
          <w:sz w:val="20"/>
          <w:szCs w:val="20"/>
        </w:rPr>
        <w:t>. De igual forma, publicó, por más de un año, de manera íntegra</w:t>
      </w:r>
      <w:r w:rsidR="00A84825" w:rsidRPr="00A84825">
        <w:rPr>
          <w:rFonts w:ascii="Verdana" w:hAnsi="Verdana"/>
          <w:sz w:val="20"/>
          <w:szCs w:val="20"/>
        </w:rPr>
        <w:t xml:space="preserve"> la Sentencia en </w:t>
      </w:r>
      <w:r w:rsidR="00EC7BDA">
        <w:rPr>
          <w:rFonts w:ascii="Verdana" w:hAnsi="Verdana"/>
          <w:sz w:val="20"/>
          <w:szCs w:val="20"/>
        </w:rPr>
        <w:t xml:space="preserve">el </w:t>
      </w:r>
      <w:r w:rsidR="00A84825" w:rsidRPr="00A84825">
        <w:rPr>
          <w:rFonts w:ascii="Verdana" w:hAnsi="Verdana"/>
          <w:sz w:val="20"/>
          <w:szCs w:val="20"/>
        </w:rPr>
        <w:t xml:space="preserve">sitio </w:t>
      </w:r>
      <w:r w:rsidR="00A84825" w:rsidRPr="003210BA">
        <w:rPr>
          <w:rFonts w:ascii="Verdana" w:hAnsi="Verdana"/>
          <w:i/>
          <w:sz w:val="20"/>
          <w:szCs w:val="20"/>
        </w:rPr>
        <w:t>web</w:t>
      </w:r>
      <w:r w:rsidR="00A84825" w:rsidRPr="00A84825">
        <w:rPr>
          <w:rFonts w:ascii="Verdana" w:hAnsi="Verdana"/>
          <w:sz w:val="20"/>
          <w:szCs w:val="20"/>
        </w:rPr>
        <w:t xml:space="preserve"> del Poder Judicial de la Provincia de Mendoza</w:t>
      </w:r>
      <w:r w:rsidR="00456199">
        <w:rPr>
          <w:rStyle w:val="Refdenotaalpie"/>
          <w:rFonts w:ascii="Verdana" w:hAnsi="Verdana"/>
          <w:sz w:val="20"/>
          <w:szCs w:val="20"/>
        </w:rPr>
        <w:footnoteReference w:id="19"/>
      </w:r>
      <w:r w:rsidR="004719F5">
        <w:rPr>
          <w:rFonts w:ascii="Verdana" w:hAnsi="Verdana"/>
          <w:sz w:val="20"/>
          <w:szCs w:val="20"/>
        </w:rPr>
        <w:t xml:space="preserve">. </w:t>
      </w:r>
      <w:r w:rsidR="00EC7BDA" w:rsidRPr="003210BA">
        <w:rPr>
          <w:rFonts w:ascii="Verdana" w:hAnsi="Verdana"/>
          <w:sz w:val="20"/>
          <w:szCs w:val="20"/>
        </w:rPr>
        <w:t xml:space="preserve">La Corte valora positivamente que </w:t>
      </w:r>
      <w:r w:rsidR="003210BA">
        <w:rPr>
          <w:rFonts w:ascii="Verdana" w:hAnsi="Verdana"/>
          <w:sz w:val="20"/>
          <w:szCs w:val="20"/>
        </w:rPr>
        <w:t>la</w:t>
      </w:r>
      <w:r w:rsidR="00EC7BDA" w:rsidRPr="003210BA">
        <w:rPr>
          <w:rFonts w:ascii="Verdana" w:hAnsi="Verdana"/>
          <w:sz w:val="20"/>
          <w:szCs w:val="20"/>
        </w:rPr>
        <w:t xml:space="preserve"> publicaci</w:t>
      </w:r>
      <w:r w:rsidR="003210BA">
        <w:rPr>
          <w:rFonts w:ascii="Verdana" w:hAnsi="Verdana"/>
          <w:sz w:val="20"/>
          <w:szCs w:val="20"/>
        </w:rPr>
        <w:t xml:space="preserve">ón de la Sentencia en la referida página </w:t>
      </w:r>
      <w:r w:rsidR="003210BA" w:rsidRPr="003210BA">
        <w:rPr>
          <w:rFonts w:ascii="Verdana" w:hAnsi="Verdana"/>
          <w:i/>
          <w:sz w:val="20"/>
          <w:szCs w:val="20"/>
        </w:rPr>
        <w:t>web</w:t>
      </w:r>
      <w:r w:rsidR="00EC7BDA" w:rsidRPr="003210BA">
        <w:rPr>
          <w:rFonts w:ascii="Verdana" w:hAnsi="Verdana"/>
          <w:sz w:val="20"/>
          <w:szCs w:val="20"/>
        </w:rPr>
        <w:t xml:space="preserve"> </w:t>
      </w:r>
      <w:r w:rsidR="003210BA" w:rsidRPr="003210BA">
        <w:rPr>
          <w:rFonts w:ascii="Verdana" w:hAnsi="Verdana"/>
          <w:sz w:val="20"/>
          <w:szCs w:val="20"/>
        </w:rPr>
        <w:t>haya sido realizada</w:t>
      </w:r>
      <w:r w:rsidR="00EC7BDA" w:rsidRPr="003210BA">
        <w:rPr>
          <w:rFonts w:ascii="Verdana" w:hAnsi="Verdana"/>
          <w:sz w:val="20"/>
          <w:szCs w:val="20"/>
        </w:rPr>
        <w:t xml:space="preserve"> dentro del plazo otorgado en la Sentencia.</w:t>
      </w:r>
    </w:p>
    <w:p w14:paraId="33A57943" w14:textId="29517C6C" w:rsidR="004719F5" w:rsidRPr="003B7F35" w:rsidRDefault="004719F5" w:rsidP="004117C8">
      <w:pPr>
        <w:pStyle w:val="Prrafodelista"/>
        <w:numPr>
          <w:ilvl w:val="0"/>
          <w:numId w:val="3"/>
        </w:numPr>
        <w:spacing w:before="120" w:after="120"/>
        <w:ind w:left="0" w:firstLine="0"/>
        <w:jc w:val="both"/>
        <w:rPr>
          <w:rFonts w:ascii="Verdana" w:eastAsia="Verdana" w:hAnsi="Verdana" w:cs="Verdana"/>
          <w:bCs/>
          <w:kern w:val="1"/>
          <w:sz w:val="18"/>
          <w:szCs w:val="20"/>
          <w:lang w:val="es-ES" w:bidi="x-none"/>
        </w:rPr>
      </w:pPr>
      <w:r w:rsidRPr="004719F5">
        <w:rPr>
          <w:rFonts w:ascii="Verdana" w:hAnsi="Verdana"/>
          <w:sz w:val="20"/>
        </w:rPr>
        <w:t xml:space="preserve">En virtud de lo anterior, la Corte declara que el Estado ha dado cumplimiento total a las medidas de publicación y difusión de la Sentencia y de su resumen oficial, ordenadas en el punto resolutivo </w:t>
      </w:r>
      <w:r w:rsidR="00BE0884">
        <w:rPr>
          <w:rFonts w:ascii="Verdana" w:hAnsi="Verdana"/>
          <w:sz w:val="20"/>
        </w:rPr>
        <w:t>octavo</w:t>
      </w:r>
      <w:r w:rsidRPr="004719F5">
        <w:rPr>
          <w:rFonts w:ascii="Verdana" w:hAnsi="Verdana"/>
          <w:sz w:val="20"/>
        </w:rPr>
        <w:t xml:space="preserve"> de la misma.</w:t>
      </w:r>
    </w:p>
    <w:p w14:paraId="36A4F6A1" w14:textId="77777777" w:rsidR="00F712F9" w:rsidRPr="001963D4" w:rsidRDefault="00F712F9" w:rsidP="003B7F35">
      <w:pPr>
        <w:pStyle w:val="Prrafodelista"/>
        <w:spacing w:before="120" w:after="120"/>
        <w:ind w:left="0"/>
        <w:jc w:val="both"/>
        <w:rPr>
          <w:rFonts w:ascii="Verdana" w:eastAsia="Verdana" w:hAnsi="Verdana" w:cs="Verdana"/>
          <w:bCs/>
          <w:kern w:val="1"/>
          <w:sz w:val="10"/>
          <w:szCs w:val="10"/>
          <w:lang w:val="es-ES" w:bidi="x-none"/>
        </w:rPr>
      </w:pPr>
    </w:p>
    <w:p w14:paraId="54BFFF6D" w14:textId="472F2A29" w:rsidR="00E67808" w:rsidRPr="008B0998" w:rsidRDefault="00E67808" w:rsidP="00725C04">
      <w:pPr>
        <w:pStyle w:val="Prrafodelista"/>
        <w:numPr>
          <w:ilvl w:val="0"/>
          <w:numId w:val="5"/>
        </w:numPr>
        <w:spacing w:before="120" w:after="120"/>
        <w:jc w:val="both"/>
        <w:outlineLvl w:val="0"/>
        <w:rPr>
          <w:rFonts w:ascii="Verdana" w:hAnsi="Verdana"/>
          <w:b/>
          <w:i/>
          <w:sz w:val="20"/>
        </w:rPr>
      </w:pPr>
      <w:bookmarkStart w:id="2" w:name="_Toc66808342"/>
      <w:r w:rsidRPr="008B0998">
        <w:rPr>
          <w:rFonts w:ascii="Verdana" w:hAnsi="Verdana"/>
          <w:b/>
          <w:i/>
          <w:sz w:val="20"/>
        </w:rPr>
        <w:t>Indemnizaci</w:t>
      </w:r>
      <w:r w:rsidR="00961E61" w:rsidRPr="008B0998">
        <w:rPr>
          <w:rFonts w:ascii="Verdana" w:hAnsi="Verdana"/>
          <w:b/>
          <w:i/>
          <w:sz w:val="20"/>
        </w:rPr>
        <w:t>ó</w:t>
      </w:r>
      <w:r w:rsidRPr="008B0998">
        <w:rPr>
          <w:rFonts w:ascii="Verdana" w:hAnsi="Verdana"/>
          <w:b/>
          <w:i/>
          <w:sz w:val="20"/>
        </w:rPr>
        <w:t>n por daño inmaterial y reintegro de costas y gastos</w:t>
      </w:r>
      <w:bookmarkEnd w:id="2"/>
    </w:p>
    <w:p w14:paraId="64B6EB03" w14:textId="7264964D" w:rsidR="00E67808" w:rsidRDefault="008B0998" w:rsidP="004117C8">
      <w:pPr>
        <w:pStyle w:val="Prrafodelista"/>
        <w:spacing w:before="120" w:after="120"/>
        <w:jc w:val="both"/>
        <w:rPr>
          <w:rFonts w:ascii="Verdana" w:hAnsi="Verdana"/>
          <w:i/>
          <w:sz w:val="20"/>
        </w:rPr>
      </w:pPr>
      <w:r>
        <w:rPr>
          <w:rFonts w:ascii="Verdana" w:hAnsi="Verdana"/>
          <w:i/>
          <w:sz w:val="20"/>
        </w:rPr>
        <w:t>C</w:t>
      </w:r>
      <w:r w:rsidR="00E67808" w:rsidRPr="0095697A">
        <w:rPr>
          <w:rFonts w:ascii="Verdana" w:hAnsi="Verdana"/>
          <w:i/>
          <w:sz w:val="20"/>
        </w:rPr>
        <w:t>.1. Medida</w:t>
      </w:r>
      <w:r w:rsidR="00E70641">
        <w:rPr>
          <w:rFonts w:ascii="Verdana" w:hAnsi="Verdana"/>
          <w:i/>
          <w:sz w:val="20"/>
        </w:rPr>
        <w:t>s</w:t>
      </w:r>
      <w:r w:rsidR="00E67808" w:rsidRPr="0095697A">
        <w:rPr>
          <w:rFonts w:ascii="Verdana" w:hAnsi="Verdana"/>
          <w:i/>
          <w:sz w:val="20"/>
        </w:rPr>
        <w:t xml:space="preserve"> ordenada</w:t>
      </w:r>
      <w:r w:rsidR="00E70641">
        <w:rPr>
          <w:rFonts w:ascii="Verdana" w:hAnsi="Verdana"/>
          <w:i/>
          <w:sz w:val="20"/>
        </w:rPr>
        <w:t>s</w:t>
      </w:r>
      <w:r w:rsidR="00E67808" w:rsidRPr="0095697A">
        <w:rPr>
          <w:rFonts w:ascii="Verdana" w:hAnsi="Verdana"/>
          <w:i/>
          <w:sz w:val="20"/>
        </w:rPr>
        <w:t xml:space="preserve"> por la Corte</w:t>
      </w:r>
    </w:p>
    <w:p w14:paraId="5862B9F0" w14:textId="489C687C" w:rsidR="00E67808" w:rsidRPr="00A80822" w:rsidRDefault="00717911" w:rsidP="004117C8">
      <w:pPr>
        <w:pStyle w:val="Prrafodelista"/>
        <w:numPr>
          <w:ilvl w:val="0"/>
          <w:numId w:val="3"/>
        </w:numPr>
        <w:spacing w:before="120" w:after="120"/>
        <w:ind w:left="0" w:firstLine="0"/>
        <w:jc w:val="both"/>
        <w:rPr>
          <w:rFonts w:ascii="Verdana" w:eastAsia="Verdana" w:hAnsi="Verdana" w:cs="Verdana"/>
          <w:b/>
          <w:bCs/>
          <w:kern w:val="1"/>
          <w:sz w:val="20"/>
          <w:szCs w:val="20"/>
          <w:lang w:val="es-ES" w:bidi="x-none"/>
        </w:rPr>
      </w:pPr>
      <w:r>
        <w:rPr>
          <w:rFonts w:ascii="Verdana" w:hAnsi="Verdana"/>
          <w:sz w:val="20"/>
          <w:szCs w:val="20"/>
        </w:rPr>
        <w:t xml:space="preserve">En el punto </w:t>
      </w:r>
      <w:r w:rsidR="00BB378E">
        <w:rPr>
          <w:rFonts w:ascii="Verdana" w:hAnsi="Verdana"/>
          <w:sz w:val="20"/>
          <w:szCs w:val="20"/>
        </w:rPr>
        <w:t>resolutivo</w:t>
      </w:r>
      <w:r>
        <w:rPr>
          <w:rFonts w:ascii="Verdana" w:hAnsi="Verdana"/>
          <w:sz w:val="20"/>
          <w:szCs w:val="20"/>
        </w:rPr>
        <w:t xml:space="preserve"> décimo</w:t>
      </w:r>
      <w:r w:rsidR="00E67808" w:rsidRPr="001134EA">
        <w:rPr>
          <w:rFonts w:ascii="Verdana" w:hAnsi="Verdana"/>
          <w:sz w:val="20"/>
          <w:szCs w:val="20"/>
        </w:rPr>
        <w:t xml:space="preserve"> de la Sentencia se ordenó que el Estado </w:t>
      </w:r>
      <w:r w:rsidRPr="00717911">
        <w:rPr>
          <w:rFonts w:ascii="Verdana" w:hAnsi="Verdana"/>
          <w:sz w:val="20"/>
        </w:rPr>
        <w:t>debe pagar las cantidades fijadas</w:t>
      </w:r>
      <w:r w:rsidR="00961E61">
        <w:rPr>
          <w:rFonts w:ascii="Verdana" w:hAnsi="Verdana"/>
          <w:bCs/>
          <w:sz w:val="20"/>
          <w:szCs w:val="20"/>
        </w:rPr>
        <w:t xml:space="preserve"> en los párrafos 82</w:t>
      </w:r>
      <w:r w:rsidR="00961E61">
        <w:rPr>
          <w:rStyle w:val="Refdenotaalpie"/>
          <w:rFonts w:ascii="Verdana" w:hAnsi="Verdana"/>
          <w:sz w:val="20"/>
          <w:szCs w:val="20"/>
        </w:rPr>
        <w:footnoteReference w:id="20"/>
      </w:r>
      <w:r w:rsidR="00961E61">
        <w:rPr>
          <w:rFonts w:ascii="Verdana" w:hAnsi="Verdana"/>
          <w:bCs/>
          <w:sz w:val="20"/>
          <w:szCs w:val="20"/>
        </w:rPr>
        <w:t xml:space="preserve"> y 86</w:t>
      </w:r>
      <w:r w:rsidR="00961E61">
        <w:rPr>
          <w:rStyle w:val="Refdenotaalpie"/>
          <w:rFonts w:ascii="Verdana" w:hAnsi="Verdana"/>
          <w:bCs/>
          <w:sz w:val="20"/>
          <w:szCs w:val="20"/>
        </w:rPr>
        <w:footnoteReference w:id="21"/>
      </w:r>
      <w:r w:rsidR="00961E61">
        <w:rPr>
          <w:rFonts w:ascii="Verdana" w:hAnsi="Verdana"/>
          <w:bCs/>
          <w:sz w:val="20"/>
          <w:szCs w:val="20"/>
        </w:rPr>
        <w:t xml:space="preserve"> de la misma, </w:t>
      </w:r>
      <w:r w:rsidRPr="00717911">
        <w:rPr>
          <w:rFonts w:ascii="Verdana" w:hAnsi="Verdana"/>
          <w:sz w:val="20"/>
          <w:szCs w:val="20"/>
        </w:rPr>
        <w:t>por concepto de indemnización por daño inmaterial y reintegro de costas y gastos</w:t>
      </w:r>
      <w:r w:rsidR="00E67808" w:rsidRPr="00717911">
        <w:rPr>
          <w:rFonts w:ascii="Verdana" w:hAnsi="Verdana"/>
          <w:bCs/>
          <w:sz w:val="20"/>
          <w:szCs w:val="20"/>
        </w:rPr>
        <w:t>.</w:t>
      </w:r>
      <w:r w:rsidR="00E67808" w:rsidRPr="001134EA">
        <w:rPr>
          <w:rFonts w:ascii="Verdana" w:hAnsi="Verdana"/>
          <w:bCs/>
          <w:sz w:val="20"/>
          <w:szCs w:val="20"/>
        </w:rPr>
        <w:t xml:space="preserve"> </w:t>
      </w:r>
      <w:r w:rsidR="008B0998">
        <w:rPr>
          <w:rFonts w:ascii="Verdana" w:hAnsi="Verdana"/>
          <w:bCs/>
          <w:sz w:val="20"/>
          <w:szCs w:val="20"/>
        </w:rPr>
        <w:t>En los párrafos 90 a 95 de la Sentencia la Corte estableció la modalidad de cumplimiento de dichos pagos.</w:t>
      </w:r>
    </w:p>
    <w:p w14:paraId="0E3D9A4C" w14:textId="4315E684" w:rsidR="00A80822" w:rsidRPr="00FF0060" w:rsidRDefault="008B0998" w:rsidP="004117C8">
      <w:pPr>
        <w:pStyle w:val="Prrafodelista"/>
        <w:spacing w:before="120" w:after="120"/>
        <w:jc w:val="both"/>
        <w:rPr>
          <w:rFonts w:ascii="Verdana" w:hAnsi="Verdana"/>
          <w:i/>
          <w:sz w:val="20"/>
          <w:szCs w:val="20"/>
        </w:rPr>
      </w:pPr>
      <w:r>
        <w:rPr>
          <w:rFonts w:ascii="Verdana" w:hAnsi="Verdana"/>
          <w:i/>
          <w:sz w:val="20"/>
          <w:szCs w:val="20"/>
        </w:rPr>
        <w:t>C</w:t>
      </w:r>
      <w:r w:rsidR="00A80822" w:rsidRPr="00FF0060">
        <w:rPr>
          <w:rFonts w:ascii="Verdana" w:hAnsi="Verdana"/>
          <w:i/>
          <w:sz w:val="20"/>
          <w:szCs w:val="20"/>
        </w:rPr>
        <w:t>.2. Consideraciones de la Corte</w:t>
      </w:r>
    </w:p>
    <w:p w14:paraId="678333D2" w14:textId="67503BCD" w:rsidR="00D01EF3" w:rsidRPr="00A15789" w:rsidRDefault="00E77190" w:rsidP="0092739E">
      <w:pPr>
        <w:pStyle w:val="Prrafodelista"/>
        <w:numPr>
          <w:ilvl w:val="0"/>
          <w:numId w:val="3"/>
        </w:numPr>
        <w:spacing w:before="120" w:after="120"/>
        <w:ind w:left="0" w:firstLine="0"/>
        <w:jc w:val="both"/>
        <w:rPr>
          <w:rFonts w:ascii="Verdana" w:eastAsia="Verdana" w:hAnsi="Verdana" w:cs="Verdana"/>
          <w:bCs/>
          <w:kern w:val="1"/>
          <w:sz w:val="20"/>
          <w:szCs w:val="20"/>
          <w:lang w:val="es-ES" w:bidi="x-none"/>
        </w:rPr>
      </w:pPr>
      <w:r w:rsidRPr="00A15789">
        <w:rPr>
          <w:rFonts w:ascii="Verdana" w:eastAsia="Verdana" w:hAnsi="Verdana" w:cs="Verdana"/>
          <w:bCs/>
          <w:kern w:val="1"/>
          <w:sz w:val="20"/>
          <w:szCs w:val="20"/>
          <w:lang w:val="es-ES" w:bidi="x-none"/>
        </w:rPr>
        <w:t>En el informe de</w:t>
      </w:r>
      <w:r w:rsidR="009C0B09" w:rsidRPr="00A15789">
        <w:rPr>
          <w:rFonts w:ascii="Verdana" w:eastAsia="Verdana" w:hAnsi="Verdana" w:cs="Verdana"/>
          <w:bCs/>
          <w:kern w:val="1"/>
          <w:sz w:val="20"/>
          <w:szCs w:val="20"/>
          <w:lang w:val="es-ES" w:bidi="x-none"/>
        </w:rPr>
        <w:t xml:space="preserve"> 26 de </w:t>
      </w:r>
      <w:r w:rsidRPr="00A15789">
        <w:rPr>
          <w:rFonts w:ascii="Verdana" w:eastAsia="Verdana" w:hAnsi="Verdana" w:cs="Verdana"/>
          <w:bCs/>
          <w:kern w:val="1"/>
          <w:sz w:val="20"/>
          <w:szCs w:val="20"/>
          <w:lang w:val="es-ES" w:bidi="x-none"/>
        </w:rPr>
        <w:t xml:space="preserve">noviembre de 2020 el </w:t>
      </w:r>
      <w:r w:rsidRPr="00A15789">
        <w:rPr>
          <w:rFonts w:ascii="Verdana" w:eastAsia="Verdana" w:hAnsi="Verdana" w:cs="Verdana"/>
          <w:bCs/>
          <w:i/>
          <w:kern w:val="1"/>
          <w:sz w:val="20"/>
          <w:szCs w:val="20"/>
          <w:lang w:val="es-ES" w:bidi="x-none"/>
        </w:rPr>
        <w:t>Estado</w:t>
      </w:r>
      <w:r w:rsidRPr="00A15789">
        <w:rPr>
          <w:rFonts w:ascii="Verdana" w:eastAsia="Verdana" w:hAnsi="Verdana" w:cs="Verdana"/>
          <w:bCs/>
          <w:kern w:val="1"/>
          <w:sz w:val="20"/>
          <w:szCs w:val="20"/>
          <w:lang w:val="es-ES" w:bidi="x-none"/>
        </w:rPr>
        <w:t xml:space="preserve"> sostuvo que </w:t>
      </w:r>
      <w:r w:rsidR="0059366E" w:rsidRPr="00A15789">
        <w:rPr>
          <w:rFonts w:ascii="Verdana" w:eastAsia="Verdana" w:hAnsi="Verdana" w:cs="Verdana"/>
          <w:bCs/>
          <w:kern w:val="1"/>
          <w:sz w:val="20"/>
          <w:szCs w:val="20"/>
          <w:lang w:val="es-ES" w:bidi="x-none"/>
        </w:rPr>
        <w:t xml:space="preserve">fueron efectivizados los pagos al señor </w:t>
      </w:r>
      <w:proofErr w:type="spellStart"/>
      <w:r w:rsidR="0059366E" w:rsidRPr="00A15789">
        <w:rPr>
          <w:rFonts w:ascii="Verdana" w:eastAsia="Verdana" w:hAnsi="Verdana" w:cs="Verdana"/>
          <w:bCs/>
          <w:kern w:val="1"/>
          <w:sz w:val="20"/>
          <w:szCs w:val="20"/>
          <w:lang w:val="es-ES" w:bidi="x-none"/>
        </w:rPr>
        <w:t>Gorigoitía</w:t>
      </w:r>
      <w:proofErr w:type="spellEnd"/>
      <w:r w:rsidR="0059366E" w:rsidRPr="00A15789">
        <w:rPr>
          <w:rFonts w:ascii="Verdana" w:eastAsia="Verdana" w:hAnsi="Verdana" w:cs="Verdana"/>
          <w:bCs/>
          <w:kern w:val="1"/>
          <w:sz w:val="20"/>
          <w:szCs w:val="20"/>
          <w:lang w:val="es-ES" w:bidi="x-none"/>
        </w:rPr>
        <w:t xml:space="preserve"> y a los representantes </w:t>
      </w:r>
      <w:r w:rsidR="00946178">
        <w:rPr>
          <w:rFonts w:ascii="Verdana" w:eastAsia="Verdana" w:hAnsi="Verdana" w:cs="Verdana"/>
          <w:bCs/>
          <w:kern w:val="1"/>
          <w:sz w:val="20"/>
          <w:szCs w:val="20"/>
          <w:lang w:val="es-ES" w:bidi="x-none"/>
        </w:rPr>
        <w:t xml:space="preserve">Alejandro </w:t>
      </w:r>
      <w:r w:rsidR="0059366E" w:rsidRPr="00A15789">
        <w:rPr>
          <w:rFonts w:ascii="Verdana" w:eastAsia="Verdana" w:hAnsi="Verdana" w:cs="Verdana"/>
          <w:bCs/>
          <w:kern w:val="1"/>
          <w:sz w:val="20"/>
          <w:szCs w:val="20"/>
          <w:lang w:val="es-ES" w:bidi="x-none"/>
        </w:rPr>
        <w:t xml:space="preserve">Acosta y </w:t>
      </w:r>
      <w:r w:rsidR="00946178">
        <w:rPr>
          <w:rFonts w:ascii="Verdana" w:eastAsia="Verdana" w:hAnsi="Verdana" w:cs="Verdana"/>
          <w:bCs/>
          <w:kern w:val="1"/>
          <w:sz w:val="20"/>
          <w:szCs w:val="20"/>
          <w:lang w:val="es-ES" w:bidi="x-none"/>
        </w:rPr>
        <w:t xml:space="preserve">Carlos </w:t>
      </w:r>
      <w:r w:rsidR="0059366E" w:rsidRPr="00A15789">
        <w:rPr>
          <w:rFonts w:ascii="Verdana" w:eastAsia="Verdana" w:hAnsi="Verdana" w:cs="Verdana"/>
          <w:bCs/>
          <w:kern w:val="1"/>
          <w:sz w:val="20"/>
          <w:szCs w:val="20"/>
          <w:lang w:val="es-ES" w:bidi="x-none"/>
        </w:rPr>
        <w:t xml:space="preserve">Varela, con lo cual </w:t>
      </w:r>
      <w:r w:rsidR="0092739E" w:rsidRPr="00A15789">
        <w:rPr>
          <w:rFonts w:ascii="Verdana" w:eastAsia="Verdana" w:hAnsi="Verdana" w:cs="Verdana"/>
          <w:bCs/>
          <w:kern w:val="1"/>
          <w:sz w:val="20"/>
          <w:szCs w:val="20"/>
          <w:lang w:val="es-ES" w:bidi="x-none"/>
        </w:rPr>
        <w:t xml:space="preserve">consideró que </w:t>
      </w:r>
      <w:r w:rsidR="0059366E" w:rsidRPr="00A15789">
        <w:rPr>
          <w:rFonts w:ascii="Verdana" w:eastAsia="Verdana" w:hAnsi="Verdana" w:cs="Verdana"/>
          <w:bCs/>
          <w:kern w:val="1"/>
          <w:sz w:val="20"/>
          <w:szCs w:val="20"/>
          <w:lang w:val="es-ES" w:bidi="x-none"/>
        </w:rPr>
        <w:t>“se ha[</w:t>
      </w:r>
      <w:proofErr w:type="spellStart"/>
      <w:r w:rsidR="0059366E" w:rsidRPr="00A15789">
        <w:rPr>
          <w:rFonts w:ascii="Verdana" w:eastAsia="Verdana" w:hAnsi="Verdana" w:cs="Verdana"/>
          <w:bCs/>
          <w:kern w:val="1"/>
          <w:sz w:val="20"/>
          <w:szCs w:val="20"/>
          <w:lang w:val="es-ES" w:bidi="x-none"/>
        </w:rPr>
        <w:t>bía</w:t>
      </w:r>
      <w:proofErr w:type="spellEnd"/>
      <w:r w:rsidR="0059366E" w:rsidRPr="00A15789">
        <w:rPr>
          <w:rFonts w:ascii="Verdana" w:eastAsia="Verdana" w:hAnsi="Verdana" w:cs="Verdana"/>
          <w:bCs/>
          <w:kern w:val="1"/>
          <w:sz w:val="20"/>
          <w:szCs w:val="20"/>
          <w:lang w:val="es-ES" w:bidi="x-none"/>
        </w:rPr>
        <w:t>] dado cumplimiento a lo ordenado por la […] Corte […] en [este] punto resolutivo”.</w:t>
      </w:r>
      <w:r w:rsidR="0092739E" w:rsidRPr="00A15789">
        <w:rPr>
          <w:rFonts w:ascii="Verdana" w:eastAsia="Verdana" w:hAnsi="Verdana" w:cs="Verdana"/>
          <w:bCs/>
          <w:kern w:val="1"/>
          <w:sz w:val="20"/>
          <w:szCs w:val="20"/>
          <w:lang w:val="es-ES" w:bidi="x-none"/>
        </w:rPr>
        <w:t xml:space="preserve"> </w:t>
      </w:r>
      <w:r w:rsidR="00D01EF3" w:rsidRPr="00A15789">
        <w:rPr>
          <w:rFonts w:ascii="Verdana" w:eastAsia="Verdana" w:hAnsi="Verdana" w:cs="Verdana"/>
          <w:bCs/>
          <w:kern w:val="1"/>
          <w:sz w:val="20"/>
          <w:szCs w:val="20"/>
          <w:lang w:val="es-ES" w:bidi="x-none"/>
        </w:rPr>
        <w:t xml:space="preserve">Explicó que el pago al señor </w:t>
      </w:r>
      <w:proofErr w:type="spellStart"/>
      <w:r w:rsidR="00D01EF3" w:rsidRPr="00A15789">
        <w:rPr>
          <w:rFonts w:ascii="Verdana" w:eastAsia="Verdana" w:hAnsi="Verdana" w:cs="Verdana"/>
          <w:bCs/>
          <w:kern w:val="1"/>
          <w:sz w:val="20"/>
          <w:szCs w:val="20"/>
          <w:lang w:val="es-ES" w:bidi="x-none"/>
        </w:rPr>
        <w:t>Gorigoitía</w:t>
      </w:r>
      <w:proofErr w:type="spellEnd"/>
      <w:r w:rsidR="00D01EF3" w:rsidRPr="00A15789">
        <w:rPr>
          <w:rFonts w:ascii="Verdana" w:eastAsia="Verdana" w:hAnsi="Verdana" w:cs="Verdana"/>
          <w:bCs/>
          <w:kern w:val="1"/>
          <w:sz w:val="20"/>
          <w:szCs w:val="20"/>
          <w:lang w:val="es-ES" w:bidi="x-none"/>
        </w:rPr>
        <w:t xml:space="preserve"> del monto fijado en la Sentencia por concepto de indemnización del daño inmaterial, fue efectivizado por el Gobierno de la Provincia de Mendoza el 19 de junio de 2020</w:t>
      </w:r>
      <w:r w:rsidR="00D01EF3" w:rsidRPr="00A15789">
        <w:rPr>
          <w:rStyle w:val="Refdenotaalpie"/>
          <w:rFonts w:ascii="Verdana" w:eastAsia="Verdana" w:hAnsi="Verdana" w:cs="Verdana"/>
          <w:bCs/>
          <w:kern w:val="1"/>
          <w:sz w:val="20"/>
          <w:szCs w:val="20"/>
          <w:lang w:val="es-ES" w:bidi="x-none"/>
        </w:rPr>
        <w:footnoteReference w:id="22"/>
      </w:r>
      <w:r w:rsidR="00D01EF3" w:rsidRPr="00A15789">
        <w:rPr>
          <w:rFonts w:ascii="Verdana" w:eastAsia="Verdana" w:hAnsi="Verdana" w:cs="Verdana"/>
          <w:bCs/>
          <w:kern w:val="1"/>
          <w:sz w:val="20"/>
          <w:szCs w:val="20"/>
          <w:lang w:val="es-ES" w:bidi="x-none"/>
        </w:rPr>
        <w:t xml:space="preserve"> y, en cuanto a los representantes, informó que se efectivizó un pago al señor Acosta el 11 de junio de 2020 y otro al señor Varela el 3 de julio de 2020</w:t>
      </w:r>
      <w:r w:rsidR="00D01EF3" w:rsidRPr="00A15789">
        <w:rPr>
          <w:rStyle w:val="Refdenotaalpie"/>
          <w:rFonts w:ascii="Verdana" w:eastAsia="Verdana" w:hAnsi="Verdana" w:cs="Verdana"/>
          <w:bCs/>
          <w:kern w:val="1"/>
          <w:sz w:val="20"/>
          <w:szCs w:val="20"/>
          <w:lang w:val="es-ES" w:bidi="x-none"/>
        </w:rPr>
        <w:footnoteReference w:id="23"/>
      </w:r>
      <w:r w:rsidR="00D01EF3" w:rsidRPr="00A15789">
        <w:rPr>
          <w:rFonts w:ascii="Verdana" w:eastAsia="Verdana" w:hAnsi="Verdana" w:cs="Verdana"/>
          <w:bCs/>
          <w:kern w:val="1"/>
          <w:sz w:val="20"/>
          <w:szCs w:val="20"/>
          <w:lang w:val="es-ES" w:bidi="x-none"/>
        </w:rPr>
        <w:t xml:space="preserve">. </w:t>
      </w:r>
    </w:p>
    <w:p w14:paraId="09AEB934" w14:textId="09268F2D" w:rsidR="00A10D2B" w:rsidRPr="00A15789" w:rsidRDefault="00A80BAB" w:rsidP="00A10D2B">
      <w:pPr>
        <w:pStyle w:val="Prrafodelista"/>
        <w:numPr>
          <w:ilvl w:val="0"/>
          <w:numId w:val="3"/>
        </w:numPr>
        <w:spacing w:before="120" w:after="120"/>
        <w:ind w:left="0" w:firstLine="0"/>
        <w:jc w:val="both"/>
        <w:rPr>
          <w:rFonts w:ascii="Verdana" w:hAnsi="Verdana"/>
          <w:b/>
          <w:sz w:val="20"/>
        </w:rPr>
      </w:pPr>
      <w:r w:rsidRPr="00A15789">
        <w:rPr>
          <w:rFonts w:ascii="Verdana" w:eastAsia="Verdana" w:hAnsi="Verdana" w:cs="Verdana"/>
          <w:bCs/>
          <w:kern w:val="1"/>
          <w:sz w:val="20"/>
          <w:szCs w:val="20"/>
          <w:lang w:val="es-ES" w:bidi="x-none"/>
        </w:rPr>
        <w:t xml:space="preserve">Mediante escrito de </w:t>
      </w:r>
      <w:r w:rsidR="00C84B50" w:rsidRPr="00A15789">
        <w:rPr>
          <w:rFonts w:ascii="Verdana" w:eastAsia="Verdana" w:hAnsi="Verdana" w:cs="Verdana"/>
          <w:bCs/>
          <w:kern w:val="1"/>
          <w:sz w:val="20"/>
          <w:szCs w:val="20"/>
          <w:lang w:val="es-ES" w:bidi="x-none"/>
        </w:rPr>
        <w:t>19 de febrero de 2021</w:t>
      </w:r>
      <w:r w:rsidRPr="00A15789">
        <w:rPr>
          <w:rFonts w:ascii="Verdana" w:eastAsia="Verdana" w:hAnsi="Verdana" w:cs="Verdana"/>
          <w:bCs/>
          <w:kern w:val="1"/>
          <w:sz w:val="20"/>
          <w:szCs w:val="20"/>
          <w:lang w:val="es-ES" w:bidi="x-none"/>
        </w:rPr>
        <w:t>, l</w:t>
      </w:r>
      <w:r w:rsidR="00C84B50" w:rsidRPr="00A15789">
        <w:rPr>
          <w:rFonts w:ascii="Verdana" w:eastAsia="Verdana" w:hAnsi="Verdana" w:cs="Verdana"/>
          <w:bCs/>
          <w:kern w:val="1"/>
          <w:sz w:val="20"/>
          <w:szCs w:val="20"/>
          <w:lang w:val="es-ES" w:bidi="x-none"/>
        </w:rPr>
        <w:t xml:space="preserve">os </w:t>
      </w:r>
      <w:r w:rsidR="00C84B50" w:rsidRPr="00A15789">
        <w:rPr>
          <w:rFonts w:ascii="Verdana" w:eastAsia="Verdana" w:hAnsi="Verdana" w:cs="Verdana"/>
          <w:bCs/>
          <w:i/>
          <w:kern w:val="1"/>
          <w:sz w:val="20"/>
          <w:szCs w:val="20"/>
          <w:lang w:val="es-ES" w:bidi="x-none"/>
        </w:rPr>
        <w:t>representantes</w:t>
      </w:r>
      <w:r w:rsidR="00C84B50" w:rsidRPr="00A15789">
        <w:rPr>
          <w:rFonts w:ascii="Verdana" w:eastAsia="Verdana" w:hAnsi="Verdana" w:cs="Verdana"/>
          <w:bCs/>
          <w:kern w:val="1"/>
          <w:sz w:val="20"/>
          <w:szCs w:val="20"/>
          <w:lang w:val="es-ES" w:bidi="x-none"/>
        </w:rPr>
        <w:t xml:space="preserve"> </w:t>
      </w:r>
      <w:r w:rsidR="00A10D2B" w:rsidRPr="00A15789">
        <w:rPr>
          <w:rFonts w:ascii="Verdana" w:eastAsia="Verdana" w:hAnsi="Verdana" w:cs="Verdana"/>
          <w:bCs/>
          <w:kern w:val="1"/>
          <w:sz w:val="20"/>
          <w:szCs w:val="20"/>
          <w:lang w:val="es-ES" w:bidi="x-none"/>
        </w:rPr>
        <w:t xml:space="preserve">observaron </w:t>
      </w:r>
      <w:r w:rsidR="00C84B50" w:rsidRPr="00A15789">
        <w:rPr>
          <w:rFonts w:ascii="Verdana" w:eastAsia="Verdana" w:hAnsi="Verdana" w:cs="Verdana"/>
          <w:bCs/>
          <w:kern w:val="1"/>
          <w:sz w:val="20"/>
          <w:szCs w:val="20"/>
          <w:lang w:val="es-ES" w:bidi="x-none"/>
        </w:rPr>
        <w:t xml:space="preserve">que se habían hecho pagos </w:t>
      </w:r>
      <w:r w:rsidR="009C0B09" w:rsidRPr="00A15789">
        <w:rPr>
          <w:rFonts w:ascii="Verdana" w:eastAsia="Verdana" w:hAnsi="Verdana" w:cs="Verdana"/>
          <w:bCs/>
          <w:kern w:val="1"/>
          <w:sz w:val="20"/>
          <w:szCs w:val="20"/>
          <w:lang w:val="es-ES" w:bidi="x-none"/>
        </w:rPr>
        <w:t xml:space="preserve">parciales por estos conceptos, ya </w:t>
      </w:r>
      <w:r w:rsidR="00C84B50" w:rsidRPr="00A15789">
        <w:rPr>
          <w:rFonts w:ascii="Verdana" w:eastAsia="Verdana" w:hAnsi="Verdana" w:cs="Verdana"/>
          <w:bCs/>
          <w:kern w:val="1"/>
          <w:sz w:val="20"/>
          <w:szCs w:val="20"/>
          <w:lang w:val="es-ES" w:bidi="x-none"/>
        </w:rPr>
        <w:t>que estaban pendientes pagos por reclamos que realizaron debido a variaciones entre el valor del dólar y el peso argentino</w:t>
      </w:r>
      <w:r w:rsidR="009C0B09" w:rsidRPr="00A15789">
        <w:rPr>
          <w:rFonts w:ascii="Verdana" w:eastAsia="Verdana" w:hAnsi="Verdana" w:cs="Verdana"/>
          <w:bCs/>
          <w:kern w:val="1"/>
          <w:sz w:val="20"/>
          <w:szCs w:val="20"/>
          <w:lang w:val="es-ES" w:bidi="x-none"/>
        </w:rPr>
        <w:t xml:space="preserve"> y que</w:t>
      </w:r>
      <w:r w:rsidR="00CA2BF7">
        <w:rPr>
          <w:rFonts w:ascii="Verdana" w:eastAsia="Verdana" w:hAnsi="Verdana" w:cs="Verdana"/>
          <w:bCs/>
          <w:kern w:val="1"/>
          <w:sz w:val="20"/>
          <w:szCs w:val="20"/>
          <w:lang w:val="es-ES" w:bidi="x-none"/>
        </w:rPr>
        <w:t>,</w:t>
      </w:r>
      <w:r w:rsidR="009C0B09" w:rsidRPr="00A15789">
        <w:rPr>
          <w:rFonts w:ascii="Verdana" w:eastAsia="Verdana" w:hAnsi="Verdana" w:cs="Verdana"/>
          <w:bCs/>
          <w:kern w:val="1"/>
          <w:sz w:val="20"/>
          <w:szCs w:val="20"/>
          <w:lang w:val="es-ES" w:bidi="x-none"/>
        </w:rPr>
        <w:t xml:space="preserve"> “[u]</w:t>
      </w:r>
      <w:proofErr w:type="spellStart"/>
      <w:r w:rsidR="009C0B09" w:rsidRPr="00A15789">
        <w:rPr>
          <w:rFonts w:ascii="Verdana" w:eastAsia="Verdana" w:hAnsi="Verdana" w:cs="Verdana"/>
          <w:bCs/>
          <w:kern w:val="1"/>
          <w:sz w:val="20"/>
          <w:szCs w:val="20"/>
          <w:lang w:val="es-ES" w:bidi="x-none"/>
        </w:rPr>
        <w:t>na</w:t>
      </w:r>
      <w:proofErr w:type="spellEnd"/>
      <w:r w:rsidR="009C0B09" w:rsidRPr="00A15789">
        <w:rPr>
          <w:rFonts w:ascii="Verdana" w:eastAsia="Verdana" w:hAnsi="Verdana" w:cs="Verdana"/>
          <w:bCs/>
          <w:kern w:val="1"/>
          <w:sz w:val="20"/>
          <w:szCs w:val="20"/>
          <w:lang w:val="es-ES" w:bidi="x-none"/>
        </w:rPr>
        <w:t xml:space="preserve"> vez que [fueran] satisfechos o finalizados los pagos de ambos </w:t>
      </w:r>
      <w:proofErr w:type="gramStart"/>
      <w:r w:rsidR="009C0B09" w:rsidRPr="00A15789">
        <w:rPr>
          <w:rFonts w:ascii="Verdana" w:eastAsia="Verdana" w:hAnsi="Verdana" w:cs="Verdana"/>
          <w:bCs/>
          <w:kern w:val="1"/>
          <w:sz w:val="20"/>
          <w:szCs w:val="20"/>
          <w:lang w:val="es-ES" w:bidi="x-none"/>
        </w:rPr>
        <w:t>conceptos[</w:t>
      </w:r>
      <w:proofErr w:type="gramEnd"/>
      <w:r w:rsidR="009C0B09" w:rsidRPr="00A15789">
        <w:rPr>
          <w:rFonts w:ascii="Verdana" w:eastAsia="Verdana" w:hAnsi="Verdana" w:cs="Verdana"/>
          <w:bCs/>
          <w:kern w:val="1"/>
          <w:sz w:val="20"/>
          <w:szCs w:val="20"/>
          <w:lang w:val="es-ES" w:bidi="x-none"/>
        </w:rPr>
        <w:t xml:space="preserve">,] </w:t>
      </w:r>
      <w:proofErr w:type="spellStart"/>
      <w:r w:rsidR="009C0B09" w:rsidRPr="00A15789">
        <w:rPr>
          <w:rFonts w:ascii="Verdana" w:eastAsia="Verdana" w:hAnsi="Verdana" w:cs="Verdana"/>
          <w:bCs/>
          <w:kern w:val="1"/>
          <w:sz w:val="20"/>
          <w:szCs w:val="20"/>
          <w:lang w:val="es-ES" w:bidi="x-none"/>
        </w:rPr>
        <w:t>extende</w:t>
      </w:r>
      <w:proofErr w:type="spellEnd"/>
      <w:r w:rsidR="009C0B09" w:rsidRPr="00A15789">
        <w:rPr>
          <w:rFonts w:ascii="Verdana" w:eastAsia="Verdana" w:hAnsi="Verdana" w:cs="Verdana"/>
          <w:bCs/>
          <w:kern w:val="1"/>
          <w:sz w:val="20"/>
          <w:szCs w:val="20"/>
          <w:lang w:val="es-ES" w:bidi="x-none"/>
        </w:rPr>
        <w:t>[rían su]</w:t>
      </w:r>
      <w:r w:rsidR="00C84B50" w:rsidRPr="00A15789">
        <w:rPr>
          <w:rFonts w:ascii="Verdana" w:eastAsia="Verdana" w:hAnsi="Verdana" w:cs="Verdana"/>
          <w:bCs/>
          <w:kern w:val="1"/>
          <w:sz w:val="20"/>
          <w:szCs w:val="20"/>
          <w:lang w:val="es-ES" w:bidi="x-none"/>
        </w:rPr>
        <w:t xml:space="preserve"> </w:t>
      </w:r>
      <w:r w:rsidR="009C0B09" w:rsidRPr="00A15789">
        <w:rPr>
          <w:rFonts w:ascii="Verdana" w:eastAsia="Verdana" w:hAnsi="Verdana" w:cs="Verdana"/>
          <w:bCs/>
          <w:kern w:val="1"/>
          <w:sz w:val="20"/>
          <w:szCs w:val="20"/>
          <w:lang w:val="es-ES" w:bidi="x-none"/>
        </w:rPr>
        <w:t>conformidad” con la</w:t>
      </w:r>
      <w:r w:rsidR="00CA2BF7">
        <w:rPr>
          <w:rFonts w:ascii="Verdana" w:eastAsia="Verdana" w:hAnsi="Verdana" w:cs="Verdana"/>
          <w:bCs/>
          <w:kern w:val="1"/>
          <w:sz w:val="20"/>
          <w:szCs w:val="20"/>
          <w:lang w:val="es-ES" w:bidi="x-none"/>
        </w:rPr>
        <w:t>s</w:t>
      </w:r>
      <w:r w:rsidR="009C0B09" w:rsidRPr="00A15789">
        <w:rPr>
          <w:rFonts w:ascii="Verdana" w:eastAsia="Verdana" w:hAnsi="Verdana" w:cs="Verdana"/>
          <w:bCs/>
          <w:kern w:val="1"/>
          <w:sz w:val="20"/>
          <w:szCs w:val="20"/>
          <w:lang w:val="es-ES" w:bidi="x-none"/>
        </w:rPr>
        <w:t xml:space="preserve"> medida</w:t>
      </w:r>
      <w:r w:rsidR="00CA2BF7">
        <w:rPr>
          <w:rFonts w:ascii="Verdana" w:eastAsia="Verdana" w:hAnsi="Verdana" w:cs="Verdana"/>
          <w:bCs/>
          <w:kern w:val="1"/>
          <w:sz w:val="20"/>
          <w:szCs w:val="20"/>
          <w:lang w:val="es-ES" w:bidi="x-none"/>
        </w:rPr>
        <w:t>s</w:t>
      </w:r>
      <w:r w:rsidR="00A10D2B" w:rsidRPr="00A15789">
        <w:rPr>
          <w:rFonts w:ascii="Verdana" w:eastAsia="Verdana" w:hAnsi="Verdana" w:cs="Verdana"/>
          <w:bCs/>
          <w:kern w:val="1"/>
          <w:sz w:val="20"/>
          <w:szCs w:val="20"/>
          <w:lang w:val="es-ES" w:bidi="x-none"/>
        </w:rPr>
        <w:t>.</w:t>
      </w:r>
      <w:r w:rsidR="009C0B09" w:rsidRPr="00A15789">
        <w:rPr>
          <w:rFonts w:ascii="Verdana" w:eastAsia="Verdana" w:hAnsi="Verdana" w:cs="Verdana"/>
          <w:bCs/>
          <w:kern w:val="1"/>
          <w:sz w:val="20"/>
          <w:szCs w:val="20"/>
          <w:lang w:val="es-ES" w:bidi="x-none"/>
        </w:rPr>
        <w:t xml:space="preserve"> </w:t>
      </w:r>
      <w:r w:rsidR="00A10D2B" w:rsidRPr="00A15789">
        <w:rPr>
          <w:rFonts w:ascii="Verdana" w:eastAsia="Verdana" w:hAnsi="Verdana" w:cs="Verdana"/>
          <w:bCs/>
          <w:kern w:val="1"/>
          <w:sz w:val="20"/>
          <w:szCs w:val="20"/>
          <w:lang w:val="es-ES" w:bidi="x-none"/>
        </w:rPr>
        <w:t xml:space="preserve">En cuanto al pago de la indemnización al señor </w:t>
      </w:r>
      <w:proofErr w:type="spellStart"/>
      <w:r w:rsidR="00A10D2B" w:rsidRPr="00A15789">
        <w:rPr>
          <w:rFonts w:ascii="Verdana" w:eastAsia="Verdana" w:hAnsi="Verdana" w:cs="Verdana"/>
          <w:bCs/>
          <w:kern w:val="1"/>
          <w:sz w:val="20"/>
          <w:szCs w:val="20"/>
          <w:lang w:val="es-ES" w:bidi="x-none"/>
        </w:rPr>
        <w:t>Gorigoitía</w:t>
      </w:r>
      <w:proofErr w:type="spellEnd"/>
      <w:r w:rsidR="00233F88">
        <w:rPr>
          <w:rFonts w:ascii="Verdana" w:eastAsia="Verdana" w:hAnsi="Verdana" w:cs="Verdana"/>
          <w:bCs/>
          <w:kern w:val="1"/>
          <w:sz w:val="20"/>
          <w:szCs w:val="20"/>
          <w:lang w:val="es-ES" w:bidi="x-none"/>
        </w:rPr>
        <w:t>,</w:t>
      </w:r>
      <w:r w:rsidR="00A10D2B" w:rsidRPr="00A15789">
        <w:rPr>
          <w:rFonts w:ascii="Verdana" w:eastAsia="Verdana" w:hAnsi="Verdana" w:cs="Verdana"/>
          <w:bCs/>
          <w:kern w:val="1"/>
          <w:sz w:val="20"/>
          <w:szCs w:val="20"/>
          <w:lang w:val="es-ES" w:bidi="x-none"/>
        </w:rPr>
        <w:t xml:space="preserve"> detallaron que “[e]</w:t>
      </w:r>
      <w:proofErr w:type="spellStart"/>
      <w:r w:rsidR="00A10D2B" w:rsidRPr="00A15789">
        <w:rPr>
          <w:rFonts w:ascii="Verdana" w:eastAsia="Verdana" w:hAnsi="Verdana" w:cs="Verdana"/>
          <w:bCs/>
          <w:kern w:val="1"/>
          <w:sz w:val="20"/>
          <w:szCs w:val="20"/>
          <w:lang w:val="es-ES" w:bidi="x-none"/>
        </w:rPr>
        <w:t>fectivamente</w:t>
      </w:r>
      <w:proofErr w:type="spellEnd"/>
      <w:r w:rsidR="00A10D2B" w:rsidRPr="00A15789">
        <w:rPr>
          <w:rFonts w:ascii="Verdana" w:eastAsia="Verdana" w:hAnsi="Verdana" w:cs="Verdana"/>
          <w:bCs/>
          <w:kern w:val="1"/>
          <w:sz w:val="20"/>
          <w:szCs w:val="20"/>
          <w:lang w:val="es-ES" w:bidi="x-none"/>
        </w:rPr>
        <w:t xml:space="preserve"> […] se ha[</w:t>
      </w:r>
      <w:proofErr w:type="spellStart"/>
      <w:r w:rsidR="00A10D2B" w:rsidRPr="00A15789">
        <w:rPr>
          <w:rFonts w:ascii="Verdana" w:eastAsia="Verdana" w:hAnsi="Verdana" w:cs="Verdana"/>
          <w:bCs/>
          <w:kern w:val="1"/>
          <w:sz w:val="20"/>
          <w:szCs w:val="20"/>
          <w:lang w:val="es-ES" w:bidi="x-none"/>
        </w:rPr>
        <w:t>bía</w:t>
      </w:r>
      <w:proofErr w:type="spellEnd"/>
      <w:r w:rsidR="00A10D2B" w:rsidRPr="00A15789">
        <w:rPr>
          <w:rFonts w:ascii="Verdana" w:eastAsia="Verdana" w:hAnsi="Verdana" w:cs="Verdana"/>
          <w:bCs/>
          <w:kern w:val="1"/>
          <w:sz w:val="20"/>
          <w:szCs w:val="20"/>
          <w:lang w:val="es-ES" w:bidi="x-none"/>
        </w:rPr>
        <w:t>] depositado directamente en la cuenta bancaria del s[</w:t>
      </w:r>
      <w:proofErr w:type="spellStart"/>
      <w:r w:rsidR="00A10D2B" w:rsidRPr="00A15789">
        <w:rPr>
          <w:rFonts w:ascii="Verdana" w:eastAsia="Verdana" w:hAnsi="Verdana" w:cs="Verdana"/>
          <w:bCs/>
          <w:kern w:val="1"/>
          <w:sz w:val="20"/>
          <w:szCs w:val="20"/>
          <w:lang w:val="es-ES" w:bidi="x-none"/>
        </w:rPr>
        <w:t>eñor</w:t>
      </w:r>
      <w:proofErr w:type="spellEnd"/>
      <w:r w:rsidR="00A10D2B" w:rsidRPr="00A15789">
        <w:rPr>
          <w:rFonts w:ascii="Verdana" w:eastAsia="Verdana" w:hAnsi="Verdana" w:cs="Verdana"/>
          <w:bCs/>
          <w:kern w:val="1"/>
          <w:sz w:val="20"/>
          <w:szCs w:val="20"/>
          <w:lang w:val="es-ES" w:bidi="x-none"/>
        </w:rPr>
        <w:t xml:space="preserve">] </w:t>
      </w:r>
      <w:proofErr w:type="spellStart"/>
      <w:r w:rsidR="00A10D2B" w:rsidRPr="00A15789">
        <w:rPr>
          <w:rFonts w:ascii="Verdana" w:eastAsia="Verdana" w:hAnsi="Verdana" w:cs="Verdana"/>
          <w:bCs/>
          <w:kern w:val="1"/>
          <w:sz w:val="20"/>
          <w:szCs w:val="20"/>
          <w:lang w:val="es-ES" w:bidi="x-none"/>
        </w:rPr>
        <w:t>Gorigoitía</w:t>
      </w:r>
      <w:proofErr w:type="spellEnd"/>
      <w:r w:rsidR="00A10D2B" w:rsidRPr="00A15789">
        <w:rPr>
          <w:rFonts w:ascii="Verdana" w:eastAsia="Verdana" w:hAnsi="Verdana" w:cs="Verdana"/>
          <w:bCs/>
          <w:kern w:val="1"/>
          <w:sz w:val="20"/>
          <w:szCs w:val="20"/>
          <w:lang w:val="es-ES" w:bidi="x-none"/>
        </w:rPr>
        <w:t xml:space="preserve"> por parte de la Tesorería de la Provincia […] un importe relativo a ello”, pero que presentaron un reclamo “por [una] </w:t>
      </w:r>
      <w:r w:rsidR="00A10D2B" w:rsidRPr="00A15789">
        <w:rPr>
          <w:rFonts w:ascii="Verdana" w:eastAsia="Verdana" w:hAnsi="Verdana" w:cs="Verdana"/>
          <w:bCs/>
          <w:kern w:val="1"/>
          <w:sz w:val="20"/>
          <w:szCs w:val="20"/>
          <w:lang w:val="es-ES" w:bidi="x-none"/>
        </w:rPr>
        <w:lastRenderedPageBreak/>
        <w:t>variación del valor del dólar” entre la fecha de liquidación y la fecha de pago</w:t>
      </w:r>
      <w:r w:rsidR="00233F88">
        <w:rPr>
          <w:rFonts w:ascii="Verdana" w:eastAsia="Verdana" w:hAnsi="Verdana" w:cs="Verdana"/>
          <w:bCs/>
          <w:kern w:val="1"/>
          <w:sz w:val="20"/>
          <w:szCs w:val="20"/>
          <w:lang w:val="es-ES" w:bidi="x-none"/>
        </w:rPr>
        <w:t xml:space="preserve">; </w:t>
      </w:r>
      <w:r w:rsidR="00A10D2B" w:rsidRPr="00A15789">
        <w:rPr>
          <w:rFonts w:ascii="Verdana" w:eastAsia="Verdana" w:hAnsi="Verdana" w:cs="Verdana"/>
          <w:bCs/>
          <w:kern w:val="1"/>
          <w:sz w:val="20"/>
          <w:szCs w:val="20"/>
          <w:lang w:val="es-ES" w:bidi="x-none"/>
        </w:rPr>
        <w:t>que respecto de esa variación “le fue entregada [a la víctima] una suma adicional”</w:t>
      </w:r>
      <w:r w:rsidR="00233F88">
        <w:rPr>
          <w:rFonts w:ascii="Verdana" w:eastAsia="Verdana" w:hAnsi="Verdana" w:cs="Verdana"/>
          <w:bCs/>
          <w:kern w:val="1"/>
          <w:sz w:val="20"/>
          <w:szCs w:val="20"/>
          <w:lang w:val="es-ES" w:bidi="x-none"/>
        </w:rPr>
        <w:t>,</w:t>
      </w:r>
      <w:r w:rsidR="00A10D2B" w:rsidRPr="00A15789">
        <w:rPr>
          <w:rFonts w:ascii="Verdana" w:eastAsia="Verdana" w:hAnsi="Verdana" w:cs="Verdana"/>
          <w:bCs/>
          <w:kern w:val="1"/>
          <w:sz w:val="20"/>
          <w:szCs w:val="20"/>
          <w:lang w:val="es-ES" w:bidi="x-none"/>
        </w:rPr>
        <w:t xml:space="preserve"> y que “está en curso [la] final entrega” de una suma restante. Respecto al reintegro de costas y gastos afirmaron en sus escritos de diciembre de 2020 y febrero de 2021 que han dejado “constancia de la recepción de los honorarios debidamente” y que el “[e]l Estado ha cumplido con […] el pago de las costas”</w:t>
      </w:r>
      <w:r w:rsidR="00A10D2B" w:rsidRPr="00A15789">
        <w:rPr>
          <w:rStyle w:val="Refdenotaalpie"/>
          <w:rFonts w:ascii="Verdana" w:eastAsia="Verdana" w:hAnsi="Verdana" w:cs="Verdana"/>
          <w:bCs/>
          <w:kern w:val="1"/>
          <w:sz w:val="20"/>
          <w:szCs w:val="20"/>
          <w:lang w:val="es-ES" w:bidi="x-none"/>
        </w:rPr>
        <w:footnoteReference w:id="24"/>
      </w:r>
      <w:r w:rsidR="00A10D2B" w:rsidRPr="00A15789">
        <w:rPr>
          <w:rFonts w:ascii="Verdana" w:eastAsia="Verdana" w:hAnsi="Verdana" w:cs="Verdana"/>
          <w:bCs/>
          <w:kern w:val="1"/>
          <w:sz w:val="20"/>
          <w:szCs w:val="20"/>
          <w:lang w:val="es-ES" w:bidi="x-none"/>
        </w:rPr>
        <w:t xml:space="preserve">. No obstante, en el escrito de febrero de 2021 explicaron que “hasta la actualidad [se había realizado] </w:t>
      </w:r>
      <w:r w:rsidR="00233F88">
        <w:rPr>
          <w:rFonts w:ascii="Verdana" w:eastAsia="Verdana" w:hAnsi="Verdana" w:cs="Verdana"/>
          <w:bCs/>
          <w:kern w:val="1"/>
          <w:sz w:val="20"/>
          <w:szCs w:val="20"/>
          <w:lang w:val="es-ES" w:bidi="x-none"/>
        </w:rPr>
        <w:t>un pago parcial”; que se había hecho</w:t>
      </w:r>
      <w:r w:rsidR="00A10D2B" w:rsidRPr="00A15789">
        <w:rPr>
          <w:rFonts w:ascii="Verdana" w:eastAsia="Verdana" w:hAnsi="Verdana" w:cs="Verdana"/>
          <w:bCs/>
          <w:kern w:val="1"/>
          <w:sz w:val="20"/>
          <w:szCs w:val="20"/>
          <w:lang w:val="es-ES" w:bidi="x-none"/>
        </w:rPr>
        <w:t xml:space="preserve"> “una actualización debido a la fluctuación del valor del dólar americano entre la presentación y las fechas de pago</w:t>
      </w:r>
      <w:r w:rsidR="00233F88">
        <w:rPr>
          <w:rFonts w:ascii="Verdana" w:eastAsia="Verdana" w:hAnsi="Verdana" w:cs="Verdana"/>
          <w:bCs/>
          <w:kern w:val="1"/>
          <w:sz w:val="20"/>
          <w:szCs w:val="20"/>
          <w:lang w:val="es-ES" w:bidi="x-none"/>
        </w:rPr>
        <w:t>,</w:t>
      </w:r>
      <w:r w:rsidR="00A10D2B" w:rsidRPr="00A15789">
        <w:rPr>
          <w:rFonts w:ascii="Verdana" w:eastAsia="Verdana" w:hAnsi="Verdana" w:cs="Verdana"/>
          <w:bCs/>
          <w:kern w:val="1"/>
          <w:sz w:val="20"/>
          <w:szCs w:val="20"/>
          <w:lang w:val="es-ES" w:bidi="x-none"/>
        </w:rPr>
        <w:t xml:space="preserve"> y que “ésta pendiente una segunda actualización [por esta variación] que, […] el Estado aún no determina”.</w:t>
      </w:r>
      <w:r w:rsidR="00A10D2B" w:rsidRPr="00A15789">
        <w:rPr>
          <w:rFonts w:ascii="Verdana" w:eastAsia="Verdana" w:hAnsi="Verdana" w:cs="Verdana"/>
          <w:bCs/>
          <w:color w:val="7030A0"/>
          <w:kern w:val="1"/>
          <w:sz w:val="16"/>
          <w:szCs w:val="16"/>
          <w:lang w:val="es-ES" w:bidi="x-none"/>
        </w:rPr>
        <w:t xml:space="preserve"> </w:t>
      </w:r>
    </w:p>
    <w:p w14:paraId="5BFB4F1C" w14:textId="793E7323" w:rsidR="001F24FA" w:rsidRPr="00A15789" w:rsidRDefault="00D01EF3" w:rsidP="00A10D2B">
      <w:pPr>
        <w:pStyle w:val="Prrafodelista"/>
        <w:numPr>
          <w:ilvl w:val="0"/>
          <w:numId w:val="3"/>
        </w:numPr>
        <w:spacing w:before="120" w:after="120"/>
        <w:ind w:left="0" w:firstLine="0"/>
        <w:jc w:val="both"/>
        <w:rPr>
          <w:rFonts w:ascii="Verdana" w:eastAsia="Verdana" w:hAnsi="Verdana" w:cs="Verdana"/>
          <w:bCs/>
          <w:kern w:val="1"/>
          <w:sz w:val="20"/>
          <w:szCs w:val="20"/>
          <w:lang w:val="es-ES" w:bidi="x-none"/>
        </w:rPr>
      </w:pPr>
      <w:r w:rsidRPr="00A15789">
        <w:rPr>
          <w:rFonts w:ascii="Verdana" w:hAnsi="Verdana"/>
          <w:sz w:val="20"/>
          <w:szCs w:val="20"/>
        </w:rPr>
        <w:t xml:space="preserve">Siguiendo instrucciones de la </w:t>
      </w:r>
      <w:proofErr w:type="gramStart"/>
      <w:r w:rsidRPr="00A15789">
        <w:rPr>
          <w:rFonts w:ascii="Verdana" w:hAnsi="Verdana"/>
          <w:sz w:val="20"/>
          <w:szCs w:val="20"/>
        </w:rPr>
        <w:t>Presidenta</w:t>
      </w:r>
      <w:proofErr w:type="gramEnd"/>
      <w:r w:rsidRPr="00A15789">
        <w:rPr>
          <w:rFonts w:ascii="Verdana" w:hAnsi="Verdana"/>
          <w:sz w:val="20"/>
          <w:szCs w:val="20"/>
        </w:rPr>
        <w:t xml:space="preserve"> del Tribunal, mediante nota de la Secretaría de la Corte</w:t>
      </w:r>
      <w:r w:rsidR="00A10D2B" w:rsidRPr="00A15789">
        <w:rPr>
          <w:rFonts w:ascii="Verdana" w:hAnsi="Verdana"/>
          <w:sz w:val="20"/>
          <w:szCs w:val="20"/>
        </w:rPr>
        <w:t xml:space="preserve"> de 19 de febrero de 2021,</w:t>
      </w:r>
      <w:r w:rsidRPr="00A15789">
        <w:rPr>
          <w:rFonts w:ascii="Verdana" w:hAnsi="Verdana"/>
          <w:sz w:val="20"/>
          <w:szCs w:val="20"/>
        </w:rPr>
        <w:t xml:space="preserve"> se solicitó al Estado que “</w:t>
      </w:r>
      <w:proofErr w:type="spellStart"/>
      <w:r w:rsidRPr="00A15789">
        <w:rPr>
          <w:rFonts w:ascii="Verdana" w:hAnsi="Verdana" w:cs="Verdana"/>
          <w:sz w:val="20"/>
          <w:szCs w:val="20"/>
        </w:rPr>
        <w:t>present</w:t>
      </w:r>
      <w:proofErr w:type="spellEnd"/>
      <w:r w:rsidRPr="00A15789">
        <w:rPr>
          <w:rFonts w:ascii="Verdana" w:hAnsi="Verdana" w:cs="Verdana"/>
          <w:sz w:val="20"/>
          <w:szCs w:val="20"/>
        </w:rPr>
        <w:t>[ara] una aclaración e información detallada en cuanto a lo alegado por [los] representante[s] respecto de los pagos parciales de la indemnización […] y del reintegro de costas y gastos […], ya que en su informe de 26 de noviembre de 2020 sostuvo que “se ha</w:t>
      </w:r>
      <w:r w:rsidR="00CA2BF7">
        <w:rPr>
          <w:rFonts w:ascii="Verdana" w:hAnsi="Verdana" w:cs="Verdana"/>
          <w:sz w:val="20"/>
          <w:szCs w:val="20"/>
        </w:rPr>
        <w:t>[</w:t>
      </w:r>
      <w:proofErr w:type="spellStart"/>
      <w:r w:rsidR="00CA2BF7">
        <w:rPr>
          <w:rFonts w:ascii="Verdana" w:hAnsi="Verdana" w:cs="Verdana"/>
          <w:sz w:val="20"/>
          <w:szCs w:val="20"/>
        </w:rPr>
        <w:t>bía</w:t>
      </w:r>
      <w:proofErr w:type="spellEnd"/>
      <w:r w:rsidR="00CA2BF7">
        <w:rPr>
          <w:rFonts w:ascii="Verdana" w:hAnsi="Verdana" w:cs="Verdana"/>
          <w:sz w:val="20"/>
          <w:szCs w:val="20"/>
        </w:rPr>
        <w:t>]</w:t>
      </w:r>
      <w:r w:rsidRPr="00A15789">
        <w:rPr>
          <w:rFonts w:ascii="Verdana" w:hAnsi="Verdana" w:cs="Verdana"/>
          <w:sz w:val="20"/>
          <w:szCs w:val="20"/>
        </w:rPr>
        <w:t xml:space="preserve"> dado cumplimiento” a estas medidas</w:t>
      </w:r>
      <w:r w:rsidRPr="00A15789">
        <w:rPr>
          <w:rStyle w:val="Refdenotaalpie"/>
          <w:rFonts w:ascii="Verdana" w:eastAsia="Verdana" w:hAnsi="Verdana" w:cs="Verdana"/>
          <w:bCs/>
          <w:kern w:val="1"/>
          <w:sz w:val="20"/>
          <w:szCs w:val="20"/>
          <w:lang w:val="es-ES" w:bidi="x-none"/>
        </w:rPr>
        <w:footnoteReference w:id="25"/>
      </w:r>
      <w:r w:rsidRPr="00A15789">
        <w:rPr>
          <w:rFonts w:ascii="Verdana" w:hAnsi="Verdana"/>
          <w:sz w:val="20"/>
          <w:szCs w:val="20"/>
        </w:rPr>
        <w:t xml:space="preserve">. </w:t>
      </w:r>
      <w:r w:rsidR="009C0B09" w:rsidRPr="00A15789">
        <w:rPr>
          <w:rFonts w:ascii="Verdana" w:eastAsia="Verdana" w:hAnsi="Verdana" w:cs="Verdana"/>
          <w:bCs/>
          <w:kern w:val="1"/>
          <w:sz w:val="20"/>
          <w:szCs w:val="20"/>
          <w:lang w:val="es-ES" w:bidi="x-none"/>
        </w:rPr>
        <w:t xml:space="preserve">Al presentar </w:t>
      </w:r>
      <w:r w:rsidR="00A10D2B" w:rsidRPr="00A15789">
        <w:rPr>
          <w:rFonts w:ascii="Verdana" w:eastAsia="Verdana" w:hAnsi="Verdana" w:cs="Verdana"/>
          <w:bCs/>
          <w:kern w:val="1"/>
          <w:sz w:val="20"/>
          <w:szCs w:val="20"/>
          <w:lang w:val="es-ES" w:bidi="x-none"/>
        </w:rPr>
        <w:t xml:space="preserve">la </w:t>
      </w:r>
      <w:r w:rsidR="009C0B09" w:rsidRPr="00A15789">
        <w:rPr>
          <w:rFonts w:ascii="Verdana" w:eastAsia="Verdana" w:hAnsi="Verdana" w:cs="Verdana"/>
          <w:bCs/>
          <w:kern w:val="1"/>
          <w:sz w:val="20"/>
          <w:szCs w:val="20"/>
          <w:lang w:val="es-ES" w:bidi="x-none"/>
        </w:rPr>
        <w:t xml:space="preserve">aclaración sobre estas observaciones, el Estado aportó el 27 de febrero de 2021 un oficio del Gobierno de la Provincia de Mendoza en el cual se indica </w:t>
      </w:r>
      <w:r w:rsidR="0059366E" w:rsidRPr="00A15789">
        <w:rPr>
          <w:rFonts w:ascii="Verdana" w:eastAsia="Verdana" w:hAnsi="Verdana" w:cs="Verdana"/>
          <w:bCs/>
          <w:kern w:val="1"/>
          <w:sz w:val="20"/>
          <w:szCs w:val="20"/>
          <w:lang w:val="es-ES" w:bidi="x-none"/>
        </w:rPr>
        <w:t>que</w:t>
      </w:r>
      <w:r w:rsidR="00CA2BF7">
        <w:rPr>
          <w:rFonts w:ascii="Verdana" w:eastAsia="Verdana" w:hAnsi="Verdana" w:cs="Verdana"/>
          <w:bCs/>
          <w:kern w:val="1"/>
          <w:sz w:val="20"/>
          <w:szCs w:val="20"/>
          <w:lang w:val="es-ES" w:bidi="x-none"/>
        </w:rPr>
        <w:t>,</w:t>
      </w:r>
      <w:r w:rsidR="0059366E" w:rsidRPr="00A15789">
        <w:rPr>
          <w:rFonts w:ascii="Verdana" w:eastAsia="Verdana" w:hAnsi="Verdana" w:cs="Verdana"/>
          <w:b/>
          <w:bCs/>
          <w:kern w:val="1"/>
          <w:sz w:val="20"/>
          <w:szCs w:val="20"/>
          <w:lang w:val="es-ES" w:bidi="x-none"/>
        </w:rPr>
        <w:t xml:space="preserve"> </w:t>
      </w:r>
      <w:r w:rsidR="0059366E" w:rsidRPr="00A15789">
        <w:rPr>
          <w:rFonts w:ascii="Verdana" w:eastAsia="Verdana" w:hAnsi="Verdana" w:cs="Verdana"/>
          <w:bCs/>
          <w:kern w:val="1"/>
          <w:sz w:val="20"/>
          <w:szCs w:val="20"/>
          <w:lang w:val="es-ES" w:bidi="x-none"/>
        </w:rPr>
        <w:t xml:space="preserve">“debido a la mora en el trámite administrativo de pago desde el momento de su liquidación […] y el efectivo pago por parte de Tesorería [de la Provincia de Mendoza], devino al pago en parcial sumado a la fluctuación del precio de la divisa norteamericana” y que, </w:t>
      </w:r>
      <w:r w:rsidR="009C0B09" w:rsidRPr="00A15789">
        <w:rPr>
          <w:rFonts w:ascii="Verdana" w:eastAsia="Verdana" w:hAnsi="Verdana" w:cs="Verdana"/>
          <w:bCs/>
          <w:kern w:val="1"/>
          <w:sz w:val="20"/>
          <w:szCs w:val="20"/>
          <w:lang w:val="es-ES" w:bidi="x-none"/>
        </w:rPr>
        <w:t>“</w:t>
      </w:r>
      <w:r w:rsidR="0059366E" w:rsidRPr="00A15789">
        <w:rPr>
          <w:rFonts w:ascii="Verdana" w:eastAsia="Verdana" w:hAnsi="Verdana" w:cs="Verdana"/>
          <w:bCs/>
          <w:kern w:val="1"/>
          <w:sz w:val="20"/>
          <w:szCs w:val="20"/>
          <w:lang w:val="es-ES" w:bidi="x-none"/>
        </w:rPr>
        <w:t xml:space="preserve">a </w:t>
      </w:r>
      <w:r w:rsidR="009C0B09" w:rsidRPr="00A15789">
        <w:rPr>
          <w:rFonts w:ascii="Verdana" w:eastAsia="Verdana" w:hAnsi="Verdana" w:cs="Verdana"/>
          <w:bCs/>
          <w:kern w:val="1"/>
          <w:sz w:val="20"/>
          <w:szCs w:val="20"/>
          <w:lang w:val="es-ES" w:bidi="x-none"/>
        </w:rPr>
        <w:t xml:space="preserve">los </w:t>
      </w:r>
      <w:r w:rsidR="0059366E" w:rsidRPr="00A15789">
        <w:rPr>
          <w:rFonts w:ascii="Verdana" w:eastAsia="Verdana" w:hAnsi="Verdana" w:cs="Verdana"/>
          <w:bCs/>
          <w:kern w:val="1"/>
          <w:sz w:val="20"/>
          <w:szCs w:val="20"/>
          <w:lang w:val="es-ES" w:bidi="x-none"/>
        </w:rPr>
        <w:t>efecto</w:t>
      </w:r>
      <w:r w:rsidR="009C0B09" w:rsidRPr="00A15789">
        <w:rPr>
          <w:rFonts w:ascii="Verdana" w:eastAsia="Verdana" w:hAnsi="Verdana" w:cs="Verdana"/>
          <w:bCs/>
          <w:kern w:val="1"/>
          <w:sz w:val="20"/>
          <w:szCs w:val="20"/>
          <w:lang w:val="es-ES" w:bidi="x-none"/>
        </w:rPr>
        <w:t>s</w:t>
      </w:r>
      <w:r w:rsidR="0059366E" w:rsidRPr="00A15789">
        <w:rPr>
          <w:rFonts w:ascii="Verdana" w:eastAsia="Verdana" w:hAnsi="Verdana" w:cs="Verdana"/>
          <w:bCs/>
          <w:kern w:val="1"/>
          <w:sz w:val="20"/>
          <w:szCs w:val="20"/>
          <w:lang w:val="es-ES" w:bidi="x-none"/>
        </w:rPr>
        <w:t xml:space="preserve"> de cumplir con </w:t>
      </w:r>
      <w:r w:rsidR="009C0B09" w:rsidRPr="00A15789">
        <w:rPr>
          <w:rFonts w:ascii="Verdana" w:eastAsia="Verdana" w:hAnsi="Verdana" w:cs="Verdana"/>
          <w:bCs/>
          <w:kern w:val="1"/>
          <w:sz w:val="20"/>
          <w:szCs w:val="20"/>
          <w:lang w:val="es-ES" w:bidi="x-none"/>
        </w:rPr>
        <w:t>lo ordenado en [</w:t>
      </w:r>
      <w:r w:rsidR="0059366E" w:rsidRPr="00A15789">
        <w:rPr>
          <w:rFonts w:ascii="Verdana" w:eastAsia="Verdana" w:hAnsi="Verdana" w:cs="Verdana"/>
          <w:bCs/>
          <w:kern w:val="1"/>
          <w:sz w:val="20"/>
          <w:szCs w:val="20"/>
          <w:lang w:val="es-ES" w:bidi="x-none"/>
        </w:rPr>
        <w:t>la Sentencia</w:t>
      </w:r>
      <w:r w:rsidR="009C0B09" w:rsidRPr="00A15789">
        <w:rPr>
          <w:rFonts w:ascii="Verdana" w:eastAsia="Verdana" w:hAnsi="Verdana" w:cs="Verdana"/>
          <w:bCs/>
          <w:kern w:val="1"/>
          <w:sz w:val="20"/>
          <w:szCs w:val="20"/>
          <w:lang w:val="es-ES" w:bidi="x-none"/>
        </w:rPr>
        <w:t>]</w:t>
      </w:r>
      <w:r w:rsidR="0059366E" w:rsidRPr="00A15789">
        <w:rPr>
          <w:rFonts w:ascii="Verdana" w:eastAsia="Verdana" w:hAnsi="Verdana" w:cs="Verdana"/>
          <w:bCs/>
          <w:kern w:val="1"/>
          <w:sz w:val="20"/>
          <w:szCs w:val="20"/>
          <w:lang w:val="es-ES" w:bidi="x-none"/>
        </w:rPr>
        <w:t xml:space="preserve">, ya se </w:t>
      </w:r>
      <w:r w:rsidR="009C0B09" w:rsidRPr="00A15789">
        <w:rPr>
          <w:rFonts w:ascii="Verdana" w:eastAsia="Verdana" w:hAnsi="Verdana" w:cs="Verdana"/>
          <w:bCs/>
          <w:kern w:val="1"/>
          <w:sz w:val="20"/>
          <w:szCs w:val="20"/>
          <w:lang w:val="es-ES" w:bidi="x-none"/>
        </w:rPr>
        <w:t>abonó</w:t>
      </w:r>
      <w:r w:rsidR="0059366E" w:rsidRPr="00A15789">
        <w:rPr>
          <w:rFonts w:ascii="Verdana" w:eastAsia="Verdana" w:hAnsi="Verdana" w:cs="Verdana"/>
          <w:bCs/>
          <w:kern w:val="1"/>
          <w:sz w:val="20"/>
          <w:szCs w:val="20"/>
          <w:lang w:val="es-ES" w:bidi="x-none"/>
        </w:rPr>
        <w:t xml:space="preserve"> una actualización y se encontraba tramitando </w:t>
      </w:r>
      <w:r w:rsidR="00605B62" w:rsidRPr="00A15789">
        <w:rPr>
          <w:rFonts w:ascii="Verdana" w:eastAsia="Verdana" w:hAnsi="Verdana" w:cs="Verdana"/>
          <w:bCs/>
          <w:kern w:val="1"/>
          <w:sz w:val="20"/>
          <w:szCs w:val="20"/>
          <w:lang w:val="es-ES" w:bidi="x-none"/>
        </w:rPr>
        <w:t>una tercera”</w:t>
      </w:r>
      <w:r w:rsidR="0059366E" w:rsidRPr="00A15789">
        <w:rPr>
          <w:rFonts w:ascii="Verdana" w:eastAsia="Verdana" w:hAnsi="Verdana" w:cs="Verdana"/>
          <w:bCs/>
          <w:kern w:val="1"/>
          <w:sz w:val="20"/>
          <w:szCs w:val="20"/>
          <w:lang w:val="es-ES" w:bidi="x-none"/>
        </w:rPr>
        <w:t xml:space="preserve">. </w:t>
      </w:r>
      <w:r w:rsidR="00A80BAB" w:rsidRPr="00A15789">
        <w:rPr>
          <w:rFonts w:ascii="Verdana" w:eastAsia="Verdana" w:hAnsi="Verdana" w:cs="Verdana"/>
          <w:bCs/>
          <w:kern w:val="1"/>
          <w:sz w:val="20"/>
          <w:szCs w:val="20"/>
          <w:lang w:val="es-ES" w:bidi="x-none"/>
        </w:rPr>
        <w:t>Con posterioridad a febrero, el Estado no ha aportado información adicional sobre el pago restante.</w:t>
      </w:r>
    </w:p>
    <w:p w14:paraId="48807576" w14:textId="1822A392" w:rsidR="002367BC" w:rsidRPr="00A15789" w:rsidRDefault="002367BC" w:rsidP="00A10D2B">
      <w:pPr>
        <w:pStyle w:val="Prrafodelista"/>
        <w:numPr>
          <w:ilvl w:val="0"/>
          <w:numId w:val="3"/>
        </w:numPr>
        <w:spacing w:before="120" w:after="120"/>
        <w:ind w:left="0" w:firstLine="0"/>
        <w:jc w:val="both"/>
        <w:rPr>
          <w:rFonts w:ascii="Verdana" w:eastAsia="Verdana" w:hAnsi="Verdana" w:cs="Verdana"/>
          <w:bCs/>
          <w:kern w:val="1"/>
          <w:sz w:val="20"/>
          <w:szCs w:val="20"/>
          <w:lang w:val="es-ES" w:bidi="x-none"/>
        </w:rPr>
      </w:pPr>
      <w:r w:rsidRPr="00A15789">
        <w:rPr>
          <w:rFonts w:ascii="Verdana" w:eastAsia="Verdana" w:hAnsi="Verdana" w:cs="Verdana"/>
          <w:bCs/>
          <w:kern w:val="1"/>
          <w:sz w:val="20"/>
          <w:szCs w:val="20"/>
          <w:lang w:val="es-ES" w:bidi="x-none"/>
        </w:rPr>
        <w:t>Con base en lo informado por las partes</w:t>
      </w:r>
      <w:r w:rsidR="00BB378E" w:rsidRPr="00A15789">
        <w:rPr>
          <w:rFonts w:ascii="Verdana" w:eastAsia="Verdana" w:hAnsi="Verdana" w:cs="Verdana"/>
          <w:bCs/>
          <w:kern w:val="1"/>
          <w:sz w:val="20"/>
          <w:szCs w:val="20"/>
          <w:lang w:val="es-ES" w:bidi="x-none"/>
        </w:rPr>
        <w:t xml:space="preserve">, la </w:t>
      </w:r>
      <w:r w:rsidR="00A10D2B" w:rsidRPr="00A15789">
        <w:rPr>
          <w:rFonts w:ascii="Verdana" w:eastAsia="Verdana" w:hAnsi="Verdana" w:cs="Verdana"/>
          <w:bCs/>
          <w:kern w:val="1"/>
          <w:sz w:val="20"/>
          <w:szCs w:val="20"/>
          <w:lang w:val="es-ES" w:bidi="x-none"/>
        </w:rPr>
        <w:t xml:space="preserve">constata que el Estado </w:t>
      </w:r>
      <w:r w:rsidRPr="00A15789">
        <w:rPr>
          <w:rFonts w:ascii="Verdana" w:eastAsia="Verdana" w:hAnsi="Verdana" w:cs="Verdana"/>
          <w:bCs/>
          <w:kern w:val="1"/>
          <w:sz w:val="20"/>
          <w:szCs w:val="20"/>
          <w:lang w:val="es-ES" w:bidi="x-none"/>
        </w:rPr>
        <w:t>efectuó un</w:t>
      </w:r>
      <w:r w:rsidR="00A10D2B" w:rsidRPr="00A15789">
        <w:rPr>
          <w:rFonts w:ascii="Verdana" w:eastAsia="Verdana" w:hAnsi="Verdana" w:cs="Verdana"/>
          <w:bCs/>
          <w:kern w:val="1"/>
          <w:sz w:val="20"/>
          <w:szCs w:val="20"/>
          <w:lang w:val="es-ES" w:bidi="x-none"/>
        </w:rPr>
        <w:t xml:space="preserve"> pago </w:t>
      </w:r>
      <w:r w:rsidRPr="00A15789">
        <w:rPr>
          <w:rFonts w:ascii="Verdana" w:eastAsia="Verdana" w:hAnsi="Verdana" w:cs="Verdana"/>
          <w:bCs/>
          <w:kern w:val="1"/>
          <w:sz w:val="20"/>
          <w:szCs w:val="20"/>
          <w:lang w:val="es-ES" w:bidi="x-none"/>
        </w:rPr>
        <w:t xml:space="preserve">al señor </w:t>
      </w:r>
      <w:proofErr w:type="spellStart"/>
      <w:r w:rsidRPr="00A15789">
        <w:rPr>
          <w:rFonts w:ascii="Verdana" w:eastAsia="Verdana" w:hAnsi="Verdana" w:cs="Verdana"/>
          <w:bCs/>
          <w:kern w:val="1"/>
          <w:sz w:val="20"/>
          <w:szCs w:val="20"/>
          <w:lang w:val="es-ES" w:bidi="x-none"/>
        </w:rPr>
        <w:t>Gorigoitía</w:t>
      </w:r>
      <w:proofErr w:type="spellEnd"/>
      <w:r w:rsidR="00A10D2B" w:rsidRPr="00A15789">
        <w:rPr>
          <w:rFonts w:ascii="Verdana" w:eastAsia="Verdana" w:hAnsi="Verdana" w:cs="Verdana"/>
          <w:bCs/>
          <w:kern w:val="1"/>
          <w:sz w:val="20"/>
          <w:szCs w:val="20"/>
          <w:lang w:val="es-ES" w:bidi="x-none"/>
        </w:rPr>
        <w:t xml:space="preserve"> por concepto de </w:t>
      </w:r>
      <w:r w:rsidR="00A10D2B" w:rsidRPr="00A15789">
        <w:rPr>
          <w:rFonts w:ascii="Verdana" w:hAnsi="Verdana"/>
          <w:sz w:val="20"/>
          <w:szCs w:val="20"/>
        </w:rPr>
        <w:t>la indemnización por daño inmaterial</w:t>
      </w:r>
      <w:r w:rsidRPr="00A15789">
        <w:rPr>
          <w:rFonts w:ascii="Verdana" w:hAnsi="Verdana"/>
          <w:sz w:val="20"/>
          <w:szCs w:val="20"/>
        </w:rPr>
        <w:t xml:space="preserve"> </w:t>
      </w:r>
      <w:r w:rsidR="00233F88">
        <w:rPr>
          <w:rFonts w:ascii="Verdana" w:hAnsi="Verdana"/>
          <w:sz w:val="20"/>
          <w:szCs w:val="20"/>
        </w:rPr>
        <w:t xml:space="preserve">y </w:t>
      </w:r>
      <w:r w:rsidRPr="00A15789">
        <w:rPr>
          <w:rFonts w:ascii="Verdana" w:hAnsi="Verdana"/>
          <w:sz w:val="20"/>
          <w:szCs w:val="20"/>
        </w:rPr>
        <w:t>pagos por concepto de reintegro de costas y gastos a dos de los tres representantes de la víctima que actuaron durante la etapa contenciosa de este caso</w:t>
      </w:r>
      <w:r w:rsidRPr="00A15789">
        <w:rPr>
          <w:rStyle w:val="Refdenotaalpie"/>
          <w:rFonts w:ascii="Verdana" w:hAnsi="Verdana"/>
          <w:sz w:val="20"/>
          <w:szCs w:val="20"/>
        </w:rPr>
        <w:footnoteReference w:id="26"/>
      </w:r>
      <w:r w:rsidR="00A10D47" w:rsidRPr="00A15789">
        <w:rPr>
          <w:rFonts w:ascii="Verdana" w:hAnsi="Verdana"/>
          <w:sz w:val="20"/>
          <w:szCs w:val="20"/>
        </w:rPr>
        <w:t xml:space="preserve"> y que, tal como lo reconoció el Estado</w:t>
      </w:r>
      <w:r w:rsidR="00233F88">
        <w:rPr>
          <w:rFonts w:ascii="Verdana" w:hAnsi="Verdana"/>
          <w:sz w:val="20"/>
          <w:szCs w:val="20"/>
        </w:rPr>
        <w:t>, estos pagos serían parciales, ya que</w:t>
      </w:r>
      <w:r w:rsidR="00A10D47" w:rsidRPr="00A15789">
        <w:rPr>
          <w:rFonts w:ascii="Verdana" w:hAnsi="Verdana"/>
          <w:sz w:val="20"/>
          <w:szCs w:val="20"/>
        </w:rPr>
        <w:t xml:space="preserve"> se encuentra aún pendiente </w:t>
      </w:r>
      <w:r w:rsidR="00DE5D25">
        <w:rPr>
          <w:rFonts w:ascii="Verdana" w:hAnsi="Verdana"/>
          <w:sz w:val="20"/>
          <w:szCs w:val="20"/>
        </w:rPr>
        <w:t xml:space="preserve">pagar </w:t>
      </w:r>
      <w:r w:rsidR="00A10D47" w:rsidRPr="00A15789">
        <w:rPr>
          <w:rFonts w:ascii="Verdana" w:hAnsi="Verdana"/>
          <w:sz w:val="20"/>
          <w:szCs w:val="20"/>
        </w:rPr>
        <w:t>a la víctima y representantes un monto por concepto de un diferencial cambiario</w:t>
      </w:r>
      <w:r w:rsidRPr="00A15789">
        <w:rPr>
          <w:rFonts w:ascii="Verdana" w:hAnsi="Verdana"/>
          <w:sz w:val="20"/>
          <w:szCs w:val="20"/>
        </w:rPr>
        <w:t xml:space="preserve">. </w:t>
      </w:r>
      <w:r w:rsidR="00A15789" w:rsidRPr="00A15789">
        <w:rPr>
          <w:rFonts w:ascii="Verdana" w:hAnsi="Verdana"/>
          <w:sz w:val="20"/>
          <w:szCs w:val="20"/>
        </w:rPr>
        <w:t>En cuanto a los pagos que se realizaron por concepto del reintegro de costas y gastos, la Corte recuerda que e</w:t>
      </w:r>
      <w:r w:rsidRPr="00A15789">
        <w:rPr>
          <w:rFonts w:ascii="Verdana" w:hAnsi="Verdana"/>
          <w:sz w:val="20"/>
          <w:szCs w:val="20"/>
        </w:rPr>
        <w:t xml:space="preserve">n la Sentencia se ordenó que el monto fijado por este concepto </w:t>
      </w:r>
      <w:r w:rsidRPr="00A15789">
        <w:rPr>
          <w:rFonts w:ascii="Verdana" w:eastAsia="Verdana" w:hAnsi="Verdana" w:cs="Verdana"/>
          <w:bCs/>
          <w:kern w:val="1"/>
          <w:sz w:val="20"/>
          <w:szCs w:val="20"/>
          <w:lang w:val="es-ES" w:bidi="x-none"/>
        </w:rPr>
        <w:t>fuera “dividid[o] entre los representantes” (</w:t>
      </w:r>
      <w:r w:rsidRPr="00A15789">
        <w:rPr>
          <w:rFonts w:ascii="Verdana" w:eastAsia="Verdana" w:hAnsi="Verdana" w:cs="Verdana"/>
          <w:bCs/>
          <w:i/>
          <w:kern w:val="1"/>
          <w:sz w:val="20"/>
          <w:szCs w:val="20"/>
          <w:lang w:val="es-ES" w:bidi="x-none"/>
        </w:rPr>
        <w:t>supra</w:t>
      </w:r>
      <w:r w:rsidRPr="00A15789">
        <w:rPr>
          <w:rFonts w:ascii="Verdana" w:eastAsia="Verdana" w:hAnsi="Verdana" w:cs="Verdana"/>
          <w:bCs/>
          <w:kern w:val="1"/>
          <w:sz w:val="20"/>
          <w:szCs w:val="20"/>
          <w:lang w:val="es-ES" w:bidi="x-none"/>
        </w:rPr>
        <w:t xml:space="preserve"> nota al pie 21). </w:t>
      </w:r>
      <w:r w:rsidR="00A15789" w:rsidRPr="00A15789">
        <w:rPr>
          <w:rFonts w:ascii="Verdana" w:eastAsia="Verdana" w:hAnsi="Verdana" w:cs="Verdana"/>
          <w:bCs/>
          <w:kern w:val="1"/>
          <w:sz w:val="20"/>
          <w:szCs w:val="20"/>
          <w:lang w:val="es-ES" w:bidi="x-none"/>
        </w:rPr>
        <w:t>No obstante, d</w:t>
      </w:r>
      <w:r w:rsidRPr="00A15789">
        <w:rPr>
          <w:rFonts w:ascii="Verdana" w:eastAsia="Verdana" w:hAnsi="Verdana" w:cs="Verdana"/>
          <w:bCs/>
          <w:kern w:val="1"/>
          <w:sz w:val="20"/>
          <w:szCs w:val="20"/>
          <w:lang w:val="es-ES" w:bidi="x-none"/>
        </w:rPr>
        <w:t xml:space="preserve">e lo informado por </w:t>
      </w:r>
      <w:r w:rsidR="00DE5D25">
        <w:rPr>
          <w:rFonts w:ascii="Verdana" w:eastAsia="Verdana" w:hAnsi="Verdana" w:cs="Verdana"/>
          <w:bCs/>
          <w:kern w:val="1"/>
          <w:sz w:val="20"/>
          <w:szCs w:val="20"/>
          <w:lang w:val="es-ES" w:bidi="x-none"/>
        </w:rPr>
        <w:t>el Estado y no objetado por los representantes</w:t>
      </w:r>
      <w:r w:rsidR="00CA2BF7">
        <w:rPr>
          <w:rFonts w:ascii="Verdana" w:eastAsia="Verdana" w:hAnsi="Verdana" w:cs="Verdana"/>
          <w:bCs/>
          <w:kern w:val="1"/>
          <w:sz w:val="20"/>
          <w:szCs w:val="20"/>
          <w:lang w:val="es-ES" w:bidi="x-none"/>
        </w:rPr>
        <w:t>,</w:t>
      </w:r>
      <w:r w:rsidRPr="00A15789">
        <w:rPr>
          <w:rFonts w:ascii="Verdana" w:eastAsia="Verdana" w:hAnsi="Verdana" w:cs="Verdana"/>
          <w:bCs/>
          <w:kern w:val="1"/>
          <w:sz w:val="20"/>
          <w:szCs w:val="20"/>
          <w:lang w:val="es-ES" w:bidi="x-none"/>
        </w:rPr>
        <w:t xml:space="preserve"> se deduce que el monto total de US$15,000 fue distribuido entre </w:t>
      </w:r>
      <w:r w:rsidR="00DE5D25">
        <w:rPr>
          <w:rFonts w:ascii="Verdana" w:eastAsia="Verdana" w:hAnsi="Verdana" w:cs="Verdana"/>
          <w:bCs/>
          <w:kern w:val="1"/>
          <w:sz w:val="20"/>
          <w:szCs w:val="20"/>
          <w:lang w:val="es-ES" w:bidi="x-none"/>
        </w:rPr>
        <w:t>los señores</w:t>
      </w:r>
      <w:r w:rsidRPr="00A15789">
        <w:rPr>
          <w:rFonts w:ascii="Verdana" w:eastAsia="Verdana" w:hAnsi="Verdana" w:cs="Verdana"/>
          <w:bCs/>
          <w:kern w:val="1"/>
          <w:sz w:val="20"/>
          <w:szCs w:val="20"/>
          <w:lang w:val="es-ES" w:bidi="x-none"/>
        </w:rPr>
        <w:t xml:space="preserve"> Carlos Varela y Alejandro Acosta y que no se debía pagar monto alguno al señor </w:t>
      </w:r>
      <w:r w:rsidRPr="00A15789">
        <w:rPr>
          <w:rFonts w:ascii="Verdana" w:hAnsi="Verdana"/>
          <w:sz w:val="20"/>
          <w:szCs w:val="20"/>
        </w:rPr>
        <w:t xml:space="preserve">Pablo </w:t>
      </w:r>
      <w:proofErr w:type="spellStart"/>
      <w:r w:rsidRPr="00A15789">
        <w:rPr>
          <w:rFonts w:ascii="Verdana" w:hAnsi="Verdana"/>
          <w:sz w:val="20"/>
          <w:szCs w:val="20"/>
        </w:rPr>
        <w:t>Donnángelo</w:t>
      </w:r>
      <w:proofErr w:type="spellEnd"/>
      <w:r w:rsidRPr="00A15789">
        <w:rPr>
          <w:rFonts w:ascii="Verdana" w:hAnsi="Verdana"/>
          <w:sz w:val="20"/>
          <w:szCs w:val="20"/>
        </w:rPr>
        <w:t>.</w:t>
      </w:r>
    </w:p>
    <w:p w14:paraId="66EBF53A" w14:textId="205474A1" w:rsidR="00BB378E" w:rsidRPr="00A15789" w:rsidRDefault="002367BC" w:rsidP="00A10D2B">
      <w:pPr>
        <w:pStyle w:val="Prrafodelista"/>
        <w:numPr>
          <w:ilvl w:val="0"/>
          <w:numId w:val="3"/>
        </w:numPr>
        <w:spacing w:before="120" w:after="120"/>
        <w:ind w:left="0" w:firstLine="0"/>
        <w:jc w:val="both"/>
        <w:rPr>
          <w:rFonts w:ascii="Verdana" w:eastAsia="Verdana" w:hAnsi="Verdana" w:cs="Verdana"/>
          <w:bCs/>
          <w:kern w:val="1"/>
          <w:sz w:val="20"/>
          <w:szCs w:val="20"/>
          <w:lang w:val="es-ES" w:bidi="x-none"/>
        </w:rPr>
      </w:pPr>
      <w:r w:rsidRPr="00A15789">
        <w:rPr>
          <w:rFonts w:ascii="Verdana" w:eastAsia="Verdana" w:hAnsi="Verdana" w:cs="Verdana"/>
          <w:bCs/>
          <w:kern w:val="1"/>
          <w:sz w:val="20"/>
          <w:szCs w:val="20"/>
          <w:lang w:val="es-ES" w:bidi="x-none"/>
        </w:rPr>
        <w:t xml:space="preserve">En virtud de lo anterior, la </w:t>
      </w:r>
      <w:r w:rsidR="00BB378E" w:rsidRPr="00A15789">
        <w:rPr>
          <w:rFonts w:ascii="Verdana" w:eastAsia="Verdana" w:hAnsi="Verdana" w:cs="Verdana"/>
          <w:bCs/>
          <w:kern w:val="1"/>
          <w:sz w:val="20"/>
          <w:szCs w:val="20"/>
          <w:lang w:val="es-ES" w:bidi="x-none"/>
        </w:rPr>
        <w:t xml:space="preserve">Corte </w:t>
      </w:r>
      <w:r w:rsidRPr="00A15789">
        <w:rPr>
          <w:rFonts w:ascii="Verdana" w:eastAsia="Verdana" w:hAnsi="Verdana" w:cs="Verdana"/>
          <w:bCs/>
          <w:kern w:val="1"/>
          <w:sz w:val="20"/>
          <w:szCs w:val="20"/>
          <w:lang w:val="es-ES" w:bidi="x-none"/>
        </w:rPr>
        <w:t>concluye</w:t>
      </w:r>
      <w:r w:rsidR="00BB378E" w:rsidRPr="00A15789">
        <w:rPr>
          <w:rFonts w:ascii="Verdana" w:eastAsia="Verdana" w:hAnsi="Verdana" w:cs="Verdana"/>
          <w:bCs/>
          <w:kern w:val="1"/>
          <w:sz w:val="20"/>
          <w:szCs w:val="20"/>
          <w:lang w:val="es-ES" w:bidi="x-none"/>
        </w:rPr>
        <w:t xml:space="preserve"> que el Estado ha cumplido parcialmente con la</w:t>
      </w:r>
      <w:r w:rsidR="004B67EC" w:rsidRPr="00A15789">
        <w:rPr>
          <w:rFonts w:ascii="Verdana" w:eastAsia="Verdana" w:hAnsi="Verdana" w:cs="Verdana"/>
          <w:bCs/>
          <w:kern w:val="1"/>
          <w:sz w:val="20"/>
          <w:szCs w:val="20"/>
          <w:lang w:val="es-ES" w:bidi="x-none"/>
        </w:rPr>
        <w:t>s</w:t>
      </w:r>
      <w:r w:rsidR="00BB378E" w:rsidRPr="00A15789">
        <w:rPr>
          <w:rFonts w:ascii="Verdana" w:eastAsia="Verdana" w:hAnsi="Verdana" w:cs="Verdana"/>
          <w:bCs/>
          <w:kern w:val="1"/>
          <w:sz w:val="20"/>
          <w:szCs w:val="20"/>
          <w:lang w:val="es-ES" w:bidi="x-none"/>
        </w:rPr>
        <w:t xml:space="preserve"> medida</w:t>
      </w:r>
      <w:r w:rsidR="004B67EC" w:rsidRPr="00A15789">
        <w:rPr>
          <w:rFonts w:ascii="Verdana" w:eastAsia="Verdana" w:hAnsi="Verdana" w:cs="Verdana"/>
          <w:bCs/>
          <w:kern w:val="1"/>
          <w:sz w:val="20"/>
          <w:szCs w:val="20"/>
          <w:lang w:val="es-ES" w:bidi="x-none"/>
        </w:rPr>
        <w:t>s</w:t>
      </w:r>
      <w:r w:rsidR="00BB378E" w:rsidRPr="00A15789">
        <w:rPr>
          <w:rFonts w:ascii="Verdana" w:eastAsia="Verdana" w:hAnsi="Verdana" w:cs="Verdana"/>
          <w:bCs/>
          <w:kern w:val="1"/>
          <w:sz w:val="20"/>
          <w:szCs w:val="20"/>
          <w:lang w:val="es-ES" w:bidi="x-none"/>
        </w:rPr>
        <w:t xml:space="preserve"> ordenada</w:t>
      </w:r>
      <w:r w:rsidR="004B67EC" w:rsidRPr="00A15789">
        <w:rPr>
          <w:rFonts w:ascii="Verdana" w:eastAsia="Verdana" w:hAnsi="Verdana" w:cs="Verdana"/>
          <w:bCs/>
          <w:kern w:val="1"/>
          <w:sz w:val="20"/>
          <w:szCs w:val="20"/>
          <w:lang w:val="es-ES" w:bidi="x-none"/>
        </w:rPr>
        <w:t>s</w:t>
      </w:r>
      <w:r w:rsidR="00BB378E" w:rsidRPr="00A15789">
        <w:rPr>
          <w:rFonts w:ascii="Verdana" w:eastAsia="Verdana" w:hAnsi="Verdana" w:cs="Verdana"/>
          <w:bCs/>
          <w:kern w:val="1"/>
          <w:sz w:val="20"/>
          <w:szCs w:val="20"/>
          <w:lang w:val="es-ES" w:bidi="x-none"/>
        </w:rPr>
        <w:t xml:space="preserve"> en el punto resolutivo</w:t>
      </w:r>
      <w:r w:rsidR="00BB378E" w:rsidRPr="00A15789">
        <w:rPr>
          <w:rFonts w:ascii="Verdana" w:hAnsi="Verdana"/>
          <w:sz w:val="20"/>
          <w:szCs w:val="20"/>
        </w:rPr>
        <w:t xml:space="preserve"> décimo de la Sentencia </w:t>
      </w:r>
      <w:r w:rsidR="004B67EC" w:rsidRPr="00A15789">
        <w:rPr>
          <w:rFonts w:ascii="Verdana" w:hAnsi="Verdana"/>
          <w:sz w:val="20"/>
          <w:szCs w:val="20"/>
        </w:rPr>
        <w:t>relativas</w:t>
      </w:r>
      <w:r w:rsidR="00BB378E" w:rsidRPr="00A15789">
        <w:rPr>
          <w:rFonts w:ascii="Verdana" w:hAnsi="Verdana"/>
          <w:sz w:val="20"/>
          <w:szCs w:val="20"/>
        </w:rPr>
        <w:t xml:space="preserve"> al pago de la indemnización por daño inmaterial </w:t>
      </w:r>
      <w:r w:rsidR="00CD3625" w:rsidRPr="00A15789">
        <w:rPr>
          <w:rFonts w:ascii="Verdana" w:hAnsi="Verdana"/>
          <w:sz w:val="20"/>
          <w:szCs w:val="20"/>
        </w:rPr>
        <w:t xml:space="preserve">al señor </w:t>
      </w:r>
      <w:proofErr w:type="spellStart"/>
      <w:r w:rsidR="00CD3625" w:rsidRPr="00A15789">
        <w:rPr>
          <w:rFonts w:ascii="Verdana" w:hAnsi="Verdana"/>
          <w:sz w:val="20"/>
          <w:szCs w:val="20"/>
        </w:rPr>
        <w:t>Gorigoitía</w:t>
      </w:r>
      <w:proofErr w:type="spellEnd"/>
      <w:r w:rsidR="00CD3625" w:rsidRPr="00A15789">
        <w:rPr>
          <w:rFonts w:ascii="Verdana" w:hAnsi="Verdana"/>
          <w:sz w:val="20"/>
          <w:szCs w:val="20"/>
        </w:rPr>
        <w:t xml:space="preserve"> </w:t>
      </w:r>
      <w:r w:rsidR="00BB378E" w:rsidRPr="00A15789">
        <w:rPr>
          <w:rFonts w:ascii="Verdana" w:hAnsi="Verdana"/>
          <w:sz w:val="20"/>
          <w:szCs w:val="20"/>
        </w:rPr>
        <w:t>y al reintegro de costas y gastos</w:t>
      </w:r>
      <w:r w:rsidR="00BB378E" w:rsidRPr="00A15789">
        <w:rPr>
          <w:rFonts w:ascii="Verdana" w:hAnsi="Verdana"/>
          <w:bCs/>
          <w:sz w:val="20"/>
          <w:szCs w:val="20"/>
        </w:rPr>
        <w:t xml:space="preserve">. </w:t>
      </w:r>
      <w:r w:rsidR="004B67EC" w:rsidRPr="00A15789">
        <w:rPr>
          <w:rFonts w:ascii="Verdana" w:hAnsi="Verdana"/>
          <w:bCs/>
          <w:sz w:val="20"/>
          <w:szCs w:val="20"/>
        </w:rPr>
        <w:t xml:space="preserve">A efecto de declarar el cumplimiento total de estas medidas, se requiere a Argentina que, en el plazo indicado en el punto resolutivo </w:t>
      </w:r>
      <w:r w:rsidR="00CA2BF7">
        <w:rPr>
          <w:rFonts w:ascii="Verdana" w:hAnsi="Verdana"/>
          <w:bCs/>
          <w:sz w:val="20"/>
          <w:szCs w:val="20"/>
        </w:rPr>
        <w:t>quinto</w:t>
      </w:r>
      <w:r w:rsidR="0050350D" w:rsidRPr="00A15789">
        <w:rPr>
          <w:rFonts w:ascii="Verdana" w:hAnsi="Verdana"/>
          <w:bCs/>
          <w:sz w:val="20"/>
          <w:szCs w:val="20"/>
        </w:rPr>
        <w:t xml:space="preserve"> </w:t>
      </w:r>
      <w:r w:rsidR="004B67EC" w:rsidRPr="00A15789">
        <w:rPr>
          <w:rFonts w:ascii="Verdana" w:hAnsi="Verdana"/>
          <w:bCs/>
          <w:sz w:val="20"/>
          <w:szCs w:val="20"/>
        </w:rPr>
        <w:t>de la presente Resolución,</w:t>
      </w:r>
      <w:r w:rsidR="00BB378E" w:rsidRPr="00A15789">
        <w:rPr>
          <w:rFonts w:ascii="Verdana" w:hAnsi="Verdana"/>
          <w:bCs/>
          <w:sz w:val="20"/>
          <w:szCs w:val="20"/>
        </w:rPr>
        <w:t xml:space="preserve"> informe que han sido debidamente pagados</w:t>
      </w:r>
      <w:r w:rsidR="00043204" w:rsidRPr="00A15789">
        <w:rPr>
          <w:rFonts w:ascii="Verdana" w:hAnsi="Verdana"/>
          <w:bCs/>
          <w:sz w:val="20"/>
          <w:szCs w:val="20"/>
        </w:rPr>
        <w:t xml:space="preserve"> la totalidad de</w:t>
      </w:r>
      <w:r w:rsidR="00BB378E" w:rsidRPr="00A15789">
        <w:rPr>
          <w:rFonts w:ascii="Verdana" w:hAnsi="Verdana"/>
          <w:bCs/>
          <w:sz w:val="20"/>
          <w:szCs w:val="20"/>
        </w:rPr>
        <w:t xml:space="preserve"> los montos adeudados por el referido diferencial cambiario</w:t>
      </w:r>
      <w:r w:rsidR="009D1F3A" w:rsidRPr="00A15789">
        <w:rPr>
          <w:rFonts w:ascii="Verdana" w:hAnsi="Verdana"/>
          <w:bCs/>
          <w:sz w:val="20"/>
          <w:szCs w:val="20"/>
        </w:rPr>
        <w:t xml:space="preserve"> </w:t>
      </w:r>
      <w:r w:rsidR="00043204" w:rsidRPr="00A15789">
        <w:rPr>
          <w:rFonts w:ascii="Verdana" w:hAnsi="Verdana"/>
          <w:bCs/>
          <w:sz w:val="20"/>
          <w:szCs w:val="20"/>
        </w:rPr>
        <w:t>que reclaman los representantes y que el Estado reconoce que debe de pagar</w:t>
      </w:r>
      <w:r w:rsidR="00BB378E" w:rsidRPr="00A15789">
        <w:rPr>
          <w:rFonts w:ascii="Verdana" w:hAnsi="Verdana"/>
          <w:bCs/>
          <w:sz w:val="20"/>
          <w:szCs w:val="20"/>
        </w:rPr>
        <w:t>.</w:t>
      </w:r>
    </w:p>
    <w:p w14:paraId="2049A849" w14:textId="23FAF0A5" w:rsidR="00A10D2B" w:rsidRDefault="00A10D2B" w:rsidP="00A10D2B">
      <w:pPr>
        <w:pStyle w:val="Prrafodelista"/>
        <w:spacing w:before="120" w:after="120"/>
        <w:ind w:left="0"/>
        <w:jc w:val="both"/>
        <w:rPr>
          <w:rFonts w:ascii="Verdana" w:hAnsi="Verdana"/>
          <w:bCs/>
          <w:sz w:val="20"/>
          <w:szCs w:val="20"/>
          <w:highlight w:val="yellow"/>
        </w:rPr>
      </w:pPr>
    </w:p>
    <w:p w14:paraId="5316DE55" w14:textId="77777777" w:rsidR="00994D33" w:rsidRDefault="00994D33" w:rsidP="004117C8">
      <w:pPr>
        <w:spacing w:before="120" w:after="120" w:line="240" w:lineRule="auto"/>
        <w:jc w:val="both"/>
        <w:rPr>
          <w:rFonts w:ascii="Verdana" w:hAnsi="Verdana"/>
          <w:b/>
          <w:sz w:val="20"/>
        </w:rPr>
      </w:pPr>
      <w:r>
        <w:rPr>
          <w:rFonts w:ascii="Verdana" w:hAnsi="Verdana"/>
          <w:b/>
          <w:sz w:val="20"/>
        </w:rPr>
        <w:lastRenderedPageBreak/>
        <w:t>POR TANTO</w:t>
      </w:r>
      <w:r w:rsidRPr="00994D33">
        <w:rPr>
          <w:rFonts w:ascii="Verdana" w:hAnsi="Verdana"/>
          <w:b/>
          <w:sz w:val="20"/>
        </w:rPr>
        <w:t xml:space="preserve">: </w:t>
      </w:r>
    </w:p>
    <w:p w14:paraId="2F5C31B4" w14:textId="77777777" w:rsidR="00994D33" w:rsidRDefault="00994D33" w:rsidP="004117C8">
      <w:pPr>
        <w:spacing w:before="120" w:after="120" w:line="240" w:lineRule="auto"/>
        <w:jc w:val="both"/>
        <w:rPr>
          <w:rFonts w:ascii="Verdana" w:hAnsi="Verdana"/>
          <w:b/>
          <w:sz w:val="20"/>
        </w:rPr>
      </w:pPr>
      <w:r>
        <w:rPr>
          <w:rFonts w:ascii="Verdana" w:hAnsi="Verdana"/>
          <w:b/>
          <w:sz w:val="20"/>
        </w:rPr>
        <w:t>LA CORTE INTERAMERICANA DE DERECHOS HUMANOS,</w:t>
      </w:r>
    </w:p>
    <w:p w14:paraId="7EEBA386" w14:textId="77777777" w:rsidR="00994D33" w:rsidRPr="00994D33" w:rsidRDefault="00994D33" w:rsidP="004117C8">
      <w:pPr>
        <w:spacing w:before="120" w:after="120" w:line="240" w:lineRule="auto"/>
        <w:jc w:val="both"/>
        <w:rPr>
          <w:rFonts w:ascii="Verdana" w:hAnsi="Verdana"/>
          <w:sz w:val="20"/>
        </w:rPr>
      </w:pPr>
      <w:r w:rsidRPr="00994D33">
        <w:rPr>
          <w:rFonts w:ascii="Verdana" w:hAnsi="Verdana"/>
          <w:sz w:val="20"/>
        </w:rPr>
        <w:t xml:space="preserve">en el ejercicio de sus atribuciones de supervisión del cumplimiento de sus decisiones y de conformidad con los artículos 33, 62.1, 62.3, 65, 67 y 68.1 de la Convención Americana sobre Derechos Humanos, 24, 25 y 30 del Estatuto, y 31.2 y 69 de su Reglamento, </w:t>
      </w:r>
    </w:p>
    <w:p w14:paraId="30ED436B" w14:textId="5B1B8933" w:rsidR="001F24FA" w:rsidRDefault="001F24FA" w:rsidP="004117C8">
      <w:pPr>
        <w:spacing w:before="120" w:after="120" w:line="240" w:lineRule="auto"/>
        <w:jc w:val="both"/>
        <w:rPr>
          <w:rFonts w:ascii="Verdana" w:hAnsi="Verdana"/>
          <w:b/>
          <w:sz w:val="16"/>
          <w:szCs w:val="16"/>
        </w:rPr>
      </w:pPr>
    </w:p>
    <w:p w14:paraId="19401D8A" w14:textId="77777777" w:rsidR="00994D33" w:rsidRPr="00994D33" w:rsidRDefault="00994D33" w:rsidP="004117C8">
      <w:pPr>
        <w:spacing w:before="120" w:after="120" w:line="240" w:lineRule="auto"/>
        <w:jc w:val="both"/>
        <w:rPr>
          <w:rFonts w:ascii="Verdana" w:hAnsi="Verdana"/>
          <w:b/>
          <w:sz w:val="18"/>
        </w:rPr>
      </w:pPr>
      <w:r w:rsidRPr="00994D33">
        <w:rPr>
          <w:rFonts w:ascii="Verdana" w:hAnsi="Verdana"/>
          <w:b/>
          <w:sz w:val="20"/>
        </w:rPr>
        <w:t>RESUELVE:</w:t>
      </w:r>
    </w:p>
    <w:p w14:paraId="4E94ED0C" w14:textId="3BE06162" w:rsidR="003770C1" w:rsidRPr="003770C1" w:rsidRDefault="00994D33" w:rsidP="004117C8">
      <w:pPr>
        <w:pStyle w:val="Prrafodelista"/>
        <w:numPr>
          <w:ilvl w:val="0"/>
          <w:numId w:val="4"/>
        </w:numPr>
        <w:spacing w:before="120" w:after="120"/>
        <w:ind w:left="0" w:firstLine="0"/>
        <w:jc w:val="both"/>
        <w:rPr>
          <w:rFonts w:ascii="Verdana" w:hAnsi="Verdana"/>
          <w:sz w:val="20"/>
        </w:rPr>
      </w:pPr>
      <w:r w:rsidRPr="00994D33">
        <w:rPr>
          <w:rFonts w:ascii="Verdana" w:hAnsi="Verdana"/>
          <w:sz w:val="20"/>
        </w:rPr>
        <w:t xml:space="preserve">Declarar, de conformidad con lo señalado en </w:t>
      </w:r>
      <w:r w:rsidR="00A5374F">
        <w:rPr>
          <w:rFonts w:ascii="Verdana" w:hAnsi="Verdana"/>
          <w:sz w:val="20"/>
        </w:rPr>
        <w:t>los</w:t>
      </w:r>
      <w:r w:rsidRPr="00994D33">
        <w:rPr>
          <w:rFonts w:ascii="Verdana" w:hAnsi="Verdana"/>
          <w:sz w:val="20"/>
        </w:rPr>
        <w:t xml:space="preserve"> Considerando</w:t>
      </w:r>
      <w:r w:rsidR="00A5374F">
        <w:rPr>
          <w:rFonts w:ascii="Verdana" w:hAnsi="Verdana"/>
          <w:sz w:val="20"/>
        </w:rPr>
        <w:t>s</w:t>
      </w:r>
      <w:r w:rsidRPr="00994D33">
        <w:rPr>
          <w:rFonts w:ascii="Verdana" w:hAnsi="Verdana"/>
          <w:sz w:val="20"/>
        </w:rPr>
        <w:t xml:space="preserve"> </w:t>
      </w:r>
      <w:r w:rsidR="0050350D">
        <w:rPr>
          <w:rFonts w:ascii="Verdana" w:hAnsi="Verdana"/>
          <w:sz w:val="20"/>
        </w:rPr>
        <w:t>6 a 8</w:t>
      </w:r>
      <w:r w:rsidR="0050350D" w:rsidRPr="00994D33">
        <w:rPr>
          <w:rFonts w:ascii="Verdana" w:hAnsi="Verdana"/>
          <w:sz w:val="20"/>
        </w:rPr>
        <w:t xml:space="preserve"> </w:t>
      </w:r>
      <w:r w:rsidRPr="00994D33">
        <w:rPr>
          <w:rFonts w:ascii="Verdana" w:hAnsi="Verdana"/>
          <w:sz w:val="20"/>
        </w:rPr>
        <w:t>de la presente Resolución, que</w:t>
      </w:r>
      <w:r w:rsidR="003770C1">
        <w:rPr>
          <w:rFonts w:ascii="Verdana" w:hAnsi="Verdana"/>
          <w:color w:val="000000"/>
          <w:sz w:val="20"/>
          <w:szCs w:val="20"/>
        </w:rPr>
        <w:t xml:space="preserve"> ha concluido el presente proceso de supervisión de cumplimiento respecto de las siguientes reparaciones:</w:t>
      </w:r>
    </w:p>
    <w:p w14:paraId="6A5E26A1" w14:textId="77777777" w:rsidR="003770C1" w:rsidRPr="003770C1" w:rsidRDefault="003770C1" w:rsidP="003770C1">
      <w:pPr>
        <w:pStyle w:val="Prrafodelista"/>
        <w:numPr>
          <w:ilvl w:val="0"/>
          <w:numId w:val="7"/>
        </w:numPr>
        <w:spacing w:before="120" w:after="120"/>
        <w:jc w:val="both"/>
        <w:rPr>
          <w:rFonts w:ascii="Verdana" w:hAnsi="Verdana"/>
          <w:sz w:val="20"/>
          <w:szCs w:val="20"/>
        </w:rPr>
      </w:pPr>
      <w:r w:rsidRPr="003770C1">
        <w:rPr>
          <w:rFonts w:ascii="Verdana" w:hAnsi="Verdana"/>
          <w:color w:val="000000"/>
          <w:sz w:val="20"/>
          <w:szCs w:val="20"/>
        </w:rPr>
        <w:t>“</w:t>
      </w:r>
      <w:r w:rsidRPr="003770C1">
        <w:rPr>
          <w:rFonts w:ascii="Verdana" w:hAnsi="Verdana"/>
          <w:sz w:val="20"/>
          <w:szCs w:val="20"/>
        </w:rPr>
        <w:t xml:space="preserve">adoptar las medidas necesarias para garantizar al señor Oscar Raúl </w:t>
      </w:r>
      <w:proofErr w:type="spellStart"/>
      <w:r w:rsidRPr="003770C1">
        <w:rPr>
          <w:rFonts w:ascii="Verdana" w:hAnsi="Verdana"/>
          <w:sz w:val="20"/>
          <w:szCs w:val="20"/>
        </w:rPr>
        <w:t>Gorigoitía</w:t>
      </w:r>
      <w:proofErr w:type="spellEnd"/>
      <w:r w:rsidRPr="003770C1">
        <w:rPr>
          <w:rFonts w:ascii="Verdana" w:hAnsi="Verdana"/>
          <w:sz w:val="20"/>
          <w:szCs w:val="20"/>
        </w:rPr>
        <w:t xml:space="preserve"> el derecho de recurrir el fallo condenatorio emitido por la Cámara Primera del Crimen de Mendoza el 12 de septiembre de 1997</w:t>
      </w:r>
      <w:r w:rsidRPr="00BB378E">
        <w:rPr>
          <w:rFonts w:ascii="Verdana" w:hAnsi="Verdana"/>
          <w:sz w:val="20"/>
          <w:szCs w:val="20"/>
        </w:rPr>
        <w:t>”</w:t>
      </w:r>
      <w:r w:rsidRPr="00BB378E">
        <w:rPr>
          <w:rFonts w:ascii="Verdana" w:hAnsi="Verdana"/>
          <w:i/>
          <w:sz w:val="20"/>
          <w:szCs w:val="20"/>
        </w:rPr>
        <w:t xml:space="preserve"> (punto resolutivo sexto de la Sentencia)</w:t>
      </w:r>
      <w:r w:rsidRPr="003770C1">
        <w:rPr>
          <w:rFonts w:ascii="Verdana" w:hAnsi="Verdana"/>
          <w:sz w:val="20"/>
          <w:szCs w:val="20"/>
        </w:rPr>
        <w:t xml:space="preserve">, y </w:t>
      </w:r>
    </w:p>
    <w:p w14:paraId="4BB9FD6A" w14:textId="04D55F75" w:rsidR="00A5374F" w:rsidRPr="003770C1" w:rsidRDefault="003770C1" w:rsidP="003770C1">
      <w:pPr>
        <w:pStyle w:val="Prrafodelista"/>
        <w:numPr>
          <w:ilvl w:val="0"/>
          <w:numId w:val="7"/>
        </w:numPr>
        <w:spacing w:before="120" w:after="120"/>
        <w:jc w:val="both"/>
        <w:rPr>
          <w:rFonts w:ascii="Verdana" w:hAnsi="Verdana"/>
          <w:sz w:val="20"/>
          <w:szCs w:val="20"/>
        </w:rPr>
      </w:pPr>
      <w:r w:rsidRPr="003770C1">
        <w:rPr>
          <w:rFonts w:ascii="Verdana" w:hAnsi="Verdana"/>
          <w:sz w:val="20"/>
          <w:szCs w:val="20"/>
        </w:rPr>
        <w:t xml:space="preserve">“adoptar las medidas necesarias para que los efectos jurídicos del referido fallo condenatorio queden en suspenso hasta que se emita una decisión de fondo” </w:t>
      </w:r>
      <w:r w:rsidRPr="00BB378E">
        <w:rPr>
          <w:rFonts w:ascii="Verdana" w:hAnsi="Verdana"/>
          <w:i/>
          <w:sz w:val="20"/>
          <w:szCs w:val="20"/>
        </w:rPr>
        <w:t>(punto resolutivo séptimo de la Sentencia)</w:t>
      </w:r>
      <w:r w:rsidR="00A5374F" w:rsidRPr="00BB378E">
        <w:rPr>
          <w:rFonts w:ascii="Verdana" w:hAnsi="Verdana"/>
          <w:i/>
          <w:color w:val="000000"/>
          <w:sz w:val="20"/>
          <w:szCs w:val="20"/>
        </w:rPr>
        <w:t>.</w:t>
      </w:r>
      <w:r w:rsidR="00A5374F" w:rsidRPr="003770C1">
        <w:rPr>
          <w:rFonts w:ascii="Verdana" w:hAnsi="Verdana"/>
          <w:color w:val="000000"/>
          <w:sz w:val="20"/>
          <w:szCs w:val="20"/>
        </w:rPr>
        <w:t xml:space="preserve"> </w:t>
      </w:r>
    </w:p>
    <w:p w14:paraId="393BB3E2" w14:textId="66AA0874" w:rsidR="00A5374F" w:rsidRPr="00BB378E" w:rsidRDefault="00A5374F" w:rsidP="003770C1">
      <w:pPr>
        <w:pStyle w:val="Prrafodelista"/>
        <w:numPr>
          <w:ilvl w:val="0"/>
          <w:numId w:val="4"/>
        </w:numPr>
        <w:spacing w:before="120" w:after="120"/>
        <w:ind w:left="0" w:firstLine="0"/>
        <w:jc w:val="both"/>
        <w:rPr>
          <w:rFonts w:ascii="Verdana" w:hAnsi="Verdana"/>
          <w:sz w:val="18"/>
        </w:rPr>
      </w:pPr>
      <w:r w:rsidRPr="00BB378E">
        <w:rPr>
          <w:rFonts w:ascii="Verdana" w:hAnsi="Verdana"/>
          <w:sz w:val="20"/>
        </w:rPr>
        <w:t>Declarar, de conformidad con lo señalado en el Considerando 1</w:t>
      </w:r>
      <w:r w:rsidR="0050350D">
        <w:rPr>
          <w:rFonts w:ascii="Verdana" w:hAnsi="Verdana"/>
          <w:sz w:val="20"/>
        </w:rPr>
        <w:t>1</w:t>
      </w:r>
      <w:r w:rsidRPr="00BB378E">
        <w:rPr>
          <w:rFonts w:ascii="Verdana" w:hAnsi="Verdana"/>
          <w:sz w:val="20"/>
        </w:rPr>
        <w:t xml:space="preserve"> de la presente Resolución, que el Estado ha dado cumplimiento total a las medidas de publicación y difusión de la Sentencia y su resumen oficial (</w:t>
      </w:r>
      <w:r w:rsidRPr="00BB378E">
        <w:rPr>
          <w:rFonts w:ascii="Verdana" w:hAnsi="Verdana"/>
          <w:i/>
          <w:sz w:val="20"/>
        </w:rPr>
        <w:t>punto resolutivo octavo de la Sentencia</w:t>
      </w:r>
      <w:r w:rsidRPr="00BB378E">
        <w:rPr>
          <w:rFonts w:ascii="Verdana" w:hAnsi="Verdana"/>
          <w:sz w:val="20"/>
        </w:rPr>
        <w:t>).</w:t>
      </w:r>
    </w:p>
    <w:p w14:paraId="4270BFEA" w14:textId="53ABB4CE" w:rsidR="00A5374F" w:rsidRPr="00CA2BF7" w:rsidRDefault="00A5374F" w:rsidP="00CA2BF7">
      <w:pPr>
        <w:pStyle w:val="Prrafodelista"/>
        <w:numPr>
          <w:ilvl w:val="0"/>
          <w:numId w:val="3"/>
        </w:numPr>
        <w:spacing w:before="120" w:after="120"/>
        <w:ind w:left="0" w:firstLine="0"/>
        <w:jc w:val="both"/>
        <w:rPr>
          <w:rFonts w:ascii="Verdana" w:eastAsia="Verdana" w:hAnsi="Verdana" w:cs="Verdana"/>
          <w:bCs/>
          <w:kern w:val="1"/>
          <w:sz w:val="20"/>
          <w:szCs w:val="20"/>
          <w:lang w:val="es-ES" w:bidi="x-none"/>
        </w:rPr>
      </w:pPr>
      <w:r w:rsidRPr="00BB378E">
        <w:rPr>
          <w:rFonts w:ascii="Verdana" w:hAnsi="Verdana"/>
          <w:sz w:val="20"/>
        </w:rPr>
        <w:t xml:space="preserve">Declarar, de conformidad con lo señalado en </w:t>
      </w:r>
      <w:r w:rsidR="001E6B8F">
        <w:rPr>
          <w:rFonts w:ascii="Verdana" w:hAnsi="Verdana"/>
          <w:sz w:val="20"/>
        </w:rPr>
        <w:t>los</w:t>
      </w:r>
      <w:r w:rsidRPr="00BB378E">
        <w:rPr>
          <w:rFonts w:ascii="Verdana" w:hAnsi="Verdana"/>
          <w:sz w:val="20"/>
        </w:rPr>
        <w:t xml:space="preserve"> Considerando</w:t>
      </w:r>
      <w:r w:rsidR="001E6B8F">
        <w:rPr>
          <w:rFonts w:ascii="Verdana" w:hAnsi="Verdana"/>
          <w:sz w:val="20"/>
        </w:rPr>
        <w:t>s 1</w:t>
      </w:r>
      <w:r w:rsidR="00CA2BF7">
        <w:rPr>
          <w:rFonts w:ascii="Verdana" w:hAnsi="Verdana"/>
          <w:sz w:val="20"/>
        </w:rPr>
        <w:t>3</w:t>
      </w:r>
      <w:r w:rsidR="001E6B8F">
        <w:rPr>
          <w:rFonts w:ascii="Verdana" w:hAnsi="Verdana"/>
          <w:sz w:val="20"/>
        </w:rPr>
        <w:t xml:space="preserve"> a</w:t>
      </w:r>
      <w:r w:rsidRPr="00BB378E">
        <w:rPr>
          <w:rFonts w:ascii="Verdana" w:hAnsi="Verdana"/>
          <w:sz w:val="20"/>
        </w:rPr>
        <w:t xml:space="preserve"> 1</w:t>
      </w:r>
      <w:r w:rsidR="00CA2BF7">
        <w:rPr>
          <w:rFonts w:ascii="Verdana" w:hAnsi="Verdana"/>
          <w:sz w:val="20"/>
        </w:rPr>
        <w:t>7</w:t>
      </w:r>
      <w:r w:rsidRPr="00BB378E">
        <w:rPr>
          <w:rFonts w:ascii="Verdana" w:hAnsi="Verdana"/>
          <w:sz w:val="20"/>
        </w:rPr>
        <w:t xml:space="preserve"> de la presente Resolución, que el Estado ha dado cumplimiento parcial al pago de </w:t>
      </w:r>
      <w:r w:rsidR="001E6B8F">
        <w:rPr>
          <w:rFonts w:ascii="Verdana" w:hAnsi="Verdana"/>
          <w:sz w:val="20"/>
        </w:rPr>
        <w:t xml:space="preserve">la </w:t>
      </w:r>
      <w:r w:rsidRPr="00BB378E">
        <w:rPr>
          <w:rFonts w:ascii="Verdana" w:hAnsi="Verdana"/>
          <w:sz w:val="20"/>
        </w:rPr>
        <w:t>indemnizaci</w:t>
      </w:r>
      <w:r w:rsidR="001E6B8F">
        <w:rPr>
          <w:rFonts w:ascii="Verdana" w:hAnsi="Verdana"/>
          <w:sz w:val="20"/>
        </w:rPr>
        <w:t xml:space="preserve">ón </w:t>
      </w:r>
      <w:r w:rsidRPr="00BB378E">
        <w:rPr>
          <w:rFonts w:ascii="Verdana" w:hAnsi="Verdana"/>
          <w:sz w:val="20"/>
        </w:rPr>
        <w:t xml:space="preserve">por concepto de daño inmaterial y </w:t>
      </w:r>
      <w:r w:rsidR="001E6B8F">
        <w:rPr>
          <w:rFonts w:ascii="Verdana" w:hAnsi="Verdana"/>
          <w:sz w:val="20"/>
        </w:rPr>
        <w:t xml:space="preserve">al reintegro de </w:t>
      </w:r>
      <w:r w:rsidRPr="00BB378E">
        <w:rPr>
          <w:rFonts w:ascii="Verdana" w:hAnsi="Verdana"/>
          <w:sz w:val="20"/>
        </w:rPr>
        <w:t>costas y gastos (</w:t>
      </w:r>
      <w:r w:rsidRPr="00BB378E">
        <w:rPr>
          <w:rFonts w:ascii="Verdana" w:hAnsi="Verdana"/>
          <w:i/>
          <w:sz w:val="20"/>
        </w:rPr>
        <w:t>punto resolutivo décimo de la Sentencia</w:t>
      </w:r>
      <w:r w:rsidR="00BB378E" w:rsidRPr="00BB378E">
        <w:rPr>
          <w:rFonts w:ascii="Verdana" w:hAnsi="Verdana"/>
          <w:sz w:val="20"/>
        </w:rPr>
        <w:t>), puesto que el Estado ha pagado a la víctima y los representantes un m</w:t>
      </w:r>
      <w:r w:rsidR="001E6B8F">
        <w:rPr>
          <w:rFonts w:ascii="Verdana" w:hAnsi="Verdana"/>
          <w:sz w:val="20"/>
        </w:rPr>
        <w:t xml:space="preserve">onto por estos </w:t>
      </w:r>
      <w:r w:rsidR="00BB378E" w:rsidRPr="00BB378E">
        <w:rPr>
          <w:rFonts w:ascii="Verdana" w:hAnsi="Verdana"/>
          <w:sz w:val="20"/>
        </w:rPr>
        <w:t>concepto</w:t>
      </w:r>
      <w:r w:rsidR="001E6B8F">
        <w:rPr>
          <w:rFonts w:ascii="Verdana" w:hAnsi="Verdana"/>
          <w:sz w:val="20"/>
        </w:rPr>
        <w:t>s</w:t>
      </w:r>
      <w:r w:rsidR="00BB378E" w:rsidRPr="00BB378E">
        <w:rPr>
          <w:rFonts w:ascii="Verdana" w:hAnsi="Verdana"/>
          <w:sz w:val="20"/>
        </w:rPr>
        <w:t xml:space="preserve"> y se encuentra pendiente una actualización de esos pagos debido a un diferencial cambiario</w:t>
      </w:r>
      <w:r w:rsidR="009D1F3A">
        <w:rPr>
          <w:rFonts w:ascii="Verdana" w:hAnsi="Verdana"/>
          <w:sz w:val="20"/>
        </w:rPr>
        <w:t xml:space="preserve"> </w:t>
      </w:r>
      <w:r w:rsidR="00CA2BF7" w:rsidRPr="00A15789">
        <w:rPr>
          <w:rFonts w:ascii="Verdana" w:hAnsi="Verdana"/>
          <w:bCs/>
          <w:sz w:val="20"/>
          <w:szCs w:val="20"/>
        </w:rPr>
        <w:t>que reclaman los representantes y que el Estado reconoce que debe de pagar.</w:t>
      </w:r>
    </w:p>
    <w:p w14:paraId="5BFAD3A2" w14:textId="73B20C51" w:rsidR="007D223D" w:rsidRPr="00BB378E" w:rsidRDefault="007D223D" w:rsidP="003770C1">
      <w:pPr>
        <w:pStyle w:val="Prrafodelista"/>
        <w:numPr>
          <w:ilvl w:val="0"/>
          <w:numId w:val="4"/>
        </w:numPr>
        <w:spacing w:before="120" w:after="120"/>
        <w:ind w:left="0" w:firstLine="0"/>
        <w:jc w:val="both"/>
        <w:rPr>
          <w:rFonts w:ascii="Verdana" w:hAnsi="Verdana"/>
          <w:sz w:val="16"/>
        </w:rPr>
      </w:pPr>
      <w:r w:rsidRPr="00BB378E">
        <w:rPr>
          <w:rFonts w:ascii="Verdana" w:hAnsi="Verdana"/>
          <w:sz w:val="20"/>
        </w:rPr>
        <w:t>Mantener abierto el procedimiento de supervisión de cumplimiento respecto de</w:t>
      </w:r>
      <w:r w:rsidR="00BB378E" w:rsidRPr="00BB378E">
        <w:rPr>
          <w:rFonts w:ascii="Verdana" w:hAnsi="Verdana"/>
          <w:sz w:val="20"/>
        </w:rPr>
        <w:t xml:space="preserve"> las siguientes medidas</w:t>
      </w:r>
      <w:r w:rsidRPr="00BB378E">
        <w:rPr>
          <w:rFonts w:ascii="Verdana" w:hAnsi="Verdana"/>
          <w:sz w:val="20"/>
        </w:rPr>
        <w:t>:</w:t>
      </w:r>
    </w:p>
    <w:p w14:paraId="13ADC7D9" w14:textId="526E39B8" w:rsidR="007D223D" w:rsidRPr="00BB378E" w:rsidRDefault="007D223D" w:rsidP="007D223D">
      <w:pPr>
        <w:pStyle w:val="Prrafodelista"/>
        <w:numPr>
          <w:ilvl w:val="0"/>
          <w:numId w:val="6"/>
        </w:numPr>
        <w:spacing w:before="120" w:after="120"/>
        <w:jc w:val="both"/>
        <w:rPr>
          <w:rFonts w:ascii="Verdana" w:hAnsi="Verdana"/>
          <w:sz w:val="16"/>
        </w:rPr>
      </w:pPr>
      <w:r w:rsidRPr="00BB378E">
        <w:rPr>
          <w:rFonts w:ascii="Verdana" w:hAnsi="Verdana"/>
          <w:sz w:val="20"/>
        </w:rPr>
        <w:t xml:space="preserve">“adecuar [el] ordenamiento jurídico interno a los parámetros establecidos en [la] sentencia sobre el derecho de recurrir del fallo ante el juez o tribunal superior, en los términos de lo dispuesto en el párrafo 72 de la […] Sentencia” </w:t>
      </w:r>
      <w:r w:rsidRPr="00BB378E">
        <w:rPr>
          <w:rFonts w:ascii="Verdana" w:hAnsi="Verdana"/>
          <w:i/>
          <w:sz w:val="20"/>
        </w:rPr>
        <w:t>(punto resolutivo noveno de la Sentencia)</w:t>
      </w:r>
      <w:r w:rsidR="00BB378E" w:rsidRPr="00BB378E">
        <w:rPr>
          <w:rFonts w:ascii="Verdana" w:hAnsi="Verdana"/>
          <w:sz w:val="20"/>
        </w:rPr>
        <w:t>;</w:t>
      </w:r>
    </w:p>
    <w:p w14:paraId="69A91FBB" w14:textId="70075644" w:rsidR="00BB378E" w:rsidRPr="00BB378E" w:rsidRDefault="00BB378E" w:rsidP="007D223D">
      <w:pPr>
        <w:pStyle w:val="Prrafodelista"/>
        <w:numPr>
          <w:ilvl w:val="0"/>
          <w:numId w:val="6"/>
        </w:numPr>
        <w:spacing w:before="120" w:after="120"/>
        <w:jc w:val="both"/>
        <w:rPr>
          <w:rFonts w:ascii="Verdana" w:hAnsi="Verdana"/>
          <w:sz w:val="16"/>
        </w:rPr>
      </w:pPr>
      <w:r w:rsidRPr="00BB378E">
        <w:rPr>
          <w:rFonts w:ascii="Verdana" w:hAnsi="Verdana"/>
          <w:sz w:val="20"/>
        </w:rPr>
        <w:t>pagar las cantidades fijadas</w:t>
      </w:r>
      <w:r w:rsidRPr="00BB378E">
        <w:rPr>
          <w:rFonts w:ascii="Verdana" w:hAnsi="Verdana"/>
          <w:bCs/>
          <w:sz w:val="20"/>
          <w:szCs w:val="20"/>
        </w:rPr>
        <w:t xml:space="preserve"> en la Sentencia </w:t>
      </w:r>
      <w:r w:rsidRPr="00BB378E">
        <w:rPr>
          <w:rFonts w:ascii="Verdana" w:hAnsi="Verdana"/>
          <w:sz w:val="20"/>
          <w:szCs w:val="20"/>
        </w:rPr>
        <w:t xml:space="preserve">por concepto de indemnización por daño inmaterial y reintegro de costas y gastos </w:t>
      </w:r>
      <w:r w:rsidRPr="00BB378E">
        <w:rPr>
          <w:rFonts w:ascii="Verdana" w:hAnsi="Verdana"/>
          <w:i/>
          <w:sz w:val="20"/>
          <w:szCs w:val="20"/>
        </w:rPr>
        <w:t>(punto resolutivo décimo de la Sentencia)</w:t>
      </w:r>
      <w:r w:rsidRPr="00BB378E">
        <w:rPr>
          <w:rFonts w:ascii="Verdana" w:hAnsi="Verdana"/>
          <w:sz w:val="20"/>
          <w:szCs w:val="20"/>
        </w:rPr>
        <w:t>.</w:t>
      </w:r>
    </w:p>
    <w:p w14:paraId="733A1419" w14:textId="1B914C35" w:rsidR="007D223D" w:rsidRPr="00023B20" w:rsidRDefault="007D223D" w:rsidP="007D223D">
      <w:pPr>
        <w:pStyle w:val="Prrafodelista"/>
        <w:numPr>
          <w:ilvl w:val="0"/>
          <w:numId w:val="6"/>
        </w:numPr>
        <w:spacing w:before="120" w:after="120"/>
        <w:jc w:val="both"/>
        <w:rPr>
          <w:rFonts w:ascii="Verdana" w:hAnsi="Verdana"/>
          <w:sz w:val="16"/>
        </w:rPr>
      </w:pPr>
      <w:r w:rsidRPr="00BB378E">
        <w:rPr>
          <w:rFonts w:ascii="Verdana" w:hAnsi="Verdana"/>
          <w:sz w:val="20"/>
        </w:rPr>
        <w:t>“reintegrar al Fondo de Asistencia Legal de Víctimas la cantidad establecida en el párrafo 89 de la […] Sentencia” y sus correspondientes intereses moratorios</w:t>
      </w:r>
      <w:r w:rsidR="00871EF2" w:rsidRPr="00BB378E">
        <w:rPr>
          <w:rFonts w:ascii="Verdana" w:hAnsi="Verdana"/>
          <w:sz w:val="20"/>
        </w:rPr>
        <w:t xml:space="preserve"> </w:t>
      </w:r>
      <w:r w:rsidR="00871EF2" w:rsidRPr="00BB378E">
        <w:rPr>
          <w:rFonts w:ascii="Verdana" w:hAnsi="Verdana"/>
          <w:i/>
          <w:sz w:val="20"/>
        </w:rPr>
        <w:t>(punto resolutivo décimo primero de la Sentencia)</w:t>
      </w:r>
      <w:r w:rsidRPr="00BB378E">
        <w:rPr>
          <w:rFonts w:ascii="Verdana" w:hAnsi="Verdana"/>
          <w:sz w:val="20"/>
        </w:rPr>
        <w:t xml:space="preserve">. </w:t>
      </w:r>
    </w:p>
    <w:p w14:paraId="3025491F" w14:textId="77777777" w:rsidR="00023B20" w:rsidRPr="00CA2BF7" w:rsidRDefault="00023B20" w:rsidP="00023B20">
      <w:pPr>
        <w:pStyle w:val="Prrafodelista"/>
        <w:spacing w:before="120" w:after="120"/>
        <w:jc w:val="both"/>
        <w:rPr>
          <w:rFonts w:ascii="Verdana" w:hAnsi="Verdana"/>
          <w:sz w:val="16"/>
        </w:rPr>
      </w:pPr>
    </w:p>
    <w:p w14:paraId="2A689236" w14:textId="1CC2FC36" w:rsidR="007D223D" w:rsidRDefault="007D223D" w:rsidP="003770C1">
      <w:pPr>
        <w:pStyle w:val="Prrafodelista"/>
        <w:numPr>
          <w:ilvl w:val="0"/>
          <w:numId w:val="4"/>
        </w:numPr>
        <w:spacing w:before="120" w:after="120"/>
        <w:ind w:left="0" w:firstLine="0"/>
        <w:jc w:val="both"/>
        <w:rPr>
          <w:rFonts w:ascii="Verdana" w:hAnsi="Verdana"/>
          <w:sz w:val="20"/>
          <w:szCs w:val="20"/>
        </w:rPr>
      </w:pPr>
      <w:r w:rsidRPr="007D223D">
        <w:rPr>
          <w:rFonts w:ascii="Verdana" w:hAnsi="Verdana"/>
          <w:sz w:val="20"/>
          <w:szCs w:val="20"/>
        </w:rPr>
        <w:t>Disponer que el Estado adopte, en definitiva y a la mayor brevedad, las medidas que sean necesarias para dar efectivo y pronto cumplimiento a los puntos pendientes de la Sentencia de excepción preliminar, fondo, reparaciones y costas emitida en el presente caso, de acuerdo con lo considerado en la presente Resolución, y con lo estipulado en el artículo 68.1 de la Convención Americana sobre Derechos Humanos.</w:t>
      </w:r>
    </w:p>
    <w:p w14:paraId="7F526A32" w14:textId="6637FD2C" w:rsidR="00BB378E" w:rsidRDefault="00BB378E" w:rsidP="003770C1">
      <w:pPr>
        <w:pStyle w:val="Prrafodelista"/>
        <w:numPr>
          <w:ilvl w:val="0"/>
          <w:numId w:val="4"/>
        </w:numPr>
        <w:spacing w:before="120" w:after="120"/>
        <w:ind w:left="0" w:firstLine="0"/>
        <w:jc w:val="both"/>
        <w:rPr>
          <w:rFonts w:ascii="Verdana" w:hAnsi="Verdana"/>
          <w:sz w:val="20"/>
          <w:szCs w:val="20"/>
        </w:rPr>
      </w:pPr>
      <w:r>
        <w:rPr>
          <w:rFonts w:ascii="Verdana" w:hAnsi="Verdana"/>
          <w:sz w:val="20"/>
          <w:szCs w:val="20"/>
        </w:rPr>
        <w:lastRenderedPageBreak/>
        <w:t xml:space="preserve">Disponer que el </w:t>
      </w:r>
      <w:r w:rsidRPr="00CA2BF7">
        <w:rPr>
          <w:rFonts w:ascii="Verdana" w:hAnsi="Verdana"/>
          <w:sz w:val="20"/>
          <w:szCs w:val="20"/>
        </w:rPr>
        <w:t>Estado presente a la Corte I</w:t>
      </w:r>
      <w:r w:rsidR="002949B1" w:rsidRPr="00CA2BF7">
        <w:rPr>
          <w:rFonts w:ascii="Verdana" w:hAnsi="Verdana"/>
          <w:sz w:val="20"/>
          <w:szCs w:val="20"/>
        </w:rPr>
        <w:t xml:space="preserve">nteramericana de Derechos Humanos, a más tardar el </w:t>
      </w:r>
      <w:r w:rsidR="001E6B8F" w:rsidRPr="00CA2BF7">
        <w:rPr>
          <w:rFonts w:ascii="Verdana" w:hAnsi="Verdana"/>
          <w:sz w:val="20"/>
          <w:szCs w:val="20"/>
        </w:rPr>
        <w:t>12</w:t>
      </w:r>
      <w:r w:rsidR="002949B1" w:rsidRPr="00CA2BF7">
        <w:rPr>
          <w:rFonts w:ascii="Verdana" w:hAnsi="Verdana"/>
          <w:sz w:val="20"/>
          <w:szCs w:val="20"/>
        </w:rPr>
        <w:t xml:space="preserve"> de julio de 2021, el</w:t>
      </w:r>
      <w:r w:rsidR="002949B1">
        <w:rPr>
          <w:rFonts w:ascii="Verdana" w:hAnsi="Verdana"/>
          <w:sz w:val="20"/>
          <w:szCs w:val="20"/>
        </w:rPr>
        <w:t xml:space="preserve"> informe solicitado en el Considerando </w:t>
      </w:r>
      <w:r w:rsidR="001E6B8F">
        <w:rPr>
          <w:rFonts w:ascii="Verdana" w:hAnsi="Verdana"/>
          <w:sz w:val="20"/>
          <w:szCs w:val="20"/>
        </w:rPr>
        <w:t>1</w:t>
      </w:r>
      <w:r w:rsidR="00CA2BF7">
        <w:rPr>
          <w:rFonts w:ascii="Verdana" w:hAnsi="Verdana"/>
          <w:sz w:val="20"/>
          <w:szCs w:val="20"/>
        </w:rPr>
        <w:t>7</w:t>
      </w:r>
      <w:r w:rsidR="002949B1">
        <w:rPr>
          <w:rFonts w:ascii="Verdana" w:hAnsi="Verdana"/>
          <w:sz w:val="20"/>
          <w:szCs w:val="20"/>
        </w:rPr>
        <w:t xml:space="preserve"> de la presente Resolución en cuanto al cumplimiento de las medidas de reparación relativas al pago de la indemnización por daño </w:t>
      </w:r>
      <w:r w:rsidR="009D1F3A">
        <w:rPr>
          <w:rFonts w:ascii="Verdana" w:hAnsi="Verdana"/>
          <w:sz w:val="20"/>
          <w:szCs w:val="20"/>
        </w:rPr>
        <w:t>in</w:t>
      </w:r>
      <w:r w:rsidR="002949B1">
        <w:rPr>
          <w:rFonts w:ascii="Verdana" w:hAnsi="Verdana"/>
          <w:sz w:val="20"/>
          <w:szCs w:val="20"/>
        </w:rPr>
        <w:t>material y el reintegro de costas y gastos</w:t>
      </w:r>
      <w:r w:rsidR="009D1F3A">
        <w:rPr>
          <w:rFonts w:ascii="Verdana" w:hAnsi="Verdana"/>
          <w:sz w:val="20"/>
          <w:szCs w:val="20"/>
        </w:rPr>
        <w:t>, así como que informe sobre el reintegro al Fondo de Asistencia Legal de Víctimas</w:t>
      </w:r>
      <w:r w:rsidR="002949B1">
        <w:rPr>
          <w:rFonts w:ascii="Verdana" w:hAnsi="Verdana"/>
          <w:sz w:val="20"/>
          <w:szCs w:val="20"/>
        </w:rPr>
        <w:t xml:space="preserve">. </w:t>
      </w:r>
    </w:p>
    <w:p w14:paraId="7A042CC4" w14:textId="689D4F19" w:rsidR="002949B1" w:rsidRPr="007D223D" w:rsidRDefault="002949B1" w:rsidP="003770C1">
      <w:pPr>
        <w:pStyle w:val="Prrafodelista"/>
        <w:numPr>
          <w:ilvl w:val="0"/>
          <w:numId w:val="4"/>
        </w:numPr>
        <w:spacing w:before="120" w:after="120"/>
        <w:ind w:left="0" w:firstLine="0"/>
        <w:jc w:val="both"/>
        <w:rPr>
          <w:rFonts w:ascii="Verdana" w:hAnsi="Verdana"/>
          <w:sz w:val="20"/>
          <w:szCs w:val="20"/>
        </w:rPr>
      </w:pPr>
      <w:r>
        <w:rPr>
          <w:rFonts w:ascii="Verdana" w:hAnsi="Verdana"/>
          <w:sz w:val="20"/>
          <w:szCs w:val="20"/>
        </w:rPr>
        <w:t>Disponer q</w:t>
      </w:r>
      <w:r w:rsidRPr="002949B1">
        <w:rPr>
          <w:rFonts w:ascii="Verdana" w:hAnsi="Verdana"/>
          <w:sz w:val="20"/>
          <w:szCs w:val="20"/>
        </w:rPr>
        <w:t>ue los representantes de la víctima y la Comisión Interamericana de Derechos Humanos presenten observaciones al informe del Estado mencionado en el punto resolutivo anterior, en los plazos de dos y cuatro semanas, respectivamente, contados a partir de la recepción del informe.</w:t>
      </w:r>
    </w:p>
    <w:p w14:paraId="058341D8" w14:textId="0D1EE2CE" w:rsidR="009A059A" w:rsidRDefault="007D223D" w:rsidP="003770C1">
      <w:pPr>
        <w:pStyle w:val="Prrafodelista"/>
        <w:numPr>
          <w:ilvl w:val="0"/>
          <w:numId w:val="4"/>
        </w:numPr>
        <w:spacing w:before="120" w:after="120"/>
        <w:ind w:left="0" w:firstLine="0"/>
        <w:jc w:val="both"/>
        <w:rPr>
          <w:rFonts w:ascii="Verdana" w:hAnsi="Verdana"/>
          <w:sz w:val="20"/>
          <w:szCs w:val="20"/>
        </w:rPr>
      </w:pPr>
      <w:r w:rsidRPr="007D223D">
        <w:rPr>
          <w:rFonts w:ascii="Verdana" w:hAnsi="Verdana"/>
          <w:sz w:val="20"/>
          <w:szCs w:val="20"/>
        </w:rPr>
        <w:t>Disponer que la Secretaría de la Corte Interamericana de Derechos Humanos notifique la presente Resolución al Estado, a los representantes de la víctima</w:t>
      </w:r>
      <w:r w:rsidR="00D24EA3">
        <w:rPr>
          <w:rFonts w:ascii="Verdana" w:hAnsi="Verdana"/>
          <w:sz w:val="20"/>
          <w:szCs w:val="20"/>
        </w:rPr>
        <w:t xml:space="preserve"> </w:t>
      </w:r>
      <w:r w:rsidRPr="007D223D">
        <w:rPr>
          <w:rFonts w:ascii="Verdana" w:hAnsi="Verdana"/>
          <w:sz w:val="20"/>
          <w:szCs w:val="20"/>
        </w:rPr>
        <w:t>y a la Comisión Interamericana de Derechos Humanos.</w:t>
      </w:r>
    </w:p>
    <w:p w14:paraId="2A420445" w14:textId="77777777" w:rsidR="009A059A" w:rsidRPr="002D12F9" w:rsidRDefault="009A059A" w:rsidP="009A059A">
      <w:pPr>
        <w:spacing w:after="0" w:line="240" w:lineRule="auto"/>
        <w:jc w:val="both"/>
        <w:rPr>
          <w:rFonts w:ascii="Verdana" w:hAnsi="Verdana"/>
          <w:sz w:val="20"/>
          <w:lang w:val="es-ES"/>
        </w:rPr>
      </w:pPr>
      <w:r w:rsidRPr="002D12F9">
        <w:rPr>
          <w:rFonts w:ascii="Verdana" w:hAnsi="Verdana"/>
          <w:sz w:val="20"/>
          <w:lang w:val="es-ES"/>
        </w:rPr>
        <w:t xml:space="preserve">Corte IDH. </w:t>
      </w:r>
      <w:r w:rsidRPr="000304D5">
        <w:rPr>
          <w:rFonts w:ascii="Verdana" w:hAnsi="Verdana"/>
          <w:i/>
          <w:sz w:val="20"/>
          <w:lang w:val="es-ES"/>
        </w:rPr>
        <w:t xml:space="preserve">Caso </w:t>
      </w:r>
      <w:proofErr w:type="spellStart"/>
      <w:r>
        <w:rPr>
          <w:rFonts w:ascii="Verdana" w:hAnsi="Verdana"/>
          <w:i/>
          <w:iCs/>
          <w:sz w:val="20"/>
        </w:rPr>
        <w:t>Gorigoitía</w:t>
      </w:r>
      <w:proofErr w:type="spellEnd"/>
      <w:r>
        <w:rPr>
          <w:rFonts w:ascii="Verdana" w:hAnsi="Verdana"/>
          <w:i/>
          <w:iCs/>
          <w:sz w:val="20"/>
        </w:rPr>
        <w:t xml:space="preserve"> Vs. Argentina.</w:t>
      </w:r>
      <w:r>
        <w:rPr>
          <w:rFonts w:ascii="Verdana" w:hAnsi="Verdana"/>
          <w:iCs/>
          <w:sz w:val="20"/>
        </w:rPr>
        <w:t xml:space="preserve"> </w:t>
      </w:r>
      <w:r w:rsidRPr="00ED3A0E">
        <w:rPr>
          <w:rFonts w:ascii="Verdana" w:hAnsi="Verdana" w:cs="Arial"/>
          <w:sz w:val="20"/>
        </w:rPr>
        <w:t>Supervisión de Cumplimiento de Sentencia</w:t>
      </w:r>
      <w:r>
        <w:rPr>
          <w:rFonts w:ascii="Verdana" w:hAnsi="Verdana"/>
          <w:iCs/>
          <w:sz w:val="20"/>
        </w:rPr>
        <w:t>. Resolución de la Corte Interamericana de Derechos Humanos de 22 de abril de 2021.  Resolución adoptada en San José de Costa Rica por medio de sesión virtual.</w:t>
      </w:r>
    </w:p>
    <w:p w14:paraId="41AA9638" w14:textId="77777777" w:rsidR="009A059A" w:rsidRDefault="009A059A" w:rsidP="009A059A">
      <w:pPr>
        <w:spacing w:after="0" w:line="240" w:lineRule="auto"/>
        <w:jc w:val="both"/>
        <w:rPr>
          <w:rFonts w:ascii="Verdana" w:hAnsi="Verdana"/>
          <w:sz w:val="20"/>
          <w:lang w:val="es-ES"/>
        </w:rPr>
      </w:pPr>
    </w:p>
    <w:p w14:paraId="4851C34D" w14:textId="0AEC90EB" w:rsidR="009A059A" w:rsidRPr="00350863" w:rsidRDefault="009A059A" w:rsidP="009A059A">
      <w:pPr>
        <w:spacing w:after="0" w:line="240" w:lineRule="auto"/>
        <w:jc w:val="both"/>
        <w:rPr>
          <w:rFonts w:ascii="Verdana" w:hAnsi="Verdana"/>
          <w:b/>
          <w:i/>
          <w:iCs/>
          <w:sz w:val="20"/>
        </w:rPr>
      </w:pPr>
    </w:p>
    <w:p w14:paraId="03BE3C77" w14:textId="77777777" w:rsidR="009A059A" w:rsidRPr="00350863" w:rsidRDefault="009A059A" w:rsidP="009A059A">
      <w:pPr>
        <w:spacing w:after="0" w:line="240" w:lineRule="auto"/>
        <w:ind w:left="3540" w:firstLine="708"/>
        <w:outlineLvl w:val="0"/>
        <w:rPr>
          <w:rFonts w:ascii="Verdana" w:hAnsi="Verdana"/>
          <w:b/>
          <w:i/>
          <w:iCs/>
          <w:sz w:val="20"/>
        </w:rPr>
      </w:pPr>
    </w:p>
    <w:p w14:paraId="0C1E84A2" w14:textId="35BFABE5" w:rsidR="009A059A" w:rsidRDefault="009A059A" w:rsidP="009A059A">
      <w:pPr>
        <w:spacing w:after="0" w:line="240" w:lineRule="auto"/>
        <w:jc w:val="center"/>
        <w:rPr>
          <w:rFonts w:ascii="Verdana" w:hAnsi="Verdana"/>
          <w:sz w:val="20"/>
          <w:lang w:val="pt-BR"/>
        </w:rPr>
      </w:pPr>
    </w:p>
    <w:p w14:paraId="09D2E783" w14:textId="30804DF4" w:rsidR="009A059A" w:rsidRDefault="009A059A" w:rsidP="009A059A">
      <w:pPr>
        <w:spacing w:after="0" w:line="240" w:lineRule="auto"/>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7B0849F4" w14:textId="453B6787" w:rsidR="009A059A" w:rsidRDefault="009A059A" w:rsidP="009A059A">
      <w:pPr>
        <w:spacing w:after="0" w:line="240" w:lineRule="auto"/>
        <w:jc w:val="center"/>
        <w:rPr>
          <w:rFonts w:ascii="Verdana" w:hAnsi="Verdana"/>
          <w:sz w:val="20"/>
          <w:lang w:val="pt-BR"/>
        </w:rPr>
      </w:pPr>
      <w:r>
        <w:rPr>
          <w:rFonts w:ascii="Verdana" w:hAnsi="Verdana"/>
          <w:sz w:val="20"/>
          <w:lang w:val="pt-BR"/>
        </w:rPr>
        <w:t>Presidenta</w:t>
      </w:r>
    </w:p>
    <w:p w14:paraId="7CC5DE6F" w14:textId="77777777" w:rsidR="009A059A" w:rsidRDefault="009A059A" w:rsidP="009A059A">
      <w:pPr>
        <w:spacing w:after="0" w:line="240" w:lineRule="auto"/>
        <w:rPr>
          <w:rFonts w:ascii="Verdana" w:hAnsi="Verdana"/>
          <w:sz w:val="20"/>
          <w:lang w:val="pt-BR"/>
        </w:rPr>
      </w:pPr>
    </w:p>
    <w:p w14:paraId="4DF35411" w14:textId="77777777" w:rsidR="009A059A" w:rsidRDefault="009A059A" w:rsidP="009A059A">
      <w:pPr>
        <w:spacing w:after="0" w:line="240" w:lineRule="auto"/>
        <w:rPr>
          <w:rFonts w:ascii="Verdana" w:hAnsi="Verdana"/>
          <w:sz w:val="20"/>
          <w:lang w:val="pt-BR"/>
        </w:rPr>
      </w:pPr>
    </w:p>
    <w:p w14:paraId="0AECE0E1" w14:textId="0D9CA61C" w:rsidR="009A059A" w:rsidRDefault="009A059A" w:rsidP="009A059A">
      <w:pPr>
        <w:spacing w:after="0" w:line="240" w:lineRule="auto"/>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Eduardo Vio Grossi</w:t>
      </w:r>
    </w:p>
    <w:p w14:paraId="3C7BBCE7" w14:textId="12FF7060" w:rsidR="009A059A" w:rsidRDefault="009A059A" w:rsidP="009A059A">
      <w:pPr>
        <w:spacing w:after="0" w:line="240" w:lineRule="auto"/>
        <w:rPr>
          <w:rFonts w:ascii="Verdana" w:hAnsi="Verdana"/>
          <w:sz w:val="20"/>
          <w:lang w:val="pt-BR"/>
        </w:rPr>
      </w:pPr>
    </w:p>
    <w:p w14:paraId="720AC75A" w14:textId="77777777" w:rsidR="009A059A" w:rsidRDefault="009A059A" w:rsidP="009A059A">
      <w:pPr>
        <w:spacing w:after="0" w:line="240" w:lineRule="auto"/>
        <w:rPr>
          <w:rFonts w:ascii="Verdana" w:hAnsi="Verdana"/>
          <w:sz w:val="20"/>
          <w:lang w:val="pt-BR"/>
        </w:rPr>
      </w:pPr>
    </w:p>
    <w:p w14:paraId="42B6D385" w14:textId="3069F1D9" w:rsidR="009A059A" w:rsidRDefault="009A059A" w:rsidP="009A059A">
      <w:pPr>
        <w:spacing w:after="0" w:line="240" w:lineRule="auto"/>
        <w:rPr>
          <w:rFonts w:ascii="Verdana" w:hAnsi="Verdana"/>
          <w:sz w:val="20"/>
          <w:lang w:val="pt-BR"/>
        </w:rPr>
      </w:pPr>
      <w:r>
        <w:rPr>
          <w:rFonts w:ascii="Verdana" w:hAnsi="Verdana"/>
          <w:sz w:val="20"/>
          <w:lang w:val="pt-BR"/>
        </w:rPr>
        <w:t xml:space="preserve">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r>
      <w:r>
        <w:rPr>
          <w:rFonts w:ascii="Verdana" w:hAnsi="Verdana"/>
          <w:sz w:val="20"/>
          <w:lang w:val="pt-BR"/>
        </w:rPr>
        <w:tab/>
      </w:r>
      <w:r>
        <w:rPr>
          <w:rFonts w:ascii="Verdana" w:hAnsi="Verdana"/>
          <w:sz w:val="20"/>
          <w:lang w:val="pt-BR"/>
        </w:rPr>
        <w:tab/>
        <w:t xml:space="preserve"> Eduardo Ferrer </w:t>
      </w:r>
      <w:proofErr w:type="spellStart"/>
      <w:r>
        <w:rPr>
          <w:rFonts w:ascii="Verdana" w:hAnsi="Verdana"/>
          <w:sz w:val="20"/>
          <w:lang w:val="pt-BR"/>
        </w:rPr>
        <w:t>Mac-Gregor</w:t>
      </w:r>
      <w:proofErr w:type="spellEnd"/>
      <w:r>
        <w:rPr>
          <w:rFonts w:ascii="Verdana" w:hAnsi="Verdana"/>
          <w:sz w:val="20"/>
          <w:lang w:val="pt-BR"/>
        </w:rPr>
        <w:t xml:space="preserve"> </w:t>
      </w:r>
      <w:proofErr w:type="spellStart"/>
      <w:r>
        <w:rPr>
          <w:rFonts w:ascii="Verdana" w:hAnsi="Verdana"/>
          <w:sz w:val="20"/>
          <w:lang w:val="pt-BR"/>
        </w:rPr>
        <w:t>Poisot</w:t>
      </w:r>
      <w:proofErr w:type="spellEnd"/>
      <w:r w:rsidRPr="0019261A">
        <w:rPr>
          <w:rFonts w:ascii="Verdana" w:hAnsi="Verdana"/>
          <w:sz w:val="20"/>
          <w:lang w:val="pt-BR"/>
        </w:rPr>
        <w:tab/>
      </w:r>
    </w:p>
    <w:p w14:paraId="7ADD7C57" w14:textId="77777777" w:rsidR="009A059A" w:rsidRDefault="009A059A" w:rsidP="009A059A">
      <w:pPr>
        <w:spacing w:after="0" w:line="240" w:lineRule="auto"/>
        <w:rPr>
          <w:rFonts w:ascii="Verdana" w:hAnsi="Verdana"/>
          <w:sz w:val="20"/>
          <w:lang w:val="pt-BR"/>
        </w:rPr>
      </w:pPr>
    </w:p>
    <w:p w14:paraId="1DF80C72" w14:textId="41597E47" w:rsidR="009A059A" w:rsidRDefault="009A059A" w:rsidP="009A059A">
      <w:pPr>
        <w:spacing w:after="0" w:line="240" w:lineRule="auto"/>
        <w:rPr>
          <w:rFonts w:ascii="Verdana" w:hAnsi="Verdana"/>
          <w:sz w:val="20"/>
          <w:lang w:val="pt-BR"/>
        </w:rPr>
      </w:pPr>
    </w:p>
    <w:p w14:paraId="2AF60B15" w14:textId="25A47131" w:rsidR="009A059A" w:rsidRPr="0019261A" w:rsidRDefault="009A059A" w:rsidP="009A059A">
      <w:pPr>
        <w:spacing w:after="0" w:line="240" w:lineRule="auto"/>
        <w:jc w:val="center"/>
        <w:rPr>
          <w:rFonts w:ascii="Verdana" w:hAnsi="Verdana"/>
          <w:sz w:val="20"/>
          <w:lang w:val="pt-BR"/>
        </w:rPr>
      </w:pPr>
      <w:r>
        <w:rPr>
          <w:rFonts w:ascii="Verdana" w:hAnsi="Verdana"/>
          <w:sz w:val="20"/>
          <w:lang w:val="pt-BR"/>
        </w:rPr>
        <w:t xml:space="preserve">Ricardo C. Pérez </w:t>
      </w:r>
      <w:proofErr w:type="spellStart"/>
      <w:r>
        <w:rPr>
          <w:rFonts w:ascii="Verdana" w:hAnsi="Verdana"/>
          <w:sz w:val="20"/>
          <w:lang w:val="pt-BR"/>
        </w:rPr>
        <w:t>Manrique</w:t>
      </w:r>
      <w:proofErr w:type="spellEnd"/>
    </w:p>
    <w:p w14:paraId="3C13DD0D" w14:textId="77777777" w:rsidR="009A059A" w:rsidRDefault="009A059A" w:rsidP="009A059A">
      <w:pPr>
        <w:spacing w:after="0" w:line="240" w:lineRule="auto"/>
        <w:jc w:val="both"/>
        <w:rPr>
          <w:rFonts w:ascii="Verdana" w:hAnsi="Verdana"/>
          <w:sz w:val="20"/>
          <w:lang w:val="pt-BR"/>
        </w:rPr>
      </w:pPr>
    </w:p>
    <w:p w14:paraId="61140CF1" w14:textId="77777777" w:rsidR="009A059A" w:rsidRDefault="009A059A" w:rsidP="009A059A">
      <w:pPr>
        <w:spacing w:after="0" w:line="240" w:lineRule="auto"/>
        <w:jc w:val="both"/>
        <w:rPr>
          <w:rFonts w:ascii="Verdana" w:hAnsi="Verdana"/>
          <w:sz w:val="20"/>
          <w:lang w:val="pt-BR"/>
        </w:rPr>
      </w:pPr>
    </w:p>
    <w:p w14:paraId="594175DB" w14:textId="77777777" w:rsidR="009A059A" w:rsidRDefault="009A059A" w:rsidP="009A059A">
      <w:pPr>
        <w:spacing w:after="0" w:line="240" w:lineRule="auto"/>
        <w:jc w:val="both"/>
        <w:rPr>
          <w:rFonts w:ascii="Verdana" w:hAnsi="Verdana"/>
          <w:sz w:val="20"/>
          <w:lang w:val="pt-BR"/>
        </w:rPr>
      </w:pPr>
    </w:p>
    <w:p w14:paraId="3F533983" w14:textId="77777777" w:rsidR="009A059A" w:rsidRPr="0019261A" w:rsidRDefault="009A059A" w:rsidP="009A059A">
      <w:pPr>
        <w:spacing w:after="0" w:line="240" w:lineRule="auto"/>
        <w:jc w:val="both"/>
        <w:rPr>
          <w:rFonts w:ascii="Verdana" w:hAnsi="Verdana"/>
          <w:sz w:val="20"/>
          <w:lang w:val="pt-BR"/>
        </w:rPr>
      </w:pPr>
    </w:p>
    <w:p w14:paraId="76D22017" w14:textId="77777777" w:rsidR="009A059A" w:rsidRPr="0019261A" w:rsidRDefault="009A059A" w:rsidP="009A059A">
      <w:pPr>
        <w:spacing w:after="0" w:line="240" w:lineRule="auto"/>
        <w:jc w:val="both"/>
        <w:rPr>
          <w:rFonts w:ascii="Verdana" w:hAnsi="Verdana"/>
          <w:sz w:val="20"/>
          <w:lang w:val="pt-BR"/>
        </w:rPr>
      </w:pPr>
    </w:p>
    <w:p w14:paraId="762619D3" w14:textId="77777777" w:rsidR="009A059A" w:rsidRPr="00FC4051" w:rsidRDefault="009A059A" w:rsidP="009A059A">
      <w:pPr>
        <w:spacing w:after="0" w:line="240" w:lineRule="auto"/>
        <w:jc w:val="center"/>
        <w:rPr>
          <w:rFonts w:ascii="Verdana" w:hAnsi="Verdana"/>
          <w:sz w:val="20"/>
          <w:lang w:val="pt-BR"/>
        </w:rPr>
      </w:pPr>
      <w:r w:rsidRPr="00FC4051">
        <w:rPr>
          <w:rFonts w:ascii="Verdana" w:hAnsi="Verdana"/>
          <w:sz w:val="20"/>
          <w:lang w:val="pt-BR"/>
        </w:rPr>
        <w:t>Pablo Saavedra Alessandri</w:t>
      </w:r>
    </w:p>
    <w:p w14:paraId="2EB99D14" w14:textId="77777777" w:rsidR="009A059A" w:rsidRDefault="009A059A" w:rsidP="009A059A">
      <w:pPr>
        <w:spacing w:after="0" w:line="240" w:lineRule="auto"/>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3056E15F" w14:textId="77777777" w:rsidR="009A059A" w:rsidRDefault="009A059A" w:rsidP="009A059A">
      <w:pPr>
        <w:pStyle w:val="Textonotapie"/>
        <w:rPr>
          <w:rFonts w:ascii="Verdana" w:hAnsi="Verdana"/>
          <w:lang w:val="pt-BR"/>
        </w:rPr>
      </w:pPr>
    </w:p>
    <w:p w14:paraId="39D06B6A" w14:textId="77777777" w:rsidR="009A059A" w:rsidRPr="00FC4051" w:rsidRDefault="009A059A" w:rsidP="009A059A">
      <w:pPr>
        <w:pStyle w:val="Textonotapie"/>
        <w:rPr>
          <w:rFonts w:ascii="Verdana" w:hAnsi="Verdana"/>
          <w:lang w:val="pt-BR"/>
        </w:rPr>
      </w:pPr>
    </w:p>
    <w:p w14:paraId="59790320" w14:textId="30973E91" w:rsidR="009A059A" w:rsidRPr="00FC4051" w:rsidRDefault="009A059A" w:rsidP="009A059A">
      <w:pPr>
        <w:spacing w:after="0" w:line="240" w:lineRule="auto"/>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14A3E01C" w14:textId="77777777" w:rsidR="009A059A" w:rsidRDefault="009A059A" w:rsidP="009A059A">
      <w:pPr>
        <w:spacing w:after="0" w:line="240" w:lineRule="auto"/>
        <w:rPr>
          <w:rFonts w:ascii="Verdana" w:hAnsi="Verdana"/>
          <w:sz w:val="20"/>
          <w:lang w:val="pt-BR"/>
        </w:rPr>
      </w:pPr>
    </w:p>
    <w:p w14:paraId="430CC615" w14:textId="77777777" w:rsidR="009A059A" w:rsidRDefault="009A059A" w:rsidP="009A059A">
      <w:pPr>
        <w:spacing w:after="0" w:line="240" w:lineRule="auto"/>
        <w:rPr>
          <w:rFonts w:ascii="Verdana" w:hAnsi="Verdana"/>
          <w:sz w:val="20"/>
          <w:lang w:val="pt-BR"/>
        </w:rPr>
      </w:pPr>
    </w:p>
    <w:p w14:paraId="1A8582B8" w14:textId="77777777" w:rsidR="009A059A" w:rsidRDefault="009A059A" w:rsidP="009A059A">
      <w:pPr>
        <w:spacing w:after="0" w:line="240" w:lineRule="auto"/>
        <w:rPr>
          <w:rFonts w:ascii="Verdana" w:hAnsi="Verdana"/>
          <w:sz w:val="20"/>
          <w:lang w:val="pt-BR"/>
        </w:rPr>
      </w:pPr>
    </w:p>
    <w:p w14:paraId="69777389" w14:textId="5C17DCFB" w:rsidR="009A059A" w:rsidRDefault="009A059A" w:rsidP="009A059A">
      <w:pPr>
        <w:spacing w:after="0" w:line="240" w:lineRule="auto"/>
        <w:ind w:left="6372" w:firstLine="108"/>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269843E2" w14:textId="549D96FC" w:rsidR="009A059A" w:rsidRDefault="009A059A" w:rsidP="009A059A">
      <w:pPr>
        <w:spacing w:after="0" w:line="240" w:lineRule="auto"/>
        <w:ind w:left="6372" w:firstLine="708"/>
        <w:rPr>
          <w:rFonts w:ascii="Verdana" w:hAnsi="Verdana"/>
          <w:sz w:val="20"/>
          <w:lang w:val="pt-BR"/>
        </w:rPr>
      </w:pPr>
      <w:r>
        <w:rPr>
          <w:rFonts w:ascii="Verdana" w:hAnsi="Verdana"/>
          <w:sz w:val="20"/>
          <w:lang w:val="pt-BR"/>
        </w:rPr>
        <w:t>Presidenta</w:t>
      </w:r>
    </w:p>
    <w:p w14:paraId="3A710B45" w14:textId="77777777" w:rsidR="009A059A" w:rsidRPr="00FC4051" w:rsidRDefault="009A059A" w:rsidP="009A059A">
      <w:pPr>
        <w:spacing w:after="0" w:line="240" w:lineRule="auto"/>
        <w:jc w:val="both"/>
        <w:rPr>
          <w:rFonts w:ascii="Verdana" w:hAnsi="Verdana"/>
          <w:sz w:val="20"/>
          <w:lang w:val="pt-BR"/>
        </w:rPr>
      </w:pPr>
    </w:p>
    <w:p w14:paraId="1DCA2B90" w14:textId="77777777" w:rsidR="009A059A" w:rsidRDefault="009A059A" w:rsidP="009A059A">
      <w:pPr>
        <w:spacing w:after="0" w:line="240" w:lineRule="auto"/>
        <w:jc w:val="both"/>
        <w:rPr>
          <w:rFonts w:ascii="Verdana" w:hAnsi="Verdana"/>
          <w:sz w:val="20"/>
          <w:lang w:val="pt-BR"/>
        </w:rPr>
      </w:pPr>
    </w:p>
    <w:p w14:paraId="6FF5F074" w14:textId="77777777" w:rsidR="009A059A" w:rsidRDefault="009A059A" w:rsidP="009A059A">
      <w:pPr>
        <w:spacing w:after="0" w:line="240" w:lineRule="auto"/>
        <w:jc w:val="both"/>
        <w:rPr>
          <w:rFonts w:ascii="Verdana" w:hAnsi="Verdana"/>
          <w:sz w:val="20"/>
          <w:lang w:val="pt-BR"/>
        </w:rPr>
      </w:pPr>
    </w:p>
    <w:p w14:paraId="4916745F" w14:textId="77777777" w:rsidR="009A059A" w:rsidRDefault="009A059A" w:rsidP="009A059A">
      <w:pPr>
        <w:spacing w:after="0" w:line="240" w:lineRule="auto"/>
        <w:jc w:val="both"/>
        <w:rPr>
          <w:rFonts w:ascii="Verdana" w:hAnsi="Verdana"/>
          <w:sz w:val="20"/>
          <w:lang w:val="pt-BR"/>
        </w:rPr>
      </w:pPr>
    </w:p>
    <w:p w14:paraId="7D7B3F71" w14:textId="77777777" w:rsidR="009A059A" w:rsidRPr="00FC4051" w:rsidRDefault="009A059A" w:rsidP="009A059A">
      <w:pPr>
        <w:spacing w:after="0" w:line="240" w:lineRule="auto"/>
        <w:jc w:val="both"/>
        <w:rPr>
          <w:rFonts w:ascii="Verdana" w:hAnsi="Verdana"/>
          <w:sz w:val="20"/>
          <w:lang w:val="pt-BR"/>
        </w:rPr>
      </w:pPr>
    </w:p>
    <w:p w14:paraId="7C3DD792" w14:textId="77777777" w:rsidR="009A059A" w:rsidRPr="00FC4051" w:rsidRDefault="009A059A" w:rsidP="009A059A">
      <w:pPr>
        <w:spacing w:after="0" w:line="240" w:lineRule="auto"/>
        <w:jc w:val="both"/>
        <w:rPr>
          <w:rFonts w:ascii="Verdana" w:hAnsi="Verdana"/>
          <w:sz w:val="20"/>
          <w:lang w:val="pt-BR"/>
        </w:rPr>
      </w:pPr>
      <w:r w:rsidRPr="00FC4051">
        <w:rPr>
          <w:rFonts w:ascii="Verdana" w:hAnsi="Verdana"/>
          <w:sz w:val="20"/>
          <w:lang w:val="pt-BR"/>
        </w:rPr>
        <w:t>Pablo Saavedra Alessandri</w:t>
      </w:r>
    </w:p>
    <w:p w14:paraId="6B83F040" w14:textId="77777777" w:rsidR="009A059A" w:rsidRDefault="009A059A" w:rsidP="009A059A">
      <w:pPr>
        <w:spacing w:after="0" w:line="240" w:lineRule="auto"/>
        <w:rPr>
          <w:rFonts w:ascii="Verdana" w:hAnsi="Verdana"/>
          <w:sz w:val="20"/>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sectPr w:rsidR="009A059A" w:rsidSect="00544CEF">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99B78" w14:textId="77777777" w:rsidR="00586557" w:rsidRDefault="00586557" w:rsidP="0016448A">
      <w:pPr>
        <w:spacing w:after="0" w:line="240" w:lineRule="auto"/>
      </w:pPr>
      <w:r>
        <w:separator/>
      </w:r>
    </w:p>
  </w:endnote>
  <w:endnote w:type="continuationSeparator" w:id="0">
    <w:p w14:paraId="1FFD0284" w14:textId="77777777" w:rsidR="00586557" w:rsidRDefault="00586557" w:rsidP="0016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285BC" w14:textId="2FBEA4C9" w:rsidR="003770C1" w:rsidRPr="008B3169" w:rsidRDefault="003770C1" w:rsidP="008B3169">
    <w:pPr>
      <w:pStyle w:val="Piedepgina"/>
      <w:jc w:val="center"/>
      <w:rPr>
        <w:rFonts w:ascii="Verdana" w:hAnsi="Verdana"/>
        <w:sz w:val="20"/>
        <w:szCs w:val="20"/>
      </w:rPr>
    </w:pPr>
    <w:r w:rsidRPr="00234DEC">
      <w:rPr>
        <w:rFonts w:ascii="Verdana" w:hAnsi="Verdana"/>
        <w:sz w:val="20"/>
        <w:szCs w:val="20"/>
      </w:rPr>
      <w:t>-</w:t>
    </w:r>
    <w:sdt>
      <w:sdtPr>
        <w:rPr>
          <w:rFonts w:ascii="Verdana" w:hAnsi="Verdana"/>
          <w:sz w:val="20"/>
          <w:szCs w:val="20"/>
        </w:rPr>
        <w:id w:val="-1266996909"/>
        <w:docPartObj>
          <w:docPartGallery w:val="Page Numbers (Bottom of Page)"/>
          <w:docPartUnique/>
        </w:docPartObj>
      </w:sdtPr>
      <w:sdtEndPr/>
      <w:sdtContent>
        <w:r w:rsidRPr="00234DEC">
          <w:rPr>
            <w:rFonts w:ascii="Verdana" w:hAnsi="Verdana"/>
            <w:sz w:val="20"/>
            <w:szCs w:val="20"/>
          </w:rPr>
          <w:fldChar w:fldCharType="begin"/>
        </w:r>
        <w:r w:rsidRPr="00234DEC">
          <w:rPr>
            <w:rFonts w:ascii="Verdana" w:hAnsi="Verdana"/>
            <w:sz w:val="20"/>
            <w:szCs w:val="20"/>
          </w:rPr>
          <w:instrText>PAGE   \* MERGEFORMAT</w:instrText>
        </w:r>
        <w:r w:rsidRPr="00234DEC">
          <w:rPr>
            <w:rFonts w:ascii="Verdana" w:hAnsi="Verdana"/>
            <w:sz w:val="20"/>
            <w:szCs w:val="20"/>
          </w:rPr>
          <w:fldChar w:fldCharType="separate"/>
        </w:r>
        <w:r w:rsidR="00C75206" w:rsidRPr="00C75206">
          <w:rPr>
            <w:rFonts w:ascii="Verdana" w:hAnsi="Verdana"/>
            <w:noProof/>
            <w:sz w:val="20"/>
            <w:szCs w:val="20"/>
            <w:lang w:val="es-ES"/>
          </w:rPr>
          <w:t>8</w:t>
        </w:r>
        <w:r w:rsidRPr="00234DEC">
          <w:rPr>
            <w:rFonts w:ascii="Verdana" w:hAnsi="Verdana"/>
            <w:sz w:val="20"/>
            <w:szCs w:val="20"/>
          </w:rPr>
          <w:fldChar w:fldCharType="end"/>
        </w:r>
        <w:r w:rsidRPr="00234DEC">
          <w:rPr>
            <w:rFonts w:ascii="Verdana" w:hAnsi="Verdana"/>
            <w:sz w:val="20"/>
            <w:szCs w:val="20"/>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42B40" w14:textId="77777777" w:rsidR="00586557" w:rsidRDefault="00586557" w:rsidP="0016448A">
      <w:pPr>
        <w:spacing w:after="0" w:line="240" w:lineRule="auto"/>
      </w:pPr>
      <w:r>
        <w:separator/>
      </w:r>
    </w:p>
  </w:footnote>
  <w:footnote w:type="continuationSeparator" w:id="0">
    <w:p w14:paraId="143879D6" w14:textId="77777777" w:rsidR="00586557" w:rsidRDefault="00586557" w:rsidP="0016448A">
      <w:pPr>
        <w:spacing w:after="0" w:line="240" w:lineRule="auto"/>
      </w:pPr>
      <w:r>
        <w:continuationSeparator/>
      </w:r>
    </w:p>
  </w:footnote>
  <w:footnote w:id="1">
    <w:p w14:paraId="25A69F64" w14:textId="48A3D4CD" w:rsidR="003770C1" w:rsidRPr="00CD3625" w:rsidRDefault="003770C1" w:rsidP="00B64E77">
      <w:pPr>
        <w:pStyle w:val="Textonotapie"/>
        <w:jc w:val="both"/>
        <w:rPr>
          <w:rFonts w:ascii="Verdana" w:hAnsi="Verdana"/>
          <w:sz w:val="16"/>
          <w:szCs w:val="16"/>
        </w:rPr>
      </w:pPr>
      <w:r w:rsidRPr="00CD3625">
        <w:rPr>
          <w:rFonts w:ascii="Verdana" w:hAnsi="Verdana"/>
          <w:sz w:val="16"/>
          <w:szCs w:val="16"/>
          <w:vertAlign w:val="superscript"/>
        </w:rPr>
        <w:t>*</w:t>
      </w:r>
      <w:r w:rsidRPr="00CD3625">
        <w:rPr>
          <w:rFonts w:ascii="Verdana" w:hAnsi="Verdana"/>
          <w:sz w:val="16"/>
          <w:szCs w:val="16"/>
        </w:rPr>
        <w:tab/>
        <w:t xml:space="preserve">El Juez Eugenio Raúl Zaffaroni, de nacionalidad argentina, no participó en la deliberación y firma de </w:t>
      </w:r>
      <w:r w:rsidR="00FB4437" w:rsidRPr="00CD3625">
        <w:rPr>
          <w:rFonts w:ascii="Verdana" w:hAnsi="Verdana"/>
          <w:sz w:val="16"/>
          <w:szCs w:val="16"/>
        </w:rPr>
        <w:t>l</w:t>
      </w:r>
      <w:r w:rsidRPr="00CD3625">
        <w:rPr>
          <w:rFonts w:ascii="Verdana" w:hAnsi="Verdana"/>
          <w:sz w:val="16"/>
          <w:szCs w:val="16"/>
        </w:rPr>
        <w:t>a Sentencia</w:t>
      </w:r>
      <w:r w:rsidR="00FB4437" w:rsidRPr="00CD3625">
        <w:rPr>
          <w:rFonts w:ascii="Verdana" w:hAnsi="Verdana"/>
          <w:sz w:val="16"/>
          <w:szCs w:val="16"/>
        </w:rPr>
        <w:t xml:space="preserve"> de este caso</w:t>
      </w:r>
      <w:r w:rsidRPr="00CD3625">
        <w:rPr>
          <w:rFonts w:ascii="Verdana" w:hAnsi="Verdana"/>
          <w:sz w:val="16"/>
          <w:szCs w:val="16"/>
        </w:rPr>
        <w:t xml:space="preserve">, ni en el conocimiento y deliberación de la presente Resolución, de conformidad con lo dispuesto en el artículo 19.1 del Reglamento de la Corte. Debido a las circunstancias excepcionales ocasionadas por la pandemia COVID-19, esta Resolución fue deliberada y aprobada durante el </w:t>
      </w:r>
      <w:r w:rsidR="0034544A" w:rsidRPr="00CD3625">
        <w:rPr>
          <w:rFonts w:ascii="Verdana" w:hAnsi="Verdana"/>
          <w:sz w:val="16"/>
          <w:szCs w:val="16"/>
        </w:rPr>
        <w:t>14</w:t>
      </w:r>
      <w:r w:rsidR="00544CEF" w:rsidRPr="00CD3625">
        <w:rPr>
          <w:rFonts w:ascii="Verdana" w:hAnsi="Verdana"/>
          <w:sz w:val="16"/>
          <w:szCs w:val="16"/>
        </w:rPr>
        <w:t>1</w:t>
      </w:r>
      <w:r w:rsidR="0034544A" w:rsidRPr="00CD3625">
        <w:rPr>
          <w:rFonts w:ascii="Verdana" w:hAnsi="Verdana"/>
          <w:sz w:val="16"/>
          <w:szCs w:val="16"/>
        </w:rPr>
        <w:t xml:space="preserve"> </w:t>
      </w:r>
      <w:r w:rsidRPr="00CD3625">
        <w:rPr>
          <w:rFonts w:ascii="Verdana" w:hAnsi="Verdana"/>
          <w:sz w:val="16"/>
          <w:szCs w:val="16"/>
        </w:rPr>
        <w:t>Período Ordinario de Sesiones, el cual se llevó a cabo de forma no presencial utilizando medios tecnológicos de conformidad con lo establecido en el Reglamento de la Corte.</w:t>
      </w:r>
    </w:p>
    <w:p w14:paraId="043D882A" w14:textId="775A2473" w:rsidR="003770C1" w:rsidRPr="00CD3625" w:rsidRDefault="003770C1" w:rsidP="0016448A">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i/>
          <w:sz w:val="16"/>
          <w:szCs w:val="16"/>
        </w:rPr>
        <w:t>Cfr. Caso Gorigoitía Vs. Argentina. Excepción Preliminar, Fondo, Reparaciones y Costas.</w:t>
      </w:r>
      <w:r w:rsidRPr="00CD3625">
        <w:rPr>
          <w:rFonts w:ascii="Verdana" w:hAnsi="Verdana"/>
          <w:sz w:val="16"/>
          <w:szCs w:val="16"/>
        </w:rPr>
        <w:t xml:space="preserve"> Sentencia de 2 de septiembre de 2019. Serie C No. 382. El texto íntegro de la Sentencia se encuentra disponible en: </w:t>
      </w:r>
      <w:hyperlink r:id="rId1" w:history="1">
        <w:r w:rsidRPr="00CD3625">
          <w:rPr>
            <w:rStyle w:val="Hipervnculo"/>
            <w:rFonts w:ascii="Verdana" w:hAnsi="Verdana"/>
            <w:sz w:val="16"/>
            <w:szCs w:val="16"/>
          </w:rPr>
          <w:t>http://www.corteidh.or.cr/docs/casos/articulos/seriec_382_esp.pdf</w:t>
        </w:r>
      </w:hyperlink>
      <w:r w:rsidRPr="00CD3625">
        <w:rPr>
          <w:rFonts w:ascii="Verdana" w:hAnsi="Verdana"/>
          <w:sz w:val="16"/>
          <w:szCs w:val="16"/>
        </w:rPr>
        <w:t xml:space="preserve">. La Sentencia se notificó el 17 de septiembre de 2019. </w:t>
      </w:r>
    </w:p>
  </w:footnote>
  <w:footnote w:id="2">
    <w:p w14:paraId="225DF048" w14:textId="56238E38" w:rsidR="003770C1" w:rsidRPr="00CD3625" w:rsidRDefault="003770C1" w:rsidP="00EC2886">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 xml:space="preserve">El señor Gorigoitía fue condenado por el delito de homicidio simple y se le impuso una pena de 14 años de prisión. </w:t>
      </w:r>
      <w:r w:rsidR="00FB4437" w:rsidRPr="00CD3625">
        <w:rPr>
          <w:rFonts w:ascii="Verdana" w:hAnsi="Verdana"/>
          <w:sz w:val="16"/>
          <w:szCs w:val="16"/>
        </w:rPr>
        <w:t xml:space="preserve">Cumplió 9 años y 4 meses de prisión y fue puesto en libertad condicional en diciembre de 2005. </w:t>
      </w:r>
      <w:r w:rsidR="00C80B68" w:rsidRPr="00CD3625">
        <w:rPr>
          <w:rFonts w:ascii="Verdana" w:hAnsi="Verdana"/>
          <w:sz w:val="16"/>
          <w:szCs w:val="16"/>
        </w:rPr>
        <w:t>También se le impuso una pena de</w:t>
      </w:r>
      <w:r w:rsidRPr="00CD3625">
        <w:rPr>
          <w:rFonts w:ascii="Verdana" w:hAnsi="Verdana"/>
          <w:sz w:val="16"/>
          <w:szCs w:val="16"/>
        </w:rPr>
        <w:t xml:space="preserve"> inhabilitación absoluta</w:t>
      </w:r>
      <w:r w:rsidR="00C80B68" w:rsidRPr="00CD3625">
        <w:rPr>
          <w:rFonts w:ascii="Verdana" w:hAnsi="Verdana"/>
          <w:sz w:val="16"/>
          <w:szCs w:val="16"/>
        </w:rPr>
        <w:t xml:space="preserve"> a perpetuidad</w:t>
      </w:r>
      <w:r w:rsidRPr="00CD3625">
        <w:rPr>
          <w:rFonts w:ascii="Verdana" w:hAnsi="Verdana"/>
          <w:sz w:val="16"/>
          <w:szCs w:val="16"/>
        </w:rPr>
        <w:t xml:space="preserve">, y fue exonerado </w:t>
      </w:r>
      <w:r w:rsidR="00C80B68" w:rsidRPr="00CD3625">
        <w:rPr>
          <w:rFonts w:ascii="Verdana" w:hAnsi="Verdana"/>
          <w:sz w:val="16"/>
          <w:szCs w:val="16"/>
        </w:rPr>
        <w:t xml:space="preserve">de manera definitiva </w:t>
      </w:r>
      <w:r w:rsidRPr="00CD3625">
        <w:rPr>
          <w:rFonts w:ascii="Verdana" w:hAnsi="Verdana"/>
          <w:sz w:val="16"/>
          <w:szCs w:val="16"/>
        </w:rPr>
        <w:t>de la Policía de Mendoza</w:t>
      </w:r>
      <w:r w:rsidR="00C80B68" w:rsidRPr="00CD3625">
        <w:rPr>
          <w:rFonts w:ascii="Verdana" w:hAnsi="Verdana"/>
          <w:sz w:val="16"/>
          <w:szCs w:val="16"/>
        </w:rPr>
        <w:t>.</w:t>
      </w:r>
    </w:p>
  </w:footnote>
  <w:footnote w:id="3">
    <w:p w14:paraId="138F3988" w14:textId="4BAADBFB" w:rsidR="001E5BD4" w:rsidRPr="00CD3625" w:rsidRDefault="001E5BD4" w:rsidP="008C06A3">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 xml:space="preserve">Este error material fue advertido por el Estado mediante escrito de 7 de agosto de 2020. </w:t>
      </w:r>
    </w:p>
  </w:footnote>
  <w:footnote w:id="4">
    <w:p w14:paraId="2984B82E" w14:textId="4958A639" w:rsidR="003770C1" w:rsidRPr="00CD3625" w:rsidRDefault="003770C1" w:rsidP="008C06A3">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Los representantes son los señores Carlos Varela Álvarez</w:t>
      </w:r>
      <w:r w:rsidR="0005031D" w:rsidRPr="00CD3625">
        <w:rPr>
          <w:rFonts w:ascii="Verdana" w:hAnsi="Verdana"/>
          <w:sz w:val="16"/>
          <w:szCs w:val="16"/>
        </w:rPr>
        <w:t>, Alejandro Acosta y Pablo Donná</w:t>
      </w:r>
      <w:r w:rsidRPr="00CD3625">
        <w:rPr>
          <w:rFonts w:ascii="Verdana" w:hAnsi="Verdana"/>
          <w:sz w:val="16"/>
          <w:szCs w:val="16"/>
        </w:rPr>
        <w:t>ngelo.</w:t>
      </w:r>
    </w:p>
  </w:footnote>
  <w:footnote w:id="5">
    <w:p w14:paraId="479D55A6" w14:textId="77777777" w:rsidR="003770C1" w:rsidRPr="00CD3625" w:rsidRDefault="003770C1" w:rsidP="008C06A3">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Facultad que además se desprende de lo dispuesto en los artículos 33, 62.1, 62.3 y 65 de la Convención Americana sobre Derechos Humanos y 30 de su Estatuto y se encuentra regulada en el artículo 69 de su Reglamento.</w:t>
      </w:r>
    </w:p>
  </w:footnote>
  <w:footnote w:id="6">
    <w:p w14:paraId="0509BFAF" w14:textId="73CFEBA0" w:rsidR="003770C1" w:rsidRPr="00CD3625" w:rsidRDefault="003770C1" w:rsidP="008C06A3">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i/>
          <w:sz w:val="16"/>
          <w:szCs w:val="16"/>
        </w:rPr>
        <w:t>Cfr.</w:t>
      </w:r>
      <w:r w:rsidRPr="00CD3625">
        <w:rPr>
          <w:rFonts w:ascii="Verdana" w:hAnsi="Verdana"/>
          <w:sz w:val="16"/>
          <w:szCs w:val="16"/>
        </w:rPr>
        <w:t xml:space="preserve"> </w:t>
      </w:r>
      <w:r w:rsidRPr="00CD3625">
        <w:rPr>
          <w:rFonts w:ascii="Verdana" w:hAnsi="Verdana"/>
          <w:i/>
          <w:sz w:val="16"/>
          <w:szCs w:val="16"/>
        </w:rPr>
        <w:t xml:space="preserve">Caso Gorigoitía Vs. Argentina, supra </w:t>
      </w:r>
      <w:r w:rsidRPr="00CD3625">
        <w:rPr>
          <w:rFonts w:ascii="Verdana" w:hAnsi="Verdana"/>
          <w:sz w:val="16"/>
          <w:szCs w:val="16"/>
        </w:rPr>
        <w:t>nota 1, párrs. 89 y 95 y punto resolutivo 11.</w:t>
      </w:r>
    </w:p>
  </w:footnote>
  <w:footnote w:id="7">
    <w:p w14:paraId="79EBA974" w14:textId="25DBA9B6" w:rsidR="003770C1" w:rsidRPr="00CD3625" w:rsidRDefault="003770C1" w:rsidP="008C06A3">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i/>
          <w:sz w:val="16"/>
          <w:szCs w:val="16"/>
        </w:rPr>
        <w:t>Cfr. Caso Cinco Pensionistas Vs. Perú. Supervisión de cumplimiento de Sentencia.</w:t>
      </w:r>
      <w:r w:rsidRPr="00CD3625">
        <w:rPr>
          <w:rFonts w:ascii="Verdana" w:hAnsi="Verdana"/>
          <w:sz w:val="16"/>
          <w:szCs w:val="16"/>
        </w:rPr>
        <w:t xml:space="preserve"> Resolución de la Corte Interamericana de Derechos Humanos de 17 de noviembre de 2004, Considerando 5, y </w:t>
      </w:r>
      <w:r w:rsidR="006738A8" w:rsidRPr="00CD3625">
        <w:rPr>
          <w:rFonts w:ascii="Verdana" w:hAnsi="Verdana"/>
          <w:sz w:val="16"/>
          <w:szCs w:val="16"/>
        </w:rPr>
        <w:t>C</w:t>
      </w:r>
      <w:r w:rsidR="006738A8" w:rsidRPr="00CD3625">
        <w:rPr>
          <w:rFonts w:ascii="Verdana" w:hAnsi="Verdana"/>
          <w:i/>
          <w:sz w:val="16"/>
          <w:szCs w:val="16"/>
        </w:rPr>
        <w:t xml:space="preserve">aso Norín Catrimán y otros (Dirigentes, Miembros y Activista del Pueblo Indígena Mapuche) Vs. Chile. </w:t>
      </w:r>
      <w:r w:rsidR="006738A8" w:rsidRPr="00CD3625">
        <w:rPr>
          <w:rFonts w:ascii="Verdana" w:hAnsi="Verdana"/>
          <w:sz w:val="16"/>
          <w:szCs w:val="16"/>
        </w:rPr>
        <w:t>Resolución de la Corte Interamericana de Derechos Humanos de 18 de febrero de 2021</w:t>
      </w:r>
      <w:r w:rsidRPr="00CD3625">
        <w:rPr>
          <w:rFonts w:ascii="Verdana" w:hAnsi="Verdana"/>
          <w:sz w:val="16"/>
          <w:szCs w:val="16"/>
        </w:rPr>
        <w:t xml:space="preserve">, Considerando 2. </w:t>
      </w:r>
    </w:p>
  </w:footnote>
  <w:footnote w:id="8">
    <w:p w14:paraId="60D0B369" w14:textId="66991F55" w:rsidR="003770C1" w:rsidRPr="00CD3625" w:rsidRDefault="003770C1" w:rsidP="008C06A3">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i/>
          <w:sz w:val="16"/>
          <w:szCs w:val="16"/>
        </w:rPr>
        <w:t>Cfr. Caso Ivcher Bronstein Vs. Perú. Competencia.</w:t>
      </w:r>
      <w:r w:rsidRPr="00CD3625">
        <w:rPr>
          <w:rFonts w:ascii="Verdana" w:hAnsi="Verdana"/>
          <w:sz w:val="16"/>
          <w:szCs w:val="16"/>
        </w:rPr>
        <w:t xml:space="preserve"> Sentencia de la Corte Interamericana de Derechos Humanos de 24 de septiembre de 1999. Serie C No. 54, párr. 37, y </w:t>
      </w:r>
      <w:r w:rsidRPr="00CD3625">
        <w:rPr>
          <w:rFonts w:ascii="Verdana" w:hAnsi="Verdana"/>
          <w:i/>
          <w:sz w:val="16"/>
          <w:szCs w:val="16"/>
        </w:rPr>
        <w:t>C</w:t>
      </w:r>
      <w:r w:rsidR="006738A8" w:rsidRPr="00CD3625">
        <w:rPr>
          <w:rFonts w:ascii="Verdana" w:hAnsi="Verdana"/>
          <w:sz w:val="16"/>
          <w:szCs w:val="16"/>
        </w:rPr>
        <w:t xml:space="preserve"> C</w:t>
      </w:r>
      <w:r w:rsidR="006738A8" w:rsidRPr="00CD3625">
        <w:rPr>
          <w:rFonts w:ascii="Verdana" w:hAnsi="Verdana"/>
          <w:i/>
          <w:sz w:val="16"/>
          <w:szCs w:val="16"/>
        </w:rPr>
        <w:t>aso Norín Catrimán y otros (Dirigentes, Miembros y Activista del Pueblo Indígena Mapuche) Vs. Chile</w:t>
      </w:r>
      <w:r w:rsidRPr="00CD3625">
        <w:rPr>
          <w:rFonts w:ascii="Verdana" w:hAnsi="Verdana"/>
          <w:sz w:val="16"/>
          <w:szCs w:val="16"/>
        </w:rPr>
        <w:t xml:space="preserve">, </w:t>
      </w:r>
      <w:r w:rsidRPr="00CD3625">
        <w:rPr>
          <w:rFonts w:ascii="Verdana" w:hAnsi="Verdana"/>
          <w:i/>
          <w:sz w:val="16"/>
          <w:szCs w:val="16"/>
        </w:rPr>
        <w:t>supra</w:t>
      </w:r>
      <w:r w:rsidRPr="00CD3625">
        <w:rPr>
          <w:rFonts w:ascii="Verdana" w:hAnsi="Verdana"/>
          <w:sz w:val="16"/>
          <w:szCs w:val="16"/>
        </w:rPr>
        <w:t xml:space="preserve"> nota </w:t>
      </w:r>
      <w:r w:rsidR="006738A8" w:rsidRPr="00CD3625">
        <w:rPr>
          <w:rFonts w:ascii="Verdana" w:hAnsi="Verdana"/>
          <w:sz w:val="16"/>
          <w:szCs w:val="16"/>
        </w:rPr>
        <w:t>7</w:t>
      </w:r>
      <w:r w:rsidRPr="00CD3625">
        <w:rPr>
          <w:rFonts w:ascii="Verdana" w:hAnsi="Verdana"/>
          <w:sz w:val="16"/>
          <w:szCs w:val="16"/>
        </w:rPr>
        <w:t>, Considerando 2.</w:t>
      </w:r>
    </w:p>
  </w:footnote>
  <w:footnote w:id="9">
    <w:p w14:paraId="3CA1472C" w14:textId="0C6E6D17" w:rsidR="008C06A3" w:rsidRPr="00CD3625" w:rsidRDefault="008C06A3" w:rsidP="008C06A3">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i/>
          <w:sz w:val="16"/>
          <w:szCs w:val="16"/>
        </w:rPr>
        <w:t xml:space="preserve">Cfr. </w:t>
      </w:r>
      <w:r w:rsidRPr="00CD3625">
        <w:rPr>
          <w:rFonts w:ascii="Verdana" w:hAnsi="Verdana" w:cs="Arial"/>
          <w:i/>
          <w:sz w:val="16"/>
          <w:szCs w:val="16"/>
          <w:shd w:val="clear" w:color="auto" w:fill="FFFFFF"/>
        </w:rPr>
        <w:t>Caso Mendoza y otros Vs. Argentina. Excepciones Preliminares, Fondo y Reparaciones.</w:t>
      </w:r>
      <w:r w:rsidRPr="00CD3625">
        <w:rPr>
          <w:rFonts w:ascii="Verdana" w:hAnsi="Verdana" w:cs="Arial"/>
          <w:sz w:val="16"/>
          <w:szCs w:val="16"/>
          <w:shd w:val="clear" w:color="auto" w:fill="FFFFFF"/>
        </w:rPr>
        <w:t xml:space="preserve"> Sentencia de 14 de mayo de 2013. Serie C No. 260, punto resolutivo 22 y párrafo 329 y 332.</w:t>
      </w:r>
    </w:p>
  </w:footnote>
  <w:footnote w:id="10">
    <w:p w14:paraId="101A5BC2" w14:textId="5D6AA861" w:rsidR="003770C1" w:rsidRPr="00CD3625" w:rsidRDefault="003770C1" w:rsidP="003210BA">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003210BA" w:rsidRPr="00CD3625">
        <w:rPr>
          <w:rFonts w:ascii="Verdana" w:hAnsi="Verdana"/>
          <w:sz w:val="16"/>
          <w:szCs w:val="16"/>
        </w:rPr>
        <w:t xml:space="preserve">En el punto resolutivo </w:t>
      </w:r>
      <w:r w:rsidR="00C43F85" w:rsidRPr="00CD3625">
        <w:rPr>
          <w:rFonts w:ascii="Verdana" w:hAnsi="Verdana"/>
          <w:sz w:val="16"/>
          <w:szCs w:val="16"/>
        </w:rPr>
        <w:t xml:space="preserve">décimo primero </w:t>
      </w:r>
      <w:r w:rsidR="003210BA" w:rsidRPr="00CD3625">
        <w:rPr>
          <w:rFonts w:ascii="Verdana" w:hAnsi="Verdana"/>
          <w:sz w:val="16"/>
          <w:szCs w:val="16"/>
        </w:rPr>
        <w:t xml:space="preserve">y el párrafo 89 de la Sentencia, la Corte “orden[ó] al Estado el reintegro a dicho Fondo de la cantidad de USD $987.36 (novecientos ochenta y siete dólares con treinta y seis centavos de los Estados Unidos de América), y estableció que debía ser realizado “en el plazo de seis meses, contados a partir de la notificación de la presenta Sentencia”. En el párrafo 95 de la Sentencia se dispuso que “[e]n caso de que el Estado incurriera en mora, incluyendo en el reintegro de los gastos al Fondo de Asistencia Legal de Víctimas, deberá pagar un interés sobre la cantidad adeudada correspondiente al interés bancario moratorio en Argentina”. </w:t>
      </w:r>
    </w:p>
  </w:footnote>
  <w:footnote w:id="11">
    <w:p w14:paraId="76D475F3" w14:textId="60362A7F" w:rsidR="003770C1" w:rsidRPr="00CD3625" w:rsidRDefault="003770C1" w:rsidP="005B4794">
      <w:pPr>
        <w:pStyle w:val="Textonotapie"/>
        <w:jc w:val="both"/>
        <w:rPr>
          <w:rFonts w:ascii="Verdana" w:hAnsi="Verdana" w:cs="Times New Roman"/>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cs="Times New Roman"/>
          <w:sz w:val="16"/>
          <w:szCs w:val="16"/>
        </w:rPr>
        <w:t xml:space="preserve">En esta </w:t>
      </w:r>
      <w:r w:rsidR="00093490" w:rsidRPr="00CD3625">
        <w:rPr>
          <w:rFonts w:ascii="Verdana" w:hAnsi="Verdana" w:cs="Times New Roman"/>
          <w:sz w:val="16"/>
          <w:szCs w:val="16"/>
        </w:rPr>
        <w:t xml:space="preserve">audiencia </w:t>
      </w:r>
      <w:r w:rsidRPr="00CD3625">
        <w:rPr>
          <w:rFonts w:ascii="Verdana" w:hAnsi="Verdana" w:cs="Times New Roman"/>
          <w:sz w:val="16"/>
          <w:szCs w:val="16"/>
        </w:rPr>
        <w:t xml:space="preserve">compareció el señor Gorigoitía y </w:t>
      </w:r>
      <w:r w:rsidR="008B3169" w:rsidRPr="00CD3625">
        <w:rPr>
          <w:rFonts w:ascii="Verdana" w:hAnsi="Verdana" w:cs="Times New Roman"/>
          <w:sz w:val="16"/>
          <w:szCs w:val="16"/>
        </w:rPr>
        <w:t xml:space="preserve">señor </w:t>
      </w:r>
      <w:r w:rsidRPr="00CD3625">
        <w:rPr>
          <w:rFonts w:ascii="Verdana" w:hAnsi="Verdana" w:cs="Times New Roman"/>
          <w:sz w:val="16"/>
          <w:szCs w:val="16"/>
        </w:rPr>
        <w:t xml:space="preserve">Carlos Varela, quien lo representa en el presente proceso internacional. </w:t>
      </w:r>
      <w:r w:rsidRPr="00CD3625">
        <w:rPr>
          <w:rFonts w:ascii="Verdana" w:hAnsi="Verdana" w:cs="Times New Roman"/>
          <w:i/>
          <w:sz w:val="16"/>
          <w:szCs w:val="16"/>
        </w:rPr>
        <w:t>Cfr.</w:t>
      </w:r>
      <w:r w:rsidRPr="00CD3625">
        <w:rPr>
          <w:rFonts w:ascii="Verdana" w:hAnsi="Verdana" w:cs="Times New Roman"/>
          <w:sz w:val="16"/>
          <w:szCs w:val="16"/>
        </w:rPr>
        <w:t xml:space="preserve"> Acta de la audiencia celebrada el 26 de diciembre de 2019 ante la </w:t>
      </w:r>
      <w:r w:rsidRPr="00CD3625">
        <w:rPr>
          <w:rFonts w:ascii="Verdana" w:hAnsi="Verdana"/>
          <w:sz w:val="16"/>
          <w:szCs w:val="16"/>
        </w:rPr>
        <w:t>Sala Segunda dela Suprema Corte de Justicia del Poder Judicial de Mendoza, en los autos “</w:t>
      </w:r>
      <w:r w:rsidRPr="00CD3625">
        <w:rPr>
          <w:rFonts w:ascii="Verdana" w:hAnsi="Verdana" w:cs="Times New Roman"/>
          <w:sz w:val="16"/>
          <w:szCs w:val="16"/>
        </w:rPr>
        <w:t xml:space="preserve">CUIJ: 13-05029014-4/1((018601-16073)). ACTOR CIVIL Y F. C/ GORIGOITIA GUERRERO OSCAR RAUL P/HOMICIDIO SIMPLE P/ OTROS” (anexo al informe estatal de abril de 2020). </w:t>
      </w:r>
    </w:p>
  </w:footnote>
  <w:footnote w:id="12">
    <w:p w14:paraId="5A6DE1EC" w14:textId="7A6E6A37" w:rsidR="003770C1" w:rsidRPr="00CD3625" w:rsidRDefault="003770C1" w:rsidP="001D388D">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El Estado explicó que</w:t>
      </w:r>
      <w:r w:rsidR="00A575C0">
        <w:rPr>
          <w:rFonts w:ascii="Verdana" w:hAnsi="Verdana"/>
          <w:sz w:val="16"/>
          <w:szCs w:val="16"/>
        </w:rPr>
        <w:t>,</w:t>
      </w:r>
      <w:r w:rsidRPr="00CD3625">
        <w:rPr>
          <w:rFonts w:ascii="Verdana" w:hAnsi="Verdana"/>
          <w:sz w:val="16"/>
          <w:szCs w:val="16"/>
        </w:rPr>
        <w:t xml:space="preserve"> “con posterioridad a la audiencia</w:t>
      </w:r>
      <w:r w:rsidR="008B3169" w:rsidRPr="00CD3625">
        <w:rPr>
          <w:rFonts w:ascii="Verdana" w:hAnsi="Verdana"/>
          <w:sz w:val="16"/>
          <w:szCs w:val="16"/>
        </w:rPr>
        <w:t>,</w:t>
      </w:r>
      <w:r w:rsidRPr="00CD3625">
        <w:rPr>
          <w:rFonts w:ascii="Verdana" w:hAnsi="Verdana"/>
          <w:sz w:val="16"/>
          <w:szCs w:val="16"/>
        </w:rPr>
        <w:t xml:space="preserve"> las actuaciones fueron remitidas al Ministerio Público de la Defensa de la provincia de Mendoza, a los efectos de que asum[iera] la representación jurídica [del señor Gorigoitía]”</w:t>
      </w:r>
      <w:r w:rsidR="008B3169" w:rsidRPr="00CD3625">
        <w:rPr>
          <w:rFonts w:ascii="Verdana" w:hAnsi="Verdana"/>
          <w:sz w:val="16"/>
          <w:szCs w:val="16"/>
        </w:rPr>
        <w:t>,</w:t>
      </w:r>
      <w:r w:rsidRPr="00CD3625">
        <w:rPr>
          <w:rFonts w:ascii="Verdana" w:hAnsi="Verdana"/>
          <w:sz w:val="16"/>
          <w:szCs w:val="16"/>
        </w:rPr>
        <w:t xml:space="preserve"> ya que éste solicitó en la audiencia que le fuera nombrado un defensor público. </w:t>
      </w:r>
      <w:r w:rsidRPr="00CD3625">
        <w:rPr>
          <w:rFonts w:ascii="Verdana" w:hAnsi="Verdana"/>
          <w:i/>
          <w:sz w:val="16"/>
          <w:szCs w:val="16"/>
        </w:rPr>
        <w:t>Cfr.</w:t>
      </w:r>
      <w:r w:rsidRPr="00CD3625">
        <w:rPr>
          <w:rFonts w:ascii="Verdana" w:hAnsi="Verdana"/>
          <w:sz w:val="16"/>
          <w:szCs w:val="16"/>
        </w:rPr>
        <w:t xml:space="preserve"> </w:t>
      </w:r>
      <w:r w:rsidR="008B3169" w:rsidRPr="00CD3625">
        <w:rPr>
          <w:rFonts w:ascii="Verdana" w:hAnsi="Verdana"/>
          <w:sz w:val="16"/>
          <w:szCs w:val="16"/>
        </w:rPr>
        <w:t xml:space="preserve">Acta de la audiencia de 26 de diciembre de 2019, </w:t>
      </w:r>
      <w:r w:rsidR="008B3169" w:rsidRPr="00CD3625">
        <w:rPr>
          <w:rFonts w:ascii="Verdana" w:hAnsi="Verdana"/>
          <w:i/>
          <w:sz w:val="16"/>
          <w:szCs w:val="16"/>
        </w:rPr>
        <w:t>supra</w:t>
      </w:r>
      <w:r w:rsidR="008B3169" w:rsidRPr="00CD3625">
        <w:rPr>
          <w:rFonts w:ascii="Verdana" w:hAnsi="Verdana"/>
          <w:sz w:val="16"/>
          <w:szCs w:val="16"/>
        </w:rPr>
        <w:t xml:space="preserve"> nota </w:t>
      </w:r>
      <w:r w:rsidR="00C64EF5" w:rsidRPr="00CD3625">
        <w:rPr>
          <w:rFonts w:ascii="Verdana" w:hAnsi="Verdana"/>
          <w:sz w:val="16"/>
          <w:szCs w:val="16"/>
        </w:rPr>
        <w:t>1</w:t>
      </w:r>
      <w:r w:rsidR="00C43F85" w:rsidRPr="00CD3625">
        <w:rPr>
          <w:rFonts w:ascii="Verdana" w:hAnsi="Verdana"/>
          <w:sz w:val="16"/>
          <w:szCs w:val="16"/>
        </w:rPr>
        <w:t>1</w:t>
      </w:r>
      <w:r w:rsidR="00C64EF5" w:rsidRPr="00CD3625">
        <w:rPr>
          <w:rFonts w:ascii="Verdana" w:hAnsi="Verdana"/>
          <w:sz w:val="16"/>
          <w:szCs w:val="16"/>
        </w:rPr>
        <w:t xml:space="preserve">, </w:t>
      </w:r>
      <w:r w:rsidR="008B3169" w:rsidRPr="00CD3625">
        <w:rPr>
          <w:rFonts w:ascii="Verdana" w:hAnsi="Verdana"/>
          <w:sz w:val="16"/>
          <w:szCs w:val="16"/>
        </w:rPr>
        <w:t>y O</w:t>
      </w:r>
      <w:r w:rsidRPr="00CD3625">
        <w:rPr>
          <w:rFonts w:ascii="Verdana" w:hAnsi="Verdana"/>
          <w:sz w:val="16"/>
          <w:szCs w:val="16"/>
        </w:rPr>
        <w:t xml:space="preserve">ficio suscrito por la Defensora a cargo de la Primera Defensoría de Pobres y Ausentes y por el señor Gorigoitía (anexo al informe estatal de abril de 2020. </w:t>
      </w:r>
    </w:p>
  </w:footnote>
  <w:footnote w:id="13">
    <w:p w14:paraId="3FF57EA2" w14:textId="27D34CBB" w:rsidR="003770C1" w:rsidRPr="00CD3625" w:rsidRDefault="003770C1">
      <w:pPr>
        <w:pStyle w:val="Textonotapie"/>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i/>
          <w:sz w:val="16"/>
          <w:szCs w:val="16"/>
        </w:rPr>
        <w:t>Cfr. Caso Gorigoitía Vs. Argentina, supra</w:t>
      </w:r>
      <w:r w:rsidRPr="00CD3625">
        <w:rPr>
          <w:rFonts w:ascii="Verdana" w:hAnsi="Verdana"/>
          <w:sz w:val="16"/>
          <w:szCs w:val="16"/>
        </w:rPr>
        <w:t xml:space="preserve"> nota 1, párr. 60.</w:t>
      </w:r>
    </w:p>
  </w:footnote>
  <w:footnote w:id="14">
    <w:p w14:paraId="5464D784" w14:textId="1BC63A3D" w:rsidR="003770C1" w:rsidRPr="00CD3625" w:rsidRDefault="003770C1" w:rsidP="001D388D">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 xml:space="preserve">En similar sentido: </w:t>
      </w:r>
      <w:r w:rsidRPr="00CD3625">
        <w:rPr>
          <w:rFonts w:ascii="Verdana" w:hAnsi="Verdana" w:cs="Arial"/>
          <w:i/>
          <w:sz w:val="16"/>
          <w:szCs w:val="16"/>
          <w:shd w:val="clear" w:color="auto" w:fill="FFFFFF"/>
        </w:rPr>
        <w:t>Caso Mohamed Vs. Argentina. Supervisión de Cumplimiento de Sentencia.</w:t>
      </w:r>
      <w:r w:rsidRPr="00CD3625">
        <w:rPr>
          <w:rFonts w:ascii="Verdana" w:hAnsi="Verdana" w:cs="Arial"/>
          <w:sz w:val="16"/>
          <w:szCs w:val="16"/>
          <w:shd w:val="clear" w:color="auto" w:fill="FFFFFF"/>
        </w:rPr>
        <w:t xml:space="preserve"> Resolución de la Corte Interamericana de Derechos Humanos de 13 de noviembre de 2015, Considerandos 7 a 9.</w:t>
      </w:r>
    </w:p>
  </w:footnote>
  <w:footnote w:id="15">
    <w:p w14:paraId="27CB6A31" w14:textId="633CEFE3" w:rsidR="003770C1" w:rsidRPr="00CD3625" w:rsidRDefault="003770C1" w:rsidP="00FE58A0">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 xml:space="preserve">En su escrito de diciembre de 2020, los representantes expresaron que </w:t>
      </w:r>
      <w:r w:rsidRPr="00CD3625">
        <w:rPr>
          <w:rFonts w:ascii="Verdana" w:eastAsia="Verdana" w:hAnsi="Verdana" w:cs="Verdana"/>
          <w:bCs/>
          <w:kern w:val="1"/>
          <w:sz w:val="16"/>
          <w:szCs w:val="16"/>
          <w:lang w:val="es-ES" w:bidi="x-none"/>
        </w:rPr>
        <w:t xml:space="preserve">“el Estado ha cumplido con las [medidas] de la publicidad de la Sentencia”. </w:t>
      </w:r>
    </w:p>
  </w:footnote>
  <w:footnote w:id="16">
    <w:p w14:paraId="591770D4" w14:textId="581369DD" w:rsidR="003770C1" w:rsidRPr="00CD3625" w:rsidRDefault="003770C1" w:rsidP="003B7F35">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i/>
          <w:sz w:val="16"/>
          <w:szCs w:val="16"/>
        </w:rPr>
        <w:t>Cfr.</w:t>
      </w:r>
      <w:r w:rsidRPr="00CD3625">
        <w:rPr>
          <w:rFonts w:ascii="Verdana" w:hAnsi="Verdana"/>
          <w:sz w:val="16"/>
          <w:szCs w:val="16"/>
        </w:rPr>
        <w:t xml:space="preserve"> Copia de la publicación del resumen oficial de la Sentencia en el Boletín Oficial de la República Argentina No.22303/20 de 8 de junio de 2020, disponible en: </w:t>
      </w:r>
      <w:hyperlink r:id="rId2" w:history="1">
        <w:r w:rsidRPr="00CD3625">
          <w:rPr>
            <w:rStyle w:val="Hipervnculo"/>
            <w:rFonts w:ascii="Verdana" w:hAnsi="Verdana"/>
            <w:sz w:val="16"/>
            <w:szCs w:val="16"/>
          </w:rPr>
          <w:t>https://www.boletinoficial.gob.ar/detalleAviso/primera/230321/20200608</w:t>
        </w:r>
      </w:hyperlink>
      <w:r w:rsidRPr="00CD3625">
        <w:rPr>
          <w:rFonts w:ascii="Verdana" w:hAnsi="Verdana"/>
          <w:sz w:val="16"/>
          <w:szCs w:val="16"/>
        </w:rPr>
        <w:t xml:space="preserve"> (anexo al informe estatal de junio de 2020). </w:t>
      </w:r>
    </w:p>
  </w:footnote>
  <w:footnote w:id="17">
    <w:p w14:paraId="104AC07B" w14:textId="7BD11E8B" w:rsidR="003770C1" w:rsidRPr="00CD3625" w:rsidRDefault="003770C1" w:rsidP="00C43F85">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i/>
          <w:sz w:val="16"/>
          <w:szCs w:val="16"/>
        </w:rPr>
        <w:t>Cfr.</w:t>
      </w:r>
      <w:r w:rsidRPr="00CD3625">
        <w:rPr>
          <w:rFonts w:ascii="Verdana" w:hAnsi="Verdana"/>
          <w:sz w:val="16"/>
          <w:szCs w:val="16"/>
        </w:rPr>
        <w:t xml:space="preserve"> Copia de la publicación del resumen oficial de la Sentencia en diario “BAE Negocios” de 8 de junio de 2020 (anexo al informe estatal de junio de 2020). </w:t>
      </w:r>
    </w:p>
  </w:footnote>
  <w:footnote w:id="18">
    <w:p w14:paraId="566312D5" w14:textId="49CF4E61" w:rsidR="003770C1" w:rsidRPr="00CD3625" w:rsidRDefault="003770C1" w:rsidP="00CD3625">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i/>
          <w:sz w:val="16"/>
          <w:szCs w:val="16"/>
        </w:rPr>
        <w:t>Cfr.</w:t>
      </w:r>
      <w:r w:rsidRPr="00CD3625">
        <w:rPr>
          <w:rFonts w:ascii="Verdana" w:hAnsi="Verdana"/>
          <w:sz w:val="16"/>
          <w:szCs w:val="16"/>
        </w:rPr>
        <w:t xml:space="preserve"> Copia de la publicación del resumen oficial de la Sentencia en el diario “Los Andes” de 16 de noviembre de 2020 (anexo al informe estatal de noviembre de 2020). </w:t>
      </w:r>
    </w:p>
  </w:footnote>
  <w:footnote w:id="19">
    <w:p w14:paraId="2227FD98" w14:textId="3DE7CDB2" w:rsidR="003770C1" w:rsidRPr="00CD3625" w:rsidRDefault="003770C1" w:rsidP="00456199">
      <w:pPr>
        <w:autoSpaceDE w:val="0"/>
        <w:autoSpaceDN w:val="0"/>
        <w:adjustRightInd w:val="0"/>
        <w:spacing w:after="0" w:line="240" w:lineRule="auto"/>
        <w:jc w:val="both"/>
        <w:rPr>
          <w:rFonts w:ascii="Verdana" w:hAnsi="Verdana" w:cs="Times New Roman"/>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En el informe de 1 abril de 2020, el Estado indicó que, “</w:t>
      </w:r>
      <w:r w:rsidRPr="00CD3625">
        <w:rPr>
          <w:rFonts w:ascii="Verdana" w:hAnsi="Verdana" w:cs="Times New Roman"/>
          <w:sz w:val="16"/>
          <w:szCs w:val="16"/>
        </w:rPr>
        <w:t xml:space="preserve">a partir del 13 de noviembre de 2019, tanto la Sentencia como el resumen oficial emitido por la Corte IDH se encuentran disponibles en el sitio </w:t>
      </w:r>
      <w:r w:rsidRPr="00CD3625">
        <w:rPr>
          <w:rFonts w:ascii="Verdana" w:hAnsi="Verdana" w:cs="Times New Roman"/>
          <w:i/>
          <w:sz w:val="16"/>
          <w:szCs w:val="16"/>
        </w:rPr>
        <w:t>web</w:t>
      </w:r>
      <w:r w:rsidRPr="00CD3625">
        <w:rPr>
          <w:rFonts w:ascii="Verdana" w:hAnsi="Verdana" w:cs="Times New Roman"/>
          <w:sz w:val="16"/>
          <w:szCs w:val="16"/>
        </w:rPr>
        <w:t xml:space="preserve"> oficial de la Suprema Corte de Justicia [de Mendoza], </w:t>
      </w:r>
      <w:hyperlink r:id="rId3" w:history="1">
        <w:r w:rsidRPr="00CD3625">
          <w:rPr>
            <w:rStyle w:val="Hipervnculo"/>
            <w:rFonts w:ascii="Verdana" w:hAnsi="Verdana" w:cs="Times New Roman"/>
            <w:sz w:val="16"/>
            <w:szCs w:val="16"/>
          </w:rPr>
          <w:t>www.jus.mendoza.gov.ar</w:t>
        </w:r>
      </w:hyperlink>
      <w:r w:rsidRPr="00CD3625">
        <w:rPr>
          <w:rFonts w:ascii="Verdana" w:hAnsi="Verdana" w:cs="Times New Roman"/>
          <w:sz w:val="16"/>
          <w:szCs w:val="16"/>
        </w:rPr>
        <w:t xml:space="preserve">, bajo el título </w:t>
      </w:r>
      <w:r w:rsidRPr="00CD3625">
        <w:rPr>
          <w:rFonts w:ascii="Verdana" w:hAnsi="Verdana" w:cs="Times New Roman"/>
          <w:i/>
          <w:iCs/>
          <w:sz w:val="16"/>
          <w:szCs w:val="16"/>
        </w:rPr>
        <w:t>"Acciones en cumplimiento de lo ordenado por la Corte IDH</w:t>
      </w:r>
      <w:r w:rsidRPr="00CD3625">
        <w:rPr>
          <w:rFonts w:ascii="Verdana" w:hAnsi="Verdana" w:cs="Times New Roman"/>
          <w:iCs/>
          <w:sz w:val="16"/>
          <w:szCs w:val="16"/>
        </w:rPr>
        <w:t>”. Asimismo</w:t>
      </w:r>
      <w:r w:rsidR="000C505E" w:rsidRPr="00CD3625">
        <w:rPr>
          <w:rFonts w:ascii="Verdana" w:hAnsi="Verdana" w:cs="Times New Roman"/>
          <w:iCs/>
          <w:sz w:val="16"/>
          <w:szCs w:val="16"/>
        </w:rPr>
        <w:t>,</w:t>
      </w:r>
      <w:r w:rsidRPr="00CD3625">
        <w:rPr>
          <w:rFonts w:ascii="Verdana" w:hAnsi="Verdana" w:cs="Times New Roman"/>
          <w:iCs/>
          <w:sz w:val="16"/>
          <w:szCs w:val="16"/>
        </w:rPr>
        <w:t xml:space="preserve"> aportó como comprobantes las capturas de pantallas de tal publicación.</w:t>
      </w:r>
      <w:r w:rsidR="00A33E04">
        <w:rPr>
          <w:rFonts w:ascii="Verdana" w:hAnsi="Verdana" w:cs="Times New Roman"/>
          <w:i/>
          <w:iCs/>
          <w:sz w:val="16"/>
          <w:szCs w:val="16"/>
        </w:rPr>
        <w:t xml:space="preserve"> </w:t>
      </w:r>
      <w:r w:rsidRPr="00CD3625">
        <w:rPr>
          <w:rFonts w:ascii="Verdana" w:hAnsi="Verdana" w:cs="Times New Roman"/>
          <w:iCs/>
          <w:sz w:val="16"/>
          <w:szCs w:val="16"/>
        </w:rPr>
        <w:t xml:space="preserve">La Corte constata que tal publicación se encuentra disponible hasta la fecha en el siguiente enlace: </w:t>
      </w:r>
      <w:hyperlink r:id="rId4" w:history="1">
        <w:r w:rsidRPr="00CD3625">
          <w:rPr>
            <w:rStyle w:val="Hipervnculo"/>
            <w:rFonts w:ascii="Verdana" w:hAnsi="Verdana" w:cs="Times New Roman"/>
            <w:iCs/>
            <w:sz w:val="16"/>
            <w:szCs w:val="16"/>
          </w:rPr>
          <w:t>http://www.jus.mendoza.gov.ar/documents/10184/959567/seriec_382_esp.pdf/9d1bd489-d62f-42ef-a71d-4fc0ddb13543</w:t>
        </w:r>
      </w:hyperlink>
      <w:r w:rsidRPr="00CD3625">
        <w:rPr>
          <w:rFonts w:ascii="Verdana" w:hAnsi="Verdana" w:cs="Times New Roman"/>
          <w:iCs/>
          <w:sz w:val="16"/>
          <w:szCs w:val="16"/>
        </w:rPr>
        <w:t xml:space="preserve"> (última consulta: </w:t>
      </w:r>
      <w:r w:rsidR="000C505E" w:rsidRPr="00CD3625">
        <w:rPr>
          <w:rFonts w:ascii="Verdana" w:hAnsi="Verdana" w:cs="Times New Roman"/>
          <w:iCs/>
          <w:sz w:val="16"/>
          <w:szCs w:val="16"/>
        </w:rPr>
        <w:t xml:space="preserve">12 </w:t>
      </w:r>
      <w:r w:rsidRPr="00CD3625">
        <w:rPr>
          <w:rFonts w:ascii="Verdana" w:hAnsi="Verdana" w:cs="Times New Roman"/>
          <w:iCs/>
          <w:sz w:val="16"/>
          <w:szCs w:val="16"/>
        </w:rPr>
        <w:t xml:space="preserve">de </w:t>
      </w:r>
      <w:r w:rsidR="000C505E" w:rsidRPr="00CD3625">
        <w:rPr>
          <w:rFonts w:ascii="Verdana" w:hAnsi="Verdana" w:cs="Times New Roman"/>
          <w:iCs/>
          <w:sz w:val="16"/>
          <w:szCs w:val="16"/>
        </w:rPr>
        <w:t xml:space="preserve">abril de </w:t>
      </w:r>
      <w:r w:rsidRPr="00CD3625">
        <w:rPr>
          <w:rFonts w:ascii="Verdana" w:hAnsi="Verdana" w:cs="Times New Roman"/>
          <w:iCs/>
          <w:sz w:val="16"/>
          <w:szCs w:val="16"/>
        </w:rPr>
        <w:t>2021).</w:t>
      </w:r>
    </w:p>
  </w:footnote>
  <w:footnote w:id="20">
    <w:p w14:paraId="4D53D40F" w14:textId="2F246F71" w:rsidR="003770C1" w:rsidRPr="00CD3625" w:rsidRDefault="003770C1" w:rsidP="00961E61">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 xml:space="preserve">En el párrafo 82, la Corte “estim[ó] pertinente ordenar, en equidad, el pago de USD $ 30.000,00 (treinta mil dólares de los Estados Unidos de América) al señor Gorigoitía por concepto de daño inmaterial”. </w:t>
      </w:r>
    </w:p>
  </w:footnote>
  <w:footnote w:id="21">
    <w:p w14:paraId="1E724475" w14:textId="06458EFD" w:rsidR="003770C1" w:rsidRPr="00CD3625" w:rsidRDefault="003770C1" w:rsidP="003B7F35">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En el párrafo 86, el Tribunal determinó “que el Estado debe entregar a los representant</w:t>
      </w:r>
      <w:r w:rsidR="00CD3625">
        <w:rPr>
          <w:rFonts w:ascii="Verdana" w:hAnsi="Verdana"/>
          <w:sz w:val="16"/>
          <w:szCs w:val="16"/>
        </w:rPr>
        <w:t>es la cantidad de US$</w:t>
      </w:r>
      <w:r w:rsidRPr="00CD3625">
        <w:rPr>
          <w:rFonts w:ascii="Verdana" w:hAnsi="Verdana"/>
          <w:sz w:val="16"/>
          <w:szCs w:val="16"/>
        </w:rPr>
        <w:t>15.000,00 (quince mil dólares de los Estados Unidos de América) por concepto de costas y gastos, cantidad que deberá dividirse entre los representantes”.</w:t>
      </w:r>
    </w:p>
  </w:footnote>
  <w:footnote w:id="22">
    <w:p w14:paraId="311F93CE" w14:textId="77777777" w:rsidR="00D01EF3" w:rsidRPr="00CD3625" w:rsidRDefault="00D01EF3" w:rsidP="00D01EF3">
      <w:pPr>
        <w:pStyle w:val="Textonotapie"/>
        <w:jc w:val="both"/>
        <w:rPr>
          <w:rFonts w:ascii="Verdana" w:hAnsi="Verdana"/>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r>
      <w:r w:rsidRPr="00CD3625">
        <w:rPr>
          <w:rFonts w:ascii="Verdana" w:hAnsi="Verdana"/>
          <w:i/>
          <w:sz w:val="16"/>
          <w:szCs w:val="16"/>
        </w:rPr>
        <w:t>Cfr</w:t>
      </w:r>
      <w:r w:rsidRPr="00CD3625">
        <w:rPr>
          <w:rFonts w:ascii="Verdana" w:hAnsi="Verdana"/>
          <w:sz w:val="16"/>
          <w:szCs w:val="16"/>
        </w:rPr>
        <w:t xml:space="preserve">. Comprobante del pago al señor Oscar Raúl Gorigoitía con “Fecha Ul. Pago: 19/06/20” emitido por el Sistema de Información Consolidada, Contaduría General de la Provincia de Mendoza (anexo al informe estatal de noviembre de 2020). </w:t>
      </w:r>
    </w:p>
  </w:footnote>
  <w:footnote w:id="23">
    <w:p w14:paraId="6FFD05F4" w14:textId="77777777" w:rsidR="00D01EF3" w:rsidRPr="00CD3625" w:rsidRDefault="00D01EF3" w:rsidP="00D01EF3">
      <w:pPr>
        <w:pStyle w:val="Textonotapie"/>
        <w:jc w:val="both"/>
        <w:rPr>
          <w:rFonts w:ascii="Verdana" w:hAnsi="Verdana"/>
          <w:color w:val="7030A0"/>
          <w:sz w:val="16"/>
          <w:szCs w:val="16"/>
        </w:rPr>
      </w:pPr>
      <w:r w:rsidRPr="00CD3625">
        <w:rPr>
          <w:rStyle w:val="Refdenotaalpie"/>
          <w:rFonts w:ascii="Verdana" w:hAnsi="Verdana"/>
          <w:sz w:val="16"/>
          <w:szCs w:val="16"/>
        </w:rPr>
        <w:footnoteRef/>
      </w:r>
      <w:r w:rsidRPr="00CD3625">
        <w:rPr>
          <w:rFonts w:ascii="Verdana" w:hAnsi="Verdana"/>
          <w:sz w:val="16"/>
          <w:szCs w:val="16"/>
        </w:rPr>
        <w:t xml:space="preserve"> </w:t>
      </w:r>
      <w:r w:rsidRPr="00CD3625">
        <w:rPr>
          <w:rFonts w:ascii="Verdana" w:hAnsi="Verdana"/>
          <w:sz w:val="16"/>
          <w:szCs w:val="16"/>
        </w:rPr>
        <w:tab/>
        <w:t xml:space="preserve">El Estado aportó solamente el comprobante de pago al señor Carlos Varela. El comprobante relativo a Alejandro Acosta, indicó que lo aportaba, sin embargo, no fue anexado al informe de noviembre de 2020. </w:t>
      </w:r>
      <w:r w:rsidRPr="00CD3625">
        <w:rPr>
          <w:rFonts w:ascii="Verdana" w:hAnsi="Verdana"/>
          <w:i/>
          <w:sz w:val="16"/>
          <w:szCs w:val="16"/>
        </w:rPr>
        <w:t>Cfr</w:t>
      </w:r>
      <w:r w:rsidRPr="00CD3625">
        <w:rPr>
          <w:rFonts w:ascii="Verdana" w:hAnsi="Verdana"/>
          <w:sz w:val="16"/>
          <w:szCs w:val="16"/>
        </w:rPr>
        <w:t xml:space="preserve">. Comprobante del pago al señor Carlos Varela con “Fecha Ul. Pago: 03/07/20” emitido por el Sistema de Información Consolidada, Contaduría General de la Provincia de Mendoza (anexo al informe estatal de noviembre de 2020). </w:t>
      </w:r>
    </w:p>
  </w:footnote>
  <w:footnote w:id="24">
    <w:p w14:paraId="0F03C368" w14:textId="77777777" w:rsidR="00A10D2B" w:rsidRPr="002367BC" w:rsidRDefault="00A10D2B" w:rsidP="00A10D2B">
      <w:pPr>
        <w:pStyle w:val="Textonotapie"/>
        <w:jc w:val="both"/>
        <w:rPr>
          <w:rFonts w:ascii="Verdana" w:hAnsi="Verdana"/>
          <w:sz w:val="16"/>
          <w:szCs w:val="16"/>
        </w:rPr>
      </w:pPr>
      <w:r w:rsidRPr="002367BC">
        <w:rPr>
          <w:rStyle w:val="Refdenotaalpie"/>
          <w:rFonts w:ascii="Verdana" w:hAnsi="Verdana"/>
          <w:sz w:val="16"/>
          <w:szCs w:val="16"/>
        </w:rPr>
        <w:footnoteRef/>
      </w:r>
      <w:r w:rsidRPr="002367BC">
        <w:rPr>
          <w:rFonts w:ascii="Verdana" w:hAnsi="Verdana"/>
          <w:sz w:val="16"/>
          <w:szCs w:val="16"/>
        </w:rPr>
        <w:t xml:space="preserve"> </w:t>
      </w:r>
      <w:r w:rsidRPr="002367BC">
        <w:rPr>
          <w:rFonts w:ascii="Verdana" w:hAnsi="Verdana"/>
          <w:sz w:val="16"/>
          <w:szCs w:val="16"/>
        </w:rPr>
        <w:tab/>
        <w:t xml:space="preserve">Detallaron que “se han entregado en Fiscalía de Estado las correspondientes Cartas de Pago por parte de Carlos Varela Álvarez y Alejandro Acosta, no habiendo hasta el momento sido objeto de retenciones impositivas locales o nacionales”. </w:t>
      </w:r>
    </w:p>
  </w:footnote>
  <w:footnote w:id="25">
    <w:p w14:paraId="74B02D3B" w14:textId="436E4ED6" w:rsidR="00D01EF3" w:rsidRPr="002367BC" w:rsidRDefault="00D01EF3" w:rsidP="00D01EF3">
      <w:pPr>
        <w:autoSpaceDE w:val="0"/>
        <w:autoSpaceDN w:val="0"/>
        <w:adjustRightInd w:val="0"/>
        <w:spacing w:after="0" w:line="240" w:lineRule="auto"/>
        <w:jc w:val="both"/>
        <w:rPr>
          <w:rFonts w:ascii="Verdana" w:hAnsi="Verdana" w:cs="Verdana"/>
          <w:sz w:val="16"/>
          <w:szCs w:val="16"/>
        </w:rPr>
      </w:pPr>
      <w:r w:rsidRPr="002367BC">
        <w:rPr>
          <w:rStyle w:val="Refdenotaalpie"/>
          <w:rFonts w:ascii="Verdana" w:hAnsi="Verdana"/>
          <w:sz w:val="16"/>
          <w:szCs w:val="16"/>
        </w:rPr>
        <w:footnoteRef/>
      </w:r>
      <w:r w:rsidRPr="002367BC">
        <w:rPr>
          <w:rFonts w:ascii="Verdana" w:hAnsi="Verdana"/>
          <w:sz w:val="16"/>
          <w:szCs w:val="16"/>
        </w:rPr>
        <w:t xml:space="preserve"> </w:t>
      </w:r>
      <w:r w:rsidRPr="002367BC">
        <w:rPr>
          <w:rFonts w:ascii="Verdana" w:hAnsi="Verdana"/>
          <w:sz w:val="16"/>
          <w:szCs w:val="16"/>
        </w:rPr>
        <w:tab/>
      </w:r>
      <w:r w:rsidRPr="002367BC">
        <w:rPr>
          <w:rFonts w:ascii="Verdana" w:hAnsi="Verdana"/>
          <w:i/>
          <w:sz w:val="16"/>
          <w:szCs w:val="16"/>
        </w:rPr>
        <w:t>Cfr</w:t>
      </w:r>
      <w:r w:rsidRPr="002367BC">
        <w:rPr>
          <w:rFonts w:ascii="Verdana" w:hAnsi="Verdana"/>
          <w:sz w:val="16"/>
          <w:szCs w:val="16"/>
        </w:rPr>
        <w:t>. Nota de la Secretaría de la Corte de 19 de febrero de 2021.</w:t>
      </w:r>
    </w:p>
  </w:footnote>
  <w:footnote w:id="26">
    <w:p w14:paraId="50397FA2" w14:textId="0782295A" w:rsidR="002367BC" w:rsidRDefault="002367BC" w:rsidP="002367BC">
      <w:pPr>
        <w:pStyle w:val="Textonotapie"/>
        <w:jc w:val="both"/>
      </w:pPr>
      <w:r w:rsidRPr="002367BC">
        <w:rPr>
          <w:rStyle w:val="Refdenotaalpie"/>
          <w:rFonts w:ascii="Verdana" w:hAnsi="Verdana"/>
          <w:sz w:val="16"/>
          <w:szCs w:val="16"/>
        </w:rPr>
        <w:footnoteRef/>
      </w:r>
      <w:r w:rsidRPr="002367BC">
        <w:rPr>
          <w:rFonts w:ascii="Verdana" w:hAnsi="Verdana"/>
          <w:sz w:val="16"/>
          <w:szCs w:val="16"/>
        </w:rPr>
        <w:t xml:space="preserve"> </w:t>
      </w:r>
      <w:r w:rsidRPr="002367BC">
        <w:rPr>
          <w:rFonts w:ascii="Verdana" w:hAnsi="Verdana"/>
          <w:sz w:val="16"/>
          <w:szCs w:val="16"/>
        </w:rPr>
        <w:tab/>
      </w:r>
      <w:r w:rsidRPr="002367BC">
        <w:rPr>
          <w:rFonts w:ascii="Verdana" w:eastAsia="Verdana" w:hAnsi="Verdana" w:cs="Verdana"/>
          <w:bCs/>
          <w:kern w:val="1"/>
          <w:sz w:val="16"/>
          <w:szCs w:val="16"/>
          <w:lang w:val="es-ES" w:bidi="x-none"/>
        </w:rPr>
        <w:t xml:space="preserve">Durante la etapa contenciosa del caso, los señores </w:t>
      </w:r>
      <w:r w:rsidRPr="002367BC">
        <w:rPr>
          <w:rFonts w:ascii="Verdana" w:hAnsi="Verdana"/>
          <w:sz w:val="16"/>
          <w:szCs w:val="16"/>
        </w:rPr>
        <w:t xml:space="preserve">Carlos Varela Álvarez, Alejandro Acosta y Pablo Donnángelo </w:t>
      </w:r>
      <w:r w:rsidRPr="002367BC">
        <w:rPr>
          <w:rFonts w:ascii="Verdana" w:eastAsia="Verdana" w:hAnsi="Verdana" w:cs="Verdana"/>
          <w:bCs/>
          <w:kern w:val="1"/>
          <w:sz w:val="16"/>
          <w:szCs w:val="16"/>
          <w:lang w:val="es-ES" w:bidi="x-none"/>
        </w:rPr>
        <w:t>actuaron como representantes del señor Gorigoitía.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225B6"/>
    <w:multiLevelType w:val="hybridMultilevel"/>
    <w:tmpl w:val="F7700FDA"/>
    <w:lvl w:ilvl="0" w:tplc="5DAE6F50">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1C868A7"/>
    <w:multiLevelType w:val="hybridMultilevel"/>
    <w:tmpl w:val="CE321372"/>
    <w:lvl w:ilvl="0" w:tplc="FFEA5628">
      <w:start w:val="1"/>
      <w:numFmt w:val="decimal"/>
      <w:lvlText w:val="%1."/>
      <w:lvlJc w:val="left"/>
      <w:pPr>
        <w:ind w:left="720" w:hanging="360"/>
      </w:pPr>
      <w:rPr>
        <w:rFonts w:ascii="Verdana" w:hAnsi="Verdana"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2CF5C35"/>
    <w:multiLevelType w:val="hybridMultilevel"/>
    <w:tmpl w:val="BEF2F3B6"/>
    <w:lvl w:ilvl="0" w:tplc="8FCE6C9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59E77D0"/>
    <w:multiLevelType w:val="hybridMultilevel"/>
    <w:tmpl w:val="6EDC5378"/>
    <w:lvl w:ilvl="0" w:tplc="01465A9C">
      <w:start w:val="1"/>
      <w:numFmt w:val="lowerLetter"/>
      <w:lvlText w:val="%1)"/>
      <w:lvlJc w:val="left"/>
      <w:pPr>
        <w:ind w:left="720" w:hanging="360"/>
      </w:pPr>
      <w:rPr>
        <w:rFonts w:hint="default"/>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E7F6DC9"/>
    <w:multiLevelType w:val="hybridMultilevel"/>
    <w:tmpl w:val="4F747FDC"/>
    <w:lvl w:ilvl="0" w:tplc="949EFEDC">
      <w:start w:val="1"/>
      <w:numFmt w:val="decimal"/>
      <w:lvlText w:val="%1."/>
      <w:lvlJc w:val="left"/>
      <w:pPr>
        <w:ind w:left="720" w:hanging="360"/>
      </w:pPr>
      <w:rPr>
        <w:rFonts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AAE5C8A"/>
    <w:multiLevelType w:val="hybridMultilevel"/>
    <w:tmpl w:val="8A149C6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6D302450"/>
    <w:multiLevelType w:val="hybridMultilevel"/>
    <w:tmpl w:val="686C91AA"/>
    <w:lvl w:ilvl="0" w:tplc="9612C426">
      <w:start w:val="1"/>
      <w:numFmt w:val="upperLetter"/>
      <w:lvlText w:val="%1."/>
      <w:lvlJc w:val="left"/>
      <w:pPr>
        <w:ind w:left="720" w:hanging="360"/>
      </w:pPr>
      <w:rPr>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B7E5CD8"/>
    <w:multiLevelType w:val="hybridMultilevel"/>
    <w:tmpl w:val="C3F649F0"/>
    <w:lvl w:ilvl="0" w:tplc="140A0017">
      <w:start w:val="1"/>
      <w:numFmt w:val="lowerLetter"/>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97F"/>
    <w:rsid w:val="0000032B"/>
    <w:rsid w:val="00002F3E"/>
    <w:rsid w:val="000142B6"/>
    <w:rsid w:val="000161E2"/>
    <w:rsid w:val="00023B20"/>
    <w:rsid w:val="00024796"/>
    <w:rsid w:val="0003110E"/>
    <w:rsid w:val="00043204"/>
    <w:rsid w:val="0005031D"/>
    <w:rsid w:val="00054C1F"/>
    <w:rsid w:val="00066671"/>
    <w:rsid w:val="00071042"/>
    <w:rsid w:val="0007408C"/>
    <w:rsid w:val="000819CA"/>
    <w:rsid w:val="00093490"/>
    <w:rsid w:val="000A2F42"/>
    <w:rsid w:val="000B4FF3"/>
    <w:rsid w:val="000C505E"/>
    <w:rsid w:val="000E0524"/>
    <w:rsid w:val="000E127A"/>
    <w:rsid w:val="000E21FE"/>
    <w:rsid w:val="000F387B"/>
    <w:rsid w:val="00122413"/>
    <w:rsid w:val="00150378"/>
    <w:rsid w:val="0016448A"/>
    <w:rsid w:val="001963D4"/>
    <w:rsid w:val="001D388D"/>
    <w:rsid w:val="001D634D"/>
    <w:rsid w:val="001E5BD4"/>
    <w:rsid w:val="001E6B8F"/>
    <w:rsid w:val="001F24FA"/>
    <w:rsid w:val="001F5521"/>
    <w:rsid w:val="002034A8"/>
    <w:rsid w:val="0020552B"/>
    <w:rsid w:val="00233F88"/>
    <w:rsid w:val="00234DEC"/>
    <w:rsid w:val="002367BC"/>
    <w:rsid w:val="002949B1"/>
    <w:rsid w:val="00294FF0"/>
    <w:rsid w:val="002C0ABB"/>
    <w:rsid w:val="002C7C1F"/>
    <w:rsid w:val="002F0341"/>
    <w:rsid w:val="003210BA"/>
    <w:rsid w:val="0034544A"/>
    <w:rsid w:val="003736A8"/>
    <w:rsid w:val="003770C1"/>
    <w:rsid w:val="003822D5"/>
    <w:rsid w:val="003A5688"/>
    <w:rsid w:val="003B409B"/>
    <w:rsid w:val="003B7F35"/>
    <w:rsid w:val="003C1ADD"/>
    <w:rsid w:val="003D0A23"/>
    <w:rsid w:val="003D78C4"/>
    <w:rsid w:val="003F2BBC"/>
    <w:rsid w:val="003F2C54"/>
    <w:rsid w:val="003F7CA9"/>
    <w:rsid w:val="00402043"/>
    <w:rsid w:val="004117C8"/>
    <w:rsid w:val="004305FD"/>
    <w:rsid w:val="00446967"/>
    <w:rsid w:val="00456199"/>
    <w:rsid w:val="004656A2"/>
    <w:rsid w:val="004718A9"/>
    <w:rsid w:val="004719F5"/>
    <w:rsid w:val="004833EB"/>
    <w:rsid w:val="004874EA"/>
    <w:rsid w:val="004A6993"/>
    <w:rsid w:val="004B67EC"/>
    <w:rsid w:val="004E065E"/>
    <w:rsid w:val="004F6001"/>
    <w:rsid w:val="0050350D"/>
    <w:rsid w:val="00544CEF"/>
    <w:rsid w:val="00546C94"/>
    <w:rsid w:val="00554838"/>
    <w:rsid w:val="00563D90"/>
    <w:rsid w:val="005744C4"/>
    <w:rsid w:val="00586557"/>
    <w:rsid w:val="0059366E"/>
    <w:rsid w:val="005B4794"/>
    <w:rsid w:val="005E7788"/>
    <w:rsid w:val="005F2EBF"/>
    <w:rsid w:val="00601984"/>
    <w:rsid w:val="00605B62"/>
    <w:rsid w:val="00624685"/>
    <w:rsid w:val="00666312"/>
    <w:rsid w:val="006738A8"/>
    <w:rsid w:val="0068216C"/>
    <w:rsid w:val="006B5E90"/>
    <w:rsid w:val="006C721A"/>
    <w:rsid w:val="0071215A"/>
    <w:rsid w:val="00717911"/>
    <w:rsid w:val="0072379C"/>
    <w:rsid w:val="00725C04"/>
    <w:rsid w:val="00742BD2"/>
    <w:rsid w:val="0078489A"/>
    <w:rsid w:val="007A18DA"/>
    <w:rsid w:val="007D223D"/>
    <w:rsid w:val="00844E5D"/>
    <w:rsid w:val="00855ACF"/>
    <w:rsid w:val="00871EF2"/>
    <w:rsid w:val="008B0998"/>
    <w:rsid w:val="008B3169"/>
    <w:rsid w:val="008C06A3"/>
    <w:rsid w:val="008F5FFE"/>
    <w:rsid w:val="0092739E"/>
    <w:rsid w:val="00940057"/>
    <w:rsid w:val="00946178"/>
    <w:rsid w:val="00955DCC"/>
    <w:rsid w:val="00961E61"/>
    <w:rsid w:val="00985DC6"/>
    <w:rsid w:val="00993169"/>
    <w:rsid w:val="00994D33"/>
    <w:rsid w:val="009A059A"/>
    <w:rsid w:val="009A5533"/>
    <w:rsid w:val="009C0B09"/>
    <w:rsid w:val="009D19FB"/>
    <w:rsid w:val="009D1F3A"/>
    <w:rsid w:val="00A06629"/>
    <w:rsid w:val="00A10D2B"/>
    <w:rsid w:val="00A10D47"/>
    <w:rsid w:val="00A11FF7"/>
    <w:rsid w:val="00A15789"/>
    <w:rsid w:val="00A33E04"/>
    <w:rsid w:val="00A406E2"/>
    <w:rsid w:val="00A5374F"/>
    <w:rsid w:val="00A575C0"/>
    <w:rsid w:val="00A80822"/>
    <w:rsid w:val="00A80BAB"/>
    <w:rsid w:val="00A84825"/>
    <w:rsid w:val="00A85FFA"/>
    <w:rsid w:val="00A873E8"/>
    <w:rsid w:val="00AF1B9C"/>
    <w:rsid w:val="00B35E18"/>
    <w:rsid w:val="00B57E79"/>
    <w:rsid w:val="00B64E77"/>
    <w:rsid w:val="00B7341C"/>
    <w:rsid w:val="00B87AD9"/>
    <w:rsid w:val="00BB378E"/>
    <w:rsid w:val="00BC7B90"/>
    <w:rsid w:val="00BE0884"/>
    <w:rsid w:val="00C364CF"/>
    <w:rsid w:val="00C43F85"/>
    <w:rsid w:val="00C44E4D"/>
    <w:rsid w:val="00C6013F"/>
    <w:rsid w:val="00C64EF5"/>
    <w:rsid w:val="00C75206"/>
    <w:rsid w:val="00C80B68"/>
    <w:rsid w:val="00C80E76"/>
    <w:rsid w:val="00C84B50"/>
    <w:rsid w:val="00CA2BF7"/>
    <w:rsid w:val="00CC002B"/>
    <w:rsid w:val="00CC4F86"/>
    <w:rsid w:val="00CD3625"/>
    <w:rsid w:val="00D01EF3"/>
    <w:rsid w:val="00D24EA3"/>
    <w:rsid w:val="00D84DF3"/>
    <w:rsid w:val="00DB6EC3"/>
    <w:rsid w:val="00DC3769"/>
    <w:rsid w:val="00DC3B64"/>
    <w:rsid w:val="00DD7A44"/>
    <w:rsid w:val="00DE5D25"/>
    <w:rsid w:val="00E222B6"/>
    <w:rsid w:val="00E37A38"/>
    <w:rsid w:val="00E54C90"/>
    <w:rsid w:val="00E67808"/>
    <w:rsid w:val="00E70641"/>
    <w:rsid w:val="00E71DD7"/>
    <w:rsid w:val="00E77190"/>
    <w:rsid w:val="00E81033"/>
    <w:rsid w:val="00EC2886"/>
    <w:rsid w:val="00EC7BDA"/>
    <w:rsid w:val="00EE17AD"/>
    <w:rsid w:val="00F53825"/>
    <w:rsid w:val="00F61410"/>
    <w:rsid w:val="00F712F9"/>
    <w:rsid w:val="00F72D45"/>
    <w:rsid w:val="00F745B3"/>
    <w:rsid w:val="00F7641E"/>
    <w:rsid w:val="00FB4437"/>
    <w:rsid w:val="00FC5694"/>
    <w:rsid w:val="00FE58A0"/>
    <w:rsid w:val="00FF397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9810B"/>
  <w15:chartTrackingRefBased/>
  <w15:docId w15:val="{4A519370-14B9-4B31-B0B2-D386DB553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qFormat/>
    <w:rsid w:val="006B5E90"/>
    <w:pPr>
      <w:keepNext/>
      <w:spacing w:before="240" w:after="60" w:line="276" w:lineRule="auto"/>
      <w:outlineLvl w:val="1"/>
    </w:pPr>
    <w:rPr>
      <w:rFonts w:ascii="Cambria" w:eastAsia="Times New Roman" w:hAnsi="Cambria" w:cs="Times New Roman"/>
      <w:b/>
      <w:bCs/>
      <w:i/>
      <w:iCs/>
      <w:sz w:val="28"/>
      <w:szCs w:val="28"/>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397F"/>
    <w:pPr>
      <w:spacing w:after="0" w:line="240" w:lineRule="auto"/>
      <w:ind w:left="720"/>
    </w:pPr>
    <w:rPr>
      <w:rFonts w:ascii="Calibri" w:hAnsi="Calibri" w:cs="Calibri"/>
    </w:rPr>
  </w:style>
  <w:style w:type="paragraph" w:styleId="NormalWeb">
    <w:name w:val="Normal (Web)"/>
    <w:basedOn w:val="Normal"/>
    <w:uiPriority w:val="99"/>
    <w:unhideWhenUsed/>
    <w:rsid w:val="0016448A"/>
    <w:pPr>
      <w:spacing w:after="0" w:line="240" w:lineRule="auto"/>
    </w:pPr>
    <w:rPr>
      <w:rFonts w:ascii="Times New Roman" w:hAnsi="Times New Roman" w:cs="Times New Roman"/>
      <w:sz w:val="24"/>
      <w:szCs w:val="24"/>
      <w:lang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w:basedOn w:val="Normal"/>
    <w:link w:val="TextonotapieCar"/>
    <w:unhideWhenUsed/>
    <w:qFormat/>
    <w:rsid w:val="0016448A"/>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rsid w:val="0016448A"/>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nhideWhenUsed/>
    <w:qFormat/>
    <w:rsid w:val="0016448A"/>
    <w:rPr>
      <w:vertAlign w:val="superscript"/>
    </w:rPr>
  </w:style>
  <w:style w:type="character" w:styleId="Hipervnculo">
    <w:name w:val="Hyperlink"/>
    <w:basedOn w:val="Fuentedeprrafopredeter"/>
    <w:uiPriority w:val="99"/>
    <w:unhideWhenUsed/>
    <w:rsid w:val="0016448A"/>
    <w:rPr>
      <w:color w:val="0563C1" w:themeColor="hyperlink"/>
      <w:u w:val="single"/>
    </w:rPr>
  </w:style>
  <w:style w:type="character" w:customStyle="1" w:styleId="Ttulo2Car">
    <w:name w:val="Título 2 Car"/>
    <w:basedOn w:val="Fuentedeprrafopredeter"/>
    <w:link w:val="Ttulo2"/>
    <w:uiPriority w:val="9"/>
    <w:rsid w:val="006B5E90"/>
    <w:rPr>
      <w:rFonts w:ascii="Cambria" w:eastAsia="Times New Roman" w:hAnsi="Cambria" w:cs="Times New Roman"/>
      <w:b/>
      <w:bCs/>
      <w:i/>
      <w:iCs/>
      <w:sz w:val="28"/>
      <w:szCs w:val="28"/>
      <w:lang w:eastAsia="es-CR"/>
    </w:rPr>
  </w:style>
  <w:style w:type="paragraph" w:styleId="Encabezado">
    <w:name w:val="header"/>
    <w:basedOn w:val="Normal"/>
    <w:link w:val="EncabezadoCar"/>
    <w:uiPriority w:val="99"/>
    <w:unhideWhenUsed/>
    <w:rsid w:val="001F55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5521"/>
  </w:style>
  <w:style w:type="paragraph" w:styleId="Piedepgina">
    <w:name w:val="footer"/>
    <w:basedOn w:val="Normal"/>
    <w:link w:val="PiedepginaCar"/>
    <w:uiPriority w:val="99"/>
    <w:unhideWhenUsed/>
    <w:rsid w:val="001F55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5521"/>
  </w:style>
  <w:style w:type="paragraph" w:styleId="Textodeglobo">
    <w:name w:val="Balloon Text"/>
    <w:basedOn w:val="Normal"/>
    <w:link w:val="TextodegloboCar"/>
    <w:uiPriority w:val="99"/>
    <w:semiHidden/>
    <w:unhideWhenUsed/>
    <w:rsid w:val="001F55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5521"/>
    <w:rPr>
      <w:rFonts w:ascii="Segoe UI" w:hAnsi="Segoe UI" w:cs="Segoe UI"/>
      <w:sz w:val="18"/>
      <w:szCs w:val="18"/>
    </w:rPr>
  </w:style>
  <w:style w:type="character" w:styleId="Refdecomentario">
    <w:name w:val="annotation reference"/>
    <w:basedOn w:val="Fuentedeprrafopredeter"/>
    <w:uiPriority w:val="99"/>
    <w:semiHidden/>
    <w:unhideWhenUsed/>
    <w:rsid w:val="00B64E77"/>
    <w:rPr>
      <w:sz w:val="16"/>
      <w:szCs w:val="16"/>
    </w:rPr>
  </w:style>
  <w:style w:type="paragraph" w:styleId="Textocomentario">
    <w:name w:val="annotation text"/>
    <w:basedOn w:val="Normal"/>
    <w:link w:val="TextocomentarioCar"/>
    <w:uiPriority w:val="99"/>
    <w:semiHidden/>
    <w:unhideWhenUsed/>
    <w:rsid w:val="00B64E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64E77"/>
    <w:rPr>
      <w:sz w:val="20"/>
      <w:szCs w:val="20"/>
    </w:rPr>
  </w:style>
  <w:style w:type="paragraph" w:styleId="Asuntodelcomentario">
    <w:name w:val="annotation subject"/>
    <w:basedOn w:val="Textocomentario"/>
    <w:next w:val="Textocomentario"/>
    <w:link w:val="AsuntodelcomentarioCar"/>
    <w:uiPriority w:val="99"/>
    <w:semiHidden/>
    <w:unhideWhenUsed/>
    <w:rsid w:val="00B64E77"/>
    <w:rPr>
      <w:b/>
      <w:bCs/>
    </w:rPr>
  </w:style>
  <w:style w:type="character" w:customStyle="1" w:styleId="AsuntodelcomentarioCar">
    <w:name w:val="Asunto del comentario Car"/>
    <w:basedOn w:val="TextocomentarioCar"/>
    <w:link w:val="Asuntodelcomentario"/>
    <w:uiPriority w:val="99"/>
    <w:semiHidden/>
    <w:rsid w:val="00B64E77"/>
    <w:rPr>
      <w:b/>
      <w:bCs/>
      <w:sz w:val="20"/>
      <w:szCs w:val="20"/>
    </w:rPr>
  </w:style>
  <w:style w:type="paragraph" w:styleId="Revisin">
    <w:name w:val="Revision"/>
    <w:hidden/>
    <w:uiPriority w:val="99"/>
    <w:semiHidden/>
    <w:rsid w:val="001D388D"/>
    <w:pPr>
      <w:spacing w:after="0" w:line="240" w:lineRule="auto"/>
    </w:pPr>
  </w:style>
  <w:style w:type="paragraph" w:styleId="TDC1">
    <w:name w:val="toc 1"/>
    <w:basedOn w:val="Normal"/>
    <w:next w:val="Normal"/>
    <w:autoRedefine/>
    <w:uiPriority w:val="39"/>
    <w:unhideWhenUsed/>
    <w:rsid w:val="00725C04"/>
    <w:pPr>
      <w:spacing w:after="100"/>
    </w:pPr>
  </w:style>
  <w:style w:type="character" w:styleId="Nmerodelnea">
    <w:name w:val="line number"/>
    <w:basedOn w:val="Fuentedeprrafopredeter"/>
    <w:uiPriority w:val="99"/>
    <w:semiHidden/>
    <w:unhideWhenUsed/>
    <w:rsid w:val="00402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21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jus.mendoza.gov.ar" TargetMode="External"/><Relationship Id="rId2" Type="http://schemas.openxmlformats.org/officeDocument/2006/relationships/hyperlink" Target="https://www.boletinoficial.gob.ar/detalleAviso/primera/230321/20200608" TargetMode="External"/><Relationship Id="rId1" Type="http://schemas.openxmlformats.org/officeDocument/2006/relationships/hyperlink" Target="http://www.corteidh.or.cr/docs/casos/articulos/seriec_382_esp.pdf" TargetMode="External"/><Relationship Id="rId4" Type="http://schemas.openxmlformats.org/officeDocument/2006/relationships/hyperlink" Target="http://www.jus.mendoza.gov.ar/documents/10184/959567/seriec_382_esp.pdf/9d1bd489-d62f-42ef-a71d-4fc0ddb1354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BDCC0-3674-48FB-9D25-EFE243E5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3136</Words>
  <Characters>17248</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2021-05-12T21:02:00Z</cp:lastPrinted>
  <dcterms:created xsi:type="dcterms:W3CDTF">2021-07-07T19:33:00Z</dcterms:created>
  <dcterms:modified xsi:type="dcterms:W3CDTF">2021-07-07T19:33:00Z</dcterms:modified>
</cp:coreProperties>
</file>