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30919B" w14:textId="1C58EE77" w:rsidR="00DF1F12" w:rsidRDefault="00DF1F12" w:rsidP="00583DCB">
      <w:pPr>
        <w:jc w:val="center"/>
        <w:rPr>
          <w:rFonts w:ascii="Verdana" w:hAnsi="Verdana"/>
          <w:b/>
          <w:smallCaps/>
          <w:sz w:val="20"/>
          <w:lang w:val="es-CO"/>
        </w:rPr>
      </w:pPr>
      <w:bookmarkStart w:id="0" w:name="_Hlk72336582"/>
    </w:p>
    <w:p w14:paraId="4DF49A86" w14:textId="77777777" w:rsidR="00650B93" w:rsidRPr="00532110" w:rsidRDefault="00650B93" w:rsidP="00583DCB">
      <w:pPr>
        <w:jc w:val="center"/>
        <w:rPr>
          <w:rFonts w:ascii="Verdana" w:hAnsi="Verdana"/>
          <w:b/>
          <w:smallCaps/>
          <w:sz w:val="20"/>
          <w:lang w:val="es-CO"/>
        </w:rPr>
      </w:pPr>
    </w:p>
    <w:p w14:paraId="178B561A" w14:textId="11459E5B" w:rsidR="006F52E1" w:rsidRPr="00532110" w:rsidRDefault="00C1462D" w:rsidP="00C12832">
      <w:pPr>
        <w:jc w:val="center"/>
        <w:rPr>
          <w:rFonts w:ascii="Verdana" w:hAnsi="Verdana"/>
          <w:b/>
          <w:sz w:val="20"/>
          <w:lang w:val="es-CO"/>
        </w:rPr>
      </w:pPr>
      <w:r>
        <w:rPr>
          <w:rFonts w:ascii="Verdana" w:hAnsi="Verdana"/>
          <w:b/>
          <w:sz w:val="20"/>
          <w:lang w:val="es-CO"/>
        </w:rPr>
        <w:t>RESOLUCIÓN DE LA</w:t>
      </w:r>
    </w:p>
    <w:p w14:paraId="5772F185" w14:textId="702E9671" w:rsidR="006F52E1" w:rsidRPr="00532110" w:rsidRDefault="006F52E1" w:rsidP="00C12832">
      <w:pPr>
        <w:jc w:val="center"/>
        <w:rPr>
          <w:rFonts w:ascii="Verdana" w:hAnsi="Verdana"/>
          <w:b/>
          <w:smallCaps/>
          <w:sz w:val="20"/>
          <w:lang w:val="es-CO"/>
        </w:rPr>
      </w:pPr>
      <w:r w:rsidRPr="00532110">
        <w:rPr>
          <w:rFonts w:ascii="Verdana" w:hAnsi="Verdana"/>
          <w:b/>
          <w:sz w:val="20"/>
          <w:lang w:val="es-CO"/>
        </w:rPr>
        <w:t>CORTE INTERAMERICANA DE DERECHOS HUMANOS</w:t>
      </w:r>
      <w:r w:rsidR="00D13E7B" w:rsidRPr="00583DCB">
        <w:rPr>
          <w:rFonts w:ascii="Verdana" w:hAnsi="Verdana"/>
          <w:b/>
          <w:smallCaps/>
          <w:sz w:val="20"/>
          <w:vertAlign w:val="superscript"/>
          <w:lang w:val="es-CO"/>
        </w:rPr>
        <w:t>*</w:t>
      </w:r>
    </w:p>
    <w:p w14:paraId="6FA85F7E" w14:textId="77777777" w:rsidR="00D71858" w:rsidRPr="00532110" w:rsidRDefault="00D71858" w:rsidP="00C12832">
      <w:pPr>
        <w:tabs>
          <w:tab w:val="left" w:pos="567"/>
        </w:tabs>
        <w:ind w:right="4"/>
        <w:rPr>
          <w:rFonts w:ascii="Verdana" w:hAnsi="Verdana"/>
          <w:b/>
          <w:smallCaps/>
          <w:sz w:val="20"/>
          <w:lang w:val="es-CO"/>
        </w:rPr>
      </w:pPr>
    </w:p>
    <w:p w14:paraId="29645F5C" w14:textId="6E8FF2E1" w:rsidR="00D71858" w:rsidRPr="00532110" w:rsidRDefault="000C58D2" w:rsidP="00C12832">
      <w:pPr>
        <w:tabs>
          <w:tab w:val="left" w:pos="567"/>
        </w:tabs>
        <w:ind w:right="4"/>
        <w:jc w:val="center"/>
        <w:rPr>
          <w:rFonts w:ascii="Verdana" w:hAnsi="Verdana"/>
          <w:b/>
          <w:smallCaps/>
          <w:sz w:val="20"/>
          <w:lang w:val="es-CO"/>
        </w:rPr>
      </w:pPr>
      <w:r w:rsidRPr="00532110">
        <w:rPr>
          <w:rFonts w:ascii="Verdana" w:hAnsi="Verdana"/>
          <w:b/>
          <w:smallCaps/>
          <w:sz w:val="20"/>
          <w:lang w:val="es-CO"/>
        </w:rPr>
        <w:t xml:space="preserve">DE </w:t>
      </w:r>
      <w:r w:rsidR="00C1462D">
        <w:rPr>
          <w:rFonts w:ascii="Verdana" w:hAnsi="Verdana"/>
          <w:b/>
          <w:smallCaps/>
          <w:sz w:val="20"/>
          <w:lang w:val="es-CO"/>
        </w:rPr>
        <w:t>30</w:t>
      </w:r>
      <w:r w:rsidR="00366381" w:rsidRPr="00532110">
        <w:rPr>
          <w:rFonts w:ascii="Verdana" w:hAnsi="Verdana"/>
          <w:b/>
          <w:smallCaps/>
          <w:sz w:val="20"/>
          <w:lang w:val="es-CO"/>
        </w:rPr>
        <w:t xml:space="preserve"> DE </w:t>
      </w:r>
      <w:r w:rsidR="00C1462D">
        <w:rPr>
          <w:rFonts w:ascii="Verdana" w:hAnsi="Verdana"/>
          <w:b/>
          <w:sz w:val="20"/>
          <w:lang w:val="es-CO"/>
        </w:rPr>
        <w:t>ABRIL</w:t>
      </w:r>
      <w:r w:rsidR="006B534D" w:rsidRPr="00C1462D">
        <w:rPr>
          <w:rFonts w:ascii="Verdana" w:hAnsi="Verdana"/>
          <w:b/>
          <w:sz w:val="20"/>
          <w:lang w:val="es-CO"/>
        </w:rPr>
        <w:t xml:space="preserve"> </w:t>
      </w:r>
      <w:r w:rsidR="006B534D">
        <w:rPr>
          <w:rFonts w:ascii="Verdana" w:hAnsi="Verdana"/>
          <w:b/>
          <w:smallCaps/>
          <w:sz w:val="20"/>
          <w:lang w:val="es-CO"/>
        </w:rPr>
        <w:t>DE 2021</w:t>
      </w:r>
    </w:p>
    <w:p w14:paraId="0AAB0632" w14:textId="77777777" w:rsidR="00D71858" w:rsidRPr="00532110" w:rsidRDefault="00D71858" w:rsidP="00C12832">
      <w:pPr>
        <w:tabs>
          <w:tab w:val="left" w:pos="567"/>
        </w:tabs>
        <w:ind w:right="4"/>
        <w:rPr>
          <w:rFonts w:ascii="Verdana" w:hAnsi="Verdana"/>
          <w:b/>
          <w:smallCaps/>
          <w:sz w:val="20"/>
          <w:lang w:val="es-CO"/>
        </w:rPr>
      </w:pPr>
    </w:p>
    <w:p w14:paraId="5E19615D" w14:textId="3526C835" w:rsidR="00366381" w:rsidRPr="00532110" w:rsidRDefault="00A80295" w:rsidP="00C12832">
      <w:pPr>
        <w:tabs>
          <w:tab w:val="left" w:pos="567"/>
        </w:tabs>
        <w:ind w:right="4"/>
        <w:jc w:val="center"/>
        <w:rPr>
          <w:rFonts w:ascii="Verdana" w:hAnsi="Verdana"/>
          <w:b/>
          <w:i/>
          <w:caps/>
          <w:sz w:val="20"/>
          <w:lang w:val="es-CO"/>
        </w:rPr>
      </w:pPr>
      <w:r w:rsidRPr="00532110">
        <w:rPr>
          <w:rFonts w:ascii="Verdana" w:hAnsi="Verdana"/>
          <w:b/>
          <w:i/>
          <w:smallCaps/>
          <w:sz w:val="20"/>
          <w:lang w:val="es-CO"/>
        </w:rPr>
        <w:t>C</w:t>
      </w:r>
      <w:r w:rsidR="005B04B5" w:rsidRPr="00532110">
        <w:rPr>
          <w:rFonts w:ascii="Verdana" w:hAnsi="Verdana"/>
          <w:b/>
          <w:i/>
          <w:smallCaps/>
          <w:sz w:val="20"/>
          <w:lang w:val="es-CO"/>
        </w:rPr>
        <w:t xml:space="preserve">ASO </w:t>
      </w:r>
      <w:r w:rsidR="00D7576A">
        <w:rPr>
          <w:rFonts w:ascii="Verdana" w:hAnsi="Verdana"/>
          <w:b/>
          <w:i/>
          <w:smallCaps/>
          <w:sz w:val="20"/>
          <w:lang w:val="es-CO"/>
        </w:rPr>
        <w:t>HERZOG Y OTROS</w:t>
      </w:r>
      <w:r w:rsidR="005B04B5" w:rsidRPr="00532110">
        <w:rPr>
          <w:rFonts w:ascii="Verdana" w:hAnsi="Verdana"/>
          <w:b/>
          <w:i/>
          <w:smallCaps/>
          <w:sz w:val="20"/>
          <w:lang w:val="es-CO"/>
        </w:rPr>
        <w:t xml:space="preserve"> VS. BRASIL</w:t>
      </w:r>
    </w:p>
    <w:p w14:paraId="0EB90547" w14:textId="77777777" w:rsidR="00366381" w:rsidRPr="00532110" w:rsidRDefault="00366381" w:rsidP="00C12832">
      <w:pPr>
        <w:tabs>
          <w:tab w:val="left" w:pos="567"/>
        </w:tabs>
        <w:ind w:right="4"/>
        <w:jc w:val="center"/>
        <w:rPr>
          <w:rFonts w:ascii="Verdana" w:hAnsi="Verdana"/>
          <w:b/>
          <w:smallCaps/>
          <w:sz w:val="20"/>
          <w:lang w:val="es-CO"/>
        </w:rPr>
      </w:pPr>
    </w:p>
    <w:p w14:paraId="4F6B6E77" w14:textId="70E08391" w:rsidR="00D71858" w:rsidRPr="00532110" w:rsidRDefault="00D71858" w:rsidP="00A826E8">
      <w:pPr>
        <w:tabs>
          <w:tab w:val="left" w:pos="567"/>
        </w:tabs>
        <w:ind w:right="4"/>
        <w:jc w:val="center"/>
        <w:rPr>
          <w:rFonts w:ascii="Verdana" w:hAnsi="Verdana"/>
          <w:b/>
          <w:smallCaps/>
          <w:sz w:val="20"/>
          <w:lang w:val="es-CO"/>
        </w:rPr>
      </w:pPr>
      <w:r w:rsidRPr="00532110">
        <w:rPr>
          <w:rFonts w:ascii="Verdana" w:hAnsi="Verdana"/>
          <w:b/>
          <w:smallCaps/>
          <w:sz w:val="20"/>
          <w:lang w:val="es-CO"/>
        </w:rPr>
        <w:t>SUPERVISIÓN DE CUMPLIMIENTO DE SENTENCIA</w:t>
      </w:r>
      <w:r w:rsidR="003C794A" w:rsidRPr="00532110">
        <w:rPr>
          <w:rFonts w:ascii="Verdana" w:hAnsi="Verdana"/>
          <w:b/>
          <w:smallCaps/>
          <w:sz w:val="20"/>
          <w:lang w:val="es-CO"/>
        </w:rPr>
        <w:t xml:space="preserve"> </w:t>
      </w:r>
    </w:p>
    <w:p w14:paraId="6779B926" w14:textId="77777777" w:rsidR="00D71858" w:rsidRPr="00532110" w:rsidRDefault="00D71858" w:rsidP="00C12832">
      <w:pPr>
        <w:tabs>
          <w:tab w:val="left" w:pos="567"/>
        </w:tabs>
        <w:ind w:right="4"/>
        <w:jc w:val="both"/>
        <w:rPr>
          <w:rFonts w:ascii="Verdana" w:hAnsi="Verdana"/>
          <w:b/>
          <w:bCs/>
          <w:sz w:val="20"/>
          <w:lang w:val="es-CO"/>
        </w:rPr>
      </w:pPr>
    </w:p>
    <w:p w14:paraId="575A4CB4" w14:textId="464E6AEE" w:rsidR="00E82F63" w:rsidRPr="00532110" w:rsidRDefault="00E82F63" w:rsidP="00583DCB">
      <w:pPr>
        <w:tabs>
          <w:tab w:val="left" w:pos="567"/>
        </w:tabs>
        <w:ind w:right="4"/>
        <w:jc w:val="both"/>
        <w:rPr>
          <w:rFonts w:ascii="Verdana" w:hAnsi="Verdana" w:cs="Arial"/>
          <w:b/>
          <w:sz w:val="20"/>
          <w:lang w:val="es-CO"/>
        </w:rPr>
      </w:pPr>
      <w:r w:rsidRPr="00532110">
        <w:rPr>
          <w:rFonts w:ascii="Verdana" w:hAnsi="Verdana"/>
          <w:b/>
          <w:smallCaps/>
          <w:sz w:val="20"/>
          <w:lang w:val="es-CO"/>
        </w:rPr>
        <w:t xml:space="preserve">VISTO: </w:t>
      </w:r>
    </w:p>
    <w:p w14:paraId="728FE326" w14:textId="69F2349A" w:rsidR="00D13E7B" w:rsidRPr="00D72C5D" w:rsidRDefault="004A09FA" w:rsidP="00D72C5D">
      <w:pPr>
        <w:numPr>
          <w:ilvl w:val="0"/>
          <w:numId w:val="2"/>
        </w:numPr>
        <w:spacing w:before="120" w:after="120"/>
        <w:ind w:left="0" w:firstLine="0"/>
        <w:jc w:val="both"/>
        <w:rPr>
          <w:rFonts w:ascii="Verdana" w:hAnsi="Verdana"/>
          <w:sz w:val="20"/>
          <w:szCs w:val="20"/>
        </w:rPr>
      </w:pPr>
      <w:r w:rsidRPr="00C216ED">
        <w:rPr>
          <w:rFonts w:ascii="Verdana" w:hAnsi="Verdana"/>
          <w:sz w:val="20"/>
        </w:rPr>
        <w:t xml:space="preserve">La Sentencia de </w:t>
      </w:r>
      <w:r w:rsidR="0074768E">
        <w:rPr>
          <w:rFonts w:ascii="Verdana" w:hAnsi="Verdana"/>
          <w:sz w:val="20"/>
        </w:rPr>
        <w:t xml:space="preserve">excepciones preliminares, </w:t>
      </w:r>
      <w:r w:rsidRPr="00C216ED">
        <w:rPr>
          <w:rFonts w:ascii="Verdana" w:hAnsi="Verdana"/>
          <w:sz w:val="20"/>
        </w:rPr>
        <w:t>fondo, reparaciones y costas</w:t>
      </w:r>
      <w:r w:rsidR="00B96129">
        <w:rPr>
          <w:rFonts w:ascii="Verdana" w:hAnsi="Verdana"/>
          <w:sz w:val="20"/>
        </w:rPr>
        <w:t xml:space="preserve"> (en adelante “la Sentencia” o “el Fallo”)</w:t>
      </w:r>
      <w:r w:rsidRPr="00C216ED">
        <w:rPr>
          <w:rFonts w:ascii="Verdana" w:hAnsi="Verdana"/>
          <w:sz w:val="20"/>
        </w:rPr>
        <w:t xml:space="preserve"> emitida por la Corte Interamericana de Derechos Humanos (en adelante “la Corte Interamericana”</w:t>
      </w:r>
      <w:r w:rsidR="00C12832" w:rsidRPr="00C216ED">
        <w:rPr>
          <w:rFonts w:ascii="Verdana" w:hAnsi="Verdana"/>
          <w:sz w:val="20"/>
        </w:rPr>
        <w:t>, “la Corte”,</w:t>
      </w:r>
      <w:r w:rsidR="00C1462D">
        <w:rPr>
          <w:rFonts w:ascii="Verdana" w:hAnsi="Verdana"/>
          <w:sz w:val="20"/>
        </w:rPr>
        <w:t xml:space="preserve"> </w:t>
      </w:r>
      <w:r w:rsidR="00C12832" w:rsidRPr="00C216ED">
        <w:rPr>
          <w:rFonts w:ascii="Verdana" w:hAnsi="Verdana"/>
          <w:sz w:val="20"/>
        </w:rPr>
        <w:t xml:space="preserve">o “el Tribunal”) </w:t>
      </w:r>
      <w:r w:rsidR="00DE35C9" w:rsidRPr="00C216ED">
        <w:rPr>
          <w:rFonts w:ascii="Verdana" w:hAnsi="Verdana"/>
          <w:sz w:val="20"/>
        </w:rPr>
        <w:t xml:space="preserve">el </w:t>
      </w:r>
      <w:r w:rsidR="00D7576A">
        <w:rPr>
          <w:rFonts w:ascii="Verdana" w:hAnsi="Verdana"/>
          <w:sz w:val="20"/>
        </w:rPr>
        <w:t>15</w:t>
      </w:r>
      <w:r w:rsidR="00DE35C9" w:rsidRPr="00C216ED">
        <w:rPr>
          <w:rFonts w:ascii="Verdana" w:hAnsi="Verdana"/>
          <w:sz w:val="20"/>
        </w:rPr>
        <w:t xml:space="preserve"> de </w:t>
      </w:r>
      <w:r w:rsidR="00D7576A">
        <w:rPr>
          <w:rFonts w:ascii="Verdana" w:hAnsi="Verdana"/>
          <w:sz w:val="20"/>
        </w:rPr>
        <w:t>marzo</w:t>
      </w:r>
      <w:r w:rsidR="00DE35C9" w:rsidRPr="00C216ED">
        <w:rPr>
          <w:rFonts w:ascii="Verdana" w:hAnsi="Verdana"/>
          <w:sz w:val="20"/>
        </w:rPr>
        <w:t xml:space="preserve"> de </w:t>
      </w:r>
      <w:r w:rsidR="00D7576A">
        <w:rPr>
          <w:rFonts w:ascii="Verdana" w:hAnsi="Verdana"/>
          <w:sz w:val="20"/>
        </w:rPr>
        <w:t>2018</w:t>
      </w:r>
      <w:r w:rsidR="00597387">
        <w:rPr>
          <w:rStyle w:val="Refdenotaalpie"/>
          <w:rFonts w:ascii="Verdana" w:hAnsi="Verdana"/>
          <w:sz w:val="20"/>
        </w:rPr>
        <w:footnoteReference w:id="1"/>
      </w:r>
      <w:r w:rsidR="006A2465">
        <w:rPr>
          <w:rFonts w:ascii="Verdana" w:hAnsi="Verdana"/>
          <w:sz w:val="20"/>
        </w:rPr>
        <w:t xml:space="preserve"> en la que determinó la responsabilidad internacional de </w:t>
      </w:r>
      <w:r w:rsidR="006A2465" w:rsidRPr="005B0ECD">
        <w:rPr>
          <w:rFonts w:ascii="Verdana" w:hAnsi="Verdana"/>
          <w:sz w:val="20"/>
          <w:szCs w:val="20"/>
        </w:rPr>
        <w:t xml:space="preserve">la República Federativa del Brasil </w:t>
      </w:r>
      <w:r w:rsidR="006A2465" w:rsidRPr="005B0ECD">
        <w:rPr>
          <w:rFonts w:ascii="Verdana" w:hAnsi="Verdana"/>
          <w:sz w:val="20"/>
          <w:szCs w:val="20"/>
          <w:lang w:val="es-CO"/>
        </w:rPr>
        <w:t>(en adelante “Brasil” o “el Estado”)</w:t>
      </w:r>
      <w:r w:rsidR="00295EC7">
        <w:rPr>
          <w:rFonts w:ascii="Verdana" w:hAnsi="Verdana"/>
          <w:sz w:val="20"/>
          <w:szCs w:val="20"/>
          <w:lang w:val="es-CO"/>
        </w:rPr>
        <w:t xml:space="preserve"> </w:t>
      </w:r>
      <w:r w:rsidR="00FE7FE6">
        <w:rPr>
          <w:rFonts w:ascii="Verdana" w:hAnsi="Verdana"/>
          <w:sz w:val="20"/>
          <w:szCs w:val="20"/>
          <w:lang w:val="es-CO"/>
        </w:rPr>
        <w:t xml:space="preserve">por </w:t>
      </w:r>
      <w:r w:rsidR="00295EC7" w:rsidRPr="005B0ECD">
        <w:rPr>
          <w:rFonts w:ascii="Verdana" w:hAnsi="Verdana"/>
          <w:sz w:val="20"/>
          <w:szCs w:val="20"/>
        </w:rPr>
        <w:t>la falta de investigación, juzgamiento y sanción de los responsables</w:t>
      </w:r>
      <w:r w:rsidR="00295EC7">
        <w:rPr>
          <w:rFonts w:ascii="Verdana" w:hAnsi="Verdana"/>
          <w:sz w:val="20"/>
          <w:szCs w:val="20"/>
        </w:rPr>
        <w:t xml:space="preserve"> </w:t>
      </w:r>
      <w:r w:rsidR="00075C4A">
        <w:rPr>
          <w:rFonts w:ascii="Verdana" w:hAnsi="Verdana"/>
          <w:sz w:val="20"/>
          <w:szCs w:val="20"/>
        </w:rPr>
        <w:t>de la tortura y asesinato</w:t>
      </w:r>
      <w:r w:rsidR="00295EC7" w:rsidRPr="005B0ECD">
        <w:rPr>
          <w:rFonts w:ascii="Verdana" w:hAnsi="Verdana"/>
          <w:sz w:val="20"/>
          <w:szCs w:val="20"/>
        </w:rPr>
        <w:t xml:space="preserve"> de</w:t>
      </w:r>
      <w:r w:rsidR="00323DE2">
        <w:rPr>
          <w:rFonts w:ascii="Verdana" w:hAnsi="Verdana"/>
          <w:sz w:val="20"/>
          <w:szCs w:val="20"/>
        </w:rPr>
        <w:t>l señor</w:t>
      </w:r>
      <w:r w:rsidR="00295EC7" w:rsidRPr="005B0ECD">
        <w:rPr>
          <w:rFonts w:ascii="Verdana" w:hAnsi="Verdana"/>
          <w:sz w:val="20"/>
          <w:szCs w:val="20"/>
        </w:rPr>
        <w:t xml:space="preserve"> Vladimir Herzog</w:t>
      </w:r>
      <w:r w:rsidR="0062719F">
        <w:rPr>
          <w:rFonts w:ascii="Verdana" w:hAnsi="Verdana"/>
          <w:sz w:val="20"/>
          <w:szCs w:val="20"/>
        </w:rPr>
        <w:t xml:space="preserve">, ocurridos </w:t>
      </w:r>
      <w:r w:rsidR="007F19D6">
        <w:rPr>
          <w:rFonts w:ascii="Verdana" w:hAnsi="Verdana"/>
          <w:sz w:val="20"/>
          <w:szCs w:val="20"/>
        </w:rPr>
        <w:t>el 25 de octubre de 1975</w:t>
      </w:r>
      <w:r w:rsidR="00075C4A" w:rsidRPr="00075C4A">
        <w:rPr>
          <w:rFonts w:ascii="Verdana" w:hAnsi="Verdana"/>
          <w:sz w:val="20"/>
          <w:szCs w:val="20"/>
        </w:rPr>
        <w:t>,</w:t>
      </w:r>
      <w:r w:rsidR="00075C4A">
        <w:t xml:space="preserve"> </w:t>
      </w:r>
      <w:r w:rsidR="00FE7FE6">
        <w:rPr>
          <w:rFonts w:ascii="Verdana" w:hAnsi="Verdana"/>
          <w:sz w:val="20"/>
          <w:szCs w:val="20"/>
        </w:rPr>
        <w:t xml:space="preserve">lo cual constituyó una </w:t>
      </w:r>
      <w:r w:rsidR="00295EC7">
        <w:rPr>
          <w:rFonts w:ascii="Verdana" w:hAnsi="Verdana"/>
          <w:sz w:val="20"/>
          <w:szCs w:val="20"/>
        </w:rPr>
        <w:t xml:space="preserve">violación </w:t>
      </w:r>
      <w:r w:rsidR="00FE7FE6">
        <w:rPr>
          <w:rFonts w:ascii="Verdana" w:hAnsi="Verdana"/>
          <w:sz w:val="20"/>
          <w:szCs w:val="20"/>
        </w:rPr>
        <w:t xml:space="preserve">a </w:t>
      </w:r>
      <w:r w:rsidR="00295EC7">
        <w:rPr>
          <w:rFonts w:ascii="Verdana" w:hAnsi="Verdana"/>
          <w:sz w:val="20"/>
          <w:szCs w:val="20"/>
        </w:rPr>
        <w:t>los dere</w:t>
      </w:r>
      <w:r w:rsidR="00075C4A">
        <w:rPr>
          <w:rFonts w:ascii="Verdana" w:hAnsi="Verdana"/>
          <w:sz w:val="20"/>
          <w:szCs w:val="20"/>
        </w:rPr>
        <w:t>chos a las garantías judiciales y</w:t>
      </w:r>
      <w:r w:rsidR="00295EC7">
        <w:rPr>
          <w:rFonts w:ascii="Verdana" w:hAnsi="Verdana"/>
          <w:sz w:val="20"/>
          <w:szCs w:val="20"/>
        </w:rPr>
        <w:t xml:space="preserve"> a la protección judicial </w:t>
      </w:r>
      <w:r w:rsidR="005102C0">
        <w:rPr>
          <w:rFonts w:ascii="Verdana" w:hAnsi="Verdana"/>
          <w:sz w:val="20"/>
          <w:szCs w:val="20"/>
        </w:rPr>
        <w:t xml:space="preserve">de  la madre, esposa e hijos del señor </w:t>
      </w:r>
      <w:r w:rsidR="007C21D7">
        <w:rPr>
          <w:rFonts w:ascii="Verdana" w:hAnsi="Verdana"/>
          <w:sz w:val="20"/>
          <w:szCs w:val="20"/>
        </w:rPr>
        <w:t>Herzog</w:t>
      </w:r>
      <w:r w:rsidR="00295EC7" w:rsidRPr="005E2F8A">
        <w:rPr>
          <w:rFonts w:ascii="Verdana" w:hAnsi="Verdana"/>
          <w:sz w:val="20"/>
          <w:szCs w:val="20"/>
          <w:vertAlign w:val="superscript"/>
        </w:rPr>
        <w:footnoteReference w:id="2"/>
      </w:r>
      <w:r w:rsidR="007D1E63" w:rsidRPr="00C7666D">
        <w:rPr>
          <w:rFonts w:ascii="Verdana" w:hAnsi="Verdana"/>
          <w:sz w:val="20"/>
          <w:szCs w:val="20"/>
          <w:lang w:val="es-ES"/>
        </w:rPr>
        <w:t>.</w:t>
      </w:r>
      <w:r w:rsidR="00813F0C">
        <w:rPr>
          <w:rFonts w:ascii="Verdana" w:hAnsi="Verdana"/>
          <w:sz w:val="20"/>
          <w:szCs w:val="20"/>
          <w:lang w:val="es-ES"/>
        </w:rPr>
        <w:t xml:space="preserve"> </w:t>
      </w:r>
      <w:r w:rsidR="007A514D" w:rsidRPr="007F19D6">
        <w:rPr>
          <w:rFonts w:ascii="Verdana" w:hAnsi="Verdana"/>
          <w:sz w:val="20"/>
          <w:szCs w:val="20"/>
          <w:lang w:val="es-CO"/>
        </w:rPr>
        <w:t>En el Fallo, la</w:t>
      </w:r>
      <w:r w:rsidR="00B037F3" w:rsidRPr="007F19D6">
        <w:rPr>
          <w:rFonts w:ascii="Verdana" w:hAnsi="Verdana"/>
          <w:sz w:val="20"/>
          <w:szCs w:val="20"/>
          <w:lang w:val="es-CO"/>
        </w:rPr>
        <w:t xml:space="preserve"> Corte </w:t>
      </w:r>
      <w:r w:rsidR="007F19D6" w:rsidRPr="007F19D6">
        <w:rPr>
          <w:rFonts w:ascii="Verdana" w:hAnsi="Verdana"/>
          <w:sz w:val="20"/>
          <w:szCs w:val="20"/>
          <w:lang w:val="es-CO"/>
        </w:rPr>
        <w:t xml:space="preserve">tuvo en cuenta que </w:t>
      </w:r>
      <w:r w:rsidR="007F19D6" w:rsidRPr="00B34B66">
        <w:rPr>
          <w:rFonts w:ascii="Verdana" w:hAnsi="Verdana"/>
          <w:sz w:val="20"/>
          <w:szCs w:val="20"/>
        </w:rPr>
        <w:t xml:space="preserve">el Estado </w:t>
      </w:r>
      <w:r w:rsidR="007F19D6" w:rsidRPr="00E259B9">
        <w:rPr>
          <w:rFonts w:ascii="Verdana" w:hAnsi="Verdana"/>
          <w:sz w:val="20"/>
          <w:szCs w:val="20"/>
        </w:rPr>
        <w:t xml:space="preserve">reconoció </w:t>
      </w:r>
      <w:r w:rsidR="007F19D6" w:rsidRPr="00B34B66">
        <w:rPr>
          <w:rFonts w:ascii="Verdana" w:hAnsi="Verdana"/>
          <w:sz w:val="20"/>
          <w:szCs w:val="20"/>
        </w:rPr>
        <w:t>su responsabilidad por la detención arbitraria, tortura y asesinato del señor Herzog</w:t>
      </w:r>
      <w:r w:rsidR="007F19D6">
        <w:rPr>
          <w:rFonts w:ascii="Verdana" w:hAnsi="Verdana"/>
          <w:sz w:val="20"/>
          <w:szCs w:val="20"/>
        </w:rPr>
        <w:t>,</w:t>
      </w:r>
      <w:r w:rsidR="00CA5818">
        <w:rPr>
          <w:rFonts w:ascii="Verdana" w:hAnsi="Verdana"/>
          <w:sz w:val="20"/>
          <w:szCs w:val="20"/>
        </w:rPr>
        <w:t xml:space="preserve"> quien trabajaba como periodista</w:t>
      </w:r>
      <w:r w:rsidR="007A514D">
        <w:rPr>
          <w:rFonts w:ascii="Verdana" w:hAnsi="Verdana"/>
          <w:sz w:val="20"/>
          <w:szCs w:val="20"/>
        </w:rPr>
        <w:t xml:space="preserve"> y era miembro del Partido Comunista Brasileño</w:t>
      </w:r>
      <w:r w:rsidR="007F19D6">
        <w:rPr>
          <w:rFonts w:ascii="Verdana" w:hAnsi="Verdana"/>
          <w:sz w:val="20"/>
          <w:szCs w:val="20"/>
        </w:rPr>
        <w:t>. Para los efectos de determinar los alcances de las obligaciones que tenía el Estado a</w:t>
      </w:r>
      <w:r w:rsidR="0022668C">
        <w:rPr>
          <w:rFonts w:ascii="Verdana" w:hAnsi="Verdana"/>
          <w:sz w:val="20"/>
          <w:szCs w:val="20"/>
        </w:rPr>
        <w:t xml:space="preserve"> </w:t>
      </w:r>
      <w:r w:rsidR="008C7F52">
        <w:rPr>
          <w:rFonts w:ascii="Verdana" w:hAnsi="Verdana"/>
          <w:sz w:val="20"/>
          <w:szCs w:val="20"/>
        </w:rPr>
        <w:t>partir de la fecha en que reconoció</w:t>
      </w:r>
      <w:r w:rsidR="007F19D6">
        <w:rPr>
          <w:rFonts w:ascii="Verdana" w:hAnsi="Verdana"/>
          <w:sz w:val="20"/>
          <w:szCs w:val="20"/>
        </w:rPr>
        <w:t xml:space="preserve"> la competencia </w:t>
      </w:r>
      <w:r w:rsidR="008C7F52">
        <w:rPr>
          <w:rFonts w:ascii="Verdana" w:hAnsi="Verdana"/>
          <w:sz w:val="20"/>
          <w:szCs w:val="20"/>
        </w:rPr>
        <w:t xml:space="preserve">contenciosa </w:t>
      </w:r>
      <w:r w:rsidR="007F19D6">
        <w:rPr>
          <w:rFonts w:ascii="Verdana" w:hAnsi="Verdana"/>
          <w:sz w:val="20"/>
          <w:szCs w:val="20"/>
        </w:rPr>
        <w:t>de esta Corte</w:t>
      </w:r>
      <w:r w:rsidR="0062719F">
        <w:rPr>
          <w:rFonts w:ascii="Verdana" w:hAnsi="Verdana"/>
          <w:sz w:val="20"/>
          <w:szCs w:val="20"/>
        </w:rPr>
        <w:t xml:space="preserve"> el 10 de diciembre de 1998</w:t>
      </w:r>
      <w:r w:rsidR="007F19D6">
        <w:rPr>
          <w:rFonts w:ascii="Verdana" w:hAnsi="Verdana"/>
          <w:sz w:val="20"/>
          <w:szCs w:val="20"/>
        </w:rPr>
        <w:t xml:space="preserve">, en la Sentencia se determinó que los </w:t>
      </w:r>
      <w:r w:rsidR="00AA6939">
        <w:rPr>
          <w:rFonts w:ascii="Verdana" w:hAnsi="Verdana"/>
          <w:sz w:val="20"/>
          <w:szCs w:val="20"/>
        </w:rPr>
        <w:t xml:space="preserve">hechos </w:t>
      </w:r>
      <w:r w:rsidR="007F19D6">
        <w:rPr>
          <w:rFonts w:ascii="Verdana" w:hAnsi="Verdana"/>
          <w:sz w:val="20"/>
          <w:szCs w:val="20"/>
        </w:rPr>
        <w:t>perpetrados contra el señor Herzog deb</w:t>
      </w:r>
      <w:r w:rsidR="0022668C">
        <w:rPr>
          <w:rFonts w:ascii="Verdana" w:hAnsi="Verdana"/>
          <w:sz w:val="20"/>
          <w:szCs w:val="20"/>
        </w:rPr>
        <w:t>ía</w:t>
      </w:r>
      <w:r w:rsidR="007F19D6">
        <w:rPr>
          <w:rFonts w:ascii="Verdana" w:hAnsi="Verdana"/>
          <w:sz w:val="20"/>
          <w:szCs w:val="20"/>
        </w:rPr>
        <w:t>n se</w:t>
      </w:r>
      <w:r w:rsidR="0022668C">
        <w:rPr>
          <w:rFonts w:ascii="Verdana" w:hAnsi="Verdana"/>
          <w:sz w:val="20"/>
          <w:szCs w:val="20"/>
        </w:rPr>
        <w:t>r</w:t>
      </w:r>
      <w:r w:rsidR="007F19D6">
        <w:rPr>
          <w:rFonts w:ascii="Verdana" w:hAnsi="Verdana"/>
          <w:sz w:val="20"/>
          <w:szCs w:val="20"/>
        </w:rPr>
        <w:t xml:space="preserve"> considerados </w:t>
      </w:r>
      <w:r w:rsidR="00AA6939">
        <w:rPr>
          <w:rFonts w:ascii="Verdana" w:hAnsi="Verdana"/>
          <w:sz w:val="20"/>
          <w:szCs w:val="20"/>
        </w:rPr>
        <w:t>como un crimen de lesa humanidad</w:t>
      </w:r>
      <w:r w:rsidR="007F19D6">
        <w:rPr>
          <w:rFonts w:ascii="Verdana" w:hAnsi="Verdana"/>
          <w:sz w:val="20"/>
          <w:szCs w:val="20"/>
        </w:rPr>
        <w:t>,</w:t>
      </w:r>
      <w:r w:rsidR="00323DE2">
        <w:rPr>
          <w:rFonts w:ascii="Verdana" w:hAnsi="Verdana"/>
          <w:sz w:val="20"/>
          <w:szCs w:val="20"/>
        </w:rPr>
        <w:t xml:space="preserve"> tomando en cuenta que fueron </w:t>
      </w:r>
      <w:r w:rsidR="00323DE2" w:rsidRPr="005B0ECD">
        <w:rPr>
          <w:rFonts w:ascii="Verdana" w:hAnsi="Verdana"/>
          <w:sz w:val="20"/>
          <w:szCs w:val="20"/>
        </w:rPr>
        <w:t xml:space="preserve">cometidos </w:t>
      </w:r>
      <w:r w:rsidR="007F19D6">
        <w:rPr>
          <w:rFonts w:ascii="Verdana" w:hAnsi="Verdana"/>
          <w:sz w:val="20"/>
          <w:szCs w:val="20"/>
        </w:rPr>
        <w:t xml:space="preserve">por agentes militares como parte de un plan de ataque </w:t>
      </w:r>
      <w:r w:rsidR="00323DE2" w:rsidRPr="005B0ECD">
        <w:rPr>
          <w:rFonts w:ascii="Verdana" w:hAnsi="Verdana"/>
          <w:sz w:val="20"/>
          <w:szCs w:val="20"/>
        </w:rPr>
        <w:t xml:space="preserve">sistemático y generalizado </w:t>
      </w:r>
      <w:r w:rsidR="007F19D6">
        <w:rPr>
          <w:rFonts w:ascii="Verdana" w:hAnsi="Verdana"/>
          <w:sz w:val="20"/>
          <w:szCs w:val="20"/>
        </w:rPr>
        <w:t xml:space="preserve">contra </w:t>
      </w:r>
      <w:r w:rsidR="00323DE2" w:rsidRPr="005B0ECD">
        <w:rPr>
          <w:rFonts w:ascii="Verdana" w:hAnsi="Verdana"/>
          <w:sz w:val="20"/>
          <w:szCs w:val="20"/>
        </w:rPr>
        <w:t>la población civil</w:t>
      </w:r>
      <w:r w:rsidR="007F19D6">
        <w:rPr>
          <w:rFonts w:ascii="Verdana" w:hAnsi="Verdana"/>
          <w:sz w:val="20"/>
          <w:szCs w:val="20"/>
        </w:rPr>
        <w:t xml:space="preserve"> considerada como opositora a la dictadura</w:t>
      </w:r>
      <w:r w:rsidR="002202F5">
        <w:rPr>
          <w:rFonts w:ascii="Verdana" w:hAnsi="Verdana"/>
          <w:sz w:val="20"/>
          <w:szCs w:val="20"/>
        </w:rPr>
        <w:t>, por lo cual el Estado no podía amnistiar tales hechos</w:t>
      </w:r>
      <w:r w:rsidR="00813F0C" w:rsidRPr="00813F0C">
        <w:rPr>
          <w:rFonts w:ascii="Verdana" w:hAnsi="Verdana"/>
          <w:sz w:val="20"/>
          <w:szCs w:val="20"/>
        </w:rPr>
        <w:t xml:space="preserve">. </w:t>
      </w:r>
      <w:r w:rsidR="00DD202E">
        <w:rPr>
          <w:rFonts w:ascii="Verdana" w:hAnsi="Verdana"/>
          <w:sz w:val="20"/>
          <w:szCs w:val="20"/>
        </w:rPr>
        <w:t xml:space="preserve">Además, el Tribunal consideró que </w:t>
      </w:r>
      <w:r w:rsidR="009455B8">
        <w:rPr>
          <w:rFonts w:ascii="Verdana" w:hAnsi="Verdana"/>
          <w:sz w:val="20"/>
          <w:szCs w:val="20"/>
        </w:rPr>
        <w:t xml:space="preserve">se violó </w:t>
      </w:r>
      <w:r w:rsidR="00DD202E">
        <w:rPr>
          <w:rFonts w:ascii="Verdana" w:hAnsi="Verdana"/>
          <w:sz w:val="20"/>
          <w:szCs w:val="20"/>
        </w:rPr>
        <w:t xml:space="preserve">el derecho a la verdad por los </w:t>
      </w:r>
      <w:r w:rsidR="00DD202E" w:rsidRPr="00DD202E">
        <w:rPr>
          <w:rFonts w:ascii="Verdana" w:hAnsi="Verdana"/>
          <w:sz w:val="20"/>
          <w:szCs w:val="20"/>
        </w:rPr>
        <w:t xml:space="preserve">años </w:t>
      </w:r>
      <w:r w:rsidR="00DD202E">
        <w:rPr>
          <w:rFonts w:ascii="Verdana" w:hAnsi="Verdana"/>
          <w:sz w:val="20"/>
          <w:szCs w:val="20"/>
        </w:rPr>
        <w:t xml:space="preserve">transcurridos </w:t>
      </w:r>
      <w:r w:rsidR="00DD202E" w:rsidRPr="00DD202E">
        <w:rPr>
          <w:rFonts w:ascii="Verdana" w:hAnsi="Verdana"/>
          <w:sz w:val="20"/>
          <w:szCs w:val="20"/>
        </w:rPr>
        <w:t xml:space="preserve">dentro de la competencia de la Corte </w:t>
      </w:r>
      <w:r w:rsidR="007F19D6">
        <w:rPr>
          <w:rFonts w:ascii="Verdana" w:hAnsi="Verdana"/>
          <w:sz w:val="20"/>
          <w:szCs w:val="20"/>
        </w:rPr>
        <w:t xml:space="preserve">en </w:t>
      </w:r>
      <w:r w:rsidR="00DD202E" w:rsidRPr="00DD202E">
        <w:rPr>
          <w:rFonts w:ascii="Verdana" w:hAnsi="Verdana"/>
          <w:sz w:val="20"/>
          <w:szCs w:val="20"/>
        </w:rPr>
        <w:t xml:space="preserve">que la versión </w:t>
      </w:r>
      <w:r w:rsidR="007F19D6">
        <w:rPr>
          <w:rFonts w:ascii="Verdana" w:hAnsi="Verdana"/>
          <w:sz w:val="20"/>
          <w:szCs w:val="20"/>
        </w:rPr>
        <w:t xml:space="preserve">falsa </w:t>
      </w:r>
      <w:r w:rsidR="00DD202E" w:rsidRPr="00DD202E">
        <w:rPr>
          <w:rFonts w:ascii="Verdana" w:hAnsi="Verdana"/>
          <w:sz w:val="20"/>
          <w:szCs w:val="20"/>
        </w:rPr>
        <w:t>del suicidio del señor</w:t>
      </w:r>
      <w:r w:rsidR="00DD202E">
        <w:rPr>
          <w:rFonts w:ascii="Verdana" w:hAnsi="Verdana"/>
          <w:sz w:val="20"/>
          <w:szCs w:val="20"/>
        </w:rPr>
        <w:t xml:space="preserve"> </w:t>
      </w:r>
      <w:r w:rsidR="00DD202E" w:rsidRPr="00DD202E">
        <w:rPr>
          <w:rFonts w:ascii="Verdana" w:hAnsi="Verdana"/>
          <w:sz w:val="20"/>
          <w:szCs w:val="20"/>
        </w:rPr>
        <w:t>Herzog fue</w:t>
      </w:r>
      <w:r w:rsidR="0022668C">
        <w:rPr>
          <w:rFonts w:ascii="Verdana" w:hAnsi="Verdana"/>
          <w:sz w:val="20"/>
          <w:szCs w:val="20"/>
        </w:rPr>
        <w:t xml:space="preserve"> </w:t>
      </w:r>
      <w:r w:rsidR="007F19D6">
        <w:rPr>
          <w:rFonts w:ascii="Verdana" w:hAnsi="Verdana"/>
          <w:sz w:val="20"/>
          <w:szCs w:val="20"/>
        </w:rPr>
        <w:t xml:space="preserve">sostenida </w:t>
      </w:r>
      <w:r w:rsidR="00DD202E" w:rsidRPr="00DD202E">
        <w:rPr>
          <w:rFonts w:ascii="Verdana" w:hAnsi="Verdana"/>
          <w:sz w:val="20"/>
          <w:szCs w:val="20"/>
        </w:rPr>
        <w:t>oficialmente por el Estado, sumada a la negativa del Ejército</w:t>
      </w:r>
      <w:r w:rsidR="00DD202E">
        <w:rPr>
          <w:rFonts w:ascii="Verdana" w:hAnsi="Verdana"/>
          <w:sz w:val="20"/>
          <w:szCs w:val="20"/>
        </w:rPr>
        <w:t xml:space="preserve"> de </w:t>
      </w:r>
      <w:r w:rsidR="00DD202E" w:rsidRPr="00DD202E">
        <w:rPr>
          <w:rFonts w:ascii="Verdana" w:hAnsi="Verdana"/>
          <w:sz w:val="20"/>
          <w:szCs w:val="20"/>
        </w:rPr>
        <w:t>presentar información y d</w:t>
      </w:r>
      <w:r w:rsidR="0022668C">
        <w:rPr>
          <w:rFonts w:ascii="Verdana" w:hAnsi="Verdana"/>
          <w:sz w:val="20"/>
          <w:szCs w:val="20"/>
        </w:rPr>
        <w:t>ar</w:t>
      </w:r>
      <w:r w:rsidR="00DD202E" w:rsidRPr="00DD202E">
        <w:rPr>
          <w:rFonts w:ascii="Verdana" w:hAnsi="Verdana"/>
          <w:sz w:val="20"/>
          <w:szCs w:val="20"/>
        </w:rPr>
        <w:t xml:space="preserve"> acceso a los archivos militares de la época de los hechos.</w:t>
      </w:r>
      <w:r w:rsidR="00F63E46" w:rsidRPr="00DD202E">
        <w:rPr>
          <w:rFonts w:ascii="Verdana" w:hAnsi="Verdana"/>
          <w:sz w:val="20"/>
          <w:szCs w:val="20"/>
        </w:rPr>
        <w:t xml:space="preserve"> Asimismo, la Corte concluyó que Brasil </w:t>
      </w:r>
      <w:r w:rsidR="00DD202E">
        <w:rPr>
          <w:rFonts w:ascii="Verdana" w:hAnsi="Verdana"/>
          <w:sz w:val="20"/>
          <w:szCs w:val="20"/>
        </w:rPr>
        <w:t>incumplió</w:t>
      </w:r>
      <w:r w:rsidR="00F63E46" w:rsidRPr="00DD202E">
        <w:rPr>
          <w:rFonts w:ascii="Verdana" w:hAnsi="Verdana"/>
          <w:sz w:val="20"/>
          <w:szCs w:val="20"/>
        </w:rPr>
        <w:t xml:space="preserve"> su obligación de adecuar su derecho interno a la Convención </w:t>
      </w:r>
      <w:r w:rsidR="007B6EF1">
        <w:rPr>
          <w:rFonts w:ascii="Verdana" w:hAnsi="Verdana"/>
          <w:sz w:val="20"/>
          <w:szCs w:val="20"/>
        </w:rPr>
        <w:t xml:space="preserve">Americana sobre Derechos Humanos </w:t>
      </w:r>
      <w:r w:rsidR="00A61232">
        <w:rPr>
          <w:rFonts w:ascii="Verdana" w:hAnsi="Verdana"/>
          <w:sz w:val="20"/>
          <w:szCs w:val="20"/>
        </w:rPr>
        <w:t xml:space="preserve">(en adelante “la Convención Americana”) </w:t>
      </w:r>
      <w:r w:rsidR="00F63E46" w:rsidRPr="00DD202E">
        <w:rPr>
          <w:rFonts w:ascii="Verdana" w:hAnsi="Verdana"/>
          <w:sz w:val="20"/>
          <w:szCs w:val="20"/>
        </w:rPr>
        <w:t xml:space="preserve">en virtud de la aplicación de la Ley de Amnistía </w:t>
      </w:r>
      <w:r w:rsidR="00DD202E">
        <w:rPr>
          <w:rFonts w:ascii="Verdana" w:hAnsi="Verdana"/>
          <w:sz w:val="20"/>
          <w:szCs w:val="20"/>
        </w:rPr>
        <w:t xml:space="preserve">de 1979 </w:t>
      </w:r>
      <w:r w:rsidR="00F63E46" w:rsidRPr="00DD202E">
        <w:rPr>
          <w:rFonts w:ascii="Verdana" w:hAnsi="Verdana"/>
          <w:sz w:val="20"/>
          <w:szCs w:val="20"/>
        </w:rPr>
        <w:t xml:space="preserve">y de otras eximentes de responsabilidad prohibidas en casos de crímenes de lesa humanidad. </w:t>
      </w:r>
      <w:r w:rsidR="00DD202E">
        <w:rPr>
          <w:rFonts w:ascii="Verdana" w:hAnsi="Verdana"/>
          <w:sz w:val="20"/>
          <w:szCs w:val="20"/>
        </w:rPr>
        <w:t xml:space="preserve">Por último, determinó que el Estado violó el </w:t>
      </w:r>
      <w:proofErr w:type="spellStart"/>
      <w:r w:rsidR="00DD202E">
        <w:rPr>
          <w:rFonts w:ascii="Verdana" w:hAnsi="Verdana"/>
          <w:sz w:val="20"/>
          <w:szCs w:val="20"/>
        </w:rPr>
        <w:t>dercho</w:t>
      </w:r>
      <w:proofErr w:type="spellEnd"/>
      <w:r w:rsidR="00DD202E">
        <w:rPr>
          <w:rFonts w:ascii="Verdana" w:hAnsi="Verdana"/>
          <w:sz w:val="20"/>
          <w:szCs w:val="20"/>
        </w:rPr>
        <w:t xml:space="preserve"> a la integridad personal de los </w:t>
      </w:r>
      <w:r w:rsidR="007B6EF1">
        <w:rPr>
          <w:rFonts w:ascii="Verdana" w:hAnsi="Verdana"/>
          <w:sz w:val="20"/>
          <w:szCs w:val="20"/>
        </w:rPr>
        <w:t xml:space="preserve">referidos </w:t>
      </w:r>
      <w:r w:rsidR="00DD202E">
        <w:rPr>
          <w:rFonts w:ascii="Verdana" w:hAnsi="Verdana"/>
          <w:sz w:val="20"/>
          <w:szCs w:val="20"/>
        </w:rPr>
        <w:t xml:space="preserve">familiares del señor Herzog. </w:t>
      </w:r>
      <w:r w:rsidR="00DE30DA" w:rsidRPr="00DD202E">
        <w:rPr>
          <w:rFonts w:ascii="Verdana" w:hAnsi="Verdana"/>
          <w:sz w:val="20"/>
          <w:szCs w:val="20"/>
          <w:lang w:val="es-CR"/>
        </w:rPr>
        <w:t xml:space="preserve">La Corte </w:t>
      </w:r>
      <w:proofErr w:type="spellStart"/>
      <w:r w:rsidR="00DE30DA" w:rsidRPr="00DD202E">
        <w:rPr>
          <w:rFonts w:ascii="Verdana" w:hAnsi="Verdana"/>
          <w:sz w:val="20"/>
          <w:szCs w:val="20"/>
          <w:lang w:val="es-CR"/>
        </w:rPr>
        <w:t>establecio</w:t>
      </w:r>
      <w:proofErr w:type="spellEnd"/>
      <w:r w:rsidR="00DE30DA" w:rsidRPr="00DD202E">
        <w:rPr>
          <w:rFonts w:ascii="Verdana" w:hAnsi="Verdana"/>
          <w:sz w:val="20"/>
          <w:szCs w:val="20"/>
          <w:lang w:val="es-CR"/>
        </w:rPr>
        <w:t xml:space="preserve">́ que su Sentencia constituye por sí misma una forma de </w:t>
      </w:r>
      <w:proofErr w:type="spellStart"/>
      <w:r w:rsidR="00DE30DA" w:rsidRPr="00DD202E">
        <w:rPr>
          <w:rFonts w:ascii="Verdana" w:hAnsi="Verdana"/>
          <w:sz w:val="20"/>
          <w:szCs w:val="20"/>
          <w:lang w:val="es-CR"/>
        </w:rPr>
        <w:t>reparación</w:t>
      </w:r>
      <w:proofErr w:type="spellEnd"/>
      <w:r w:rsidR="00DE30DA" w:rsidRPr="00DD202E">
        <w:rPr>
          <w:rFonts w:ascii="Verdana" w:hAnsi="Verdana"/>
          <w:sz w:val="20"/>
          <w:szCs w:val="20"/>
          <w:lang w:val="es-CR"/>
        </w:rPr>
        <w:t xml:space="preserve"> y, adicionalmente, ordenó al Estado determinadas medidas de </w:t>
      </w:r>
      <w:proofErr w:type="spellStart"/>
      <w:r w:rsidR="00DE30DA" w:rsidRPr="00DD202E">
        <w:rPr>
          <w:rFonts w:ascii="Verdana" w:hAnsi="Verdana"/>
          <w:sz w:val="20"/>
          <w:szCs w:val="20"/>
          <w:lang w:val="es-CR"/>
        </w:rPr>
        <w:t>reparación</w:t>
      </w:r>
      <w:proofErr w:type="spellEnd"/>
      <w:r w:rsidR="00DE30DA" w:rsidRPr="00DD202E">
        <w:rPr>
          <w:rFonts w:ascii="Verdana" w:hAnsi="Verdana"/>
          <w:sz w:val="20"/>
          <w:szCs w:val="20"/>
          <w:lang w:val="es-CR"/>
        </w:rPr>
        <w:t xml:space="preserve"> (</w:t>
      </w:r>
      <w:r w:rsidR="00DE30DA" w:rsidRPr="00DD202E">
        <w:rPr>
          <w:rFonts w:ascii="Verdana" w:hAnsi="Verdana"/>
          <w:i/>
          <w:iCs/>
          <w:sz w:val="20"/>
          <w:szCs w:val="20"/>
          <w:lang w:val="es-CR"/>
        </w:rPr>
        <w:t xml:space="preserve">infra </w:t>
      </w:r>
      <w:r w:rsidR="00DE30DA" w:rsidRPr="00DD202E">
        <w:rPr>
          <w:rFonts w:ascii="Verdana" w:hAnsi="Verdana"/>
          <w:sz w:val="20"/>
          <w:szCs w:val="20"/>
          <w:lang w:val="es-CR"/>
        </w:rPr>
        <w:t>Considerando 3)</w:t>
      </w:r>
      <w:r w:rsidR="003F23C7" w:rsidRPr="00DD202E">
        <w:rPr>
          <w:rFonts w:ascii="Verdana" w:hAnsi="Verdana"/>
          <w:sz w:val="20"/>
          <w:szCs w:val="20"/>
          <w:lang w:val="es-CR"/>
        </w:rPr>
        <w:t xml:space="preserve"> y el reintegro al Fondo de Asistencia Legal de Víctimas de la Corte (en adelante “el Fondo de Asistencia”)</w:t>
      </w:r>
      <w:r w:rsidR="007D1E63" w:rsidRPr="00DD202E">
        <w:rPr>
          <w:rFonts w:ascii="Verdana" w:hAnsi="Verdana"/>
          <w:sz w:val="20"/>
          <w:szCs w:val="20"/>
          <w:lang w:val="es-CR"/>
        </w:rPr>
        <w:t>.</w:t>
      </w:r>
    </w:p>
    <w:bookmarkEnd w:id="0"/>
    <w:p w14:paraId="0B7705FC" w14:textId="48706493" w:rsidR="00176DB3" w:rsidRPr="00532110" w:rsidRDefault="008B7D7A" w:rsidP="00FA606A">
      <w:pPr>
        <w:numPr>
          <w:ilvl w:val="0"/>
          <w:numId w:val="2"/>
        </w:numPr>
        <w:spacing w:before="120" w:after="120"/>
        <w:ind w:left="0" w:firstLine="0"/>
        <w:jc w:val="both"/>
        <w:rPr>
          <w:rFonts w:ascii="Verdana" w:hAnsi="Verdana"/>
          <w:sz w:val="20"/>
          <w:lang w:val="es-CO"/>
        </w:rPr>
      </w:pPr>
      <w:r>
        <w:rPr>
          <w:rFonts w:ascii="Verdana" w:hAnsi="Verdana"/>
          <w:sz w:val="20"/>
          <w:lang w:val="es-CO"/>
        </w:rPr>
        <w:lastRenderedPageBreak/>
        <w:t>Los</w:t>
      </w:r>
      <w:r w:rsidR="00815AE9">
        <w:rPr>
          <w:rFonts w:ascii="Verdana" w:hAnsi="Verdana"/>
          <w:sz w:val="20"/>
          <w:lang w:val="es-CO"/>
        </w:rPr>
        <w:t xml:space="preserve"> informe</w:t>
      </w:r>
      <w:r>
        <w:rPr>
          <w:rFonts w:ascii="Verdana" w:hAnsi="Verdana"/>
          <w:sz w:val="20"/>
          <w:lang w:val="es-CO"/>
        </w:rPr>
        <w:t>s</w:t>
      </w:r>
      <w:r w:rsidR="00815AE9">
        <w:rPr>
          <w:rFonts w:ascii="Verdana" w:hAnsi="Verdana"/>
          <w:sz w:val="20"/>
          <w:lang w:val="es-CO"/>
        </w:rPr>
        <w:t xml:space="preserve"> presentado</w:t>
      </w:r>
      <w:r>
        <w:rPr>
          <w:rFonts w:ascii="Verdana" w:hAnsi="Verdana"/>
          <w:sz w:val="20"/>
          <w:lang w:val="es-CO"/>
        </w:rPr>
        <w:t>s</w:t>
      </w:r>
      <w:r w:rsidR="00513FC0" w:rsidRPr="00532110">
        <w:rPr>
          <w:rFonts w:ascii="Verdana" w:hAnsi="Verdana"/>
          <w:sz w:val="20"/>
          <w:lang w:val="es-CO"/>
        </w:rPr>
        <w:t xml:space="preserve"> por el Estado </w:t>
      </w:r>
      <w:r w:rsidR="00C02C99">
        <w:rPr>
          <w:rFonts w:ascii="Verdana" w:hAnsi="Verdana"/>
          <w:sz w:val="20"/>
          <w:lang w:val="es-CO"/>
        </w:rPr>
        <w:t>el</w:t>
      </w:r>
      <w:r w:rsidR="00513FC0" w:rsidRPr="00532110">
        <w:rPr>
          <w:rFonts w:ascii="Verdana" w:hAnsi="Verdana"/>
          <w:sz w:val="20"/>
          <w:lang w:val="es-CO"/>
        </w:rPr>
        <w:t xml:space="preserve"> </w:t>
      </w:r>
      <w:r w:rsidR="00057037">
        <w:rPr>
          <w:rFonts w:ascii="Verdana" w:hAnsi="Verdana"/>
          <w:sz w:val="20"/>
          <w:lang w:val="es-CO"/>
        </w:rPr>
        <w:t xml:space="preserve">16 de </w:t>
      </w:r>
      <w:r w:rsidR="00815AE9">
        <w:rPr>
          <w:rFonts w:ascii="Verdana" w:hAnsi="Verdana"/>
          <w:sz w:val="20"/>
          <w:lang w:val="es-CO"/>
        </w:rPr>
        <w:t>septiembre</w:t>
      </w:r>
      <w:r w:rsidR="00DE35C9" w:rsidRPr="00532110">
        <w:rPr>
          <w:rFonts w:ascii="Verdana" w:hAnsi="Verdana"/>
          <w:sz w:val="20"/>
          <w:lang w:val="es-CO"/>
        </w:rPr>
        <w:t xml:space="preserve"> </w:t>
      </w:r>
      <w:r>
        <w:rPr>
          <w:rFonts w:ascii="Verdana" w:hAnsi="Verdana"/>
          <w:sz w:val="20"/>
          <w:lang w:val="es-CO"/>
        </w:rPr>
        <w:t xml:space="preserve">y </w:t>
      </w:r>
      <w:r w:rsidR="00D13EFE">
        <w:rPr>
          <w:rFonts w:ascii="Verdana" w:hAnsi="Verdana"/>
          <w:sz w:val="20"/>
          <w:lang w:val="es-CO"/>
        </w:rPr>
        <w:t xml:space="preserve">el 16 de </w:t>
      </w:r>
      <w:r>
        <w:rPr>
          <w:rFonts w:ascii="Verdana" w:hAnsi="Verdana"/>
          <w:sz w:val="20"/>
          <w:lang w:val="es-CO"/>
        </w:rPr>
        <w:t xml:space="preserve">octubre </w:t>
      </w:r>
      <w:r w:rsidR="00DE35C9" w:rsidRPr="00532110">
        <w:rPr>
          <w:rFonts w:ascii="Verdana" w:hAnsi="Verdana"/>
          <w:sz w:val="20"/>
          <w:lang w:val="es-CO"/>
        </w:rPr>
        <w:t xml:space="preserve">de </w:t>
      </w:r>
      <w:r w:rsidR="00815AE9">
        <w:rPr>
          <w:rFonts w:ascii="Verdana" w:hAnsi="Verdana"/>
          <w:sz w:val="20"/>
          <w:lang w:val="es-CO"/>
        </w:rPr>
        <w:t>2019</w:t>
      </w:r>
      <w:r w:rsidR="00D046C9">
        <w:rPr>
          <w:rFonts w:ascii="Verdana" w:hAnsi="Verdana"/>
          <w:sz w:val="20"/>
          <w:lang w:val="es-CO"/>
        </w:rPr>
        <w:t>,</w:t>
      </w:r>
      <w:r w:rsidR="0015413A">
        <w:rPr>
          <w:rFonts w:ascii="Verdana" w:hAnsi="Verdana"/>
          <w:b/>
          <w:sz w:val="20"/>
          <w:lang w:val="es-CO"/>
        </w:rPr>
        <w:t xml:space="preserve"> </w:t>
      </w:r>
      <w:r w:rsidR="00513FC0" w:rsidRPr="00532110">
        <w:rPr>
          <w:rFonts w:ascii="Verdana" w:hAnsi="Verdana"/>
          <w:sz w:val="20"/>
          <w:lang w:val="es-CO"/>
        </w:rPr>
        <w:t xml:space="preserve">en respuesta a solicitudes </w:t>
      </w:r>
      <w:r w:rsidR="00513FC0" w:rsidRPr="00532110">
        <w:rPr>
          <w:rFonts w:ascii="Verdana" w:eastAsia="Calibri" w:hAnsi="Verdana"/>
          <w:sz w:val="20"/>
          <w:lang w:val="es-CR"/>
        </w:rPr>
        <w:t>efectuadas</w:t>
      </w:r>
      <w:r w:rsidR="00513FC0" w:rsidRPr="00532110">
        <w:rPr>
          <w:rFonts w:ascii="Verdana" w:hAnsi="Verdana"/>
          <w:sz w:val="20"/>
          <w:lang w:val="es-CO"/>
        </w:rPr>
        <w:t xml:space="preserve"> por la Corte o su Presidencia mediante notas de la Secretaría del Tribunal.</w:t>
      </w:r>
    </w:p>
    <w:p w14:paraId="702D4506" w14:textId="5548B8F3" w:rsidR="00176DB3" w:rsidRPr="0041544C" w:rsidRDefault="00815AE9" w:rsidP="00FA606A">
      <w:pPr>
        <w:numPr>
          <w:ilvl w:val="0"/>
          <w:numId w:val="2"/>
        </w:numPr>
        <w:spacing w:before="120" w:after="120"/>
        <w:ind w:left="0" w:firstLine="0"/>
        <w:jc w:val="both"/>
        <w:rPr>
          <w:rFonts w:ascii="Verdana" w:hAnsi="Verdana"/>
          <w:sz w:val="20"/>
          <w:lang w:val="es-CO"/>
        </w:rPr>
      </w:pPr>
      <w:r>
        <w:rPr>
          <w:rFonts w:ascii="Verdana" w:hAnsi="Verdana"/>
          <w:sz w:val="20"/>
          <w:shd w:val="clear" w:color="auto" w:fill="FFFFFF"/>
          <w:lang w:val="es-CO"/>
        </w:rPr>
        <w:t>El</w:t>
      </w:r>
      <w:r w:rsidR="00513FC0" w:rsidRPr="00532110">
        <w:rPr>
          <w:rFonts w:ascii="Verdana" w:hAnsi="Verdana"/>
          <w:sz w:val="20"/>
          <w:shd w:val="clear" w:color="auto" w:fill="FFFFFF"/>
          <w:lang w:val="es-CO"/>
        </w:rPr>
        <w:t xml:space="preserve"> </w:t>
      </w:r>
      <w:r w:rsidR="0041544C">
        <w:rPr>
          <w:rFonts w:ascii="Verdana" w:hAnsi="Verdana"/>
          <w:sz w:val="20"/>
          <w:lang w:val="es-CO"/>
        </w:rPr>
        <w:t>escrito</w:t>
      </w:r>
      <w:r w:rsidR="00513FC0" w:rsidRPr="00532110">
        <w:rPr>
          <w:rFonts w:ascii="Verdana" w:hAnsi="Verdana"/>
          <w:sz w:val="20"/>
          <w:shd w:val="clear" w:color="auto" w:fill="FFFFFF"/>
          <w:lang w:val="es-CO"/>
        </w:rPr>
        <w:t xml:space="preserve"> </w:t>
      </w:r>
      <w:r w:rsidR="0041544C">
        <w:rPr>
          <w:rFonts w:ascii="Verdana" w:hAnsi="Verdana"/>
          <w:sz w:val="20"/>
          <w:lang w:val="es-CO"/>
        </w:rPr>
        <w:t>presentado</w:t>
      </w:r>
      <w:r w:rsidR="00513FC0" w:rsidRPr="00532110">
        <w:rPr>
          <w:rFonts w:ascii="Verdana" w:hAnsi="Verdana"/>
          <w:sz w:val="20"/>
          <w:shd w:val="clear" w:color="auto" w:fill="FFFFFF"/>
          <w:lang w:val="es-CO"/>
        </w:rPr>
        <w:t xml:space="preserve"> por los representantes de las víctimas</w:t>
      </w:r>
      <w:r w:rsidR="00083E33" w:rsidRPr="00532110">
        <w:rPr>
          <w:rStyle w:val="Refdenotaalpie"/>
          <w:rFonts w:ascii="Verdana" w:hAnsi="Verdana"/>
          <w:sz w:val="20"/>
          <w:shd w:val="clear" w:color="auto" w:fill="FFFFFF"/>
          <w:lang w:val="es-CO"/>
        </w:rPr>
        <w:footnoteReference w:id="3"/>
      </w:r>
      <w:r w:rsidR="00513FC0" w:rsidRPr="00532110">
        <w:rPr>
          <w:rFonts w:ascii="Verdana" w:hAnsi="Verdana"/>
          <w:sz w:val="20"/>
          <w:shd w:val="clear" w:color="auto" w:fill="FFFFFF"/>
          <w:lang w:val="es-CO"/>
        </w:rPr>
        <w:t xml:space="preserve"> (en adelante también “los representantes”) </w:t>
      </w:r>
      <w:r>
        <w:rPr>
          <w:rFonts w:ascii="Verdana" w:hAnsi="Verdana"/>
          <w:sz w:val="20"/>
          <w:shd w:val="clear" w:color="auto" w:fill="FFFFFF"/>
          <w:lang w:val="es-CO"/>
        </w:rPr>
        <w:t>e</w:t>
      </w:r>
      <w:r w:rsidR="00057037">
        <w:rPr>
          <w:rFonts w:ascii="Verdana" w:hAnsi="Verdana"/>
          <w:sz w:val="20"/>
          <w:shd w:val="clear" w:color="auto" w:fill="FFFFFF"/>
          <w:lang w:val="es-CO"/>
        </w:rPr>
        <w:t>l</w:t>
      </w:r>
      <w:r w:rsidR="00513FC0" w:rsidRPr="00532110">
        <w:rPr>
          <w:rFonts w:ascii="Verdana" w:hAnsi="Verdana"/>
          <w:sz w:val="20"/>
          <w:shd w:val="clear" w:color="auto" w:fill="FFFFFF"/>
          <w:lang w:val="es-CO"/>
        </w:rPr>
        <w:t xml:space="preserve"> </w:t>
      </w:r>
      <w:r w:rsidR="00057037">
        <w:rPr>
          <w:rFonts w:ascii="Verdana" w:hAnsi="Verdana"/>
          <w:sz w:val="20"/>
          <w:shd w:val="clear" w:color="auto" w:fill="FFFFFF"/>
          <w:lang w:val="es-CO"/>
        </w:rPr>
        <w:t xml:space="preserve">11 de </w:t>
      </w:r>
      <w:r>
        <w:rPr>
          <w:rFonts w:ascii="Verdana" w:hAnsi="Verdana"/>
          <w:sz w:val="20"/>
          <w:shd w:val="clear" w:color="auto" w:fill="FFFFFF"/>
          <w:lang w:val="es-CO"/>
        </w:rPr>
        <w:t>noviembre</w:t>
      </w:r>
      <w:r w:rsidR="00DE35C9" w:rsidRPr="00532110">
        <w:rPr>
          <w:rFonts w:ascii="Verdana" w:hAnsi="Verdana"/>
          <w:sz w:val="20"/>
          <w:shd w:val="clear" w:color="auto" w:fill="FFFFFF"/>
          <w:lang w:val="es-CO"/>
        </w:rPr>
        <w:t xml:space="preserve"> de </w:t>
      </w:r>
      <w:r>
        <w:rPr>
          <w:rFonts w:ascii="Verdana" w:hAnsi="Verdana"/>
          <w:sz w:val="20"/>
          <w:shd w:val="clear" w:color="auto" w:fill="FFFFFF"/>
          <w:lang w:val="es-CO"/>
        </w:rPr>
        <w:t>2019</w:t>
      </w:r>
      <w:r w:rsidR="003F23C7">
        <w:rPr>
          <w:rFonts w:ascii="Verdana" w:hAnsi="Verdana"/>
          <w:sz w:val="20"/>
          <w:shd w:val="clear" w:color="auto" w:fill="FFFFFF"/>
          <w:lang w:val="es-CO"/>
        </w:rPr>
        <w:t>,</w:t>
      </w:r>
      <w:r>
        <w:rPr>
          <w:rFonts w:ascii="Verdana" w:hAnsi="Verdana"/>
          <w:sz w:val="20"/>
          <w:shd w:val="clear" w:color="auto" w:fill="FFFFFF"/>
          <w:lang w:val="es-CO"/>
        </w:rPr>
        <w:t xml:space="preserve"> </w:t>
      </w:r>
      <w:r w:rsidRPr="00F41A89">
        <w:rPr>
          <w:rFonts w:ascii="Verdana" w:hAnsi="Verdana"/>
          <w:sz w:val="20"/>
          <w:shd w:val="clear" w:color="auto" w:fill="FFFFFF"/>
          <w:lang w:val="es-CO"/>
        </w:rPr>
        <w:t>mediante el cual</w:t>
      </w:r>
      <w:r>
        <w:rPr>
          <w:rFonts w:ascii="Verdana" w:hAnsi="Verdana"/>
          <w:sz w:val="20"/>
          <w:shd w:val="clear" w:color="auto" w:fill="FFFFFF"/>
          <w:lang w:val="es-CO"/>
        </w:rPr>
        <w:t xml:space="preserve"> </w:t>
      </w:r>
      <w:proofErr w:type="spellStart"/>
      <w:r w:rsidR="0041544C">
        <w:rPr>
          <w:rFonts w:ascii="Verdana" w:hAnsi="Verdana"/>
          <w:sz w:val="20"/>
          <w:shd w:val="clear" w:color="auto" w:fill="FFFFFF"/>
          <w:lang w:val="es-CO"/>
        </w:rPr>
        <w:t>remitiron</w:t>
      </w:r>
      <w:proofErr w:type="spellEnd"/>
      <w:r>
        <w:rPr>
          <w:rFonts w:ascii="Verdana" w:hAnsi="Verdana"/>
          <w:sz w:val="20"/>
          <w:shd w:val="clear" w:color="auto" w:fill="FFFFFF"/>
          <w:lang w:val="es-CO"/>
        </w:rPr>
        <w:t xml:space="preserve"> sus observaciones a</w:t>
      </w:r>
      <w:r w:rsidR="00955635">
        <w:rPr>
          <w:rFonts w:ascii="Verdana" w:hAnsi="Verdana"/>
          <w:sz w:val="20"/>
          <w:shd w:val="clear" w:color="auto" w:fill="FFFFFF"/>
          <w:lang w:val="es-CO"/>
        </w:rPr>
        <w:t xml:space="preserve"> </w:t>
      </w:r>
      <w:r>
        <w:rPr>
          <w:rFonts w:ascii="Verdana" w:hAnsi="Verdana"/>
          <w:sz w:val="20"/>
          <w:shd w:val="clear" w:color="auto" w:fill="FFFFFF"/>
          <w:lang w:val="es-CO"/>
        </w:rPr>
        <w:t>l</w:t>
      </w:r>
      <w:r w:rsidR="00955635">
        <w:rPr>
          <w:rFonts w:ascii="Verdana" w:hAnsi="Verdana"/>
          <w:sz w:val="20"/>
          <w:shd w:val="clear" w:color="auto" w:fill="FFFFFF"/>
          <w:lang w:val="es-CO"/>
        </w:rPr>
        <w:t>os</w:t>
      </w:r>
      <w:r>
        <w:rPr>
          <w:rFonts w:ascii="Verdana" w:hAnsi="Verdana"/>
          <w:sz w:val="20"/>
          <w:shd w:val="clear" w:color="auto" w:fill="FFFFFF"/>
          <w:lang w:val="es-CO"/>
        </w:rPr>
        <w:t xml:space="preserve"> informe</w:t>
      </w:r>
      <w:r w:rsidR="00955635">
        <w:rPr>
          <w:rFonts w:ascii="Verdana" w:hAnsi="Verdana"/>
          <w:sz w:val="20"/>
          <w:shd w:val="clear" w:color="auto" w:fill="FFFFFF"/>
          <w:lang w:val="es-CO"/>
        </w:rPr>
        <w:t>s</w:t>
      </w:r>
      <w:r>
        <w:rPr>
          <w:rFonts w:ascii="Verdana" w:hAnsi="Verdana"/>
          <w:sz w:val="20"/>
          <w:shd w:val="clear" w:color="auto" w:fill="FFFFFF"/>
          <w:lang w:val="es-CO"/>
        </w:rPr>
        <w:t xml:space="preserve"> estatal</w:t>
      </w:r>
      <w:r w:rsidR="00955635">
        <w:rPr>
          <w:rFonts w:ascii="Verdana" w:hAnsi="Verdana"/>
          <w:sz w:val="20"/>
          <w:shd w:val="clear" w:color="auto" w:fill="FFFFFF"/>
          <w:lang w:val="es-CO"/>
        </w:rPr>
        <w:t>es</w:t>
      </w:r>
      <w:r>
        <w:rPr>
          <w:rFonts w:ascii="Verdana" w:hAnsi="Verdana"/>
          <w:sz w:val="20"/>
          <w:shd w:val="clear" w:color="auto" w:fill="FFFFFF"/>
          <w:lang w:val="es-CO"/>
        </w:rPr>
        <w:t xml:space="preserve"> y</w:t>
      </w:r>
      <w:r w:rsidRPr="00F41A89">
        <w:rPr>
          <w:rFonts w:ascii="Verdana" w:hAnsi="Verdana"/>
          <w:sz w:val="20"/>
          <w:shd w:val="clear" w:color="auto" w:fill="FFFFFF"/>
          <w:lang w:val="es-CO"/>
        </w:rPr>
        <w:t xml:space="preserve"> solicitaron la realización de una audiencia </w:t>
      </w:r>
      <w:r>
        <w:rPr>
          <w:rFonts w:ascii="Verdana" w:hAnsi="Verdana"/>
          <w:sz w:val="20"/>
          <w:shd w:val="clear" w:color="auto" w:fill="FFFFFF"/>
          <w:lang w:val="es-CO"/>
        </w:rPr>
        <w:t xml:space="preserve">privada </w:t>
      </w:r>
      <w:r w:rsidRPr="00F41A89">
        <w:rPr>
          <w:rFonts w:ascii="Verdana" w:hAnsi="Verdana"/>
          <w:sz w:val="20"/>
          <w:shd w:val="clear" w:color="auto" w:fill="FFFFFF"/>
          <w:lang w:val="es-CO"/>
        </w:rPr>
        <w:t>de supervisión de cumplimiento de sentencia</w:t>
      </w:r>
      <w:r w:rsidR="00513FC0" w:rsidRPr="00532110">
        <w:rPr>
          <w:rFonts w:ascii="Verdana" w:hAnsi="Verdana"/>
          <w:sz w:val="20"/>
          <w:shd w:val="clear" w:color="auto" w:fill="FFFFFF"/>
          <w:lang w:val="es-CO"/>
        </w:rPr>
        <w:t>.</w:t>
      </w:r>
      <w:r w:rsidR="00D046C9">
        <w:rPr>
          <w:rFonts w:ascii="Verdana" w:hAnsi="Verdana"/>
          <w:sz w:val="20"/>
          <w:shd w:val="clear" w:color="auto" w:fill="FFFFFF"/>
          <w:lang w:val="es-CO"/>
        </w:rPr>
        <w:t xml:space="preserve"> </w:t>
      </w:r>
    </w:p>
    <w:p w14:paraId="37AFB354" w14:textId="4D642F62" w:rsidR="0041544C" w:rsidRPr="00532110" w:rsidRDefault="0041544C" w:rsidP="00FA606A">
      <w:pPr>
        <w:numPr>
          <w:ilvl w:val="0"/>
          <w:numId w:val="2"/>
        </w:numPr>
        <w:spacing w:before="120" w:after="120"/>
        <w:ind w:left="0" w:firstLine="0"/>
        <w:jc w:val="both"/>
        <w:rPr>
          <w:rFonts w:ascii="Verdana" w:hAnsi="Verdana"/>
          <w:sz w:val="20"/>
          <w:lang w:val="es-CO"/>
        </w:rPr>
      </w:pPr>
      <w:r>
        <w:rPr>
          <w:rFonts w:ascii="Verdana" w:hAnsi="Verdana"/>
          <w:sz w:val="20"/>
          <w:shd w:val="clear" w:color="auto" w:fill="FFFFFF"/>
          <w:lang w:val="es-CO"/>
        </w:rPr>
        <w:t xml:space="preserve">Las notas de la Secretaría de la Corte de </w:t>
      </w:r>
      <w:r w:rsidR="009435A7">
        <w:rPr>
          <w:rFonts w:ascii="Verdana" w:hAnsi="Verdana"/>
          <w:sz w:val="20"/>
          <w:shd w:val="clear" w:color="auto" w:fill="FFFFFF"/>
          <w:lang w:val="es-CO"/>
        </w:rPr>
        <w:t xml:space="preserve">20 de marzo de 2019 y </w:t>
      </w:r>
      <w:r>
        <w:rPr>
          <w:rFonts w:ascii="Verdana" w:hAnsi="Verdana"/>
          <w:sz w:val="20"/>
          <w:shd w:val="clear" w:color="auto" w:fill="FFFFFF"/>
          <w:lang w:val="es-CO"/>
        </w:rPr>
        <w:t>18 de diciembre de 2020</w:t>
      </w:r>
      <w:r w:rsidR="00D046C9">
        <w:rPr>
          <w:rFonts w:ascii="Verdana" w:hAnsi="Verdana"/>
          <w:sz w:val="20"/>
          <w:shd w:val="clear" w:color="auto" w:fill="FFFFFF"/>
          <w:lang w:val="es-CO"/>
        </w:rPr>
        <w:t>,</w:t>
      </w:r>
      <w:r w:rsidR="009B118C" w:rsidRPr="009B118C">
        <w:t xml:space="preserve"> </w:t>
      </w:r>
      <w:r w:rsidR="009B118C" w:rsidRPr="009B118C">
        <w:rPr>
          <w:rFonts w:ascii="Verdana" w:hAnsi="Verdana"/>
          <w:sz w:val="20"/>
          <w:shd w:val="clear" w:color="auto" w:fill="FFFFFF"/>
        </w:rPr>
        <w:t>mediante las cuales</w:t>
      </w:r>
      <w:r w:rsidR="00057037">
        <w:rPr>
          <w:rFonts w:ascii="Verdana" w:hAnsi="Verdana"/>
          <w:sz w:val="20"/>
          <w:shd w:val="clear" w:color="auto" w:fill="FFFFFF"/>
        </w:rPr>
        <w:t>, respectivamente, se remitió</w:t>
      </w:r>
      <w:r w:rsidR="00057037" w:rsidRPr="009B118C">
        <w:rPr>
          <w:rFonts w:ascii="Verdana" w:hAnsi="Verdana"/>
          <w:sz w:val="20"/>
          <w:shd w:val="clear" w:color="auto" w:fill="FFFFFF"/>
        </w:rPr>
        <w:t xml:space="preserve"> la información necesaria para </w:t>
      </w:r>
      <w:r w:rsidR="00057037">
        <w:rPr>
          <w:rFonts w:ascii="Verdana" w:hAnsi="Verdana"/>
          <w:sz w:val="20"/>
          <w:shd w:val="clear" w:color="auto" w:fill="FFFFFF"/>
        </w:rPr>
        <w:t>que e</w:t>
      </w:r>
      <w:r w:rsidR="00D046C9">
        <w:rPr>
          <w:rFonts w:ascii="Verdana" w:hAnsi="Verdana"/>
          <w:sz w:val="20"/>
          <w:shd w:val="clear" w:color="auto" w:fill="FFFFFF"/>
        </w:rPr>
        <w:t>l</w:t>
      </w:r>
      <w:r w:rsidR="00057037">
        <w:rPr>
          <w:rFonts w:ascii="Verdana" w:hAnsi="Verdana"/>
          <w:sz w:val="20"/>
          <w:shd w:val="clear" w:color="auto" w:fill="FFFFFF"/>
        </w:rPr>
        <w:t xml:space="preserve"> Estado pueda </w:t>
      </w:r>
      <w:r w:rsidR="00057037" w:rsidRPr="009B118C">
        <w:rPr>
          <w:rFonts w:ascii="Verdana" w:hAnsi="Verdana"/>
          <w:sz w:val="20"/>
          <w:shd w:val="clear" w:color="auto" w:fill="FFFFFF"/>
        </w:rPr>
        <w:t>realizar</w:t>
      </w:r>
      <w:r w:rsidR="00057037">
        <w:rPr>
          <w:rFonts w:ascii="Verdana" w:hAnsi="Verdana"/>
          <w:sz w:val="20"/>
          <w:shd w:val="clear" w:color="auto" w:fill="FFFFFF"/>
        </w:rPr>
        <w:t xml:space="preserve"> el reintegro al Fondo de Asistencia y</w:t>
      </w:r>
      <w:r w:rsidR="009B118C" w:rsidRPr="009B118C">
        <w:rPr>
          <w:rFonts w:ascii="Verdana" w:hAnsi="Verdana"/>
          <w:sz w:val="20"/>
          <w:shd w:val="clear" w:color="auto" w:fill="FFFFFF"/>
        </w:rPr>
        <w:t>, siguiend</w:t>
      </w:r>
      <w:r w:rsidR="009B118C">
        <w:rPr>
          <w:rFonts w:ascii="Verdana" w:hAnsi="Verdana"/>
          <w:sz w:val="20"/>
          <w:shd w:val="clear" w:color="auto" w:fill="FFFFFF"/>
        </w:rPr>
        <w:t>o instrucciones de la Presidencia</w:t>
      </w:r>
      <w:r w:rsidR="009B118C" w:rsidRPr="009B118C">
        <w:rPr>
          <w:rFonts w:ascii="Verdana" w:hAnsi="Verdana"/>
          <w:sz w:val="20"/>
          <w:shd w:val="clear" w:color="auto" w:fill="FFFFFF"/>
        </w:rPr>
        <w:t xml:space="preserve"> del Tribunal</w:t>
      </w:r>
      <w:r w:rsidR="009B118C">
        <w:rPr>
          <w:rFonts w:ascii="Verdana" w:hAnsi="Verdana"/>
          <w:sz w:val="20"/>
          <w:shd w:val="clear" w:color="auto" w:fill="FFFFFF"/>
        </w:rPr>
        <w:t>,</w:t>
      </w:r>
      <w:r w:rsidR="009B118C">
        <w:rPr>
          <w:rFonts w:ascii="Verdana" w:hAnsi="Verdana"/>
          <w:sz w:val="20"/>
          <w:shd w:val="clear" w:color="auto" w:fill="FFFFFF"/>
          <w:lang w:val="es-CO"/>
        </w:rPr>
        <w:t xml:space="preserve"> se </w:t>
      </w:r>
      <w:r w:rsidR="00057037">
        <w:rPr>
          <w:rFonts w:ascii="Verdana" w:hAnsi="Verdana"/>
          <w:sz w:val="20"/>
          <w:shd w:val="clear" w:color="auto" w:fill="FFFFFF"/>
          <w:lang w:val="es-CO"/>
        </w:rPr>
        <w:t xml:space="preserve">le </w:t>
      </w:r>
      <w:r w:rsidR="009B118C">
        <w:rPr>
          <w:rFonts w:ascii="Verdana" w:hAnsi="Verdana"/>
          <w:sz w:val="20"/>
          <w:shd w:val="clear" w:color="auto" w:fill="FFFFFF"/>
          <w:lang w:val="es-CO"/>
        </w:rPr>
        <w:t xml:space="preserve">recordó </w:t>
      </w:r>
      <w:r w:rsidR="003F23C7">
        <w:rPr>
          <w:rFonts w:ascii="Verdana" w:hAnsi="Verdana"/>
          <w:sz w:val="20"/>
          <w:shd w:val="clear" w:color="auto" w:fill="FFFFFF"/>
          <w:lang w:val="es-CO"/>
        </w:rPr>
        <w:t xml:space="preserve">que se encontraba pendiente </w:t>
      </w:r>
      <w:r w:rsidR="009B118C">
        <w:rPr>
          <w:rFonts w:ascii="Verdana" w:hAnsi="Verdana"/>
          <w:sz w:val="20"/>
          <w:shd w:val="clear" w:color="auto" w:fill="FFFFFF"/>
          <w:lang w:val="es-CO"/>
        </w:rPr>
        <w:t>el</w:t>
      </w:r>
      <w:r w:rsidR="00057037">
        <w:rPr>
          <w:rFonts w:ascii="Verdana" w:hAnsi="Verdana"/>
          <w:sz w:val="20"/>
          <w:shd w:val="clear" w:color="auto" w:fill="FFFFFF"/>
          <w:lang w:val="es-CO"/>
        </w:rPr>
        <w:t xml:space="preserve"> referido pago.</w:t>
      </w:r>
      <w:r w:rsidR="009B118C">
        <w:rPr>
          <w:rFonts w:ascii="Verdana" w:hAnsi="Verdana"/>
          <w:sz w:val="20"/>
          <w:shd w:val="clear" w:color="auto" w:fill="FFFFFF"/>
          <w:lang w:val="es-CO"/>
        </w:rPr>
        <w:t xml:space="preserve"> </w:t>
      </w:r>
    </w:p>
    <w:p w14:paraId="7707FC1B" w14:textId="77777777" w:rsidR="00176DB3" w:rsidRPr="00532110" w:rsidRDefault="00176DB3" w:rsidP="005E63E2">
      <w:pPr>
        <w:spacing w:before="120" w:after="120"/>
        <w:jc w:val="both"/>
        <w:rPr>
          <w:rFonts w:ascii="Verdana" w:hAnsi="Verdana"/>
          <w:b/>
          <w:sz w:val="20"/>
          <w:lang w:val="es-CO"/>
        </w:rPr>
      </w:pPr>
    </w:p>
    <w:p w14:paraId="4B77EABB" w14:textId="295F2D86" w:rsidR="00DF1F12" w:rsidRPr="00532110" w:rsidRDefault="004803D1" w:rsidP="005E63E2">
      <w:pPr>
        <w:spacing w:before="120" w:after="120"/>
        <w:jc w:val="both"/>
        <w:rPr>
          <w:rFonts w:ascii="Verdana" w:hAnsi="Verdana"/>
          <w:b/>
          <w:sz w:val="20"/>
          <w:lang w:val="es-CO"/>
        </w:rPr>
      </w:pPr>
      <w:r w:rsidRPr="00532110">
        <w:rPr>
          <w:rFonts w:ascii="Verdana" w:hAnsi="Verdana"/>
          <w:b/>
          <w:sz w:val="20"/>
          <w:lang w:val="es-CO"/>
        </w:rPr>
        <w:t xml:space="preserve">CONSIDERANDO QUE: </w:t>
      </w:r>
    </w:p>
    <w:p w14:paraId="1946DEFA" w14:textId="13C57107" w:rsidR="0082190D" w:rsidRPr="0082190D" w:rsidRDefault="00063954" w:rsidP="00FA606A">
      <w:pPr>
        <w:pStyle w:val="ColorfulList-Accent11"/>
        <w:numPr>
          <w:ilvl w:val="0"/>
          <w:numId w:val="3"/>
        </w:numPr>
        <w:spacing w:before="120" w:after="120"/>
        <w:ind w:left="0" w:firstLine="0"/>
        <w:contextualSpacing w:val="0"/>
        <w:jc w:val="both"/>
        <w:rPr>
          <w:rFonts w:ascii="Verdana" w:hAnsi="Verdana"/>
          <w:b/>
          <w:sz w:val="20"/>
          <w:lang w:val="es-CO"/>
        </w:rPr>
      </w:pPr>
      <w:r w:rsidRPr="0082190D">
        <w:rPr>
          <w:rFonts w:ascii="Verdana" w:hAnsi="Verdana"/>
          <w:sz w:val="20"/>
          <w:lang w:val="es-CO"/>
        </w:rPr>
        <w:t>En el ejercicio de su función jurisdiccional de supervisar el cumplimiento de sus decisiones</w:t>
      </w:r>
      <w:r w:rsidRPr="00532110">
        <w:rPr>
          <w:rStyle w:val="Refdenotaalpie"/>
          <w:rFonts w:ascii="Verdana" w:hAnsi="Verdana"/>
          <w:sz w:val="20"/>
          <w:lang w:val="es-CO"/>
        </w:rPr>
        <w:footnoteReference w:id="4"/>
      </w:r>
      <w:r w:rsidR="0082190D">
        <w:rPr>
          <w:rFonts w:ascii="Verdana" w:hAnsi="Verdana"/>
          <w:sz w:val="20"/>
          <w:lang w:val="es-CO"/>
        </w:rPr>
        <w:t xml:space="preserve">, </w:t>
      </w:r>
      <w:r w:rsidR="0082190D" w:rsidRPr="0082190D">
        <w:rPr>
          <w:rFonts w:ascii="Verdana" w:hAnsi="Verdana"/>
          <w:sz w:val="20"/>
        </w:rPr>
        <w:t xml:space="preserve">la Corte ha venido supervisando la ejecución de la Sentencia emitida en el presente caso en el </w:t>
      </w:r>
      <w:r w:rsidR="0082190D">
        <w:rPr>
          <w:rFonts w:ascii="Verdana" w:hAnsi="Verdana"/>
          <w:sz w:val="20"/>
        </w:rPr>
        <w:t>2018</w:t>
      </w:r>
      <w:r w:rsidR="0082190D" w:rsidRPr="0082190D">
        <w:rPr>
          <w:rFonts w:ascii="Verdana" w:hAnsi="Verdana"/>
          <w:sz w:val="20"/>
        </w:rPr>
        <w:t xml:space="preserve"> (</w:t>
      </w:r>
      <w:r w:rsidR="0082190D" w:rsidRPr="0082190D">
        <w:rPr>
          <w:rFonts w:ascii="Verdana" w:hAnsi="Verdana"/>
          <w:i/>
          <w:sz w:val="20"/>
        </w:rPr>
        <w:t>supra</w:t>
      </w:r>
      <w:r w:rsidR="0082190D" w:rsidRPr="0082190D">
        <w:rPr>
          <w:rFonts w:ascii="Verdana" w:hAnsi="Verdana"/>
          <w:sz w:val="20"/>
        </w:rPr>
        <w:t xml:space="preserve"> Visto 1). En dicho </w:t>
      </w:r>
      <w:r w:rsidR="003F23C7">
        <w:rPr>
          <w:rFonts w:ascii="Verdana" w:hAnsi="Verdana"/>
          <w:sz w:val="20"/>
        </w:rPr>
        <w:t>F</w:t>
      </w:r>
      <w:r w:rsidR="0082190D" w:rsidRPr="0082190D">
        <w:rPr>
          <w:rFonts w:ascii="Verdana" w:hAnsi="Verdana"/>
          <w:sz w:val="20"/>
        </w:rPr>
        <w:t xml:space="preserve">allo la Corte dispuso </w:t>
      </w:r>
      <w:r w:rsidR="0082190D">
        <w:rPr>
          <w:rFonts w:ascii="Verdana" w:hAnsi="Verdana"/>
          <w:sz w:val="20"/>
        </w:rPr>
        <w:t>seis</w:t>
      </w:r>
      <w:r w:rsidR="0082190D" w:rsidRPr="0082190D">
        <w:rPr>
          <w:rFonts w:ascii="Verdana" w:hAnsi="Verdana"/>
          <w:sz w:val="20"/>
        </w:rPr>
        <w:t xml:space="preserve"> medidas de reparación (</w:t>
      </w:r>
      <w:r w:rsidR="0082190D" w:rsidRPr="0082190D">
        <w:rPr>
          <w:rFonts w:ascii="Verdana" w:hAnsi="Verdana"/>
          <w:i/>
          <w:sz w:val="20"/>
        </w:rPr>
        <w:t>infra</w:t>
      </w:r>
      <w:r w:rsidR="0082190D" w:rsidRPr="0082190D">
        <w:rPr>
          <w:rFonts w:ascii="Verdana" w:hAnsi="Verdana"/>
          <w:sz w:val="20"/>
        </w:rPr>
        <w:t xml:space="preserve"> Con</w:t>
      </w:r>
      <w:r w:rsidR="0082190D">
        <w:rPr>
          <w:rFonts w:ascii="Verdana" w:hAnsi="Verdana"/>
          <w:sz w:val="20"/>
        </w:rPr>
        <w:t xml:space="preserve">siderando 3 y punto resolutivo </w:t>
      </w:r>
      <w:r w:rsidR="001C5CD2">
        <w:rPr>
          <w:rFonts w:ascii="Verdana" w:hAnsi="Verdana"/>
          <w:sz w:val="20"/>
        </w:rPr>
        <w:t>5</w:t>
      </w:r>
      <w:r w:rsidR="0082190D" w:rsidRPr="0082190D">
        <w:rPr>
          <w:rFonts w:ascii="Verdana" w:hAnsi="Verdana"/>
          <w:sz w:val="20"/>
        </w:rPr>
        <w:t>)</w:t>
      </w:r>
      <w:r w:rsidR="003F23C7">
        <w:rPr>
          <w:rFonts w:ascii="Verdana" w:hAnsi="Verdana"/>
          <w:sz w:val="20"/>
        </w:rPr>
        <w:t>, así como el reintegro</w:t>
      </w:r>
      <w:r w:rsidR="0082190D" w:rsidRPr="0082190D">
        <w:rPr>
          <w:rFonts w:ascii="Verdana" w:hAnsi="Verdana"/>
          <w:sz w:val="20"/>
        </w:rPr>
        <w:t xml:space="preserve"> al Fondo de Asistencia.</w:t>
      </w:r>
      <w:r w:rsidR="0082190D" w:rsidRPr="0082190D">
        <w:rPr>
          <w:rFonts w:ascii="Verdana" w:hAnsi="Verdana"/>
          <w:sz w:val="20"/>
          <w:lang w:val="es-CO"/>
        </w:rPr>
        <w:t xml:space="preserve"> </w:t>
      </w:r>
    </w:p>
    <w:p w14:paraId="32CEEDA7" w14:textId="4C6351D3" w:rsidR="001914FF" w:rsidRPr="0082190D" w:rsidRDefault="00063954" w:rsidP="00FA606A">
      <w:pPr>
        <w:pStyle w:val="ColorfulList-Accent11"/>
        <w:numPr>
          <w:ilvl w:val="0"/>
          <w:numId w:val="3"/>
        </w:numPr>
        <w:spacing w:before="120" w:after="120"/>
        <w:ind w:left="0" w:firstLine="0"/>
        <w:contextualSpacing w:val="0"/>
        <w:jc w:val="both"/>
        <w:rPr>
          <w:rFonts w:ascii="Verdana" w:hAnsi="Verdana"/>
          <w:b/>
          <w:sz w:val="20"/>
          <w:lang w:val="es-CO"/>
        </w:rPr>
      </w:pPr>
      <w:r w:rsidRPr="0082190D">
        <w:rPr>
          <w:rFonts w:ascii="Verdana" w:hAnsi="Verdana"/>
          <w:sz w:val="20"/>
          <w:lang w:val="es-CO"/>
        </w:rPr>
        <w:t>De conformidad con lo establecido en el artículo 68.1 de la Convención Americana, “[l]os Estados Partes en la Convención se comprometen a cumplir la decisión de la Corte en todo caso en que sean partes”. Esta obligación incluye el deber del Estado de informar a la Corte sobre las medidas adoptadas para cumplir cada uno de los puntos ordenados, lo cual es fundamental para evaluar el estado de cumplimiento de la Sentencia en su conjunto</w:t>
      </w:r>
      <w:r w:rsidRPr="00532110">
        <w:rPr>
          <w:rStyle w:val="Refdenotaalpie"/>
          <w:rFonts w:ascii="Verdana" w:hAnsi="Verdana"/>
          <w:sz w:val="20"/>
          <w:lang w:val="es-CO"/>
        </w:rPr>
        <w:footnoteReference w:id="5"/>
      </w:r>
      <w:r w:rsidRPr="0082190D">
        <w:rPr>
          <w:rFonts w:ascii="Verdana" w:hAnsi="Verdana"/>
          <w:sz w:val="20"/>
          <w:lang w:val="es-CO"/>
        </w:rPr>
        <w:t>.</w:t>
      </w:r>
      <w:r w:rsidRPr="0082190D">
        <w:rPr>
          <w:rFonts w:ascii="Times New Roman" w:hAnsi="Times New Roman"/>
          <w:lang w:val="es-CO"/>
        </w:rPr>
        <w:t xml:space="preserve"> </w:t>
      </w:r>
      <w:r w:rsidR="00513FC0" w:rsidRPr="0082190D">
        <w:rPr>
          <w:rFonts w:ascii="Verdana" w:hAnsi="Verdana"/>
          <w:sz w:val="20"/>
          <w:lang w:val="es-CO"/>
        </w:rPr>
        <w:t>Los Estados Parte en la Convención deben garantizar el cumplimiento de las disposiciones convencionales y sus efectos propios (</w:t>
      </w:r>
      <w:proofErr w:type="spellStart"/>
      <w:r w:rsidR="00513FC0" w:rsidRPr="0082190D">
        <w:rPr>
          <w:rFonts w:ascii="Verdana" w:hAnsi="Verdana"/>
          <w:i/>
          <w:sz w:val="20"/>
          <w:lang w:val="es-CO"/>
        </w:rPr>
        <w:t>effet</w:t>
      </w:r>
      <w:proofErr w:type="spellEnd"/>
      <w:r w:rsidR="00513FC0" w:rsidRPr="0082190D">
        <w:rPr>
          <w:rFonts w:ascii="Verdana" w:hAnsi="Verdana"/>
          <w:i/>
          <w:sz w:val="20"/>
          <w:lang w:val="es-CO"/>
        </w:rPr>
        <w:t xml:space="preserve"> </w:t>
      </w:r>
      <w:proofErr w:type="spellStart"/>
      <w:r w:rsidR="00513FC0" w:rsidRPr="0082190D">
        <w:rPr>
          <w:rFonts w:ascii="Verdana" w:hAnsi="Verdana"/>
          <w:i/>
          <w:sz w:val="20"/>
          <w:lang w:val="es-CO"/>
        </w:rPr>
        <w:t>utile</w:t>
      </w:r>
      <w:proofErr w:type="spellEnd"/>
      <w:r w:rsidR="00513FC0" w:rsidRPr="0082190D">
        <w:rPr>
          <w:rFonts w:ascii="Verdana" w:hAnsi="Verdana"/>
          <w:sz w:val="20"/>
          <w:lang w:val="es-CO"/>
        </w:rPr>
        <w:t>) en el plano de sus respectivos derechos internos. Estas obligaciones deben ser interpretadas y aplicadas de manera que la garantía protegida sea verdaderamente práctica y eficaz, teniendo presente la naturaleza especial de los tratados de derechos humanos</w:t>
      </w:r>
      <w:r w:rsidR="00513FC0" w:rsidRPr="00532110">
        <w:rPr>
          <w:rStyle w:val="Refdenotaalpie"/>
          <w:rFonts w:ascii="Verdana" w:hAnsi="Verdana"/>
          <w:sz w:val="20"/>
          <w:lang w:val="es-CO"/>
        </w:rPr>
        <w:footnoteReference w:id="6"/>
      </w:r>
      <w:r w:rsidR="00513FC0" w:rsidRPr="0082190D">
        <w:rPr>
          <w:rFonts w:ascii="Verdana" w:hAnsi="Verdana"/>
          <w:sz w:val="20"/>
          <w:lang w:val="es-CO"/>
        </w:rPr>
        <w:t>.</w:t>
      </w:r>
    </w:p>
    <w:p w14:paraId="68ECABB6" w14:textId="5A10CB7B" w:rsidR="00571F26" w:rsidRDefault="00513FC0" w:rsidP="00FA606A">
      <w:pPr>
        <w:pStyle w:val="ColorfulList-Accent11"/>
        <w:numPr>
          <w:ilvl w:val="0"/>
          <w:numId w:val="3"/>
        </w:numPr>
        <w:spacing w:before="120" w:after="120"/>
        <w:ind w:left="0" w:firstLine="0"/>
        <w:contextualSpacing w:val="0"/>
        <w:jc w:val="both"/>
        <w:rPr>
          <w:rFonts w:ascii="Verdana" w:hAnsi="Verdana"/>
          <w:b/>
          <w:sz w:val="20"/>
          <w:lang w:val="es-CO"/>
        </w:rPr>
      </w:pPr>
      <w:r w:rsidRPr="00532110">
        <w:rPr>
          <w:rFonts w:ascii="Verdana" w:hAnsi="Verdana"/>
          <w:sz w:val="20"/>
        </w:rPr>
        <w:t xml:space="preserve">En la presente Resolución la Corte </w:t>
      </w:r>
      <w:r w:rsidR="0082190D" w:rsidRPr="0082190D">
        <w:rPr>
          <w:rFonts w:ascii="Verdana" w:hAnsi="Verdana"/>
          <w:sz w:val="20"/>
        </w:rPr>
        <w:t xml:space="preserve">valorará la información presentada por las partes respecto de las </w:t>
      </w:r>
      <w:r w:rsidR="0082190D">
        <w:rPr>
          <w:rFonts w:ascii="Verdana" w:hAnsi="Verdana"/>
          <w:sz w:val="20"/>
        </w:rPr>
        <w:t>seis</w:t>
      </w:r>
      <w:r w:rsidR="0082190D" w:rsidRPr="0082190D">
        <w:rPr>
          <w:rFonts w:ascii="Verdana" w:hAnsi="Verdana"/>
          <w:sz w:val="20"/>
        </w:rPr>
        <w:t xml:space="preserve"> medidas de reparación ordenadas en este caso,</w:t>
      </w:r>
      <w:r w:rsidR="0082190D">
        <w:rPr>
          <w:rFonts w:ascii="Verdana" w:hAnsi="Verdana"/>
          <w:sz w:val="20"/>
        </w:rPr>
        <w:t xml:space="preserve"> así como sobre el reintegro al Fondo de Asistencia</w:t>
      </w:r>
      <w:r w:rsidR="005503CA">
        <w:rPr>
          <w:rFonts w:ascii="Verdana" w:hAnsi="Verdana"/>
          <w:sz w:val="20"/>
        </w:rPr>
        <w:t>,</w:t>
      </w:r>
      <w:r w:rsidR="0082190D">
        <w:rPr>
          <w:rFonts w:ascii="Verdana" w:hAnsi="Verdana"/>
          <w:sz w:val="20"/>
        </w:rPr>
        <w:t xml:space="preserve"> con el propósito de determinar</w:t>
      </w:r>
      <w:r w:rsidR="0082190D" w:rsidRPr="0082190D">
        <w:rPr>
          <w:rFonts w:ascii="Verdana" w:hAnsi="Verdana"/>
          <w:sz w:val="20"/>
        </w:rPr>
        <w:t xml:space="preserve"> el grado de cumplimiento por parte del Estado. El Tribunal estructurará sus consideraciones en el siguiente orden:</w:t>
      </w:r>
    </w:p>
    <w:p w14:paraId="23399E73" w14:textId="77777777" w:rsidR="00571F26" w:rsidRPr="00571F26" w:rsidRDefault="00571F26" w:rsidP="00571F26">
      <w:pPr>
        <w:pStyle w:val="ColorfulList-Accent11"/>
        <w:spacing w:before="120" w:after="120"/>
        <w:ind w:left="0"/>
        <w:contextualSpacing w:val="0"/>
        <w:jc w:val="both"/>
        <w:rPr>
          <w:rFonts w:ascii="Verdana" w:hAnsi="Verdana"/>
          <w:b/>
          <w:sz w:val="20"/>
          <w:lang w:val="es-CO"/>
        </w:rPr>
      </w:pPr>
    </w:p>
    <w:p w14:paraId="1B6F3697" w14:textId="7D312F4E" w:rsidR="001C5CD2" w:rsidRPr="001D7478" w:rsidRDefault="00571F26" w:rsidP="005B7D79">
      <w:pPr>
        <w:pStyle w:val="TDC1"/>
        <w:rPr>
          <w:rFonts w:eastAsiaTheme="minorEastAsia" w:cstheme="minorBidi"/>
          <w:b w:val="0"/>
          <w:lang w:val="es-CR" w:eastAsia="es-CR"/>
        </w:rPr>
      </w:pPr>
      <w:r w:rsidRPr="00C37833">
        <w:rPr>
          <w:bCs/>
          <w:caps/>
          <w:lang w:val="es-CR" w:eastAsia="es-ES"/>
        </w:rPr>
        <w:fldChar w:fldCharType="begin"/>
      </w:r>
      <w:r w:rsidRPr="00C37833">
        <w:rPr>
          <w:rFonts w:eastAsia="Times New Roman"/>
          <w:bCs/>
          <w:caps/>
          <w:lang w:val="es-CR" w:eastAsia="es-ES"/>
        </w:rPr>
        <w:instrText xml:space="preserve"> TOC \o "1-3" \h \z \u </w:instrText>
      </w:r>
      <w:r w:rsidRPr="00C37833">
        <w:rPr>
          <w:bCs/>
          <w:caps/>
          <w:lang w:val="es-CR" w:eastAsia="es-ES"/>
        </w:rPr>
        <w:fldChar w:fldCharType="separate"/>
      </w:r>
      <w:hyperlink w:anchor="_Toc70670911" w:history="1">
        <w:r w:rsidR="001C5CD2" w:rsidRPr="001D7478">
          <w:rPr>
            <w:rStyle w:val="Hipervnculo"/>
            <w:b w:val="0"/>
            <w:sz w:val="16"/>
            <w:szCs w:val="16"/>
          </w:rPr>
          <w:t>A.</w:t>
        </w:r>
        <w:r w:rsidR="001C5CD2" w:rsidRPr="001D7478">
          <w:rPr>
            <w:rFonts w:eastAsiaTheme="minorEastAsia" w:cstheme="minorBidi"/>
            <w:b w:val="0"/>
            <w:lang w:val="es-CR" w:eastAsia="es-CR"/>
          </w:rPr>
          <w:tab/>
        </w:r>
        <w:r w:rsidR="001C5CD2" w:rsidRPr="001D7478">
          <w:rPr>
            <w:rStyle w:val="Hipervnculo"/>
            <w:b w:val="0"/>
            <w:sz w:val="16"/>
            <w:szCs w:val="16"/>
          </w:rPr>
          <w:t>Posición del Estado de no dar cumplimiento a la obligación de investigar la tortura y muerte del señor Herzog</w:t>
        </w:r>
        <w:r w:rsidR="001C5CD2" w:rsidRPr="001D7478">
          <w:rPr>
            <w:b w:val="0"/>
            <w:webHidden/>
          </w:rPr>
          <w:tab/>
        </w:r>
        <w:r w:rsidR="001C5CD2" w:rsidRPr="001D7478">
          <w:rPr>
            <w:b w:val="0"/>
            <w:webHidden/>
          </w:rPr>
          <w:fldChar w:fldCharType="begin"/>
        </w:r>
        <w:r w:rsidR="001C5CD2" w:rsidRPr="001D7478">
          <w:rPr>
            <w:b w:val="0"/>
            <w:webHidden/>
          </w:rPr>
          <w:instrText xml:space="preserve"> PAGEREF _Toc70670911 \h </w:instrText>
        </w:r>
        <w:r w:rsidR="001C5CD2" w:rsidRPr="001D7478">
          <w:rPr>
            <w:b w:val="0"/>
            <w:webHidden/>
          </w:rPr>
        </w:r>
        <w:r w:rsidR="001C5CD2" w:rsidRPr="001D7478">
          <w:rPr>
            <w:b w:val="0"/>
            <w:webHidden/>
          </w:rPr>
          <w:fldChar w:fldCharType="separate"/>
        </w:r>
        <w:r w:rsidR="00217948">
          <w:rPr>
            <w:b w:val="0"/>
            <w:webHidden/>
          </w:rPr>
          <w:t>3</w:t>
        </w:r>
        <w:r w:rsidR="001C5CD2" w:rsidRPr="001D7478">
          <w:rPr>
            <w:b w:val="0"/>
            <w:webHidden/>
          </w:rPr>
          <w:fldChar w:fldCharType="end"/>
        </w:r>
      </w:hyperlink>
    </w:p>
    <w:p w14:paraId="148DF242" w14:textId="2B1A9FA0" w:rsidR="001C5CD2" w:rsidRPr="001D7478" w:rsidRDefault="00DB5B99" w:rsidP="005B7D79">
      <w:pPr>
        <w:pStyle w:val="TDC1"/>
        <w:rPr>
          <w:rFonts w:eastAsiaTheme="minorEastAsia" w:cstheme="minorBidi"/>
          <w:b w:val="0"/>
          <w:lang w:val="es-CR" w:eastAsia="es-CR"/>
        </w:rPr>
      </w:pPr>
      <w:hyperlink w:anchor="_Toc70670912" w:history="1">
        <w:r w:rsidR="001C5CD2" w:rsidRPr="001D7478">
          <w:rPr>
            <w:rStyle w:val="Hipervnculo"/>
            <w:b w:val="0"/>
            <w:sz w:val="16"/>
            <w:szCs w:val="16"/>
          </w:rPr>
          <w:t>B.</w:t>
        </w:r>
        <w:r w:rsidR="001C5CD2" w:rsidRPr="001D7478">
          <w:rPr>
            <w:rFonts w:eastAsiaTheme="minorEastAsia" w:cstheme="minorBidi"/>
            <w:b w:val="0"/>
            <w:lang w:val="es-CR" w:eastAsia="es-CR"/>
          </w:rPr>
          <w:tab/>
        </w:r>
        <w:r w:rsidR="001C5CD2" w:rsidRPr="001D7478">
          <w:rPr>
            <w:rStyle w:val="Hipervnculo"/>
            <w:b w:val="0"/>
            <w:sz w:val="16"/>
            <w:szCs w:val="16"/>
          </w:rPr>
          <w:t>Imprescriptibilidad de crímenes de lesa humanidad y otros crímenes internacionales</w:t>
        </w:r>
        <w:r w:rsidR="001C5CD2" w:rsidRPr="001D7478">
          <w:rPr>
            <w:b w:val="0"/>
            <w:webHidden/>
          </w:rPr>
          <w:tab/>
        </w:r>
        <w:r w:rsidR="001C5CD2" w:rsidRPr="001D7478">
          <w:rPr>
            <w:b w:val="0"/>
            <w:webHidden/>
          </w:rPr>
          <w:fldChar w:fldCharType="begin"/>
        </w:r>
        <w:r w:rsidR="001C5CD2" w:rsidRPr="001D7478">
          <w:rPr>
            <w:b w:val="0"/>
            <w:webHidden/>
          </w:rPr>
          <w:instrText xml:space="preserve"> PAGEREF _Toc70670912 \h </w:instrText>
        </w:r>
        <w:r w:rsidR="001C5CD2" w:rsidRPr="001D7478">
          <w:rPr>
            <w:b w:val="0"/>
            <w:webHidden/>
          </w:rPr>
        </w:r>
        <w:r w:rsidR="001C5CD2" w:rsidRPr="001D7478">
          <w:rPr>
            <w:b w:val="0"/>
            <w:webHidden/>
          </w:rPr>
          <w:fldChar w:fldCharType="separate"/>
        </w:r>
        <w:r w:rsidR="00217948">
          <w:rPr>
            <w:b w:val="0"/>
            <w:webHidden/>
          </w:rPr>
          <w:t>7</w:t>
        </w:r>
        <w:r w:rsidR="001C5CD2" w:rsidRPr="001D7478">
          <w:rPr>
            <w:b w:val="0"/>
            <w:webHidden/>
          </w:rPr>
          <w:fldChar w:fldCharType="end"/>
        </w:r>
      </w:hyperlink>
    </w:p>
    <w:p w14:paraId="249398AF" w14:textId="0B2C2193" w:rsidR="001C5CD2" w:rsidRPr="001D7478" w:rsidRDefault="00DB5B99" w:rsidP="005B7D79">
      <w:pPr>
        <w:pStyle w:val="TDC1"/>
        <w:rPr>
          <w:rFonts w:eastAsiaTheme="minorEastAsia" w:cstheme="minorBidi"/>
          <w:b w:val="0"/>
          <w:lang w:val="es-CR" w:eastAsia="es-CR"/>
        </w:rPr>
      </w:pPr>
      <w:hyperlink w:anchor="_Toc70670913" w:history="1">
        <w:r w:rsidR="001C5CD2" w:rsidRPr="001D7478">
          <w:rPr>
            <w:rStyle w:val="Hipervnculo"/>
            <w:b w:val="0"/>
            <w:sz w:val="16"/>
            <w:szCs w:val="16"/>
          </w:rPr>
          <w:t>C.</w:t>
        </w:r>
        <w:r w:rsidR="001C5CD2" w:rsidRPr="001D7478">
          <w:rPr>
            <w:rFonts w:eastAsiaTheme="minorEastAsia" w:cstheme="minorBidi"/>
            <w:b w:val="0"/>
            <w:lang w:val="es-CR" w:eastAsia="es-CR"/>
          </w:rPr>
          <w:tab/>
        </w:r>
        <w:r w:rsidR="001C5CD2" w:rsidRPr="001D7478">
          <w:rPr>
            <w:rStyle w:val="Hipervnculo"/>
            <w:b w:val="0"/>
            <w:sz w:val="16"/>
            <w:szCs w:val="16"/>
          </w:rPr>
          <w:t>Acto público de reconocimiento de responsabilidad internacional</w:t>
        </w:r>
        <w:r w:rsidR="001C5CD2" w:rsidRPr="001D7478">
          <w:rPr>
            <w:b w:val="0"/>
            <w:webHidden/>
          </w:rPr>
          <w:tab/>
        </w:r>
        <w:r w:rsidR="001C5CD2" w:rsidRPr="001D7478">
          <w:rPr>
            <w:b w:val="0"/>
            <w:webHidden/>
          </w:rPr>
          <w:fldChar w:fldCharType="begin"/>
        </w:r>
        <w:r w:rsidR="001C5CD2" w:rsidRPr="001D7478">
          <w:rPr>
            <w:b w:val="0"/>
            <w:webHidden/>
          </w:rPr>
          <w:instrText xml:space="preserve"> PAGEREF _Toc70670913 \h </w:instrText>
        </w:r>
        <w:r w:rsidR="001C5CD2" w:rsidRPr="001D7478">
          <w:rPr>
            <w:b w:val="0"/>
            <w:webHidden/>
          </w:rPr>
        </w:r>
        <w:r w:rsidR="001C5CD2" w:rsidRPr="001D7478">
          <w:rPr>
            <w:b w:val="0"/>
            <w:webHidden/>
          </w:rPr>
          <w:fldChar w:fldCharType="separate"/>
        </w:r>
        <w:r w:rsidR="00217948">
          <w:rPr>
            <w:b w:val="0"/>
            <w:webHidden/>
          </w:rPr>
          <w:t>8</w:t>
        </w:r>
        <w:r w:rsidR="001C5CD2" w:rsidRPr="001D7478">
          <w:rPr>
            <w:b w:val="0"/>
            <w:webHidden/>
          </w:rPr>
          <w:fldChar w:fldCharType="end"/>
        </w:r>
      </w:hyperlink>
    </w:p>
    <w:p w14:paraId="4D5528B9" w14:textId="195C4E0A" w:rsidR="001C5CD2" w:rsidRPr="001D7478" w:rsidRDefault="00DB5B99" w:rsidP="005B7D79">
      <w:pPr>
        <w:pStyle w:val="TDC1"/>
        <w:rPr>
          <w:rFonts w:eastAsiaTheme="minorEastAsia" w:cstheme="minorBidi"/>
          <w:b w:val="0"/>
          <w:lang w:val="es-CR" w:eastAsia="es-CR"/>
        </w:rPr>
      </w:pPr>
      <w:hyperlink w:anchor="_Toc70670914" w:history="1">
        <w:r w:rsidR="001C5CD2" w:rsidRPr="001D7478">
          <w:rPr>
            <w:rStyle w:val="Hipervnculo"/>
            <w:b w:val="0"/>
            <w:sz w:val="16"/>
            <w:szCs w:val="16"/>
          </w:rPr>
          <w:t>D.</w:t>
        </w:r>
        <w:r w:rsidR="001C5CD2" w:rsidRPr="001D7478">
          <w:rPr>
            <w:rFonts w:eastAsiaTheme="minorEastAsia" w:cstheme="minorBidi"/>
            <w:b w:val="0"/>
            <w:lang w:val="es-CR" w:eastAsia="es-CR"/>
          </w:rPr>
          <w:tab/>
        </w:r>
        <w:r w:rsidR="001C5CD2" w:rsidRPr="001D7478">
          <w:rPr>
            <w:rStyle w:val="Hipervnculo"/>
            <w:b w:val="0"/>
            <w:sz w:val="16"/>
            <w:szCs w:val="16"/>
          </w:rPr>
          <w:t>Publicación y difusión de la Sentencia</w:t>
        </w:r>
        <w:r w:rsidR="001C5CD2" w:rsidRPr="001D7478">
          <w:rPr>
            <w:b w:val="0"/>
            <w:webHidden/>
          </w:rPr>
          <w:tab/>
        </w:r>
        <w:r w:rsidR="001C5CD2" w:rsidRPr="001D7478">
          <w:rPr>
            <w:b w:val="0"/>
            <w:webHidden/>
          </w:rPr>
          <w:fldChar w:fldCharType="begin"/>
        </w:r>
        <w:r w:rsidR="001C5CD2" w:rsidRPr="001D7478">
          <w:rPr>
            <w:b w:val="0"/>
            <w:webHidden/>
          </w:rPr>
          <w:instrText xml:space="preserve"> PAGEREF _Toc70670914 \h </w:instrText>
        </w:r>
        <w:r w:rsidR="001C5CD2" w:rsidRPr="001D7478">
          <w:rPr>
            <w:b w:val="0"/>
            <w:webHidden/>
          </w:rPr>
        </w:r>
        <w:r w:rsidR="001C5CD2" w:rsidRPr="001D7478">
          <w:rPr>
            <w:b w:val="0"/>
            <w:webHidden/>
          </w:rPr>
          <w:fldChar w:fldCharType="separate"/>
        </w:r>
        <w:r w:rsidR="00217948">
          <w:rPr>
            <w:b w:val="0"/>
            <w:webHidden/>
          </w:rPr>
          <w:t>9</w:t>
        </w:r>
        <w:r w:rsidR="001C5CD2" w:rsidRPr="001D7478">
          <w:rPr>
            <w:b w:val="0"/>
            <w:webHidden/>
          </w:rPr>
          <w:fldChar w:fldCharType="end"/>
        </w:r>
      </w:hyperlink>
    </w:p>
    <w:p w14:paraId="57080F0E" w14:textId="4E2DCE13" w:rsidR="001C5CD2" w:rsidRPr="001D7478" w:rsidRDefault="00DB5B99" w:rsidP="005B7D79">
      <w:pPr>
        <w:pStyle w:val="TDC1"/>
        <w:rPr>
          <w:rFonts w:eastAsiaTheme="minorEastAsia" w:cstheme="minorBidi"/>
          <w:b w:val="0"/>
          <w:lang w:val="es-CR" w:eastAsia="es-CR"/>
        </w:rPr>
      </w:pPr>
      <w:hyperlink w:anchor="_Toc70670915" w:history="1">
        <w:r w:rsidR="001C5CD2" w:rsidRPr="001D7478">
          <w:rPr>
            <w:rStyle w:val="Hipervnculo"/>
            <w:b w:val="0"/>
            <w:sz w:val="16"/>
            <w:szCs w:val="16"/>
          </w:rPr>
          <w:t>E.</w:t>
        </w:r>
        <w:r w:rsidR="001C5CD2" w:rsidRPr="001D7478">
          <w:rPr>
            <w:rFonts w:eastAsiaTheme="minorEastAsia" w:cstheme="minorBidi"/>
            <w:b w:val="0"/>
            <w:lang w:val="es-CR" w:eastAsia="es-CR"/>
          </w:rPr>
          <w:tab/>
        </w:r>
        <w:r w:rsidR="001C5CD2" w:rsidRPr="001D7478">
          <w:rPr>
            <w:rStyle w:val="Hipervnculo"/>
            <w:b w:val="0"/>
            <w:sz w:val="16"/>
            <w:szCs w:val="16"/>
          </w:rPr>
          <w:t>Indemnizaciones por concepto de daño material e inmaterial y reintegro de costas y gastos</w:t>
        </w:r>
        <w:r w:rsidR="001C5CD2" w:rsidRPr="001D7478">
          <w:rPr>
            <w:b w:val="0"/>
            <w:webHidden/>
          </w:rPr>
          <w:tab/>
        </w:r>
        <w:r w:rsidR="00217948">
          <w:rPr>
            <w:b w:val="0"/>
            <w:webHidden/>
          </w:rPr>
          <w:tab/>
        </w:r>
        <w:r w:rsidR="001C5CD2" w:rsidRPr="001D7478">
          <w:rPr>
            <w:b w:val="0"/>
            <w:webHidden/>
          </w:rPr>
          <w:fldChar w:fldCharType="begin"/>
        </w:r>
        <w:r w:rsidR="001C5CD2" w:rsidRPr="001D7478">
          <w:rPr>
            <w:b w:val="0"/>
            <w:webHidden/>
          </w:rPr>
          <w:instrText xml:space="preserve"> PAGEREF _Toc70670915 \h </w:instrText>
        </w:r>
        <w:r w:rsidR="001C5CD2" w:rsidRPr="001D7478">
          <w:rPr>
            <w:b w:val="0"/>
            <w:webHidden/>
          </w:rPr>
        </w:r>
        <w:r w:rsidR="001C5CD2" w:rsidRPr="001D7478">
          <w:rPr>
            <w:b w:val="0"/>
            <w:webHidden/>
          </w:rPr>
          <w:fldChar w:fldCharType="separate"/>
        </w:r>
        <w:r w:rsidR="00217948">
          <w:rPr>
            <w:b w:val="0"/>
            <w:webHidden/>
          </w:rPr>
          <w:t>10</w:t>
        </w:r>
        <w:r w:rsidR="001C5CD2" w:rsidRPr="001D7478">
          <w:rPr>
            <w:b w:val="0"/>
            <w:webHidden/>
          </w:rPr>
          <w:fldChar w:fldCharType="end"/>
        </w:r>
      </w:hyperlink>
    </w:p>
    <w:p w14:paraId="6B3681B9" w14:textId="27E8A31F" w:rsidR="001C5CD2" w:rsidRPr="001D7478" w:rsidRDefault="00DB5B99" w:rsidP="005B7D79">
      <w:pPr>
        <w:pStyle w:val="TDC1"/>
        <w:rPr>
          <w:rFonts w:eastAsiaTheme="minorEastAsia" w:cstheme="minorBidi"/>
          <w:b w:val="0"/>
          <w:lang w:val="es-CR" w:eastAsia="es-CR"/>
        </w:rPr>
      </w:pPr>
      <w:hyperlink w:anchor="_Toc70670916" w:history="1">
        <w:r w:rsidR="001C5CD2" w:rsidRPr="001D7478">
          <w:rPr>
            <w:rStyle w:val="Hipervnculo"/>
            <w:b w:val="0"/>
            <w:sz w:val="16"/>
            <w:szCs w:val="16"/>
          </w:rPr>
          <w:t>F.</w:t>
        </w:r>
        <w:r w:rsidR="001C5CD2" w:rsidRPr="001D7478">
          <w:rPr>
            <w:rFonts w:eastAsiaTheme="minorEastAsia" w:cstheme="minorBidi"/>
            <w:b w:val="0"/>
            <w:lang w:val="es-CR" w:eastAsia="es-CR"/>
          </w:rPr>
          <w:tab/>
        </w:r>
        <w:r w:rsidR="001C5CD2" w:rsidRPr="001D7478">
          <w:rPr>
            <w:rStyle w:val="Hipervnculo"/>
            <w:b w:val="0"/>
            <w:sz w:val="16"/>
            <w:szCs w:val="16"/>
          </w:rPr>
          <w:t>Reintegro al Fondo de Asistencia Legal de Víctimas</w:t>
        </w:r>
        <w:r w:rsidR="001C5CD2" w:rsidRPr="001D7478">
          <w:rPr>
            <w:b w:val="0"/>
            <w:webHidden/>
          </w:rPr>
          <w:tab/>
        </w:r>
        <w:r w:rsidR="001C5CD2" w:rsidRPr="001D7478">
          <w:rPr>
            <w:b w:val="0"/>
            <w:webHidden/>
          </w:rPr>
          <w:fldChar w:fldCharType="begin"/>
        </w:r>
        <w:r w:rsidR="001C5CD2" w:rsidRPr="001D7478">
          <w:rPr>
            <w:b w:val="0"/>
            <w:webHidden/>
          </w:rPr>
          <w:instrText xml:space="preserve"> PAGEREF _Toc70670916 \h </w:instrText>
        </w:r>
        <w:r w:rsidR="001C5CD2" w:rsidRPr="001D7478">
          <w:rPr>
            <w:b w:val="0"/>
            <w:webHidden/>
          </w:rPr>
        </w:r>
        <w:r w:rsidR="001C5CD2" w:rsidRPr="001D7478">
          <w:rPr>
            <w:b w:val="0"/>
            <w:webHidden/>
          </w:rPr>
          <w:fldChar w:fldCharType="separate"/>
        </w:r>
        <w:r w:rsidR="00217948">
          <w:rPr>
            <w:b w:val="0"/>
            <w:webHidden/>
          </w:rPr>
          <w:t>11</w:t>
        </w:r>
        <w:r w:rsidR="001C5CD2" w:rsidRPr="001D7478">
          <w:rPr>
            <w:b w:val="0"/>
            <w:webHidden/>
          </w:rPr>
          <w:fldChar w:fldCharType="end"/>
        </w:r>
      </w:hyperlink>
    </w:p>
    <w:p w14:paraId="251B76CB" w14:textId="3A258D8F" w:rsidR="001C5CD2" w:rsidRPr="001D7478" w:rsidRDefault="00DB5B99" w:rsidP="005B7D79">
      <w:pPr>
        <w:pStyle w:val="TDC1"/>
        <w:rPr>
          <w:rFonts w:eastAsiaTheme="minorEastAsia" w:cstheme="minorBidi"/>
          <w:b w:val="0"/>
          <w:lang w:val="es-CR" w:eastAsia="es-CR"/>
        </w:rPr>
      </w:pPr>
      <w:hyperlink w:anchor="_Toc70670917" w:history="1">
        <w:r w:rsidR="001C5CD2" w:rsidRPr="001D7478">
          <w:rPr>
            <w:rStyle w:val="Hipervnculo"/>
            <w:b w:val="0"/>
            <w:sz w:val="16"/>
            <w:szCs w:val="16"/>
          </w:rPr>
          <w:t>G.</w:t>
        </w:r>
        <w:r w:rsidR="001C5CD2" w:rsidRPr="001D7478">
          <w:rPr>
            <w:rFonts w:eastAsiaTheme="minorEastAsia" w:cstheme="minorBidi"/>
            <w:b w:val="0"/>
            <w:lang w:val="es-CR" w:eastAsia="es-CR"/>
          </w:rPr>
          <w:tab/>
        </w:r>
        <w:r w:rsidR="001C5CD2" w:rsidRPr="001D7478">
          <w:rPr>
            <w:rStyle w:val="Hipervnculo"/>
            <w:b w:val="0"/>
            <w:sz w:val="16"/>
            <w:szCs w:val="16"/>
          </w:rPr>
          <w:t>Solicitud de realizar una audiencia de supervisión de cumplimiento</w:t>
        </w:r>
        <w:r w:rsidR="001C5CD2" w:rsidRPr="001D7478">
          <w:rPr>
            <w:b w:val="0"/>
            <w:webHidden/>
          </w:rPr>
          <w:tab/>
        </w:r>
        <w:r w:rsidR="001C5CD2" w:rsidRPr="001D7478">
          <w:rPr>
            <w:b w:val="0"/>
            <w:webHidden/>
          </w:rPr>
          <w:fldChar w:fldCharType="begin"/>
        </w:r>
        <w:r w:rsidR="001C5CD2" w:rsidRPr="001D7478">
          <w:rPr>
            <w:b w:val="0"/>
            <w:webHidden/>
          </w:rPr>
          <w:instrText xml:space="preserve"> PAGEREF _Toc70670917 \h </w:instrText>
        </w:r>
        <w:r w:rsidR="001C5CD2" w:rsidRPr="001D7478">
          <w:rPr>
            <w:b w:val="0"/>
            <w:webHidden/>
          </w:rPr>
        </w:r>
        <w:r w:rsidR="001C5CD2" w:rsidRPr="001D7478">
          <w:rPr>
            <w:b w:val="0"/>
            <w:webHidden/>
          </w:rPr>
          <w:fldChar w:fldCharType="separate"/>
        </w:r>
        <w:r w:rsidR="00217948">
          <w:rPr>
            <w:b w:val="0"/>
            <w:webHidden/>
          </w:rPr>
          <w:t>12</w:t>
        </w:r>
        <w:r w:rsidR="001C5CD2" w:rsidRPr="001D7478">
          <w:rPr>
            <w:b w:val="0"/>
            <w:webHidden/>
          </w:rPr>
          <w:fldChar w:fldCharType="end"/>
        </w:r>
      </w:hyperlink>
    </w:p>
    <w:p w14:paraId="28476755" w14:textId="6F63FBC2" w:rsidR="007D0E29" w:rsidRPr="00571F26" w:rsidRDefault="00571F26" w:rsidP="00571F26">
      <w:pPr>
        <w:pStyle w:val="ColorfulList-Accent11"/>
        <w:spacing w:before="120" w:after="120"/>
        <w:ind w:left="0" w:right="288"/>
        <w:contextualSpacing w:val="0"/>
        <w:jc w:val="both"/>
        <w:rPr>
          <w:rFonts w:ascii="Verdana" w:eastAsia="Calibri" w:hAnsi="Verdana"/>
          <w:bCs/>
          <w:caps/>
          <w:noProof/>
          <w:sz w:val="18"/>
          <w:szCs w:val="18"/>
          <w:lang w:val="es-CR"/>
        </w:rPr>
      </w:pPr>
      <w:r w:rsidRPr="00C37833">
        <w:rPr>
          <w:rFonts w:ascii="Verdana" w:eastAsia="Times New Roman" w:hAnsi="Verdana"/>
          <w:bCs/>
          <w:sz w:val="16"/>
          <w:szCs w:val="16"/>
          <w:lang w:val="es-CR" w:eastAsia="es-ES"/>
        </w:rPr>
        <w:fldChar w:fldCharType="end"/>
      </w:r>
    </w:p>
    <w:p w14:paraId="5899EE10" w14:textId="0FD4001D" w:rsidR="00594CBB" w:rsidRPr="001F116F" w:rsidRDefault="001E2099" w:rsidP="00FA606A">
      <w:pPr>
        <w:pStyle w:val="Ttulo1"/>
        <w:keepNext w:val="0"/>
        <w:widowControl w:val="0"/>
        <w:numPr>
          <w:ilvl w:val="1"/>
          <w:numId w:val="2"/>
        </w:numPr>
        <w:spacing w:before="120" w:after="120"/>
        <w:ind w:left="1134" w:hanging="425"/>
        <w:jc w:val="both"/>
        <w:rPr>
          <w:rFonts w:ascii="Verdana" w:hAnsi="Verdana"/>
          <w:b w:val="0"/>
          <w:i/>
          <w:sz w:val="20"/>
          <w:lang w:val="es-CO"/>
        </w:rPr>
      </w:pPr>
      <w:bookmarkStart w:id="1" w:name="_Toc70670911"/>
      <w:r>
        <w:rPr>
          <w:rFonts w:ascii="Verdana" w:hAnsi="Verdana"/>
          <w:i/>
          <w:sz w:val="20"/>
          <w:lang w:val="es-CO"/>
        </w:rPr>
        <w:t xml:space="preserve">Posición del Estado de no dar cumplimiento a la obligación de </w:t>
      </w:r>
      <w:r w:rsidR="00807AB0">
        <w:rPr>
          <w:rFonts w:ascii="Verdana" w:hAnsi="Verdana"/>
          <w:i/>
          <w:sz w:val="20"/>
          <w:lang w:val="es-CO"/>
        </w:rPr>
        <w:t>investiga</w:t>
      </w:r>
      <w:r>
        <w:rPr>
          <w:rFonts w:ascii="Verdana" w:hAnsi="Verdana"/>
          <w:i/>
          <w:sz w:val="20"/>
          <w:lang w:val="es-CO"/>
        </w:rPr>
        <w:t xml:space="preserve">r </w:t>
      </w:r>
      <w:r w:rsidR="00807AB0">
        <w:rPr>
          <w:rFonts w:ascii="Verdana" w:hAnsi="Verdana"/>
          <w:i/>
          <w:sz w:val="20"/>
          <w:lang w:val="es-CO"/>
        </w:rPr>
        <w:t>la tortura y muerte del señor Herzog</w:t>
      </w:r>
      <w:bookmarkEnd w:id="1"/>
    </w:p>
    <w:p w14:paraId="5653FC3F" w14:textId="60AB40B9" w:rsidR="004803D1" w:rsidRPr="00583DCB" w:rsidRDefault="00594CBB" w:rsidP="005E63E2">
      <w:pPr>
        <w:pStyle w:val="ColorfulList-Accent11"/>
        <w:spacing w:before="120" w:after="120"/>
        <w:contextualSpacing w:val="0"/>
        <w:jc w:val="both"/>
        <w:rPr>
          <w:rFonts w:ascii="Verdana" w:hAnsi="Verdana"/>
          <w:i/>
          <w:sz w:val="20"/>
          <w:lang w:val="es-CO"/>
        </w:rPr>
      </w:pPr>
      <w:r w:rsidRPr="00583DCB">
        <w:rPr>
          <w:rFonts w:ascii="Verdana" w:hAnsi="Verdana"/>
          <w:i/>
          <w:sz w:val="20"/>
          <w:lang w:val="es-CO"/>
        </w:rPr>
        <w:t xml:space="preserve">A.1. </w:t>
      </w:r>
      <w:r w:rsidR="004803D1" w:rsidRPr="00583DCB">
        <w:rPr>
          <w:rFonts w:ascii="Verdana" w:hAnsi="Verdana"/>
          <w:i/>
          <w:sz w:val="20"/>
          <w:lang w:val="es-CO"/>
        </w:rPr>
        <w:t xml:space="preserve">Medida ordenada por la Corte </w:t>
      </w:r>
    </w:p>
    <w:p w14:paraId="1789634D" w14:textId="43248F48" w:rsidR="00C37833" w:rsidRDefault="00807AB0" w:rsidP="00FA606A">
      <w:pPr>
        <w:pStyle w:val="ColorfulList-Accent11"/>
        <w:numPr>
          <w:ilvl w:val="0"/>
          <w:numId w:val="3"/>
        </w:numPr>
        <w:spacing w:before="120" w:after="120"/>
        <w:ind w:left="0" w:firstLine="0"/>
        <w:contextualSpacing w:val="0"/>
        <w:jc w:val="both"/>
        <w:rPr>
          <w:rFonts w:ascii="Verdana" w:hAnsi="Verdana"/>
          <w:sz w:val="20"/>
        </w:rPr>
      </w:pPr>
      <w:r>
        <w:rPr>
          <w:rFonts w:ascii="Verdana" w:hAnsi="Verdana"/>
          <w:sz w:val="20"/>
          <w:lang w:val="es-CO"/>
        </w:rPr>
        <w:t>En</w:t>
      </w:r>
      <w:r w:rsidR="00C35ECE">
        <w:rPr>
          <w:rFonts w:ascii="Verdana" w:hAnsi="Verdana"/>
          <w:sz w:val="20"/>
          <w:lang w:val="es-CO"/>
        </w:rPr>
        <w:t xml:space="preserve"> el</w:t>
      </w:r>
      <w:r w:rsidR="00C37833">
        <w:rPr>
          <w:rFonts w:ascii="Verdana" w:hAnsi="Verdana"/>
          <w:sz w:val="20"/>
          <w:lang w:val="es-CO"/>
        </w:rPr>
        <w:t xml:space="preserve"> punto resolutivo séptimo y en los párrafos 371 y 372 de la Sentencia, la Corte dispuso que el Estado debía “</w:t>
      </w:r>
      <w:r w:rsidR="00C37833" w:rsidRPr="00C37833">
        <w:rPr>
          <w:rFonts w:ascii="Verdana" w:hAnsi="Verdana"/>
          <w:sz w:val="20"/>
        </w:rPr>
        <w:t>reiniciar, con la debida diligencia, la investigación y proceso penal que corresponda por los hechos ocurridos el 25 de octubre de 1975 para identificar, procesar y, en su caso, sancionar a los responsables por la tortura y muerte de Vladimir Herzog, en atención al carácter de delito de crimen de lesa humanidad de tales hechos y las correspondientes consecuencias jurídicas de las mismas para el derecho internacional</w:t>
      </w:r>
      <w:r w:rsidR="00443ABA">
        <w:rPr>
          <w:rFonts w:ascii="Verdana" w:hAnsi="Verdana"/>
          <w:sz w:val="20"/>
        </w:rPr>
        <w:t>”. En particular</w:t>
      </w:r>
      <w:r>
        <w:rPr>
          <w:rFonts w:ascii="Verdana" w:hAnsi="Verdana"/>
          <w:sz w:val="20"/>
        </w:rPr>
        <w:t>,</w:t>
      </w:r>
      <w:r w:rsidR="00443ABA">
        <w:rPr>
          <w:rFonts w:ascii="Verdana" w:hAnsi="Verdana"/>
          <w:sz w:val="20"/>
        </w:rPr>
        <w:t xml:space="preserve"> el Estado </w:t>
      </w:r>
      <w:r>
        <w:rPr>
          <w:rFonts w:ascii="Verdana" w:hAnsi="Verdana"/>
          <w:sz w:val="20"/>
        </w:rPr>
        <w:t>debe</w:t>
      </w:r>
      <w:r w:rsidR="00443ABA">
        <w:rPr>
          <w:rFonts w:ascii="Verdana" w:hAnsi="Verdana"/>
          <w:sz w:val="20"/>
        </w:rPr>
        <w:t>:</w:t>
      </w:r>
    </w:p>
    <w:p w14:paraId="31A40CA3" w14:textId="41A4CEE2" w:rsidR="00443ABA" w:rsidRPr="00D72C5D" w:rsidRDefault="00443ABA" w:rsidP="00D72C5D">
      <w:pPr>
        <w:pStyle w:val="ColorfulList-Accent11"/>
        <w:numPr>
          <w:ilvl w:val="0"/>
          <w:numId w:val="5"/>
        </w:numPr>
        <w:ind w:left="1097" w:right="454"/>
        <w:contextualSpacing w:val="0"/>
        <w:jc w:val="both"/>
        <w:rPr>
          <w:rFonts w:ascii="Verdana" w:hAnsi="Verdana"/>
          <w:sz w:val="18"/>
          <w:lang w:val="es-CO"/>
        </w:rPr>
      </w:pPr>
      <w:r w:rsidRPr="00D72C5D">
        <w:rPr>
          <w:rFonts w:ascii="Verdana" w:hAnsi="Verdana"/>
          <w:sz w:val="18"/>
        </w:rPr>
        <w:t>realizar las investigaciones pertinentes tomando en cuenta el patrón de violaciones de derechos humanos existente en la época, con el objeto de que el proceso y las investigaciones pertinentes sean conducidas en consideración de la complejidad de estos hechos y el contexto en que ocurrieron;</w:t>
      </w:r>
    </w:p>
    <w:p w14:paraId="6AA19222" w14:textId="070DE9F9" w:rsidR="00443ABA" w:rsidRPr="00D72C5D" w:rsidRDefault="00443ABA" w:rsidP="00D72C5D">
      <w:pPr>
        <w:pStyle w:val="ColorfulList-Accent11"/>
        <w:numPr>
          <w:ilvl w:val="0"/>
          <w:numId w:val="5"/>
        </w:numPr>
        <w:ind w:left="1097" w:right="454"/>
        <w:contextualSpacing w:val="0"/>
        <w:jc w:val="both"/>
        <w:rPr>
          <w:rFonts w:ascii="Verdana" w:hAnsi="Verdana"/>
          <w:sz w:val="18"/>
          <w:lang w:val="es-CO"/>
        </w:rPr>
      </w:pPr>
      <w:r w:rsidRPr="00D72C5D">
        <w:rPr>
          <w:rFonts w:ascii="Verdana" w:hAnsi="Verdana"/>
          <w:sz w:val="18"/>
        </w:rPr>
        <w:t xml:space="preserve">determinar los autores materiales e intelectuales de la tortura y muerte de Vladimir Herzog. Además, por tratarse de un crimen de lesa humanidad, el Estado no puede aplicar la Ley de Amnistía en beneficio de los autores, así como ninguna otra disposición análoga, prescripción, cosa juzgada, </w:t>
      </w:r>
      <w:proofErr w:type="spellStart"/>
      <w:r w:rsidRPr="00D72C5D">
        <w:rPr>
          <w:rFonts w:ascii="Verdana" w:hAnsi="Verdana"/>
          <w:i/>
          <w:sz w:val="18"/>
        </w:rPr>
        <w:t>ne</w:t>
      </w:r>
      <w:proofErr w:type="spellEnd"/>
      <w:r w:rsidRPr="00D72C5D">
        <w:rPr>
          <w:rFonts w:ascii="Verdana" w:hAnsi="Verdana"/>
          <w:i/>
          <w:sz w:val="18"/>
        </w:rPr>
        <w:t xml:space="preserve"> bis in </w:t>
      </w:r>
      <w:proofErr w:type="spellStart"/>
      <w:r w:rsidRPr="00D72C5D">
        <w:rPr>
          <w:rFonts w:ascii="Verdana" w:hAnsi="Verdana"/>
          <w:i/>
          <w:sz w:val="18"/>
        </w:rPr>
        <w:t>idem</w:t>
      </w:r>
      <w:proofErr w:type="spellEnd"/>
      <w:r w:rsidRPr="00D72C5D">
        <w:rPr>
          <w:rFonts w:ascii="Verdana" w:hAnsi="Verdana"/>
          <w:sz w:val="18"/>
        </w:rPr>
        <w:t xml:space="preserve"> o cualquier excluyente similar de responsabilidad para excusarse de esta obligación;</w:t>
      </w:r>
    </w:p>
    <w:p w14:paraId="0A30C6CE" w14:textId="77777777" w:rsidR="00443ABA" w:rsidRPr="00D72C5D" w:rsidRDefault="00443ABA" w:rsidP="00D72C5D">
      <w:pPr>
        <w:pStyle w:val="ColorfulList-Accent11"/>
        <w:numPr>
          <w:ilvl w:val="0"/>
          <w:numId w:val="5"/>
        </w:numPr>
        <w:ind w:left="1097" w:right="454"/>
        <w:contextualSpacing w:val="0"/>
        <w:jc w:val="both"/>
        <w:rPr>
          <w:rFonts w:ascii="Verdana" w:hAnsi="Verdana"/>
          <w:sz w:val="18"/>
          <w:lang w:val="es-CO"/>
        </w:rPr>
      </w:pPr>
      <w:r w:rsidRPr="00D72C5D">
        <w:rPr>
          <w:rFonts w:ascii="Verdana" w:hAnsi="Verdana"/>
          <w:sz w:val="18"/>
        </w:rPr>
        <w:t xml:space="preserve">asegurarse que: </w:t>
      </w:r>
    </w:p>
    <w:p w14:paraId="21DCCD44" w14:textId="77777777" w:rsidR="00443ABA" w:rsidRPr="00D72C5D" w:rsidRDefault="00443ABA" w:rsidP="00D72C5D">
      <w:pPr>
        <w:pStyle w:val="ColorfulList-Accent11"/>
        <w:numPr>
          <w:ilvl w:val="2"/>
          <w:numId w:val="5"/>
        </w:numPr>
        <w:ind w:right="454"/>
        <w:contextualSpacing w:val="0"/>
        <w:jc w:val="both"/>
        <w:rPr>
          <w:rFonts w:ascii="Verdana" w:hAnsi="Verdana"/>
          <w:sz w:val="18"/>
          <w:lang w:val="es-CO"/>
        </w:rPr>
      </w:pPr>
      <w:r w:rsidRPr="00D72C5D">
        <w:rPr>
          <w:rFonts w:ascii="Verdana" w:hAnsi="Verdana"/>
          <w:sz w:val="18"/>
        </w:rPr>
        <w:t xml:space="preserve">las autoridades competentes realicen las investigaciones correspondientes </w:t>
      </w:r>
      <w:r w:rsidRPr="00D72C5D">
        <w:rPr>
          <w:rFonts w:ascii="Verdana" w:hAnsi="Verdana"/>
          <w:i/>
          <w:sz w:val="18"/>
        </w:rPr>
        <w:t xml:space="preserve">ex </w:t>
      </w:r>
      <w:proofErr w:type="spellStart"/>
      <w:r w:rsidRPr="00D72C5D">
        <w:rPr>
          <w:rFonts w:ascii="Verdana" w:hAnsi="Verdana"/>
          <w:i/>
          <w:sz w:val="18"/>
        </w:rPr>
        <w:t>officio</w:t>
      </w:r>
      <w:proofErr w:type="spellEnd"/>
      <w:r w:rsidRPr="00D72C5D">
        <w:rPr>
          <w:rFonts w:ascii="Verdana" w:hAnsi="Verdana"/>
          <w:sz w:val="18"/>
        </w:rPr>
        <w:t xml:space="preserve">, y que para tal efecto tengan a su alcance y utilicen todos los recursos logísticos y científicos necesarios para recabar y procesar las pruebas y, en particular, tengan facultades para acceder a la documentación e información pertinentes para investigar los hechos denunciados y llevar a cabo con prontitud aquellas actuaciones y averiguaciones esenciales para esclarecer lo sucedido a la persona muerta y a los desaparecidos del presente caso; </w:t>
      </w:r>
    </w:p>
    <w:p w14:paraId="36E92FC0" w14:textId="77777777" w:rsidR="00443ABA" w:rsidRPr="00D72C5D" w:rsidRDefault="00443ABA" w:rsidP="00D72C5D">
      <w:pPr>
        <w:pStyle w:val="ColorfulList-Accent11"/>
        <w:numPr>
          <w:ilvl w:val="2"/>
          <w:numId w:val="5"/>
        </w:numPr>
        <w:ind w:right="454"/>
        <w:contextualSpacing w:val="0"/>
        <w:jc w:val="both"/>
        <w:rPr>
          <w:rFonts w:ascii="Verdana" w:hAnsi="Verdana"/>
          <w:sz w:val="18"/>
          <w:lang w:val="es-CO"/>
        </w:rPr>
      </w:pPr>
      <w:r w:rsidRPr="00D72C5D">
        <w:rPr>
          <w:rFonts w:ascii="Verdana" w:hAnsi="Verdana"/>
          <w:sz w:val="18"/>
        </w:rPr>
        <w:t xml:space="preserve">las personas que participen en la investigación, entre ellas los familiares de las víctimas, los testigos y los operadores de justicia, cuenten con las debidas garantías de seguridad, y  </w:t>
      </w:r>
    </w:p>
    <w:p w14:paraId="3BD5BCB7" w14:textId="1B55F9D6" w:rsidR="00443ABA" w:rsidRPr="00D72C5D" w:rsidRDefault="00443ABA" w:rsidP="00D72C5D">
      <w:pPr>
        <w:pStyle w:val="ColorfulList-Accent11"/>
        <w:numPr>
          <w:ilvl w:val="2"/>
          <w:numId w:val="5"/>
        </w:numPr>
        <w:ind w:right="454"/>
        <w:contextualSpacing w:val="0"/>
        <w:jc w:val="both"/>
        <w:rPr>
          <w:rFonts w:ascii="Verdana" w:hAnsi="Verdana"/>
          <w:sz w:val="18"/>
          <w:lang w:val="es-CO"/>
        </w:rPr>
      </w:pPr>
      <w:r w:rsidRPr="00D72C5D">
        <w:rPr>
          <w:rFonts w:ascii="Verdana" w:hAnsi="Verdana"/>
          <w:sz w:val="18"/>
        </w:rPr>
        <w:t>las autoridades se abstengan de obstruir el proceso investigativo.</w:t>
      </w:r>
    </w:p>
    <w:p w14:paraId="4C5E58B7" w14:textId="1FC57840" w:rsidR="00443ABA" w:rsidRPr="00D72C5D" w:rsidRDefault="00443ABA" w:rsidP="00D72C5D">
      <w:pPr>
        <w:pStyle w:val="ColorfulList-Accent11"/>
        <w:numPr>
          <w:ilvl w:val="0"/>
          <w:numId w:val="5"/>
        </w:numPr>
        <w:ind w:left="1097" w:right="454"/>
        <w:contextualSpacing w:val="0"/>
        <w:jc w:val="both"/>
        <w:rPr>
          <w:rFonts w:ascii="Verdana" w:hAnsi="Verdana"/>
          <w:sz w:val="18"/>
          <w:lang w:val="es-CO"/>
        </w:rPr>
      </w:pPr>
      <w:r w:rsidRPr="00D72C5D">
        <w:rPr>
          <w:rFonts w:ascii="Verdana" w:hAnsi="Verdana"/>
          <w:sz w:val="18"/>
        </w:rPr>
        <w:t>asegurar el pleno acceso y capacidad de actuar de las víctimas y sus familiares en todas las etapas de estas investigaciones, de acuerdo con la ley interna y las normas de la Convención Americana, y</w:t>
      </w:r>
    </w:p>
    <w:p w14:paraId="7CAA3BBC" w14:textId="15350816" w:rsidR="00193AD3" w:rsidRPr="00D72C5D" w:rsidRDefault="00443ABA" w:rsidP="00D72C5D">
      <w:pPr>
        <w:pStyle w:val="ColorfulList-Accent11"/>
        <w:numPr>
          <w:ilvl w:val="0"/>
          <w:numId w:val="5"/>
        </w:numPr>
        <w:ind w:left="1097" w:right="454"/>
        <w:contextualSpacing w:val="0"/>
        <w:jc w:val="both"/>
        <w:rPr>
          <w:rFonts w:ascii="Verdana" w:hAnsi="Verdana"/>
          <w:sz w:val="18"/>
          <w:lang w:val="es-CO"/>
        </w:rPr>
      </w:pPr>
      <w:r w:rsidRPr="00D72C5D">
        <w:rPr>
          <w:rFonts w:ascii="Verdana" w:hAnsi="Verdana"/>
          <w:sz w:val="18"/>
        </w:rPr>
        <w:t>garantizar que las investigaciones y procesos por los hechos del presente caso se mantengan, en todo momento, bajo conocimiento de la jurisdicción ordinaria.</w:t>
      </w:r>
    </w:p>
    <w:p w14:paraId="2E83DFFA" w14:textId="77777777" w:rsidR="005505AB" w:rsidRPr="005505AB" w:rsidRDefault="005505AB" w:rsidP="005505AB">
      <w:pPr>
        <w:pStyle w:val="ColorfulList-Accent11"/>
        <w:spacing w:before="120" w:after="120"/>
        <w:contextualSpacing w:val="0"/>
        <w:jc w:val="both"/>
        <w:rPr>
          <w:rFonts w:ascii="Verdana" w:hAnsi="Verdana"/>
          <w:sz w:val="20"/>
          <w:lang w:val="es-CO"/>
        </w:rPr>
      </w:pPr>
    </w:p>
    <w:p w14:paraId="20C780BE" w14:textId="0D09FF36" w:rsidR="009B300F" w:rsidRPr="005E60F6" w:rsidRDefault="00571F26" w:rsidP="005E60F6">
      <w:pPr>
        <w:pStyle w:val="ColorfulList-Accent11"/>
        <w:spacing w:before="120" w:after="120"/>
        <w:ind w:left="0" w:firstLine="720"/>
        <w:contextualSpacing w:val="0"/>
        <w:jc w:val="both"/>
        <w:rPr>
          <w:rFonts w:ascii="Verdana" w:hAnsi="Verdana"/>
          <w:i/>
          <w:sz w:val="20"/>
          <w:lang w:val="es-CO"/>
        </w:rPr>
      </w:pPr>
      <w:r w:rsidRPr="00571F26">
        <w:rPr>
          <w:rFonts w:ascii="Verdana" w:hAnsi="Verdana"/>
          <w:i/>
          <w:sz w:val="20"/>
          <w:lang w:val="es-CO"/>
        </w:rPr>
        <w:t>A</w:t>
      </w:r>
      <w:r w:rsidR="00C93BB5" w:rsidRPr="00571F26">
        <w:rPr>
          <w:rFonts w:ascii="Verdana" w:hAnsi="Verdana"/>
          <w:i/>
          <w:sz w:val="20"/>
          <w:lang w:val="es-CO"/>
        </w:rPr>
        <w:t>.</w:t>
      </w:r>
      <w:r w:rsidRPr="00571F26">
        <w:rPr>
          <w:rFonts w:ascii="Verdana" w:hAnsi="Verdana"/>
          <w:i/>
          <w:sz w:val="20"/>
          <w:lang w:val="es-CO"/>
        </w:rPr>
        <w:t>2</w:t>
      </w:r>
      <w:r w:rsidR="001F116F">
        <w:rPr>
          <w:rFonts w:ascii="Verdana" w:hAnsi="Verdana"/>
          <w:i/>
          <w:sz w:val="20"/>
          <w:lang w:val="es-CO"/>
        </w:rPr>
        <w:t>.</w:t>
      </w:r>
      <w:r w:rsidR="00C93BB5" w:rsidRPr="00571F26">
        <w:rPr>
          <w:rFonts w:ascii="Verdana" w:hAnsi="Verdana"/>
          <w:i/>
          <w:sz w:val="20"/>
          <w:lang w:val="es-CO"/>
        </w:rPr>
        <w:t xml:space="preserve"> </w:t>
      </w:r>
      <w:bookmarkStart w:id="2" w:name="_Ref58529931"/>
      <w:r w:rsidR="00284688">
        <w:rPr>
          <w:rFonts w:ascii="Verdana" w:hAnsi="Verdana"/>
          <w:i/>
          <w:sz w:val="20"/>
          <w:lang w:val="es-CO"/>
        </w:rPr>
        <w:t>Información y obse</w:t>
      </w:r>
      <w:r w:rsidR="00C70116">
        <w:rPr>
          <w:rFonts w:ascii="Verdana" w:hAnsi="Verdana"/>
          <w:i/>
          <w:sz w:val="20"/>
          <w:lang w:val="es-CO"/>
        </w:rPr>
        <w:t>rvaciones de las partes</w:t>
      </w:r>
    </w:p>
    <w:bookmarkEnd w:id="2"/>
    <w:p w14:paraId="0BBAABBF" w14:textId="1455831A" w:rsidR="00A22E89" w:rsidRPr="00953DD3" w:rsidRDefault="00193AD3" w:rsidP="00955635">
      <w:pPr>
        <w:pStyle w:val="ColorfulList-Accent11"/>
        <w:numPr>
          <w:ilvl w:val="0"/>
          <w:numId w:val="3"/>
        </w:numPr>
        <w:spacing w:before="120" w:after="120"/>
        <w:ind w:left="0" w:firstLine="0"/>
        <w:contextualSpacing w:val="0"/>
        <w:jc w:val="both"/>
        <w:rPr>
          <w:rFonts w:ascii="Verdana" w:hAnsi="Verdana"/>
          <w:sz w:val="20"/>
          <w:lang w:val="es-CO"/>
        </w:rPr>
      </w:pPr>
      <w:r>
        <w:rPr>
          <w:rFonts w:ascii="Verdana" w:hAnsi="Verdana"/>
          <w:sz w:val="20"/>
          <w:lang w:val="es-CO"/>
        </w:rPr>
        <w:t>En su informe de 16 de septiembre de 2019, el Estado sostuvo que</w:t>
      </w:r>
      <w:r w:rsidR="00107959">
        <w:rPr>
          <w:rFonts w:ascii="Verdana" w:hAnsi="Verdana"/>
          <w:sz w:val="20"/>
          <w:lang w:val="es-CO"/>
        </w:rPr>
        <w:t>, s</w:t>
      </w:r>
      <w:r>
        <w:rPr>
          <w:rFonts w:ascii="Verdana" w:hAnsi="Verdana"/>
          <w:sz w:val="20"/>
          <w:lang w:val="es-CO"/>
        </w:rPr>
        <w:t>egún el Código Penal Militar Brasileño,</w:t>
      </w:r>
      <w:r w:rsidR="00503A0C">
        <w:rPr>
          <w:rFonts w:ascii="Verdana" w:hAnsi="Verdana"/>
          <w:sz w:val="20"/>
          <w:lang w:val="es-CO"/>
        </w:rPr>
        <w:t xml:space="preserve"> los delitos dolosos contra la vida cometidos por</w:t>
      </w:r>
      <w:r>
        <w:rPr>
          <w:rFonts w:ascii="Verdana" w:hAnsi="Verdana"/>
          <w:sz w:val="20"/>
          <w:lang w:val="es-CO"/>
        </w:rPr>
        <w:t xml:space="preserve"> “</w:t>
      </w:r>
      <w:r w:rsidRPr="00193AD3">
        <w:rPr>
          <w:rFonts w:ascii="Verdana" w:hAnsi="Verdana"/>
          <w:sz w:val="20"/>
          <w:lang w:val="es-CO"/>
        </w:rPr>
        <w:t xml:space="preserve">personal militar de las Fuerzas Armadas en </w:t>
      </w:r>
      <w:r w:rsidR="0087170A">
        <w:rPr>
          <w:rFonts w:ascii="Verdana" w:hAnsi="Verdana"/>
          <w:sz w:val="20"/>
          <w:lang w:val="es-CO"/>
        </w:rPr>
        <w:t xml:space="preserve">situación de </w:t>
      </w:r>
      <w:r w:rsidRPr="00193AD3">
        <w:rPr>
          <w:rFonts w:ascii="Verdana" w:hAnsi="Verdana"/>
          <w:sz w:val="20"/>
          <w:lang w:val="es-CO"/>
        </w:rPr>
        <w:t xml:space="preserve">actividad o </w:t>
      </w:r>
      <w:r w:rsidR="0087170A">
        <w:rPr>
          <w:rFonts w:ascii="Verdana" w:hAnsi="Verdana"/>
          <w:sz w:val="20"/>
          <w:lang w:val="es-CO"/>
        </w:rPr>
        <w:t>semejante</w:t>
      </w:r>
      <w:r w:rsidRPr="00193AD3">
        <w:rPr>
          <w:rFonts w:ascii="Verdana" w:hAnsi="Verdana"/>
          <w:sz w:val="20"/>
          <w:lang w:val="es-CO"/>
        </w:rPr>
        <w:t>, en un lugar sometido a</w:t>
      </w:r>
      <w:r w:rsidR="0087170A">
        <w:rPr>
          <w:rFonts w:ascii="Verdana" w:hAnsi="Verdana"/>
          <w:sz w:val="20"/>
          <w:lang w:val="es-CO"/>
        </w:rPr>
        <w:t xml:space="preserve"> la</w:t>
      </w:r>
      <w:r w:rsidRPr="00193AD3">
        <w:rPr>
          <w:rFonts w:ascii="Verdana" w:hAnsi="Verdana"/>
          <w:sz w:val="20"/>
          <w:lang w:val="es-CO"/>
        </w:rPr>
        <w:t xml:space="preserve"> </w:t>
      </w:r>
      <w:r w:rsidR="0087170A" w:rsidRPr="00CD6575">
        <w:rPr>
          <w:rFonts w:ascii="Verdana" w:hAnsi="Verdana"/>
          <w:sz w:val="20"/>
          <w:lang w:val="es-CO"/>
        </w:rPr>
        <w:t>jurisdicción</w:t>
      </w:r>
      <w:r w:rsidRPr="00193AD3">
        <w:rPr>
          <w:rFonts w:ascii="Verdana" w:hAnsi="Verdana"/>
          <w:sz w:val="20"/>
          <w:lang w:val="es-CO"/>
        </w:rPr>
        <w:t xml:space="preserve"> militar, contra militares </w:t>
      </w:r>
      <w:r w:rsidR="00503A0C">
        <w:rPr>
          <w:rFonts w:ascii="Verdana" w:hAnsi="Verdana"/>
          <w:sz w:val="20"/>
          <w:lang w:val="es-CO"/>
        </w:rPr>
        <w:t>en</w:t>
      </w:r>
      <w:r w:rsidR="00503A0C" w:rsidRPr="00193AD3">
        <w:rPr>
          <w:rFonts w:ascii="Verdana" w:hAnsi="Verdana"/>
          <w:sz w:val="20"/>
          <w:lang w:val="es-CO"/>
        </w:rPr>
        <w:t xml:space="preserve"> </w:t>
      </w:r>
      <w:r w:rsidRPr="00193AD3">
        <w:rPr>
          <w:rFonts w:ascii="Verdana" w:hAnsi="Verdana"/>
          <w:sz w:val="20"/>
          <w:lang w:val="es-CO"/>
        </w:rPr>
        <w:t xml:space="preserve">reserva, o retirados, o similares, o civiles, como en el caso </w:t>
      </w:r>
      <w:r w:rsidR="00503A0C">
        <w:rPr>
          <w:rFonts w:ascii="Verdana" w:hAnsi="Verdana"/>
          <w:sz w:val="20"/>
          <w:lang w:val="es-CO"/>
        </w:rPr>
        <w:t>en cuestión”</w:t>
      </w:r>
      <w:r w:rsidRPr="00193AD3">
        <w:rPr>
          <w:rFonts w:ascii="Verdana" w:hAnsi="Verdana"/>
          <w:sz w:val="20"/>
          <w:lang w:val="es-CO"/>
        </w:rPr>
        <w:t>,</w:t>
      </w:r>
      <w:r w:rsidR="00503A0C">
        <w:rPr>
          <w:rFonts w:ascii="Verdana" w:hAnsi="Verdana"/>
          <w:sz w:val="20"/>
          <w:lang w:val="es-CO"/>
        </w:rPr>
        <w:t xml:space="preserve"> son</w:t>
      </w:r>
      <w:r w:rsidR="00107959">
        <w:rPr>
          <w:rFonts w:ascii="Verdana" w:hAnsi="Verdana"/>
          <w:sz w:val="20"/>
          <w:lang w:val="es-CO"/>
        </w:rPr>
        <w:t xml:space="preserve"> </w:t>
      </w:r>
      <w:r w:rsidR="00503A0C">
        <w:rPr>
          <w:rFonts w:ascii="Verdana" w:hAnsi="Verdana"/>
          <w:sz w:val="20"/>
          <w:lang w:val="es-CO"/>
        </w:rPr>
        <w:t>“competencia</w:t>
      </w:r>
      <w:r w:rsidR="00503A0C" w:rsidRPr="00193AD3">
        <w:rPr>
          <w:rFonts w:ascii="Verdana" w:hAnsi="Verdana"/>
          <w:sz w:val="20"/>
          <w:lang w:val="es-CO"/>
        </w:rPr>
        <w:t xml:space="preserve"> </w:t>
      </w:r>
      <w:r w:rsidRPr="00193AD3">
        <w:rPr>
          <w:rFonts w:ascii="Verdana" w:hAnsi="Verdana"/>
          <w:sz w:val="20"/>
          <w:lang w:val="es-CO"/>
        </w:rPr>
        <w:t>de</w:t>
      </w:r>
      <w:r w:rsidR="0087170A">
        <w:rPr>
          <w:rFonts w:ascii="Verdana" w:hAnsi="Verdana"/>
          <w:sz w:val="20"/>
          <w:lang w:val="es-CO"/>
        </w:rPr>
        <w:t xml:space="preserve"> </w:t>
      </w:r>
      <w:r w:rsidRPr="00193AD3">
        <w:rPr>
          <w:rFonts w:ascii="Verdana" w:hAnsi="Verdana"/>
          <w:sz w:val="20"/>
          <w:lang w:val="es-CO"/>
        </w:rPr>
        <w:t>l</w:t>
      </w:r>
      <w:r w:rsidR="0087170A">
        <w:rPr>
          <w:rFonts w:ascii="Verdana" w:hAnsi="Verdana"/>
          <w:sz w:val="20"/>
          <w:lang w:val="es-CO"/>
        </w:rPr>
        <w:t>a</w:t>
      </w:r>
      <w:r w:rsidRPr="00193AD3">
        <w:rPr>
          <w:rFonts w:ascii="Verdana" w:hAnsi="Verdana"/>
          <w:sz w:val="20"/>
          <w:lang w:val="es-CO"/>
        </w:rPr>
        <w:t xml:space="preserve"> Justicia Militar</w:t>
      </w:r>
      <w:r>
        <w:rPr>
          <w:rFonts w:ascii="Verdana" w:hAnsi="Verdana"/>
          <w:sz w:val="20"/>
          <w:lang w:val="es-CO"/>
        </w:rPr>
        <w:t>”</w:t>
      </w:r>
      <w:r w:rsidR="00AB53AD">
        <w:rPr>
          <w:rFonts w:ascii="Verdana" w:hAnsi="Verdana"/>
          <w:sz w:val="20"/>
          <w:lang w:val="es-CO"/>
        </w:rPr>
        <w:t xml:space="preserve">, por lo que remitió las actuaciones </w:t>
      </w:r>
      <w:r w:rsidR="00107959">
        <w:rPr>
          <w:rFonts w:ascii="Verdana" w:hAnsi="Verdana"/>
          <w:sz w:val="20"/>
          <w:lang w:val="es-CO"/>
        </w:rPr>
        <w:t>al Ministerio Público Militar</w:t>
      </w:r>
      <w:r w:rsidR="00AB53AD">
        <w:rPr>
          <w:rFonts w:ascii="Verdana" w:hAnsi="Verdana"/>
          <w:sz w:val="20"/>
          <w:lang w:val="es-CO"/>
        </w:rPr>
        <w:t xml:space="preserve">. El 20 de diciembre de 2018, dicho órgano concluyó: (i) que la Justicia Militar era competente para entender en este caso pese a “la </w:t>
      </w:r>
      <w:r w:rsidR="009A727A">
        <w:rPr>
          <w:rFonts w:ascii="Verdana" w:hAnsi="Verdana"/>
          <w:sz w:val="20"/>
          <w:lang w:val="es-CO"/>
        </w:rPr>
        <w:t>‘</w:t>
      </w:r>
      <w:r w:rsidR="00CD6575">
        <w:rPr>
          <w:rFonts w:ascii="Verdana" w:hAnsi="Verdana"/>
          <w:sz w:val="20"/>
          <w:lang w:val="es-CO"/>
        </w:rPr>
        <w:t>excepción</w:t>
      </w:r>
      <w:r w:rsidR="009A727A">
        <w:rPr>
          <w:rFonts w:ascii="Verdana" w:hAnsi="Verdana"/>
          <w:sz w:val="20"/>
          <w:lang w:val="es-CO"/>
        </w:rPr>
        <w:t>’</w:t>
      </w:r>
      <w:r w:rsidR="00CD6575">
        <w:rPr>
          <w:rFonts w:ascii="Verdana" w:hAnsi="Verdana"/>
          <w:sz w:val="20"/>
          <w:lang w:val="es-CO"/>
        </w:rPr>
        <w:t xml:space="preserve"> (</w:t>
      </w:r>
      <w:proofErr w:type="spellStart"/>
      <w:r w:rsidR="00AB53AD" w:rsidRPr="00CD6575">
        <w:rPr>
          <w:rFonts w:ascii="Verdana" w:hAnsi="Verdana"/>
          <w:i/>
          <w:sz w:val="20"/>
          <w:lang w:val="es-CO"/>
        </w:rPr>
        <w:t>ressalva</w:t>
      </w:r>
      <w:proofErr w:type="spellEnd"/>
      <w:r w:rsidR="00CD6575">
        <w:rPr>
          <w:rFonts w:ascii="Verdana" w:hAnsi="Verdana"/>
          <w:sz w:val="20"/>
          <w:lang w:val="es-CO"/>
        </w:rPr>
        <w:t>)</w:t>
      </w:r>
      <w:r w:rsidR="00AB53AD">
        <w:rPr>
          <w:rFonts w:ascii="Verdana" w:hAnsi="Verdana"/>
          <w:sz w:val="20"/>
          <w:lang w:val="es-CO"/>
        </w:rPr>
        <w:t xml:space="preserve">” </w:t>
      </w:r>
      <w:r w:rsidR="00AB53AD">
        <w:rPr>
          <w:rFonts w:ascii="Verdana" w:hAnsi="Verdana"/>
          <w:sz w:val="20"/>
          <w:lang w:val="es-CO"/>
        </w:rPr>
        <w:lastRenderedPageBreak/>
        <w:t>del inciso “e” del párrafo 372 de la Sentencia, la cual “deriva de una visión distorsionada de lo que de hecho representa la Justicia Militar brasileña y de la falta de consideración de que el contexto en el que fueron practicados los crímenes en la época en que ocurrieron los hechos no subsiste más en el ámbito de las Fuerzas Armadas, en la Justicia castrense y en el Ministerio Público Militar”</w:t>
      </w:r>
      <w:r w:rsidR="00AB53AD">
        <w:rPr>
          <w:rStyle w:val="Refdenotaalpie"/>
          <w:rFonts w:ascii="Verdana" w:hAnsi="Verdana"/>
          <w:sz w:val="20"/>
          <w:lang w:val="es-CO"/>
        </w:rPr>
        <w:footnoteReference w:id="7"/>
      </w:r>
      <w:r w:rsidR="00CB0150">
        <w:rPr>
          <w:rFonts w:ascii="Verdana" w:hAnsi="Verdana"/>
          <w:sz w:val="20"/>
          <w:lang w:val="es-CO"/>
        </w:rPr>
        <w:t>; y (</w:t>
      </w:r>
      <w:proofErr w:type="spellStart"/>
      <w:r w:rsidR="00CB0150">
        <w:rPr>
          <w:rFonts w:ascii="Verdana" w:hAnsi="Verdana"/>
          <w:sz w:val="20"/>
          <w:lang w:val="es-CO"/>
        </w:rPr>
        <w:t>ii</w:t>
      </w:r>
      <w:proofErr w:type="spellEnd"/>
      <w:r w:rsidR="00CB0150">
        <w:rPr>
          <w:rFonts w:ascii="Verdana" w:hAnsi="Verdana"/>
          <w:sz w:val="20"/>
          <w:lang w:val="es-CO"/>
        </w:rPr>
        <w:t>) que “la responsabilización penal de los agentes involucrados encuentra dos obstáculos insuperables […]: los institutos de la amnistía penal […] y de la prescripción”</w:t>
      </w:r>
      <w:r w:rsidR="00550CF0">
        <w:rPr>
          <w:rFonts w:ascii="Verdana" w:hAnsi="Verdana"/>
          <w:sz w:val="20"/>
          <w:lang w:val="es-CO"/>
        </w:rPr>
        <w:t>,</w:t>
      </w:r>
      <w:r w:rsidR="00CB0150">
        <w:rPr>
          <w:rFonts w:ascii="Verdana" w:hAnsi="Verdana"/>
          <w:sz w:val="20"/>
          <w:lang w:val="es-CO"/>
        </w:rPr>
        <w:t xml:space="preserve"> </w:t>
      </w:r>
      <w:r w:rsidR="00550CF0">
        <w:rPr>
          <w:rFonts w:ascii="Verdana" w:hAnsi="Verdana"/>
          <w:sz w:val="20"/>
          <w:lang w:val="es-CO"/>
        </w:rPr>
        <w:t>resultando “jurídicamente imposible” dar cumplimiento a la presente medida de reparación, “</w:t>
      </w:r>
      <w:r w:rsidR="000A6256" w:rsidRPr="000A6256">
        <w:rPr>
          <w:rFonts w:ascii="Verdana" w:hAnsi="Verdana"/>
          <w:sz w:val="20"/>
          <w:lang w:val="es-CO"/>
        </w:rPr>
        <w:t xml:space="preserve">so pena de abrir un peligroso precedente </w:t>
      </w:r>
      <w:r w:rsidR="00B90FBC" w:rsidRPr="00B90FBC">
        <w:rPr>
          <w:rFonts w:ascii="Verdana" w:hAnsi="Verdana"/>
          <w:sz w:val="20"/>
          <w:lang w:val="es-CO"/>
        </w:rPr>
        <w:t>contrario a</w:t>
      </w:r>
      <w:r w:rsidR="000A6256" w:rsidRPr="00B90FBC">
        <w:rPr>
          <w:rFonts w:ascii="Verdana" w:hAnsi="Verdana"/>
          <w:sz w:val="20"/>
          <w:lang w:val="es-CO"/>
        </w:rPr>
        <w:t xml:space="preserve"> las garantías penales (amnistía, prescripción y </w:t>
      </w:r>
      <w:r w:rsidR="00550CF0" w:rsidRPr="00B90FBC">
        <w:rPr>
          <w:rFonts w:ascii="Verdana" w:hAnsi="Verdana"/>
          <w:sz w:val="20"/>
          <w:lang w:val="es-CO"/>
        </w:rPr>
        <w:t>ley penal anterior</w:t>
      </w:r>
      <w:r w:rsidR="000A6256" w:rsidRPr="00B90FBC">
        <w:rPr>
          <w:rFonts w:ascii="Verdana" w:hAnsi="Verdana"/>
          <w:sz w:val="20"/>
          <w:lang w:val="es-CO"/>
        </w:rPr>
        <w:t>)</w:t>
      </w:r>
      <w:r w:rsidR="00107959" w:rsidRPr="00B90FBC">
        <w:rPr>
          <w:rFonts w:ascii="Verdana" w:hAnsi="Verdana"/>
          <w:sz w:val="20"/>
          <w:lang w:val="es-CO"/>
        </w:rPr>
        <w:t xml:space="preserve">, sin las cuales </w:t>
      </w:r>
      <w:r w:rsidR="00107959">
        <w:rPr>
          <w:rFonts w:ascii="Verdana" w:hAnsi="Verdana"/>
          <w:sz w:val="20"/>
          <w:lang w:val="es-CO"/>
        </w:rPr>
        <w:t>no subsiste el Estado Democrático de Derecho</w:t>
      </w:r>
      <w:r w:rsidR="000A6256">
        <w:rPr>
          <w:rFonts w:ascii="Verdana" w:hAnsi="Verdana"/>
          <w:sz w:val="20"/>
          <w:lang w:val="es-CO"/>
        </w:rPr>
        <w:t>”</w:t>
      </w:r>
      <w:r w:rsidR="00ED6E55">
        <w:rPr>
          <w:rStyle w:val="Refdenotaalpie"/>
          <w:rFonts w:ascii="Verdana" w:hAnsi="Verdana"/>
          <w:sz w:val="20"/>
          <w:lang w:val="es-CO"/>
        </w:rPr>
        <w:footnoteReference w:id="8"/>
      </w:r>
      <w:r w:rsidR="000A6256">
        <w:rPr>
          <w:rFonts w:ascii="Verdana" w:hAnsi="Verdana"/>
          <w:sz w:val="20"/>
          <w:lang w:val="es-CO"/>
        </w:rPr>
        <w:t>.</w:t>
      </w:r>
      <w:r w:rsidR="005505AB">
        <w:rPr>
          <w:rFonts w:ascii="Verdana" w:hAnsi="Verdana"/>
          <w:sz w:val="20"/>
          <w:lang w:val="es-CO"/>
        </w:rPr>
        <w:t xml:space="preserve"> </w:t>
      </w:r>
      <w:r w:rsidR="00C10501">
        <w:rPr>
          <w:rFonts w:ascii="Verdana" w:hAnsi="Verdana"/>
          <w:sz w:val="20"/>
          <w:lang w:val="es-CO"/>
        </w:rPr>
        <w:t>En su informe a esta Corte, Brasil concluyó que resultaba “</w:t>
      </w:r>
      <w:proofErr w:type="spellStart"/>
      <w:r w:rsidR="00C10501">
        <w:rPr>
          <w:rFonts w:ascii="Verdana" w:hAnsi="Verdana"/>
          <w:sz w:val="20"/>
        </w:rPr>
        <w:t>imposib</w:t>
      </w:r>
      <w:proofErr w:type="spellEnd"/>
      <w:r w:rsidR="00C10501">
        <w:rPr>
          <w:rFonts w:ascii="Verdana" w:hAnsi="Verdana"/>
          <w:sz w:val="20"/>
        </w:rPr>
        <w:t>[le] […]</w:t>
      </w:r>
      <w:r w:rsidR="00C10501" w:rsidRPr="00193AD3">
        <w:rPr>
          <w:rFonts w:ascii="Verdana" w:hAnsi="Verdana"/>
          <w:sz w:val="20"/>
          <w:lang w:val="es-CO"/>
        </w:rPr>
        <w:t xml:space="preserve"> reiniciar la investigación y el proceso penal correspondi</w:t>
      </w:r>
      <w:r w:rsidR="00C10501">
        <w:rPr>
          <w:rFonts w:ascii="Verdana" w:hAnsi="Verdana"/>
          <w:sz w:val="20"/>
          <w:lang w:val="es-CO"/>
        </w:rPr>
        <w:t>ente, por los hechos ocurridos el</w:t>
      </w:r>
      <w:r w:rsidR="00C10501" w:rsidRPr="00193AD3">
        <w:rPr>
          <w:rFonts w:ascii="Verdana" w:hAnsi="Verdana"/>
          <w:sz w:val="20"/>
          <w:lang w:val="es-CO"/>
        </w:rPr>
        <w:t xml:space="preserve"> 25 de</w:t>
      </w:r>
      <w:r w:rsidR="00C10501">
        <w:rPr>
          <w:rFonts w:ascii="Verdana" w:hAnsi="Verdana"/>
          <w:sz w:val="20"/>
          <w:lang w:val="es-CO"/>
        </w:rPr>
        <w:t xml:space="preserve"> </w:t>
      </w:r>
      <w:proofErr w:type="gramStart"/>
      <w:r w:rsidR="00C10501" w:rsidRPr="00193AD3">
        <w:rPr>
          <w:rFonts w:ascii="Verdana" w:hAnsi="Verdana"/>
          <w:sz w:val="20"/>
          <w:lang w:val="es-CO"/>
        </w:rPr>
        <w:t>Octubre</w:t>
      </w:r>
      <w:proofErr w:type="gramEnd"/>
      <w:r w:rsidR="00C10501" w:rsidRPr="00193AD3">
        <w:rPr>
          <w:rFonts w:ascii="Verdana" w:hAnsi="Verdana"/>
          <w:sz w:val="20"/>
          <w:lang w:val="es-CO"/>
        </w:rPr>
        <w:t xml:space="preserve"> de 1975</w:t>
      </w:r>
      <w:r w:rsidR="00C10501">
        <w:rPr>
          <w:rFonts w:ascii="Verdana" w:hAnsi="Verdana"/>
          <w:sz w:val="20"/>
          <w:lang w:val="es-CO"/>
        </w:rPr>
        <w:t xml:space="preserve">” debido a </w:t>
      </w:r>
      <w:r w:rsidR="00953DD3">
        <w:rPr>
          <w:rFonts w:ascii="Verdana" w:hAnsi="Verdana"/>
          <w:sz w:val="20"/>
          <w:lang w:val="es-CO"/>
        </w:rPr>
        <w:t>que</w:t>
      </w:r>
      <w:r w:rsidR="000C45B2">
        <w:rPr>
          <w:rFonts w:ascii="Verdana" w:hAnsi="Verdana"/>
          <w:sz w:val="20"/>
          <w:lang w:val="es-CO"/>
        </w:rPr>
        <w:t>, en virtud de</w:t>
      </w:r>
      <w:r w:rsidR="00953DD3">
        <w:rPr>
          <w:rFonts w:ascii="Verdana" w:hAnsi="Verdana"/>
          <w:sz w:val="20"/>
          <w:lang w:val="es-CO"/>
        </w:rPr>
        <w:t xml:space="preserve"> </w:t>
      </w:r>
      <w:r w:rsidR="00107959">
        <w:rPr>
          <w:rFonts w:ascii="Verdana" w:hAnsi="Verdana"/>
          <w:sz w:val="20"/>
          <w:lang w:val="es-CO"/>
        </w:rPr>
        <w:t>“</w:t>
      </w:r>
      <w:r w:rsidR="00107959" w:rsidRPr="00193AD3">
        <w:rPr>
          <w:rFonts w:ascii="Verdana" w:hAnsi="Verdana"/>
          <w:sz w:val="20"/>
          <w:lang w:val="es-CO"/>
        </w:rPr>
        <w:t>la autonomía funcional y la independencia absoluta del Ministerio Público, el Poder Ejecutivo no tiene la autoridad o competencia para solicitar, determinar u ordenar</w:t>
      </w:r>
      <w:r w:rsidR="00107959">
        <w:rPr>
          <w:rFonts w:ascii="Verdana" w:hAnsi="Verdana"/>
          <w:sz w:val="20"/>
          <w:lang w:val="es-CO"/>
        </w:rPr>
        <w:t>[le] […]</w:t>
      </w:r>
      <w:r w:rsidR="00107959" w:rsidRPr="00193AD3">
        <w:rPr>
          <w:rFonts w:ascii="Verdana" w:hAnsi="Verdana"/>
          <w:sz w:val="20"/>
          <w:lang w:val="es-CO"/>
        </w:rPr>
        <w:t xml:space="preserve"> que promueva o reabra cualquier investigación o proceso </w:t>
      </w:r>
      <w:r w:rsidR="00E93A0A">
        <w:rPr>
          <w:rFonts w:ascii="Verdana" w:hAnsi="Verdana"/>
          <w:sz w:val="20"/>
          <w:lang w:val="es-CO"/>
        </w:rPr>
        <w:t>criminal</w:t>
      </w:r>
      <w:r w:rsidR="00107959">
        <w:rPr>
          <w:rFonts w:ascii="Verdana" w:hAnsi="Verdana"/>
          <w:sz w:val="20"/>
          <w:lang w:val="es-CO"/>
        </w:rPr>
        <w:t>”</w:t>
      </w:r>
      <w:r w:rsidR="00953DD3">
        <w:rPr>
          <w:rFonts w:ascii="Verdana" w:hAnsi="Verdana"/>
          <w:sz w:val="20"/>
          <w:lang w:val="es-CO"/>
        </w:rPr>
        <w:t xml:space="preserve">. </w:t>
      </w:r>
    </w:p>
    <w:p w14:paraId="7BF5906D" w14:textId="3C36AF31" w:rsidR="00284688" w:rsidRPr="00284688" w:rsidRDefault="009003FA" w:rsidP="008F71C0">
      <w:pPr>
        <w:pStyle w:val="ColorfulList-Accent11"/>
        <w:numPr>
          <w:ilvl w:val="0"/>
          <w:numId w:val="3"/>
        </w:numPr>
        <w:spacing w:before="120" w:after="120"/>
        <w:ind w:left="0" w:firstLine="0"/>
        <w:contextualSpacing w:val="0"/>
        <w:jc w:val="both"/>
        <w:rPr>
          <w:rFonts w:ascii="Verdana" w:hAnsi="Verdana"/>
          <w:sz w:val="20"/>
          <w:lang w:val="es-CO"/>
        </w:rPr>
      </w:pPr>
      <w:r>
        <w:rPr>
          <w:rFonts w:ascii="Verdana" w:hAnsi="Verdana"/>
          <w:sz w:val="20"/>
          <w:lang w:val="es-CO"/>
        </w:rPr>
        <w:t>Al respecto, l</w:t>
      </w:r>
      <w:r w:rsidR="00A22E89">
        <w:rPr>
          <w:rFonts w:ascii="Verdana" w:hAnsi="Verdana"/>
          <w:sz w:val="20"/>
          <w:lang w:val="es-CO"/>
        </w:rPr>
        <w:t xml:space="preserve">os representantes </w:t>
      </w:r>
      <w:r w:rsidR="006501DD">
        <w:rPr>
          <w:rFonts w:ascii="Verdana" w:hAnsi="Verdana"/>
          <w:sz w:val="20"/>
          <w:lang w:val="es-CO"/>
        </w:rPr>
        <w:t>señalaron que “según los parámetros establecidos por la propia Corte […] en la sentencia […], no sería posible concebir la competencia de la Justicia Militar para la investigación y juzgamiento de los hechos que e</w:t>
      </w:r>
      <w:r w:rsidR="003326CC">
        <w:rPr>
          <w:rFonts w:ascii="Verdana" w:hAnsi="Verdana"/>
          <w:sz w:val="20"/>
          <w:lang w:val="es-CO"/>
        </w:rPr>
        <w:t>n</w:t>
      </w:r>
      <w:r w:rsidR="006501DD">
        <w:rPr>
          <w:rFonts w:ascii="Verdana" w:hAnsi="Verdana"/>
          <w:sz w:val="20"/>
          <w:lang w:val="es-CO"/>
        </w:rPr>
        <w:t xml:space="preserve">vuelven la muerte de Vladimir Herzog”. </w:t>
      </w:r>
      <w:r w:rsidR="00550CF0">
        <w:rPr>
          <w:rFonts w:ascii="Verdana" w:hAnsi="Verdana"/>
          <w:sz w:val="20"/>
          <w:lang w:val="es-CO"/>
        </w:rPr>
        <w:t>Asimismo</w:t>
      </w:r>
      <w:r w:rsidR="00A22E89">
        <w:rPr>
          <w:rFonts w:ascii="Verdana" w:hAnsi="Verdana"/>
          <w:sz w:val="20"/>
          <w:lang w:val="es-CO"/>
        </w:rPr>
        <w:t>,</w:t>
      </w:r>
      <w:r w:rsidR="00550CF0">
        <w:rPr>
          <w:rFonts w:ascii="Verdana" w:hAnsi="Verdana"/>
          <w:sz w:val="20"/>
          <w:lang w:val="es-CO"/>
        </w:rPr>
        <w:t xml:space="preserve"> refirieron</w:t>
      </w:r>
      <w:r w:rsidR="00244655">
        <w:rPr>
          <w:rFonts w:ascii="Verdana" w:hAnsi="Verdana"/>
          <w:sz w:val="20"/>
          <w:lang w:val="es-CO"/>
        </w:rPr>
        <w:t xml:space="preserve"> que “tomar los argumentos de prescripción, de irretroactividad, de </w:t>
      </w:r>
      <w:proofErr w:type="spellStart"/>
      <w:r w:rsidR="00244655">
        <w:rPr>
          <w:rFonts w:ascii="Verdana" w:hAnsi="Verdana"/>
          <w:i/>
          <w:sz w:val="20"/>
          <w:lang w:val="es-CO"/>
        </w:rPr>
        <w:t>ne</w:t>
      </w:r>
      <w:proofErr w:type="spellEnd"/>
      <w:r w:rsidR="00244655">
        <w:rPr>
          <w:rFonts w:ascii="Verdana" w:hAnsi="Verdana"/>
          <w:i/>
          <w:sz w:val="20"/>
          <w:lang w:val="es-CO"/>
        </w:rPr>
        <w:t xml:space="preserve"> bis in ídem </w:t>
      </w:r>
      <w:r w:rsidR="00244655">
        <w:rPr>
          <w:rFonts w:ascii="Verdana" w:hAnsi="Verdana"/>
          <w:sz w:val="20"/>
          <w:lang w:val="es-CO"/>
        </w:rPr>
        <w:t>y de cosa juzgada material para esquivar el cumplimiento de una obligación internacionalmente determinada por un Tribunal de derechos humano</w:t>
      </w:r>
      <w:r w:rsidR="00550CF0">
        <w:rPr>
          <w:rFonts w:ascii="Verdana" w:hAnsi="Verdana"/>
          <w:sz w:val="20"/>
          <w:lang w:val="es-CO"/>
        </w:rPr>
        <w:t>s, siendo que los mismos argume</w:t>
      </w:r>
      <w:r w:rsidR="00244655">
        <w:rPr>
          <w:rFonts w:ascii="Verdana" w:hAnsi="Verdana"/>
          <w:sz w:val="20"/>
          <w:lang w:val="es-CO"/>
        </w:rPr>
        <w:t>n</w:t>
      </w:r>
      <w:r w:rsidR="00550CF0">
        <w:rPr>
          <w:rFonts w:ascii="Verdana" w:hAnsi="Verdana"/>
          <w:sz w:val="20"/>
          <w:lang w:val="es-CO"/>
        </w:rPr>
        <w:t>t</w:t>
      </w:r>
      <w:r w:rsidR="00244655">
        <w:rPr>
          <w:rFonts w:ascii="Verdana" w:hAnsi="Verdana"/>
          <w:sz w:val="20"/>
          <w:lang w:val="es-CO"/>
        </w:rPr>
        <w:t>os ya fueron objeto de análisis en la sentencia, denota, como mínimo, desconocimiento, por parte del Estado, tanto de la autoridad de esta […] Corte, como de sus obligaciones voluntariamente asumidas al ratificar tratados internacionales e, incluso, del propio Derecho Internacional, visto que los crímenes co</w:t>
      </w:r>
      <w:r w:rsidR="00550CF0">
        <w:rPr>
          <w:rFonts w:ascii="Verdana" w:hAnsi="Verdana"/>
          <w:sz w:val="20"/>
          <w:lang w:val="es-CO"/>
        </w:rPr>
        <w:t>m</w:t>
      </w:r>
      <w:r w:rsidR="00244655">
        <w:rPr>
          <w:rFonts w:ascii="Verdana" w:hAnsi="Verdana"/>
          <w:sz w:val="20"/>
          <w:lang w:val="es-CO"/>
        </w:rPr>
        <w:t>etidos se encuadran en el concepto de crímenes de lesa humanidad”</w:t>
      </w:r>
      <w:r w:rsidR="00244655">
        <w:rPr>
          <w:rStyle w:val="Refdenotaalpie"/>
          <w:rFonts w:ascii="Verdana" w:hAnsi="Verdana"/>
          <w:sz w:val="20"/>
          <w:lang w:val="es-CO"/>
        </w:rPr>
        <w:footnoteReference w:id="9"/>
      </w:r>
      <w:r w:rsidR="00244655">
        <w:rPr>
          <w:rFonts w:ascii="Verdana" w:hAnsi="Verdana"/>
          <w:sz w:val="20"/>
          <w:lang w:val="es-CO"/>
        </w:rPr>
        <w:t xml:space="preserve">. </w:t>
      </w:r>
      <w:r w:rsidR="002B4B82">
        <w:rPr>
          <w:rFonts w:ascii="Verdana" w:hAnsi="Verdana"/>
          <w:sz w:val="20"/>
          <w:lang w:val="es-CO"/>
        </w:rPr>
        <w:t xml:space="preserve">Por </w:t>
      </w:r>
      <w:r w:rsidR="0086608A">
        <w:rPr>
          <w:rFonts w:ascii="Verdana" w:hAnsi="Verdana"/>
          <w:sz w:val="20"/>
          <w:lang w:val="es-CO"/>
        </w:rPr>
        <w:t>ello,</w:t>
      </w:r>
      <w:r w:rsidR="002B4B82">
        <w:rPr>
          <w:rFonts w:ascii="Verdana" w:hAnsi="Verdana"/>
          <w:sz w:val="20"/>
          <w:lang w:val="es-CO"/>
        </w:rPr>
        <w:t xml:space="preserve"> “insta[ron]</w:t>
      </w:r>
      <w:r w:rsidR="002B4B82" w:rsidRPr="002B4B82">
        <w:rPr>
          <w:rFonts w:ascii="Verdana" w:hAnsi="Verdana"/>
          <w:sz w:val="20"/>
          <w:lang w:val="es-CO"/>
        </w:rPr>
        <w:t xml:space="preserve"> al Estado a cumplir efectivamente la sentencia y reiniciar ante la justicia ordinaria las investigaciones sobre los hechos</w:t>
      </w:r>
      <w:r w:rsidR="002B4B82">
        <w:rPr>
          <w:rFonts w:ascii="Verdana" w:hAnsi="Verdana"/>
          <w:sz w:val="20"/>
          <w:lang w:val="es-CO"/>
        </w:rPr>
        <w:t>”</w:t>
      </w:r>
      <w:r w:rsidR="002B4B82">
        <w:rPr>
          <w:rStyle w:val="Refdenotaalpie"/>
          <w:rFonts w:ascii="Verdana" w:hAnsi="Verdana"/>
          <w:sz w:val="20"/>
          <w:lang w:val="es-CO"/>
        </w:rPr>
        <w:footnoteReference w:id="10"/>
      </w:r>
      <w:r w:rsidR="0068079F">
        <w:rPr>
          <w:rFonts w:ascii="Verdana" w:hAnsi="Verdana"/>
          <w:sz w:val="20"/>
          <w:lang w:val="es-CO"/>
        </w:rPr>
        <w:t xml:space="preserve">. </w:t>
      </w:r>
      <w:r w:rsidR="000C45B2">
        <w:rPr>
          <w:rFonts w:ascii="Verdana" w:hAnsi="Verdana"/>
          <w:sz w:val="20"/>
          <w:lang w:val="es-CO"/>
        </w:rPr>
        <w:t xml:space="preserve">La </w:t>
      </w:r>
      <w:r w:rsidR="000C45B2">
        <w:rPr>
          <w:rFonts w:ascii="Verdana" w:hAnsi="Verdana"/>
          <w:sz w:val="20"/>
          <w:lang w:val="es-CO"/>
        </w:rPr>
        <w:lastRenderedPageBreak/>
        <w:t xml:space="preserve">Comisión no ha presentado observaciones durante esta etapa de supervisión de cumplimiento de sentencia. </w:t>
      </w:r>
    </w:p>
    <w:p w14:paraId="709785F6" w14:textId="67499F16" w:rsidR="00284688" w:rsidRPr="00284688" w:rsidRDefault="00284688" w:rsidP="00284688">
      <w:pPr>
        <w:pStyle w:val="ColorfulList-Accent11"/>
        <w:spacing w:before="120" w:after="120"/>
        <w:ind w:left="0" w:firstLine="720"/>
        <w:contextualSpacing w:val="0"/>
        <w:jc w:val="both"/>
        <w:rPr>
          <w:rFonts w:ascii="Verdana" w:hAnsi="Verdana"/>
          <w:i/>
          <w:sz w:val="20"/>
          <w:lang w:val="es-CO"/>
        </w:rPr>
      </w:pPr>
      <w:r w:rsidRPr="00571F26">
        <w:rPr>
          <w:rFonts w:ascii="Verdana" w:hAnsi="Verdana"/>
          <w:i/>
          <w:sz w:val="20"/>
          <w:lang w:val="es-CO"/>
        </w:rPr>
        <w:t>A.</w:t>
      </w:r>
      <w:r>
        <w:rPr>
          <w:rFonts w:ascii="Verdana" w:hAnsi="Verdana"/>
          <w:i/>
          <w:sz w:val="20"/>
          <w:lang w:val="es-CO"/>
        </w:rPr>
        <w:t>3.</w:t>
      </w:r>
      <w:r w:rsidRPr="00571F26">
        <w:rPr>
          <w:rFonts w:ascii="Verdana" w:hAnsi="Verdana"/>
          <w:i/>
          <w:sz w:val="20"/>
          <w:lang w:val="es-CO"/>
        </w:rPr>
        <w:t xml:space="preserve"> </w:t>
      </w:r>
      <w:r>
        <w:rPr>
          <w:rFonts w:ascii="Verdana" w:hAnsi="Verdana"/>
          <w:i/>
          <w:sz w:val="20"/>
          <w:lang w:val="es-CO"/>
        </w:rPr>
        <w:t>Consideraciones de la Corte</w:t>
      </w:r>
    </w:p>
    <w:p w14:paraId="23849D89" w14:textId="4C9BBBF8" w:rsidR="002A6849" w:rsidRPr="001A2129" w:rsidRDefault="0086608A" w:rsidP="001A2129">
      <w:pPr>
        <w:pStyle w:val="ColorfulList-Accent11"/>
        <w:numPr>
          <w:ilvl w:val="0"/>
          <w:numId w:val="3"/>
        </w:numPr>
        <w:spacing w:before="120" w:after="120"/>
        <w:ind w:left="0" w:firstLine="0"/>
        <w:contextualSpacing w:val="0"/>
        <w:jc w:val="both"/>
        <w:rPr>
          <w:rFonts w:ascii="Verdana" w:hAnsi="Verdana"/>
          <w:sz w:val="20"/>
        </w:rPr>
      </w:pPr>
      <w:r w:rsidRPr="00D72C5D">
        <w:rPr>
          <w:rFonts w:ascii="Verdana" w:hAnsi="Verdana"/>
          <w:sz w:val="20"/>
          <w:lang w:val="es-CO"/>
        </w:rPr>
        <w:t>Esta</w:t>
      </w:r>
      <w:r w:rsidR="002A6849" w:rsidRPr="002A6849">
        <w:rPr>
          <w:rFonts w:ascii="Verdana" w:hAnsi="Verdana"/>
          <w:sz w:val="20"/>
        </w:rPr>
        <w:t xml:space="preserve"> Corte observa que el Estado no ha implementado acción o avance alguno para</w:t>
      </w:r>
      <w:r w:rsidR="002A6849">
        <w:rPr>
          <w:rFonts w:ascii="Verdana" w:hAnsi="Verdana"/>
          <w:sz w:val="20"/>
        </w:rPr>
        <w:t xml:space="preserve"> cumplir con esta medida de reparación y reiniciar la investigación para superar la impunidad en que se encuentra la </w:t>
      </w:r>
      <w:r w:rsidR="003326CC">
        <w:rPr>
          <w:rFonts w:ascii="Verdana" w:hAnsi="Verdana"/>
          <w:sz w:val="20"/>
        </w:rPr>
        <w:t xml:space="preserve">tortura y </w:t>
      </w:r>
      <w:r w:rsidR="002A6849">
        <w:rPr>
          <w:rFonts w:ascii="Verdana" w:hAnsi="Verdana"/>
          <w:sz w:val="20"/>
        </w:rPr>
        <w:t xml:space="preserve">muerte de Vladimir Herzog. Por el contrario, </w:t>
      </w:r>
      <w:r>
        <w:rPr>
          <w:rFonts w:ascii="Verdana" w:hAnsi="Verdana"/>
          <w:sz w:val="20"/>
        </w:rPr>
        <w:t>se</w:t>
      </w:r>
      <w:r w:rsidR="002A6849">
        <w:rPr>
          <w:rFonts w:ascii="Verdana" w:hAnsi="Verdana"/>
          <w:sz w:val="20"/>
        </w:rPr>
        <w:t xml:space="preserve"> ha </w:t>
      </w:r>
      <w:r>
        <w:rPr>
          <w:rFonts w:ascii="Verdana" w:hAnsi="Verdana"/>
          <w:sz w:val="20"/>
        </w:rPr>
        <w:t>limitado a</w:t>
      </w:r>
      <w:r w:rsidR="000C45B2">
        <w:rPr>
          <w:rFonts w:ascii="Verdana" w:hAnsi="Verdana"/>
          <w:sz w:val="20"/>
        </w:rPr>
        <w:t xml:space="preserve"> manifestar que se encuentra en una “imposibilidad” de dar cumplimiento a esta medida de reparación</w:t>
      </w:r>
      <w:r w:rsidR="00F92577">
        <w:rPr>
          <w:rFonts w:ascii="Verdana" w:hAnsi="Verdana"/>
          <w:sz w:val="20"/>
        </w:rPr>
        <w:t xml:space="preserve"> con base en su derecho interno</w:t>
      </w:r>
      <w:r w:rsidR="000C45B2">
        <w:rPr>
          <w:rFonts w:ascii="Verdana" w:hAnsi="Verdana"/>
          <w:sz w:val="20"/>
        </w:rPr>
        <w:t xml:space="preserve">, </w:t>
      </w:r>
      <w:r w:rsidR="00B540DA" w:rsidRPr="004F506F">
        <w:rPr>
          <w:rFonts w:ascii="Verdana" w:hAnsi="Verdana"/>
          <w:sz w:val="20"/>
          <w:szCs w:val="20"/>
        </w:rPr>
        <w:t>lo cual contraviene lo dispuesto en los artículos 67 y 68 de la Convención Americana</w:t>
      </w:r>
      <w:r w:rsidR="000B5732">
        <w:rPr>
          <w:rFonts w:ascii="Verdana" w:hAnsi="Verdana"/>
          <w:sz w:val="20"/>
          <w:szCs w:val="20"/>
        </w:rPr>
        <w:t xml:space="preserve"> y </w:t>
      </w:r>
      <w:r w:rsidR="002A6849">
        <w:rPr>
          <w:rFonts w:ascii="Verdana" w:hAnsi="Verdana"/>
          <w:sz w:val="20"/>
        </w:rPr>
        <w:t xml:space="preserve">constituye una situación de desacato a lo ordenado por </w:t>
      </w:r>
      <w:r w:rsidR="008D4D3D">
        <w:rPr>
          <w:rFonts w:ascii="Verdana" w:hAnsi="Verdana"/>
          <w:sz w:val="20"/>
        </w:rPr>
        <w:t>esta</w:t>
      </w:r>
      <w:r w:rsidR="002A6849">
        <w:rPr>
          <w:rFonts w:ascii="Verdana" w:hAnsi="Verdana"/>
          <w:sz w:val="20"/>
        </w:rPr>
        <w:t xml:space="preserve"> </w:t>
      </w:r>
      <w:r w:rsidR="008D4D3D">
        <w:rPr>
          <w:rFonts w:ascii="Verdana" w:hAnsi="Verdana"/>
          <w:sz w:val="20"/>
        </w:rPr>
        <w:t>Corte</w:t>
      </w:r>
      <w:r w:rsidR="002A6849">
        <w:rPr>
          <w:rFonts w:ascii="Verdana" w:hAnsi="Verdana"/>
          <w:sz w:val="20"/>
        </w:rPr>
        <w:t xml:space="preserve"> en la Sentencia</w:t>
      </w:r>
      <w:r w:rsidR="001A2129">
        <w:rPr>
          <w:rFonts w:ascii="Verdana" w:hAnsi="Verdana"/>
          <w:sz w:val="20"/>
        </w:rPr>
        <w:t>.</w:t>
      </w:r>
      <w:r w:rsidR="001A2129" w:rsidRPr="001A2129">
        <w:rPr>
          <w:rFonts w:ascii="Verdana" w:hAnsi="Verdana"/>
          <w:sz w:val="20"/>
        </w:rPr>
        <w:t xml:space="preserve"> </w:t>
      </w:r>
    </w:p>
    <w:p w14:paraId="0C755593" w14:textId="701D71B5" w:rsidR="00C4453B" w:rsidRPr="007A501D" w:rsidRDefault="00F92577" w:rsidP="007A501D">
      <w:pPr>
        <w:pStyle w:val="ColorfulList-Accent11"/>
        <w:numPr>
          <w:ilvl w:val="0"/>
          <w:numId w:val="3"/>
        </w:numPr>
        <w:spacing w:before="120" w:after="120"/>
        <w:ind w:left="0" w:firstLine="0"/>
        <w:contextualSpacing w:val="0"/>
        <w:jc w:val="both"/>
        <w:rPr>
          <w:rFonts w:ascii="Verdana" w:hAnsi="Verdana"/>
          <w:sz w:val="20"/>
        </w:rPr>
      </w:pPr>
      <w:r>
        <w:rPr>
          <w:rFonts w:ascii="Verdana" w:hAnsi="Verdana"/>
          <w:sz w:val="20"/>
        </w:rPr>
        <w:t>En efecto</w:t>
      </w:r>
      <w:r w:rsidR="000C45B2">
        <w:rPr>
          <w:rFonts w:ascii="Verdana" w:hAnsi="Verdana"/>
          <w:sz w:val="20"/>
        </w:rPr>
        <w:t>,</w:t>
      </w:r>
      <w:r w:rsidR="008F6CFD">
        <w:rPr>
          <w:rFonts w:ascii="Verdana" w:hAnsi="Verdana"/>
          <w:sz w:val="20"/>
        </w:rPr>
        <w:t xml:space="preserve"> </w:t>
      </w:r>
      <w:r w:rsidR="008F6CFD" w:rsidRPr="008F6CFD">
        <w:rPr>
          <w:rFonts w:ascii="Verdana" w:hAnsi="Verdana"/>
          <w:sz w:val="20"/>
        </w:rPr>
        <w:t>el artículo 67 de la Convención Americana</w:t>
      </w:r>
      <w:r w:rsidR="008F6CFD">
        <w:rPr>
          <w:rFonts w:ascii="Verdana" w:hAnsi="Verdana"/>
          <w:sz w:val="20"/>
        </w:rPr>
        <w:t xml:space="preserve"> establece que </w:t>
      </w:r>
      <w:r w:rsidR="008F6CFD" w:rsidRPr="008F6CFD">
        <w:rPr>
          <w:rFonts w:ascii="Verdana" w:hAnsi="Verdana"/>
          <w:sz w:val="20"/>
        </w:rPr>
        <w:t>“[e]l fallo de la Corte será definitivo e inapelable”, el cual produce los efectos de autoridad de cosa juzgada internacional</w:t>
      </w:r>
      <w:r w:rsidR="008F6CFD">
        <w:rPr>
          <w:rStyle w:val="Refdenotaalpie"/>
          <w:rFonts w:ascii="Verdana" w:hAnsi="Verdana"/>
          <w:sz w:val="20"/>
        </w:rPr>
        <w:footnoteReference w:id="11"/>
      </w:r>
      <w:r w:rsidR="00167227">
        <w:rPr>
          <w:rFonts w:ascii="Verdana" w:hAnsi="Verdana"/>
          <w:sz w:val="20"/>
        </w:rPr>
        <w:t xml:space="preserve">. </w:t>
      </w:r>
      <w:r w:rsidR="0086608A">
        <w:rPr>
          <w:rFonts w:ascii="Verdana" w:hAnsi="Verdana"/>
          <w:sz w:val="20"/>
        </w:rPr>
        <w:t>E</w:t>
      </w:r>
      <w:r w:rsidR="00167227">
        <w:rPr>
          <w:rFonts w:ascii="Verdana" w:hAnsi="Verdana"/>
          <w:sz w:val="20"/>
        </w:rPr>
        <w:t xml:space="preserve">l </w:t>
      </w:r>
      <w:r w:rsidR="00167227" w:rsidRPr="00167227">
        <w:rPr>
          <w:rFonts w:ascii="Verdana" w:hAnsi="Verdana"/>
          <w:sz w:val="20"/>
        </w:rPr>
        <w:t>cumplimiento de lo dispuesto en la Sentencia es una obligación que no está sujeta a condiciones, ya que de conformidad con lo establecido en el artículo 68.1 de la Convención Americana, “[l]os Estados Partes en la Convención se comprometen a cumplir la decisión de la Corte en todo caso en que sean partes”.</w:t>
      </w:r>
      <w:r w:rsidR="00167227">
        <w:rPr>
          <w:rFonts w:ascii="Verdana" w:hAnsi="Verdana"/>
          <w:sz w:val="20"/>
        </w:rPr>
        <w:t xml:space="preserve"> D</w:t>
      </w:r>
      <w:r w:rsidR="0086608A">
        <w:rPr>
          <w:rFonts w:ascii="Verdana" w:hAnsi="Verdana"/>
          <w:sz w:val="20"/>
        </w:rPr>
        <w:t>ichos Estados</w:t>
      </w:r>
      <w:r w:rsidR="00167227">
        <w:rPr>
          <w:rFonts w:ascii="Verdana" w:hAnsi="Verdana"/>
          <w:sz w:val="20"/>
        </w:rPr>
        <w:t xml:space="preserve"> tienen la obligación internacional de implementar de forma pronta e íntegra lo dispuesto por el Tribunal en las Sentencias, y de no cumplirse incurriría en un ilícito internacional</w:t>
      </w:r>
      <w:r w:rsidR="00167227">
        <w:rPr>
          <w:rStyle w:val="Refdenotaalpie"/>
          <w:rFonts w:ascii="Verdana" w:hAnsi="Verdana"/>
          <w:sz w:val="20"/>
        </w:rPr>
        <w:footnoteReference w:id="12"/>
      </w:r>
      <w:r w:rsidR="0086608A" w:rsidRPr="006C6640">
        <w:rPr>
          <w:rFonts w:ascii="Verdana" w:hAnsi="Verdana" w:cs="Times-Roman"/>
          <w:sz w:val="20"/>
          <w:lang w:val="es-CR" w:bidi="en-US"/>
        </w:rPr>
        <w:t>.</w:t>
      </w:r>
      <w:r w:rsidR="007A501D">
        <w:rPr>
          <w:rFonts w:ascii="Verdana" w:hAnsi="Verdana"/>
          <w:sz w:val="20"/>
        </w:rPr>
        <w:t xml:space="preserve"> </w:t>
      </w:r>
      <w:r w:rsidR="001A2129">
        <w:rPr>
          <w:rFonts w:ascii="Verdana" w:hAnsi="Verdana"/>
          <w:sz w:val="20"/>
        </w:rPr>
        <w:t>E</w:t>
      </w:r>
      <w:r w:rsidR="001A2129" w:rsidRPr="002A6849">
        <w:rPr>
          <w:rFonts w:ascii="Verdana" w:hAnsi="Verdana"/>
          <w:sz w:val="20"/>
        </w:rPr>
        <w:t>ste Tribunal ha resaltado que la obligación de cumplir lo dispuesto en sus decisiones corresponde a un principio básico del derecho sobre la responsabilidad internacional del Estado, respaldado por la jurisprudencia internacional, según el cual los Estados deben cumplir sus obligaciones convencionales internacionales de buena fe (</w:t>
      </w:r>
      <w:r w:rsidR="001A2129" w:rsidRPr="00355D83">
        <w:rPr>
          <w:rFonts w:ascii="Verdana" w:hAnsi="Verdana"/>
          <w:i/>
          <w:sz w:val="20"/>
        </w:rPr>
        <w:t xml:space="preserve">pacta sunt </w:t>
      </w:r>
      <w:proofErr w:type="spellStart"/>
      <w:r w:rsidR="001A2129" w:rsidRPr="00355D83">
        <w:rPr>
          <w:rFonts w:ascii="Verdana" w:hAnsi="Verdana"/>
          <w:i/>
          <w:sz w:val="20"/>
        </w:rPr>
        <w:t>servanda</w:t>
      </w:r>
      <w:proofErr w:type="spellEnd"/>
      <w:r w:rsidR="001A2129">
        <w:rPr>
          <w:rFonts w:ascii="Verdana" w:hAnsi="Verdana"/>
          <w:sz w:val="20"/>
        </w:rPr>
        <w:t xml:space="preserve">), siendo un principio básico del derecho internacional que estas no pueden ser incumplidas por el Estado invocando razones de orden interno para </w:t>
      </w:r>
      <w:r w:rsidR="001A2129" w:rsidRPr="00355D83">
        <w:rPr>
          <w:rFonts w:ascii="Verdana" w:hAnsi="Verdana"/>
          <w:sz w:val="20"/>
        </w:rPr>
        <w:t xml:space="preserve">dejar de asumir </w:t>
      </w:r>
      <w:r w:rsidR="001A2129">
        <w:rPr>
          <w:rFonts w:ascii="Verdana" w:hAnsi="Verdana"/>
          <w:sz w:val="20"/>
        </w:rPr>
        <w:t>una</w:t>
      </w:r>
      <w:r w:rsidR="001A2129" w:rsidRPr="00355D83">
        <w:rPr>
          <w:rFonts w:ascii="Verdana" w:hAnsi="Verdana"/>
          <w:sz w:val="20"/>
        </w:rPr>
        <w:t xml:space="preserve"> responsabilidad internacional ya establecida</w:t>
      </w:r>
      <w:r w:rsidR="00730C64">
        <w:rPr>
          <w:rStyle w:val="Refdenotaalpie"/>
          <w:rFonts w:ascii="Verdana" w:hAnsi="Verdana"/>
          <w:sz w:val="20"/>
        </w:rPr>
        <w:footnoteReference w:id="13"/>
      </w:r>
      <w:r w:rsidR="005E1E0B" w:rsidRPr="007A501D">
        <w:rPr>
          <w:rFonts w:ascii="Verdana" w:hAnsi="Verdana"/>
          <w:sz w:val="20"/>
        </w:rPr>
        <w:t xml:space="preserve">. </w:t>
      </w:r>
    </w:p>
    <w:p w14:paraId="63E6CC07" w14:textId="3156AE10" w:rsidR="00C4453B" w:rsidRPr="00D72C5D" w:rsidRDefault="00C4453B" w:rsidP="00D72C5D">
      <w:pPr>
        <w:numPr>
          <w:ilvl w:val="0"/>
          <w:numId w:val="3"/>
        </w:numPr>
        <w:spacing w:before="120" w:after="120"/>
        <w:ind w:left="0" w:firstLine="0"/>
        <w:jc w:val="both"/>
        <w:rPr>
          <w:rFonts w:ascii="Verdana" w:hAnsi="Verdana"/>
          <w:sz w:val="20"/>
          <w:szCs w:val="20"/>
          <w:lang w:val="es-AR"/>
        </w:rPr>
      </w:pPr>
      <w:r w:rsidRPr="006C6640">
        <w:rPr>
          <w:rFonts w:ascii="Verdana" w:hAnsi="Verdana"/>
          <w:sz w:val="20"/>
          <w:lang w:val="es-CO"/>
        </w:rPr>
        <w:t xml:space="preserve">Este Tribunal </w:t>
      </w:r>
      <w:r w:rsidRPr="006C6640">
        <w:rPr>
          <w:rFonts w:ascii="Verdana" w:hAnsi="Verdana"/>
          <w:sz w:val="20"/>
          <w:lang w:val="es-ES"/>
        </w:rPr>
        <w:t>ha señalado en ocasiones anteriores que</w:t>
      </w:r>
      <w:r w:rsidR="004463E4">
        <w:rPr>
          <w:rFonts w:ascii="Verdana" w:hAnsi="Verdana"/>
          <w:sz w:val="20"/>
          <w:lang w:val="es-ES"/>
        </w:rPr>
        <w:t>,</w:t>
      </w:r>
      <w:r w:rsidRPr="006C6640">
        <w:rPr>
          <w:rFonts w:ascii="Verdana" w:hAnsi="Verdana"/>
          <w:sz w:val="20"/>
          <w:lang w:val="es-ES"/>
        </w:rPr>
        <w:t xml:space="preserve"> una vez que se ha pronunciado sobre el fondo y las reparaciones y costas en un caso que fue sometido a su conocimiento, resulta </w:t>
      </w:r>
      <w:r w:rsidRPr="00D72C5D">
        <w:rPr>
          <w:rFonts w:ascii="Verdana" w:hAnsi="Verdana"/>
          <w:sz w:val="20"/>
        </w:rPr>
        <w:t>necesario</w:t>
      </w:r>
      <w:r w:rsidRPr="006C6640">
        <w:rPr>
          <w:rFonts w:ascii="Verdana" w:hAnsi="Verdana"/>
          <w:sz w:val="20"/>
          <w:lang w:val="es-ES"/>
        </w:rPr>
        <w:t xml:space="preserve"> que el Estado observe las normas de la Convención que se refieren al cumplimiento de las Sentencias</w:t>
      </w:r>
      <w:r w:rsidRPr="006C6640">
        <w:rPr>
          <w:rStyle w:val="Refdenotaalpie"/>
          <w:rFonts w:ascii="Verdana" w:hAnsi="Verdana"/>
          <w:sz w:val="20"/>
        </w:rPr>
        <w:footnoteReference w:id="14"/>
      </w:r>
      <w:r w:rsidRPr="006C6640">
        <w:rPr>
          <w:rFonts w:ascii="Verdana" w:hAnsi="Verdana"/>
          <w:sz w:val="20"/>
          <w:lang w:val="es-CO"/>
        </w:rPr>
        <w:t>. El cumplimiento de las reparaciones ordenadas por el Tribunal en sus decisiones es la materialización de la justicia para el caso concreto y, por ende, de la jurisdicción; en caso contrario se estaría atentando contra la razón de ser del Tribunal</w:t>
      </w:r>
      <w:r w:rsidRPr="006C6640">
        <w:rPr>
          <w:rStyle w:val="Refdenotaalpie"/>
          <w:rFonts w:ascii="Verdana" w:hAnsi="Verdana"/>
          <w:sz w:val="20"/>
          <w:lang w:val="es-CO"/>
        </w:rPr>
        <w:footnoteReference w:id="15"/>
      </w:r>
      <w:r w:rsidRPr="006C6640">
        <w:rPr>
          <w:rFonts w:ascii="Verdana" w:hAnsi="Verdana"/>
          <w:sz w:val="20"/>
          <w:lang w:val="es-CO"/>
        </w:rPr>
        <w:t>.</w:t>
      </w:r>
    </w:p>
    <w:p w14:paraId="1B87FBBB" w14:textId="6C65E33A" w:rsidR="00DB67D4" w:rsidRPr="00917B6F" w:rsidRDefault="00807C64" w:rsidP="00D72C5D">
      <w:pPr>
        <w:pStyle w:val="Textonotapie"/>
        <w:numPr>
          <w:ilvl w:val="0"/>
          <w:numId w:val="3"/>
        </w:numPr>
        <w:spacing w:before="120" w:after="120"/>
        <w:ind w:left="0" w:firstLine="0"/>
        <w:rPr>
          <w:sz w:val="20"/>
          <w:szCs w:val="20"/>
          <w:lang w:val="es-AR"/>
        </w:rPr>
      </w:pPr>
      <w:r w:rsidRPr="00E67C9E">
        <w:rPr>
          <w:sz w:val="20"/>
          <w:szCs w:val="20"/>
          <w:lang w:val="es-AR"/>
        </w:rPr>
        <w:lastRenderedPageBreak/>
        <w:t>Adicionalmente, e</w:t>
      </w:r>
      <w:r w:rsidR="00C4453B" w:rsidRPr="00E67C9E">
        <w:rPr>
          <w:sz w:val="20"/>
          <w:szCs w:val="20"/>
          <w:lang w:val="es-AR"/>
        </w:rPr>
        <w:t xml:space="preserve">n </w:t>
      </w:r>
      <w:r w:rsidR="006169F6" w:rsidRPr="00E67C9E">
        <w:rPr>
          <w:sz w:val="20"/>
          <w:szCs w:val="20"/>
          <w:lang w:val="es-AR"/>
        </w:rPr>
        <w:t>la Sentencia d</w:t>
      </w:r>
      <w:r w:rsidR="00C4453B" w:rsidRPr="00E67C9E">
        <w:rPr>
          <w:sz w:val="20"/>
          <w:szCs w:val="20"/>
          <w:lang w:val="es-AR"/>
        </w:rPr>
        <w:t xml:space="preserve">el presente caso, </w:t>
      </w:r>
      <w:bookmarkStart w:id="3" w:name="_Ref24015865"/>
      <w:r w:rsidR="00DB67D4" w:rsidRPr="00E67C9E">
        <w:rPr>
          <w:sz w:val="20"/>
          <w:szCs w:val="20"/>
          <w:lang w:val="es-AR"/>
        </w:rPr>
        <w:t>esta</w:t>
      </w:r>
      <w:r w:rsidR="00C4453B" w:rsidRPr="00E67C9E">
        <w:rPr>
          <w:sz w:val="20"/>
          <w:szCs w:val="20"/>
          <w:lang w:val="es-AR"/>
        </w:rPr>
        <w:t xml:space="preserve"> </w:t>
      </w:r>
      <w:r w:rsidR="00DB67D4" w:rsidRPr="00E67C9E">
        <w:rPr>
          <w:sz w:val="20"/>
          <w:szCs w:val="20"/>
          <w:lang w:val="es-AR"/>
        </w:rPr>
        <w:t>Corte</w:t>
      </w:r>
      <w:r w:rsidR="00C4453B" w:rsidRPr="00E67C9E">
        <w:rPr>
          <w:sz w:val="20"/>
          <w:szCs w:val="20"/>
          <w:lang w:val="es-AR"/>
        </w:rPr>
        <w:t xml:space="preserve"> ya se pronunció con carácter definitivo sobre </w:t>
      </w:r>
      <w:r w:rsidR="00613504" w:rsidRPr="00E67C9E">
        <w:rPr>
          <w:sz w:val="20"/>
          <w:szCs w:val="20"/>
          <w:lang w:val="es-AR"/>
        </w:rPr>
        <w:t>cada uno de los argumentos en los cuales Brasi</w:t>
      </w:r>
      <w:r w:rsidR="00DB67D4" w:rsidRPr="00E67C9E">
        <w:rPr>
          <w:sz w:val="20"/>
          <w:szCs w:val="20"/>
          <w:lang w:val="es-AR"/>
        </w:rPr>
        <w:t>l</w:t>
      </w:r>
      <w:r w:rsidR="00613504" w:rsidRPr="00E67C9E">
        <w:rPr>
          <w:sz w:val="20"/>
          <w:szCs w:val="20"/>
          <w:lang w:val="es-AR"/>
        </w:rPr>
        <w:t xml:space="preserve"> fundamenta la alegada “imposibilidad” de dar cumplimiento al presente punto res</w:t>
      </w:r>
      <w:r w:rsidR="00CB0150" w:rsidRPr="00E67C9E">
        <w:rPr>
          <w:sz w:val="20"/>
          <w:szCs w:val="20"/>
          <w:lang w:val="es-AR"/>
        </w:rPr>
        <w:t xml:space="preserve">olutivo. En primer lugar, el Estado </w:t>
      </w:r>
      <w:r w:rsidR="00C842F3" w:rsidRPr="00E67C9E">
        <w:rPr>
          <w:sz w:val="20"/>
          <w:szCs w:val="20"/>
          <w:lang w:val="es-AR"/>
        </w:rPr>
        <w:t>refirió</w:t>
      </w:r>
      <w:r w:rsidR="00CB0150" w:rsidRPr="00E67C9E">
        <w:rPr>
          <w:sz w:val="20"/>
          <w:szCs w:val="20"/>
          <w:lang w:val="es-AR"/>
        </w:rPr>
        <w:t xml:space="preserve"> que el Ministerio Público Militar resolvió el archivo de los autos, por lo que, </w:t>
      </w:r>
      <w:r w:rsidR="00E67C9E" w:rsidRPr="00E67C9E">
        <w:rPr>
          <w:sz w:val="20"/>
          <w:szCs w:val="20"/>
          <w:lang w:val="es-AR"/>
        </w:rPr>
        <w:t xml:space="preserve">en tanto dicho organismo entendía que </w:t>
      </w:r>
      <w:r w:rsidR="00CB0150" w:rsidRPr="00E67C9E">
        <w:rPr>
          <w:sz w:val="20"/>
          <w:szCs w:val="20"/>
          <w:lang w:val="es-AR"/>
        </w:rPr>
        <w:t xml:space="preserve">la justicia militar </w:t>
      </w:r>
      <w:r w:rsidR="00E67C9E" w:rsidRPr="00E67C9E">
        <w:rPr>
          <w:sz w:val="20"/>
          <w:szCs w:val="20"/>
          <w:lang w:val="es-AR"/>
        </w:rPr>
        <w:t xml:space="preserve">era </w:t>
      </w:r>
      <w:r w:rsidR="00CB0150" w:rsidRPr="001C0437">
        <w:rPr>
          <w:sz w:val="20"/>
          <w:szCs w:val="20"/>
          <w:lang w:val="es-AR"/>
        </w:rPr>
        <w:t xml:space="preserve">el foro competente </w:t>
      </w:r>
      <w:r w:rsidR="00CB0150" w:rsidRPr="00E67C9E">
        <w:rPr>
          <w:sz w:val="20"/>
          <w:szCs w:val="20"/>
          <w:lang w:val="es-AR"/>
        </w:rPr>
        <w:t xml:space="preserve">para que dicha investigación se desarrolle, y teniendo en cuenta </w:t>
      </w:r>
      <w:r w:rsidR="00C842F3" w:rsidRPr="00E67C9E">
        <w:rPr>
          <w:sz w:val="20"/>
          <w:szCs w:val="20"/>
          <w:lang w:val="es-AR"/>
        </w:rPr>
        <w:t>la autonomía de dicho organismo, no es posible reabrir la investigación por los hechos de los cuales fue víctima el señor Herzog. Al respecto, en el inciso “e” del párrafo 372 de la Sentencia, la Corte ordenó que Brasil debía “</w:t>
      </w:r>
      <w:r w:rsidR="00C842F3" w:rsidRPr="00650B93">
        <w:rPr>
          <w:sz w:val="20"/>
          <w:szCs w:val="20"/>
          <w:lang w:val="es-ES"/>
        </w:rPr>
        <w:t>garantizar que las investigaciones y procesos por los hechos del presente caso se mantengan, en todo momento, bajo conocimiento de la jurisdicción ordinaria”</w:t>
      </w:r>
      <w:r w:rsidR="00C842F3" w:rsidRPr="00D72C5D">
        <w:rPr>
          <w:rStyle w:val="Refdenotaalpie"/>
          <w:sz w:val="20"/>
          <w:szCs w:val="20"/>
        </w:rPr>
        <w:footnoteReference w:id="16"/>
      </w:r>
      <w:r w:rsidR="008210A5" w:rsidRPr="00650B93">
        <w:rPr>
          <w:sz w:val="20"/>
          <w:szCs w:val="20"/>
          <w:lang w:val="es-ES"/>
        </w:rPr>
        <w:t>, mandato que constituye una orden y, como tal, su cumplimiento es obligatorio para todos los poderes y órganos del Estado</w:t>
      </w:r>
      <w:r w:rsidR="00C842F3" w:rsidRPr="00DB67D4">
        <w:rPr>
          <w:rStyle w:val="Refdenotaalpie"/>
          <w:sz w:val="20"/>
          <w:szCs w:val="20"/>
        </w:rPr>
        <w:footnoteReference w:id="17"/>
      </w:r>
      <w:r w:rsidR="003326CC" w:rsidRPr="00E67C9E">
        <w:rPr>
          <w:rFonts w:cs="Times-Roman"/>
          <w:sz w:val="20"/>
          <w:szCs w:val="20"/>
          <w:lang w:val="es-CR" w:bidi="en-US"/>
        </w:rPr>
        <w:t>.</w:t>
      </w:r>
      <w:r w:rsidR="009C6EF4" w:rsidRPr="00E67C9E">
        <w:rPr>
          <w:rFonts w:cs="Times-Roman"/>
          <w:sz w:val="20"/>
          <w:szCs w:val="20"/>
          <w:lang w:val="es-CR" w:bidi="en-US"/>
        </w:rPr>
        <w:t xml:space="preserve"> </w:t>
      </w:r>
      <w:r w:rsidR="003326CC" w:rsidRPr="00E67C9E">
        <w:rPr>
          <w:rFonts w:cs="Times-Roman"/>
          <w:sz w:val="20"/>
          <w:szCs w:val="20"/>
          <w:lang w:val="es-CR" w:bidi="en-US"/>
        </w:rPr>
        <w:t>T</w:t>
      </w:r>
      <w:r w:rsidR="00C842F3" w:rsidRPr="00E67C9E">
        <w:rPr>
          <w:rFonts w:cs="Times-Roman"/>
          <w:sz w:val="20"/>
          <w:szCs w:val="20"/>
          <w:lang w:val="es-CR" w:bidi="en-US"/>
        </w:rPr>
        <w:t>odos los poderes del Estado (Ejecutivo, Legislativo, Judicial, u otras ramas del poder público) y otras autoridades públicas o estatales, de cualquier nivel, tienen el deber de cumplir de buena fe con el derecho internacional</w:t>
      </w:r>
      <w:r w:rsidR="00C842F3" w:rsidRPr="00DB67D4">
        <w:rPr>
          <w:rStyle w:val="Refdenotaalpie"/>
          <w:rFonts w:cs="Times-Roman"/>
          <w:sz w:val="20"/>
          <w:szCs w:val="20"/>
          <w:lang w:val="es-CR" w:bidi="en-US"/>
        </w:rPr>
        <w:footnoteReference w:id="18"/>
      </w:r>
      <w:r w:rsidR="008210A5" w:rsidRPr="00E67C9E">
        <w:rPr>
          <w:rFonts w:cs="Times-Roman"/>
          <w:sz w:val="20"/>
          <w:szCs w:val="20"/>
          <w:lang w:val="es-CR" w:bidi="en-US"/>
        </w:rPr>
        <w:t>.</w:t>
      </w:r>
      <w:r w:rsidR="00C842F3" w:rsidRPr="00E67C9E">
        <w:rPr>
          <w:rFonts w:cs="Times-Roman"/>
          <w:sz w:val="20"/>
          <w:szCs w:val="20"/>
          <w:lang w:val="es-CR" w:bidi="en-US"/>
        </w:rPr>
        <w:t xml:space="preserve"> </w:t>
      </w:r>
      <w:r w:rsidR="008210A5" w:rsidRPr="00E67C9E">
        <w:rPr>
          <w:rFonts w:cs="Times-Roman"/>
          <w:sz w:val="20"/>
          <w:szCs w:val="20"/>
          <w:lang w:val="es-CR" w:bidi="en-US"/>
        </w:rPr>
        <w:t>Por ello,</w:t>
      </w:r>
      <w:r w:rsidR="00C842F3" w:rsidRPr="00E67C9E">
        <w:rPr>
          <w:rFonts w:cs="Times-Roman"/>
          <w:sz w:val="20"/>
          <w:szCs w:val="20"/>
          <w:lang w:val="es-CR" w:bidi="en-US"/>
        </w:rPr>
        <w:t xml:space="preserve"> el argumento relativo a la autonomía del Ministerio Público no resulta atendible ni excusa </w:t>
      </w:r>
      <w:r w:rsidR="008210A5" w:rsidRPr="00E67C9E">
        <w:rPr>
          <w:rFonts w:cs="Times-Roman"/>
          <w:sz w:val="20"/>
          <w:szCs w:val="20"/>
          <w:lang w:val="es-CR" w:bidi="en-US"/>
        </w:rPr>
        <w:t xml:space="preserve">a Brasil </w:t>
      </w:r>
      <w:r w:rsidR="00C842F3" w:rsidRPr="00E67C9E">
        <w:rPr>
          <w:rFonts w:cs="Times-Roman"/>
          <w:sz w:val="20"/>
          <w:szCs w:val="20"/>
          <w:lang w:val="es-CR" w:bidi="en-US"/>
        </w:rPr>
        <w:t>de su responsabilidad internacional por incumplir lo que este Tribunal ordenó en su Sentencia.</w:t>
      </w:r>
      <w:r w:rsidR="00920C27">
        <w:rPr>
          <w:rFonts w:cs="Times-Roman"/>
          <w:sz w:val="20"/>
          <w:szCs w:val="20"/>
          <w:lang w:val="es-CR" w:bidi="en-US"/>
        </w:rPr>
        <w:t xml:space="preserve"> </w:t>
      </w:r>
      <w:r w:rsidR="00C842F3">
        <w:rPr>
          <w:sz w:val="20"/>
          <w:szCs w:val="20"/>
          <w:lang w:val="es-AR"/>
        </w:rPr>
        <w:t xml:space="preserve">En segundo lugar, </w:t>
      </w:r>
      <w:r w:rsidR="008210A5">
        <w:rPr>
          <w:sz w:val="20"/>
          <w:szCs w:val="20"/>
          <w:lang w:val="es-AR"/>
        </w:rPr>
        <w:t>el Estado</w:t>
      </w:r>
      <w:r w:rsidR="00C842F3">
        <w:rPr>
          <w:sz w:val="20"/>
          <w:szCs w:val="20"/>
          <w:lang w:val="es-AR"/>
        </w:rPr>
        <w:t xml:space="preserve"> alega que no resulta posible reabrir la investigación</w:t>
      </w:r>
      <w:r w:rsidR="000C45B2">
        <w:rPr>
          <w:sz w:val="20"/>
          <w:szCs w:val="20"/>
          <w:lang w:val="es-AR"/>
        </w:rPr>
        <w:t>,</w:t>
      </w:r>
      <w:r w:rsidR="00C842F3">
        <w:rPr>
          <w:sz w:val="20"/>
          <w:szCs w:val="20"/>
          <w:lang w:val="es-AR"/>
        </w:rPr>
        <w:t xml:space="preserve"> en tanto los hechos del caso estarían alcanzados por la </w:t>
      </w:r>
      <w:r w:rsidR="00DB67D4">
        <w:rPr>
          <w:sz w:val="20"/>
          <w:szCs w:val="20"/>
          <w:lang w:val="es-AR"/>
        </w:rPr>
        <w:t>L</w:t>
      </w:r>
      <w:r w:rsidR="00C842F3">
        <w:rPr>
          <w:sz w:val="20"/>
          <w:szCs w:val="20"/>
          <w:lang w:val="es-AR"/>
        </w:rPr>
        <w:t xml:space="preserve">ey de Amnistía de 1979, que </w:t>
      </w:r>
      <w:r w:rsidR="008210A5">
        <w:rPr>
          <w:sz w:val="20"/>
          <w:lang w:val="es-CO"/>
        </w:rPr>
        <w:t>ampara</w:t>
      </w:r>
      <w:r w:rsidR="00C842F3" w:rsidRPr="00107959">
        <w:rPr>
          <w:sz w:val="20"/>
          <w:lang w:val="es-CO"/>
        </w:rPr>
        <w:t xml:space="preserve"> a </w:t>
      </w:r>
      <w:r w:rsidR="00C842F3">
        <w:rPr>
          <w:sz w:val="20"/>
          <w:lang w:val="es-CO"/>
        </w:rPr>
        <w:t>todas las personas</w:t>
      </w:r>
      <w:r w:rsidR="00C842F3" w:rsidRPr="00107959">
        <w:rPr>
          <w:sz w:val="20"/>
          <w:lang w:val="es-CO"/>
        </w:rPr>
        <w:t xml:space="preserve"> que cometieron delitos políticos o delitos conexos de cualquier tipo entre el 2 de septiembre de 1961 y el 15 de agosto de 1979</w:t>
      </w:r>
      <w:r w:rsidR="00DB67D4">
        <w:rPr>
          <w:sz w:val="20"/>
          <w:lang w:val="es-CO"/>
        </w:rPr>
        <w:t>, y en tanto la acción habría prescrito</w:t>
      </w:r>
      <w:r w:rsidR="00C842F3">
        <w:rPr>
          <w:sz w:val="20"/>
          <w:lang w:val="es-CO"/>
        </w:rPr>
        <w:t>.</w:t>
      </w:r>
      <w:bookmarkEnd w:id="3"/>
      <w:r w:rsidR="00DB67D4">
        <w:rPr>
          <w:sz w:val="20"/>
          <w:lang w:val="es-CO"/>
        </w:rPr>
        <w:t xml:space="preserve"> Dichos argumentos des</w:t>
      </w:r>
      <w:r w:rsidR="0078585E">
        <w:rPr>
          <w:sz w:val="20"/>
          <w:lang w:val="es-CO"/>
        </w:rPr>
        <w:t>c</w:t>
      </w:r>
      <w:r w:rsidR="00DB67D4">
        <w:rPr>
          <w:sz w:val="20"/>
          <w:lang w:val="es-CO"/>
        </w:rPr>
        <w:t>onocen que, en el in</w:t>
      </w:r>
      <w:r w:rsidR="00E93A0A">
        <w:rPr>
          <w:sz w:val="20"/>
          <w:lang w:val="es-CO"/>
        </w:rPr>
        <w:t>c</w:t>
      </w:r>
      <w:r w:rsidR="00DB67D4">
        <w:rPr>
          <w:sz w:val="20"/>
          <w:lang w:val="es-CO"/>
        </w:rPr>
        <w:t>iso “b” del párrafo 372 de la Sentencia, al ordenar la presente reparación, la Corte estipuló que “</w:t>
      </w:r>
      <w:r w:rsidR="00DB67D4" w:rsidRPr="00DB67D4">
        <w:rPr>
          <w:sz w:val="20"/>
          <w:lang w:val="es-ES_tradnl"/>
        </w:rPr>
        <w:t xml:space="preserve">por tratarse de un crimen de lesa humanidad, el Estado no puede aplicar la Ley de Amnistía en beneficio de los autores, así como ninguna otra disposición análoga, prescripción, cosa juzgada, </w:t>
      </w:r>
      <w:proofErr w:type="spellStart"/>
      <w:r w:rsidR="00DB67D4" w:rsidRPr="00DB67D4">
        <w:rPr>
          <w:i/>
          <w:sz w:val="20"/>
          <w:lang w:val="es-ES_tradnl"/>
        </w:rPr>
        <w:t>ne</w:t>
      </w:r>
      <w:proofErr w:type="spellEnd"/>
      <w:r w:rsidR="00DB67D4" w:rsidRPr="00DB67D4">
        <w:rPr>
          <w:i/>
          <w:sz w:val="20"/>
          <w:lang w:val="es-ES_tradnl"/>
        </w:rPr>
        <w:t xml:space="preserve"> bis in </w:t>
      </w:r>
      <w:proofErr w:type="spellStart"/>
      <w:r w:rsidR="00DB67D4" w:rsidRPr="00DB67D4">
        <w:rPr>
          <w:i/>
          <w:sz w:val="20"/>
          <w:lang w:val="es-ES_tradnl"/>
        </w:rPr>
        <w:t>idem</w:t>
      </w:r>
      <w:proofErr w:type="spellEnd"/>
      <w:r w:rsidR="00DB67D4" w:rsidRPr="00DB67D4">
        <w:rPr>
          <w:sz w:val="20"/>
          <w:lang w:val="es-ES_tradnl"/>
        </w:rPr>
        <w:t xml:space="preserve"> o cualquier excluyente similar de responsabilidad para excusarse de esta obligación</w:t>
      </w:r>
      <w:r w:rsidR="00DB67D4">
        <w:rPr>
          <w:sz w:val="20"/>
          <w:lang w:val="es-ES_tradnl"/>
        </w:rPr>
        <w:t xml:space="preserve">”. </w:t>
      </w:r>
    </w:p>
    <w:p w14:paraId="0196A034" w14:textId="6EABFC77" w:rsidR="00E67C9E" w:rsidRPr="00D72C5D" w:rsidRDefault="001C0437" w:rsidP="00D72C5D">
      <w:pPr>
        <w:pStyle w:val="Textonotapie"/>
        <w:numPr>
          <w:ilvl w:val="0"/>
          <w:numId w:val="3"/>
        </w:numPr>
        <w:spacing w:before="120" w:after="120"/>
        <w:ind w:left="0" w:firstLine="0"/>
        <w:rPr>
          <w:sz w:val="20"/>
          <w:szCs w:val="20"/>
          <w:lang w:val="es-AR"/>
        </w:rPr>
      </w:pPr>
      <w:r>
        <w:rPr>
          <w:sz w:val="20"/>
          <w:lang w:val="es-ES_tradnl"/>
        </w:rPr>
        <w:t>Asimismo, l</w:t>
      </w:r>
      <w:r w:rsidR="00E67C9E" w:rsidRPr="00E67C9E">
        <w:rPr>
          <w:sz w:val="20"/>
          <w:szCs w:val="20"/>
          <w:lang w:val="es-ES_tradnl"/>
        </w:rPr>
        <w:t xml:space="preserve">a Corte estima pertinente recordar que todas las autoridades– incluido el </w:t>
      </w:r>
      <w:r>
        <w:rPr>
          <w:sz w:val="20"/>
          <w:szCs w:val="20"/>
          <w:lang w:val="es-ES_tradnl"/>
        </w:rPr>
        <w:t>Ministerio Público</w:t>
      </w:r>
      <w:r w:rsidR="00E67C9E" w:rsidRPr="00E67C9E">
        <w:rPr>
          <w:sz w:val="20"/>
          <w:szCs w:val="20"/>
          <w:lang w:val="es-ES_tradnl"/>
        </w:rPr>
        <w:t xml:space="preserve">- de un Estado Parte en la Convención Americana tienen la obligación de ejercer un control de “control de convencionalidad” </w:t>
      </w:r>
      <w:r w:rsidR="00E67C9E" w:rsidRPr="00917B6F">
        <w:rPr>
          <w:i/>
          <w:sz w:val="20"/>
          <w:szCs w:val="20"/>
          <w:lang w:val="es-ES_tradnl"/>
        </w:rPr>
        <w:t xml:space="preserve">ex </w:t>
      </w:r>
      <w:proofErr w:type="spellStart"/>
      <w:r w:rsidR="00E67C9E" w:rsidRPr="00917B6F">
        <w:rPr>
          <w:i/>
          <w:sz w:val="20"/>
          <w:szCs w:val="20"/>
          <w:lang w:val="es-ES_tradnl"/>
        </w:rPr>
        <w:t>officio</w:t>
      </w:r>
      <w:proofErr w:type="spellEnd"/>
      <w:r w:rsidR="00E67C9E" w:rsidRPr="00E67C9E">
        <w:rPr>
          <w:sz w:val="20"/>
          <w:szCs w:val="20"/>
          <w:lang w:val="es-ES_tradnl"/>
        </w:rPr>
        <w:t xml:space="preserve">, evidentemente en el marco de sus respectivas competencias y de las regulaciones procesales correspondientes, de forma tal que la interpretación y aplicación del derecho nacional sea consistente con las obligaciones internacionales del Estado en materia de derechos humanos. En esta tarea deben tener en cuenta no solamente la Convención Americana y demás instrumentos interamericanos, sino </w:t>
      </w:r>
      <w:r w:rsidR="00E67C9E" w:rsidRPr="00E67C9E">
        <w:rPr>
          <w:sz w:val="20"/>
          <w:szCs w:val="20"/>
          <w:lang w:val="es-ES_tradnl"/>
        </w:rPr>
        <w:lastRenderedPageBreak/>
        <w:t>también la interpretación que de éstos ha hecho la Corte Interamericana</w:t>
      </w:r>
      <w:r>
        <w:rPr>
          <w:rStyle w:val="Refdenotaalpie"/>
          <w:sz w:val="20"/>
          <w:szCs w:val="20"/>
          <w:lang w:val="es-ES_tradnl"/>
        </w:rPr>
        <w:footnoteReference w:id="19"/>
      </w:r>
      <w:r w:rsidR="00E67C9E" w:rsidRPr="00E67C9E">
        <w:rPr>
          <w:sz w:val="20"/>
          <w:szCs w:val="20"/>
          <w:lang w:val="es-ES_tradnl"/>
        </w:rPr>
        <w:t>. Adicionalmente, la Corte ha sostenido que el control de convencionalidad debe ejercerse tanto en la emisión y aplicación de normas, en cuanto a su validez y compatibilidad con la Convención, así como en la determinación, juzgamiento y resolución de situaciones particulares y casos concretos</w:t>
      </w:r>
      <w:r>
        <w:rPr>
          <w:rStyle w:val="Refdenotaalpie"/>
          <w:sz w:val="20"/>
          <w:szCs w:val="20"/>
          <w:lang w:val="es-ES_tradnl"/>
        </w:rPr>
        <w:footnoteReference w:id="20"/>
      </w:r>
      <w:r>
        <w:rPr>
          <w:sz w:val="20"/>
          <w:szCs w:val="20"/>
          <w:lang w:val="es-ES_tradnl"/>
        </w:rPr>
        <w:t>.</w:t>
      </w:r>
    </w:p>
    <w:p w14:paraId="31CC7A38" w14:textId="45FCD50B" w:rsidR="000C45B2" w:rsidRPr="006C6640" w:rsidRDefault="00807C64" w:rsidP="00D72C5D">
      <w:pPr>
        <w:pStyle w:val="Textonotapie"/>
        <w:numPr>
          <w:ilvl w:val="0"/>
          <w:numId w:val="3"/>
        </w:numPr>
        <w:spacing w:before="120" w:after="120"/>
        <w:ind w:left="0" w:firstLine="0"/>
        <w:rPr>
          <w:sz w:val="20"/>
          <w:szCs w:val="20"/>
          <w:lang w:val="es-AR"/>
        </w:rPr>
      </w:pPr>
      <w:r>
        <w:rPr>
          <w:sz w:val="20"/>
          <w:lang w:val="es-AR"/>
        </w:rPr>
        <w:t xml:space="preserve">Por las razones expuestas, </w:t>
      </w:r>
      <w:r w:rsidR="000C45B2" w:rsidRPr="006C6640">
        <w:rPr>
          <w:sz w:val="20"/>
          <w:lang w:val="es-AR"/>
        </w:rPr>
        <w:t>l</w:t>
      </w:r>
      <w:r w:rsidR="00935600">
        <w:rPr>
          <w:sz w:val="20"/>
          <w:szCs w:val="20"/>
          <w:lang w:val="es-AR"/>
        </w:rPr>
        <w:t xml:space="preserve">a </w:t>
      </w:r>
      <w:r w:rsidR="006169F6">
        <w:rPr>
          <w:sz w:val="20"/>
          <w:lang w:val="es-AR"/>
        </w:rPr>
        <w:t xml:space="preserve">posición </w:t>
      </w:r>
      <w:r w:rsidR="000C45B2" w:rsidRPr="006C6640">
        <w:rPr>
          <w:sz w:val="20"/>
          <w:szCs w:val="20"/>
          <w:lang w:val="es-AR"/>
        </w:rPr>
        <w:t xml:space="preserve">de no </w:t>
      </w:r>
      <w:r w:rsidR="00935600">
        <w:rPr>
          <w:sz w:val="20"/>
          <w:szCs w:val="20"/>
          <w:lang w:val="es-AR"/>
        </w:rPr>
        <w:t>reabrir las investigaciones</w:t>
      </w:r>
      <w:r w:rsidR="004463E4">
        <w:rPr>
          <w:sz w:val="20"/>
          <w:szCs w:val="20"/>
          <w:lang w:val="es-AR"/>
        </w:rPr>
        <w:t xml:space="preserve"> </w:t>
      </w:r>
      <w:r w:rsidR="000C45B2" w:rsidRPr="006C6640">
        <w:rPr>
          <w:sz w:val="20"/>
          <w:szCs w:val="20"/>
          <w:lang w:val="es-AR"/>
        </w:rPr>
        <w:t xml:space="preserve">constituye un acto de evidente desacato de la obligatoriedad de las Sentencias de esta Corte, contrario </w:t>
      </w:r>
      <w:r>
        <w:rPr>
          <w:sz w:val="20"/>
          <w:szCs w:val="20"/>
          <w:lang w:val="es-AR"/>
        </w:rPr>
        <w:t xml:space="preserve">a los artículos 67 y 68 de la Convención y </w:t>
      </w:r>
      <w:r w:rsidR="000C45B2" w:rsidRPr="006C6640">
        <w:rPr>
          <w:sz w:val="20"/>
          <w:szCs w:val="20"/>
          <w:lang w:val="es-AR"/>
        </w:rPr>
        <w:t>al principio internacional de acatar sus obligaciones convencionales de buena fe.</w:t>
      </w:r>
    </w:p>
    <w:p w14:paraId="65B0A9BD" w14:textId="116C27C5" w:rsidR="003C36DE" w:rsidRDefault="003C36DE" w:rsidP="00FA606A">
      <w:pPr>
        <w:pStyle w:val="ColorfulList-Accent11"/>
        <w:numPr>
          <w:ilvl w:val="0"/>
          <w:numId w:val="3"/>
        </w:numPr>
        <w:spacing w:before="120" w:after="120"/>
        <w:ind w:left="0" w:firstLine="0"/>
        <w:contextualSpacing w:val="0"/>
        <w:jc w:val="both"/>
        <w:rPr>
          <w:rFonts w:ascii="Verdana" w:hAnsi="Verdana"/>
          <w:sz w:val="20"/>
        </w:rPr>
      </w:pPr>
      <w:r w:rsidRPr="003C36DE">
        <w:rPr>
          <w:rFonts w:ascii="Verdana" w:hAnsi="Verdana"/>
          <w:sz w:val="20"/>
        </w:rPr>
        <w:t xml:space="preserve">Finalmente, es necesario remarcar que, en este caso, la decisión de </w:t>
      </w:r>
      <w:r w:rsidR="00935600">
        <w:rPr>
          <w:rFonts w:ascii="Verdana" w:hAnsi="Verdana"/>
          <w:sz w:val="20"/>
        </w:rPr>
        <w:t>Brasil</w:t>
      </w:r>
      <w:r w:rsidR="00935600" w:rsidRPr="003C36DE">
        <w:rPr>
          <w:rFonts w:ascii="Verdana" w:hAnsi="Verdana"/>
          <w:sz w:val="20"/>
        </w:rPr>
        <w:t xml:space="preserve"> </w:t>
      </w:r>
      <w:r w:rsidRPr="003C36DE">
        <w:rPr>
          <w:rFonts w:ascii="Verdana" w:hAnsi="Verdana"/>
          <w:sz w:val="20"/>
        </w:rPr>
        <w:t xml:space="preserve">de no dar cumplimiento a la medida ordenada en el punto resolutivo </w:t>
      </w:r>
      <w:r w:rsidR="00E93A0A">
        <w:rPr>
          <w:rFonts w:ascii="Verdana" w:hAnsi="Verdana"/>
          <w:sz w:val="20"/>
        </w:rPr>
        <w:t>séptimo</w:t>
      </w:r>
      <w:r w:rsidRPr="003C36DE">
        <w:rPr>
          <w:rFonts w:ascii="Verdana" w:hAnsi="Verdana"/>
          <w:sz w:val="20"/>
        </w:rPr>
        <w:t xml:space="preserve"> de la Sentencia, consistente en</w:t>
      </w:r>
      <w:r>
        <w:rPr>
          <w:rFonts w:ascii="Verdana" w:hAnsi="Verdana"/>
          <w:sz w:val="20"/>
        </w:rPr>
        <w:t xml:space="preserve"> reiniciar </w:t>
      </w:r>
      <w:r w:rsidRPr="003C36DE">
        <w:rPr>
          <w:rFonts w:ascii="Verdana" w:hAnsi="Verdana"/>
          <w:sz w:val="20"/>
        </w:rPr>
        <w:t>la investigación y proceso penal que corresponda para identificar, procesar y, en su caso, sancionar a los responsables por la tortura y muerte de Vladimir Herzog</w:t>
      </w:r>
      <w:r>
        <w:rPr>
          <w:rFonts w:ascii="Verdana" w:hAnsi="Verdana"/>
          <w:sz w:val="20"/>
        </w:rPr>
        <w:t xml:space="preserve">, </w:t>
      </w:r>
      <w:r w:rsidRPr="003C36DE">
        <w:rPr>
          <w:rFonts w:ascii="Verdana" w:hAnsi="Verdana"/>
          <w:sz w:val="20"/>
        </w:rPr>
        <w:t>tiene como efecto perpetuar la impunidad de los hechos en el tiempo</w:t>
      </w:r>
      <w:r>
        <w:rPr>
          <w:rFonts w:ascii="Verdana" w:hAnsi="Verdana"/>
          <w:sz w:val="20"/>
        </w:rPr>
        <w:t>.</w:t>
      </w:r>
      <w:r w:rsidR="00935600">
        <w:rPr>
          <w:rFonts w:ascii="Verdana" w:hAnsi="Verdana"/>
          <w:sz w:val="20"/>
        </w:rPr>
        <w:t xml:space="preserve"> Esto resulta particularmente grave dado que, tal como fue referido en la Sentencia, </w:t>
      </w:r>
      <w:r w:rsidR="00935600" w:rsidRPr="00935600">
        <w:rPr>
          <w:rFonts w:ascii="Verdana" w:hAnsi="Verdana"/>
          <w:sz w:val="20"/>
        </w:rPr>
        <w:t>cuando se trata de graves y sistemáticas violaciones a los derechos humanos, la impunidad en la que pueden quedar estas conductas, genera una afectación particularmente grave a los derechos de las víctimas</w:t>
      </w:r>
      <w:r w:rsidR="00C94277">
        <w:rPr>
          <w:rFonts w:ascii="Verdana" w:hAnsi="Verdana"/>
          <w:sz w:val="20"/>
        </w:rPr>
        <w:t>.</w:t>
      </w:r>
    </w:p>
    <w:p w14:paraId="1700694E" w14:textId="06706F08" w:rsidR="003C36DE" w:rsidRPr="00026555" w:rsidRDefault="003C36DE" w:rsidP="00FA606A">
      <w:pPr>
        <w:pStyle w:val="ColorfulList-Accent11"/>
        <w:numPr>
          <w:ilvl w:val="0"/>
          <w:numId w:val="3"/>
        </w:numPr>
        <w:spacing w:before="120" w:after="120"/>
        <w:ind w:left="0" w:firstLine="0"/>
        <w:contextualSpacing w:val="0"/>
        <w:jc w:val="both"/>
        <w:rPr>
          <w:rFonts w:ascii="Verdana" w:hAnsi="Verdana"/>
          <w:sz w:val="20"/>
        </w:rPr>
      </w:pPr>
      <w:r w:rsidRPr="003C36DE">
        <w:rPr>
          <w:rFonts w:ascii="Verdana" w:hAnsi="Verdana"/>
          <w:sz w:val="20"/>
        </w:rPr>
        <w:t xml:space="preserve">En virtud de lo anterior, la Corte declara que la postura adoptada por </w:t>
      </w:r>
      <w:r>
        <w:rPr>
          <w:rFonts w:ascii="Verdana" w:hAnsi="Verdana"/>
          <w:sz w:val="20"/>
        </w:rPr>
        <w:t>Brasil</w:t>
      </w:r>
      <w:r w:rsidRPr="003C36DE">
        <w:rPr>
          <w:rFonts w:ascii="Verdana" w:hAnsi="Verdana"/>
          <w:sz w:val="20"/>
        </w:rPr>
        <w:t xml:space="preserve"> constituye un claro caso de desacato respecto de lo dispuesto en el punto resolutivo </w:t>
      </w:r>
      <w:r>
        <w:rPr>
          <w:rFonts w:ascii="Verdana" w:hAnsi="Verdana"/>
          <w:sz w:val="20"/>
        </w:rPr>
        <w:t>séptimo</w:t>
      </w:r>
      <w:r w:rsidRPr="003C36DE">
        <w:rPr>
          <w:rFonts w:ascii="Verdana" w:hAnsi="Verdana"/>
          <w:sz w:val="20"/>
        </w:rPr>
        <w:t xml:space="preserve"> de la Sentencia; reitera que el Estado está obligado a dar cumplimiento </w:t>
      </w:r>
      <w:r w:rsidR="00DC2290">
        <w:rPr>
          <w:rFonts w:ascii="Verdana" w:hAnsi="Verdana"/>
          <w:sz w:val="20"/>
        </w:rPr>
        <w:t>a</w:t>
      </w:r>
      <w:r w:rsidR="00DC2290" w:rsidRPr="003C36DE">
        <w:rPr>
          <w:rFonts w:ascii="Verdana" w:hAnsi="Verdana"/>
          <w:sz w:val="20"/>
        </w:rPr>
        <w:t xml:space="preserve"> </w:t>
      </w:r>
      <w:r w:rsidRPr="003C36DE">
        <w:rPr>
          <w:rFonts w:ascii="Verdana" w:hAnsi="Verdana"/>
          <w:sz w:val="20"/>
        </w:rPr>
        <w:t xml:space="preserve">éste, y le solicita presentar información actualizada y detallada con respecto a las acciones dirigidas a </w:t>
      </w:r>
      <w:r w:rsidR="00C94277">
        <w:rPr>
          <w:rFonts w:ascii="Verdana" w:hAnsi="Verdana"/>
          <w:sz w:val="20"/>
        </w:rPr>
        <w:t xml:space="preserve">reiniciar </w:t>
      </w:r>
      <w:r w:rsidR="00C94277" w:rsidRPr="003C36DE">
        <w:rPr>
          <w:rFonts w:ascii="Verdana" w:hAnsi="Verdana"/>
          <w:sz w:val="20"/>
        </w:rPr>
        <w:t>la investigación y proceso penal que corresponda para identificar, procesar y, en su caso, sancionar a los responsables por la tortura y muerte de Vladimir Herzog</w:t>
      </w:r>
      <w:r w:rsidRPr="003C36DE">
        <w:rPr>
          <w:rFonts w:ascii="Verdana" w:hAnsi="Verdana"/>
          <w:sz w:val="20"/>
        </w:rPr>
        <w:t>.</w:t>
      </w:r>
      <w:r w:rsidR="000B5732">
        <w:rPr>
          <w:rFonts w:ascii="Verdana" w:hAnsi="Verdana"/>
          <w:sz w:val="20"/>
        </w:rPr>
        <w:t xml:space="preserve"> </w:t>
      </w:r>
    </w:p>
    <w:p w14:paraId="6F512DDA" w14:textId="77777777" w:rsidR="00DF1F12" w:rsidRPr="00217948" w:rsidRDefault="00DF1F12" w:rsidP="00C8779D">
      <w:pPr>
        <w:pStyle w:val="ColorfulList-Accent11"/>
        <w:spacing w:before="120" w:after="120"/>
        <w:ind w:left="0"/>
        <w:contextualSpacing w:val="0"/>
        <w:jc w:val="both"/>
        <w:rPr>
          <w:rFonts w:ascii="Verdana" w:hAnsi="Verdana"/>
          <w:sz w:val="16"/>
          <w:szCs w:val="16"/>
        </w:rPr>
      </w:pPr>
    </w:p>
    <w:p w14:paraId="78339D08" w14:textId="7E2C07D3" w:rsidR="00C37833" w:rsidRDefault="0082190D" w:rsidP="00C02C99">
      <w:pPr>
        <w:pStyle w:val="Ttulo1"/>
        <w:keepNext w:val="0"/>
        <w:widowControl w:val="0"/>
        <w:numPr>
          <w:ilvl w:val="1"/>
          <w:numId w:val="2"/>
        </w:numPr>
        <w:spacing w:before="120" w:after="120"/>
        <w:ind w:left="1134" w:hanging="425"/>
        <w:jc w:val="both"/>
        <w:rPr>
          <w:rFonts w:ascii="Verdana" w:hAnsi="Verdana"/>
          <w:i/>
          <w:sz w:val="20"/>
          <w:lang w:val="es-CO"/>
        </w:rPr>
      </w:pPr>
      <w:bookmarkStart w:id="4" w:name="_Toc70670912"/>
      <w:r>
        <w:rPr>
          <w:rFonts w:ascii="Verdana" w:hAnsi="Verdana"/>
          <w:i/>
          <w:sz w:val="20"/>
          <w:lang w:val="es-CO"/>
        </w:rPr>
        <w:t>Imprescriptibilidad de crímenes de lesa humanidad</w:t>
      </w:r>
      <w:r w:rsidR="00A60290">
        <w:rPr>
          <w:rFonts w:ascii="Verdana" w:hAnsi="Verdana"/>
          <w:i/>
          <w:sz w:val="20"/>
          <w:lang w:val="es-CO"/>
        </w:rPr>
        <w:t xml:space="preserve"> y otros crímenes internacionales</w:t>
      </w:r>
      <w:bookmarkEnd w:id="4"/>
    </w:p>
    <w:p w14:paraId="4C9F31F2" w14:textId="5460D84D" w:rsidR="00026555" w:rsidRDefault="00C37833" w:rsidP="00026555">
      <w:pPr>
        <w:pStyle w:val="ColorfulList-Accent11"/>
        <w:spacing w:before="120" w:after="120"/>
        <w:contextualSpacing w:val="0"/>
        <w:jc w:val="both"/>
        <w:rPr>
          <w:rFonts w:ascii="Verdana" w:hAnsi="Verdana"/>
          <w:i/>
          <w:sz w:val="20"/>
          <w:lang w:val="es-CO"/>
        </w:rPr>
      </w:pPr>
      <w:r w:rsidRPr="00C37833">
        <w:rPr>
          <w:rFonts w:ascii="Verdana" w:hAnsi="Verdana"/>
          <w:i/>
          <w:sz w:val="20"/>
          <w:lang w:val="es-CO"/>
        </w:rPr>
        <w:t>B.1. Medida ordenada por la Corte</w:t>
      </w:r>
    </w:p>
    <w:p w14:paraId="5DF64935" w14:textId="342637EE" w:rsidR="00EA669D" w:rsidRDefault="00026555" w:rsidP="00EA669D">
      <w:pPr>
        <w:pStyle w:val="ColorfulList-Accent11"/>
        <w:numPr>
          <w:ilvl w:val="0"/>
          <w:numId w:val="3"/>
        </w:numPr>
        <w:spacing w:before="120" w:after="120"/>
        <w:ind w:left="0" w:firstLine="0"/>
        <w:contextualSpacing w:val="0"/>
        <w:jc w:val="both"/>
        <w:rPr>
          <w:rFonts w:ascii="Verdana" w:hAnsi="Verdana"/>
          <w:sz w:val="20"/>
          <w:lang w:val="es-CO"/>
        </w:rPr>
      </w:pPr>
      <w:r w:rsidRPr="00026555">
        <w:rPr>
          <w:rFonts w:ascii="Verdana" w:hAnsi="Verdana"/>
          <w:sz w:val="20"/>
          <w:lang w:val="es-CO"/>
        </w:rPr>
        <w:t xml:space="preserve">En el punto resolutivo </w:t>
      </w:r>
      <w:r>
        <w:rPr>
          <w:rFonts w:ascii="Verdana" w:hAnsi="Verdana"/>
          <w:sz w:val="20"/>
          <w:lang w:val="es-CO"/>
        </w:rPr>
        <w:t>octavo</w:t>
      </w:r>
      <w:r w:rsidRPr="00026555">
        <w:rPr>
          <w:rFonts w:ascii="Verdana" w:hAnsi="Verdana"/>
          <w:sz w:val="20"/>
          <w:lang w:val="es-CO"/>
        </w:rPr>
        <w:t xml:space="preserve"> y en </w:t>
      </w:r>
      <w:r>
        <w:rPr>
          <w:rFonts w:ascii="Verdana" w:hAnsi="Verdana"/>
          <w:sz w:val="20"/>
          <w:lang w:val="es-CO"/>
        </w:rPr>
        <w:t>el</w:t>
      </w:r>
      <w:r w:rsidRPr="00026555">
        <w:rPr>
          <w:rFonts w:ascii="Verdana" w:hAnsi="Verdana"/>
          <w:sz w:val="20"/>
          <w:lang w:val="es-CO"/>
        </w:rPr>
        <w:t xml:space="preserve"> párra</w:t>
      </w:r>
      <w:r>
        <w:rPr>
          <w:rFonts w:ascii="Verdana" w:hAnsi="Verdana"/>
          <w:sz w:val="20"/>
          <w:lang w:val="es-CO"/>
        </w:rPr>
        <w:t>fo</w:t>
      </w:r>
      <w:r w:rsidRPr="00026555">
        <w:rPr>
          <w:rFonts w:ascii="Verdana" w:hAnsi="Verdana"/>
          <w:sz w:val="20"/>
          <w:lang w:val="es-CO"/>
        </w:rPr>
        <w:t xml:space="preserve"> </w:t>
      </w:r>
      <w:r>
        <w:rPr>
          <w:rFonts w:ascii="Verdana" w:hAnsi="Verdana"/>
          <w:sz w:val="20"/>
          <w:lang w:val="es-CO"/>
        </w:rPr>
        <w:t>376</w:t>
      </w:r>
      <w:r w:rsidRPr="00026555">
        <w:rPr>
          <w:rFonts w:ascii="Verdana" w:hAnsi="Verdana"/>
          <w:sz w:val="20"/>
          <w:lang w:val="es-CO"/>
        </w:rPr>
        <w:t xml:space="preserve"> de la Sentencia, la Corte dispuso que</w:t>
      </w:r>
      <w:r w:rsidR="00C70116">
        <w:rPr>
          <w:rFonts w:ascii="Verdana" w:hAnsi="Verdana"/>
          <w:sz w:val="20"/>
          <w:lang w:val="es-CO"/>
        </w:rPr>
        <w:t xml:space="preserve"> el Estado debía </w:t>
      </w:r>
      <w:r w:rsidRPr="00026555">
        <w:rPr>
          <w:rFonts w:ascii="Verdana" w:hAnsi="Verdana"/>
          <w:sz w:val="20"/>
        </w:rPr>
        <w:t xml:space="preserve">adoptar las medidas más idóneas conforme a sus instituciones, para que se reconozca, sin excepción, la imprescriptibilidad de las acciones emergentes de crímenes de lesa humanidad </w:t>
      </w:r>
      <w:r w:rsidR="00C70116">
        <w:rPr>
          <w:rFonts w:ascii="Verdana" w:hAnsi="Verdana"/>
          <w:sz w:val="20"/>
        </w:rPr>
        <w:t xml:space="preserve">y otros crímenes </w:t>
      </w:r>
      <w:r w:rsidRPr="00026555">
        <w:rPr>
          <w:rFonts w:ascii="Verdana" w:hAnsi="Verdana"/>
          <w:sz w:val="20"/>
        </w:rPr>
        <w:t>internacionales</w:t>
      </w:r>
      <w:r w:rsidR="00CC288A">
        <w:rPr>
          <w:rFonts w:ascii="Verdana" w:hAnsi="Verdana"/>
          <w:sz w:val="20"/>
        </w:rPr>
        <w:t xml:space="preserve">, en atención a </w:t>
      </w:r>
      <w:r>
        <w:rPr>
          <w:rFonts w:ascii="Verdana" w:hAnsi="Verdana"/>
          <w:sz w:val="20"/>
        </w:rPr>
        <w:t xml:space="preserve">la Sentencia y </w:t>
      </w:r>
      <w:r w:rsidR="00CC288A">
        <w:rPr>
          <w:rFonts w:ascii="Verdana" w:hAnsi="Verdana"/>
          <w:sz w:val="20"/>
        </w:rPr>
        <w:t xml:space="preserve">los </w:t>
      </w:r>
      <w:r>
        <w:rPr>
          <w:rFonts w:ascii="Verdana" w:hAnsi="Verdana"/>
          <w:sz w:val="20"/>
        </w:rPr>
        <w:t>estándares internacionales</w:t>
      </w:r>
      <w:r w:rsidR="00600D2B">
        <w:rPr>
          <w:rFonts w:ascii="Verdana" w:hAnsi="Verdana"/>
          <w:sz w:val="20"/>
        </w:rPr>
        <w:t xml:space="preserve"> en la materia</w:t>
      </w:r>
      <w:r w:rsidR="00813BA9">
        <w:rPr>
          <w:rFonts w:ascii="Verdana" w:hAnsi="Verdana"/>
          <w:sz w:val="20"/>
        </w:rPr>
        <w:t xml:space="preserve">. </w:t>
      </w:r>
    </w:p>
    <w:p w14:paraId="393C6AD8" w14:textId="77777777" w:rsidR="00217948" w:rsidRPr="00217948" w:rsidRDefault="00217948" w:rsidP="00217948">
      <w:pPr>
        <w:pStyle w:val="ColorfulList-Accent11"/>
        <w:spacing w:before="120" w:after="120"/>
        <w:ind w:left="0"/>
        <w:contextualSpacing w:val="0"/>
        <w:jc w:val="both"/>
        <w:rPr>
          <w:rFonts w:ascii="Verdana" w:hAnsi="Verdana"/>
          <w:sz w:val="14"/>
          <w:szCs w:val="14"/>
          <w:lang w:val="es-CO"/>
        </w:rPr>
      </w:pPr>
    </w:p>
    <w:p w14:paraId="7328B051" w14:textId="699411C7" w:rsidR="00C37833" w:rsidRDefault="007C61D7" w:rsidP="00C37833">
      <w:pPr>
        <w:pStyle w:val="ColorfulList-Accent11"/>
        <w:spacing w:before="120" w:after="120"/>
        <w:contextualSpacing w:val="0"/>
        <w:jc w:val="both"/>
        <w:rPr>
          <w:rFonts w:ascii="Verdana" w:hAnsi="Verdana"/>
          <w:i/>
          <w:sz w:val="20"/>
          <w:lang w:val="es-CO"/>
        </w:rPr>
      </w:pPr>
      <w:r>
        <w:rPr>
          <w:rFonts w:ascii="Verdana" w:hAnsi="Verdana"/>
          <w:i/>
          <w:sz w:val="20"/>
          <w:lang w:val="es-CO"/>
        </w:rPr>
        <w:t>B.2</w:t>
      </w:r>
      <w:r w:rsidR="00C37833">
        <w:rPr>
          <w:rFonts w:ascii="Verdana" w:hAnsi="Verdana"/>
          <w:i/>
          <w:sz w:val="20"/>
          <w:lang w:val="es-CO"/>
        </w:rPr>
        <w:t xml:space="preserve">. </w:t>
      </w:r>
      <w:r w:rsidR="00C70116">
        <w:rPr>
          <w:rFonts w:ascii="Verdana" w:hAnsi="Verdana"/>
          <w:i/>
          <w:sz w:val="20"/>
          <w:lang w:val="es-CO"/>
        </w:rPr>
        <w:t>Información y observaciones de las partes</w:t>
      </w:r>
    </w:p>
    <w:p w14:paraId="71F7382C" w14:textId="29D4FF0B" w:rsidR="00C4025B" w:rsidRDefault="00CC288A" w:rsidP="00C13372">
      <w:pPr>
        <w:pStyle w:val="ColorfulList-Accent11"/>
        <w:numPr>
          <w:ilvl w:val="0"/>
          <w:numId w:val="3"/>
        </w:numPr>
        <w:spacing w:before="120" w:after="120"/>
        <w:ind w:left="0" w:firstLine="0"/>
        <w:contextualSpacing w:val="0"/>
        <w:jc w:val="both"/>
        <w:rPr>
          <w:rFonts w:ascii="Verdana" w:hAnsi="Verdana"/>
          <w:sz w:val="20"/>
          <w:lang w:val="es-CO"/>
        </w:rPr>
      </w:pPr>
      <w:r>
        <w:rPr>
          <w:rFonts w:ascii="Verdana" w:hAnsi="Verdana"/>
          <w:sz w:val="20"/>
          <w:lang w:val="es-CO"/>
        </w:rPr>
        <w:t>Brasil</w:t>
      </w:r>
      <w:r w:rsidR="00C4025B">
        <w:rPr>
          <w:rFonts w:ascii="Verdana" w:hAnsi="Verdana"/>
          <w:sz w:val="20"/>
          <w:lang w:val="es-CO"/>
        </w:rPr>
        <w:t xml:space="preserve"> </w:t>
      </w:r>
      <w:r w:rsidR="00BC6739">
        <w:rPr>
          <w:rFonts w:ascii="Verdana" w:hAnsi="Verdana"/>
          <w:sz w:val="20"/>
          <w:lang w:val="es-CO"/>
        </w:rPr>
        <w:t xml:space="preserve">se refirió a dos proyectos de ley </w:t>
      </w:r>
      <w:r w:rsidR="00C4025B">
        <w:rPr>
          <w:rFonts w:ascii="Verdana" w:hAnsi="Verdana"/>
          <w:sz w:val="20"/>
          <w:lang w:val="es-CO"/>
        </w:rPr>
        <w:t xml:space="preserve">que </w:t>
      </w:r>
      <w:r w:rsidR="00BC6739">
        <w:rPr>
          <w:rFonts w:ascii="Verdana" w:hAnsi="Verdana"/>
          <w:sz w:val="20"/>
          <w:lang w:val="es-CO"/>
        </w:rPr>
        <w:t xml:space="preserve">se encuentran </w:t>
      </w:r>
      <w:r w:rsidR="00C4025B">
        <w:rPr>
          <w:rFonts w:ascii="Verdana" w:hAnsi="Verdana"/>
          <w:sz w:val="20"/>
          <w:lang w:val="es-CO"/>
        </w:rPr>
        <w:t>en trámite legislativo</w:t>
      </w:r>
      <w:r w:rsidR="00C13372">
        <w:rPr>
          <w:rFonts w:ascii="Verdana" w:hAnsi="Verdana"/>
          <w:sz w:val="20"/>
          <w:lang w:val="es-CO"/>
        </w:rPr>
        <w:t xml:space="preserve"> ante la Cámara de Diputados</w:t>
      </w:r>
      <w:r w:rsidR="00BC6739">
        <w:rPr>
          <w:rFonts w:ascii="Verdana" w:hAnsi="Verdana"/>
          <w:sz w:val="20"/>
          <w:lang w:val="es-CO"/>
        </w:rPr>
        <w:t>:</w:t>
      </w:r>
      <w:r w:rsidR="00C13372">
        <w:rPr>
          <w:rFonts w:ascii="Verdana" w:hAnsi="Verdana"/>
          <w:sz w:val="20"/>
          <w:lang w:val="es-CO"/>
        </w:rPr>
        <w:t xml:space="preserve"> </w:t>
      </w:r>
      <w:r w:rsidR="00BC6739">
        <w:rPr>
          <w:rFonts w:ascii="Verdana" w:hAnsi="Verdana"/>
          <w:sz w:val="20"/>
          <w:lang w:val="es-CO"/>
        </w:rPr>
        <w:t xml:space="preserve">(i) </w:t>
      </w:r>
      <w:r w:rsidR="00C13372" w:rsidRPr="00C13372">
        <w:rPr>
          <w:rFonts w:ascii="Verdana" w:hAnsi="Verdana"/>
          <w:sz w:val="20"/>
          <w:lang w:val="es-CO"/>
        </w:rPr>
        <w:t>el Proyecto de Ley 301/2007</w:t>
      </w:r>
      <w:r w:rsidR="00BC6739">
        <w:rPr>
          <w:rStyle w:val="Refdenotaalpie"/>
          <w:rFonts w:ascii="Verdana" w:hAnsi="Verdana"/>
          <w:sz w:val="20"/>
          <w:lang w:val="es-CO"/>
        </w:rPr>
        <w:footnoteReference w:id="21"/>
      </w:r>
      <w:r w:rsidR="00BC6739">
        <w:rPr>
          <w:rFonts w:ascii="Verdana" w:hAnsi="Verdana"/>
          <w:sz w:val="20"/>
          <w:lang w:val="es-CO"/>
        </w:rPr>
        <w:t>, el cual</w:t>
      </w:r>
      <w:r w:rsidR="00C13372">
        <w:rPr>
          <w:rFonts w:ascii="Verdana" w:hAnsi="Verdana"/>
          <w:sz w:val="20"/>
          <w:lang w:val="es-CO"/>
        </w:rPr>
        <w:t xml:space="preserve"> “</w:t>
      </w:r>
      <w:r w:rsidR="00C13372" w:rsidRPr="00C13372">
        <w:rPr>
          <w:rFonts w:ascii="Verdana" w:hAnsi="Verdana"/>
          <w:sz w:val="20"/>
          <w:lang w:val="es-CO"/>
        </w:rPr>
        <w:t>tipifica la tortura como crimen de lesa humanidad</w:t>
      </w:r>
      <w:r w:rsidR="00C13372">
        <w:rPr>
          <w:rFonts w:ascii="Verdana" w:hAnsi="Verdana"/>
          <w:sz w:val="20"/>
          <w:lang w:val="es-CO"/>
        </w:rPr>
        <w:t>”</w:t>
      </w:r>
      <w:r w:rsidR="00BC6739">
        <w:rPr>
          <w:rFonts w:ascii="Verdana" w:hAnsi="Verdana"/>
          <w:sz w:val="20"/>
          <w:lang w:val="es-CO"/>
        </w:rPr>
        <w:t>,</w:t>
      </w:r>
      <w:r w:rsidR="00C13372">
        <w:rPr>
          <w:rFonts w:ascii="Verdana" w:hAnsi="Verdana"/>
          <w:sz w:val="20"/>
          <w:lang w:val="es-CO"/>
        </w:rPr>
        <w:t xml:space="preserve"> y </w:t>
      </w:r>
      <w:r w:rsidR="00BC6739">
        <w:rPr>
          <w:rFonts w:ascii="Verdana" w:hAnsi="Verdana"/>
          <w:sz w:val="20"/>
          <w:lang w:val="es-CO"/>
        </w:rPr>
        <w:t xml:space="preserve">(ii) </w:t>
      </w:r>
      <w:r w:rsidR="00C13372">
        <w:rPr>
          <w:rFonts w:ascii="Verdana" w:hAnsi="Verdana"/>
          <w:sz w:val="20"/>
          <w:lang w:val="es-CO"/>
        </w:rPr>
        <w:t xml:space="preserve">el </w:t>
      </w:r>
      <w:r w:rsidR="00C13372" w:rsidRPr="00C13372">
        <w:rPr>
          <w:rFonts w:ascii="Verdana" w:hAnsi="Verdana"/>
          <w:sz w:val="20"/>
          <w:lang w:val="es-CO"/>
        </w:rPr>
        <w:t>Proyecto de Ley 4038/2008</w:t>
      </w:r>
      <w:r w:rsidR="00BC6739">
        <w:rPr>
          <w:rStyle w:val="Refdenotaalpie"/>
          <w:rFonts w:ascii="Verdana" w:hAnsi="Verdana"/>
          <w:sz w:val="20"/>
          <w:lang w:val="es-CO"/>
        </w:rPr>
        <w:footnoteReference w:id="22"/>
      </w:r>
      <w:r w:rsidR="00C13372" w:rsidRPr="00C13372">
        <w:rPr>
          <w:rFonts w:ascii="Verdana" w:hAnsi="Verdana"/>
          <w:sz w:val="20"/>
          <w:lang w:val="es-CO"/>
        </w:rPr>
        <w:t>,</w:t>
      </w:r>
      <w:r w:rsidR="00C13372">
        <w:rPr>
          <w:rFonts w:ascii="Verdana" w:hAnsi="Verdana"/>
          <w:sz w:val="20"/>
          <w:lang w:val="es-CO"/>
        </w:rPr>
        <w:t xml:space="preserve"> </w:t>
      </w:r>
      <w:r w:rsidR="00BC6739">
        <w:rPr>
          <w:rFonts w:ascii="Verdana" w:hAnsi="Verdana"/>
          <w:sz w:val="20"/>
          <w:lang w:val="es-CO"/>
        </w:rPr>
        <w:t xml:space="preserve">que </w:t>
      </w:r>
      <w:r w:rsidR="00C13372">
        <w:rPr>
          <w:rFonts w:ascii="Verdana" w:hAnsi="Verdana"/>
          <w:sz w:val="20"/>
          <w:lang w:val="es-CO"/>
        </w:rPr>
        <w:t>dispone “</w:t>
      </w:r>
      <w:r w:rsidR="00C13372" w:rsidRPr="00C13372">
        <w:rPr>
          <w:rFonts w:ascii="Verdana" w:hAnsi="Verdana"/>
          <w:sz w:val="20"/>
          <w:lang w:val="es-CO"/>
        </w:rPr>
        <w:t xml:space="preserve">la imprescriptibilidad e insostenibilidad de la amnistía, gracia, indulto, conmutación o libertad </w:t>
      </w:r>
      <w:r w:rsidR="00C13372" w:rsidRPr="00C13372">
        <w:rPr>
          <w:rFonts w:ascii="Verdana" w:hAnsi="Verdana"/>
          <w:sz w:val="20"/>
          <w:lang w:val="es-CO"/>
        </w:rPr>
        <w:lastRenderedPageBreak/>
        <w:t>provisional por los delitos de genocidio, lesa humanidad y guerra</w:t>
      </w:r>
      <w:r w:rsidR="00C13372">
        <w:rPr>
          <w:rFonts w:ascii="Verdana" w:hAnsi="Verdana"/>
          <w:sz w:val="20"/>
          <w:lang w:val="es-CO"/>
        </w:rPr>
        <w:t xml:space="preserve">”. </w:t>
      </w:r>
      <w:r w:rsidR="00BC6739">
        <w:rPr>
          <w:rFonts w:ascii="Verdana" w:hAnsi="Verdana"/>
          <w:sz w:val="20"/>
          <w:lang w:val="es-CO"/>
        </w:rPr>
        <w:t xml:space="preserve">Además, agregó </w:t>
      </w:r>
      <w:r w:rsidR="00C13372">
        <w:rPr>
          <w:rFonts w:ascii="Verdana" w:hAnsi="Verdana"/>
          <w:sz w:val="20"/>
          <w:lang w:val="es-CO"/>
        </w:rPr>
        <w:t xml:space="preserve">que tanto la Constitución Federal de 1988 </w:t>
      </w:r>
      <w:r w:rsidR="00BC6739">
        <w:rPr>
          <w:rFonts w:ascii="Verdana" w:hAnsi="Verdana"/>
          <w:sz w:val="20"/>
          <w:lang w:val="es-CO"/>
        </w:rPr>
        <w:t>como</w:t>
      </w:r>
      <w:r w:rsidR="00C13372">
        <w:rPr>
          <w:rFonts w:ascii="Verdana" w:hAnsi="Verdana"/>
          <w:sz w:val="20"/>
          <w:lang w:val="es-CO"/>
        </w:rPr>
        <w:t xml:space="preserve"> </w:t>
      </w:r>
      <w:r w:rsidR="00C13372" w:rsidRPr="00C13372">
        <w:rPr>
          <w:rFonts w:ascii="Verdana" w:hAnsi="Verdana"/>
          <w:sz w:val="20"/>
          <w:lang w:val="es-CO"/>
        </w:rPr>
        <w:t xml:space="preserve">el artículo 2 de la Ley No. 8072 de 1990, ya </w:t>
      </w:r>
      <w:r w:rsidR="00EC5CF0">
        <w:rPr>
          <w:rFonts w:ascii="Verdana" w:hAnsi="Verdana"/>
          <w:sz w:val="20"/>
          <w:lang w:val="es-CO"/>
        </w:rPr>
        <w:t>establecen que no procede la aplicación</w:t>
      </w:r>
      <w:r w:rsidR="00C13372" w:rsidRPr="00C13372">
        <w:rPr>
          <w:rFonts w:ascii="Verdana" w:hAnsi="Verdana"/>
          <w:sz w:val="20"/>
          <w:lang w:val="es-CO"/>
        </w:rPr>
        <w:t xml:space="preserve"> de</w:t>
      </w:r>
      <w:r w:rsidR="00C13372">
        <w:rPr>
          <w:rFonts w:ascii="Verdana" w:hAnsi="Verdana"/>
          <w:sz w:val="20"/>
          <w:lang w:val="es-CO"/>
        </w:rPr>
        <w:t xml:space="preserve"> gracia o </w:t>
      </w:r>
      <w:proofErr w:type="spellStart"/>
      <w:r w:rsidR="00C13372">
        <w:rPr>
          <w:rFonts w:ascii="Verdana" w:hAnsi="Verdana"/>
          <w:sz w:val="20"/>
          <w:lang w:val="es-CO"/>
        </w:rPr>
        <w:t>aministía</w:t>
      </w:r>
      <w:proofErr w:type="spellEnd"/>
      <w:r w:rsidR="00C13372">
        <w:rPr>
          <w:rFonts w:ascii="Verdana" w:hAnsi="Verdana"/>
          <w:sz w:val="20"/>
          <w:lang w:val="es-CO"/>
        </w:rPr>
        <w:t xml:space="preserve"> </w:t>
      </w:r>
      <w:r w:rsidR="00EC5CF0">
        <w:rPr>
          <w:rFonts w:ascii="Verdana" w:hAnsi="Verdana"/>
          <w:sz w:val="20"/>
          <w:lang w:val="es-CO"/>
        </w:rPr>
        <w:t xml:space="preserve">a </w:t>
      </w:r>
      <w:r w:rsidR="00C13372">
        <w:rPr>
          <w:rFonts w:ascii="Verdana" w:hAnsi="Verdana"/>
          <w:sz w:val="20"/>
          <w:lang w:val="es-CO"/>
        </w:rPr>
        <w:t xml:space="preserve">la </w:t>
      </w:r>
      <w:r w:rsidR="00EC5CF0">
        <w:rPr>
          <w:rFonts w:ascii="Verdana" w:hAnsi="Verdana"/>
          <w:sz w:val="20"/>
          <w:lang w:val="es-CO"/>
        </w:rPr>
        <w:t>tortura</w:t>
      </w:r>
      <w:r w:rsidR="00C13372">
        <w:rPr>
          <w:rFonts w:ascii="Verdana" w:hAnsi="Verdana"/>
          <w:sz w:val="20"/>
          <w:lang w:val="es-CO"/>
        </w:rPr>
        <w:t xml:space="preserve"> y </w:t>
      </w:r>
      <w:r w:rsidR="00EC5CF0">
        <w:rPr>
          <w:rFonts w:ascii="Verdana" w:hAnsi="Verdana"/>
          <w:sz w:val="20"/>
          <w:lang w:val="es-CO"/>
        </w:rPr>
        <w:t>“</w:t>
      </w:r>
      <w:r w:rsidR="00A10FE6">
        <w:rPr>
          <w:rFonts w:ascii="Verdana" w:hAnsi="Verdana"/>
          <w:sz w:val="20"/>
          <w:lang w:val="es-CO"/>
        </w:rPr>
        <w:t>crímenes</w:t>
      </w:r>
      <w:r w:rsidR="00C13372">
        <w:rPr>
          <w:rFonts w:ascii="Verdana" w:hAnsi="Verdana"/>
          <w:sz w:val="20"/>
          <w:lang w:val="es-CO"/>
        </w:rPr>
        <w:t xml:space="preserve"> atroces”</w:t>
      </w:r>
      <w:r w:rsidR="00C13372">
        <w:rPr>
          <w:rStyle w:val="Refdenotaalpie"/>
          <w:rFonts w:ascii="Verdana" w:hAnsi="Verdana"/>
          <w:sz w:val="20"/>
          <w:lang w:val="es-CO"/>
        </w:rPr>
        <w:footnoteReference w:id="23"/>
      </w:r>
      <w:r w:rsidR="00E74032">
        <w:rPr>
          <w:rFonts w:ascii="Verdana" w:hAnsi="Verdana"/>
          <w:sz w:val="20"/>
          <w:lang w:val="es-CO"/>
        </w:rPr>
        <w:t>.</w:t>
      </w:r>
    </w:p>
    <w:p w14:paraId="3EF015E1" w14:textId="3F2673E6" w:rsidR="00C4025B" w:rsidRPr="00C70116" w:rsidRDefault="00F061FB" w:rsidP="00D72C5D">
      <w:pPr>
        <w:pStyle w:val="ColorfulList-Accent11"/>
        <w:numPr>
          <w:ilvl w:val="0"/>
          <w:numId w:val="3"/>
        </w:numPr>
        <w:spacing w:before="120" w:after="120"/>
        <w:ind w:left="0" w:firstLine="0"/>
        <w:contextualSpacing w:val="0"/>
        <w:jc w:val="both"/>
        <w:rPr>
          <w:rFonts w:ascii="Verdana" w:hAnsi="Verdana"/>
          <w:i/>
          <w:sz w:val="20"/>
          <w:lang w:val="es-CO"/>
        </w:rPr>
      </w:pPr>
      <w:r w:rsidRPr="002C1044">
        <w:rPr>
          <w:rFonts w:ascii="Verdana" w:hAnsi="Verdana"/>
          <w:sz w:val="20"/>
          <w:lang w:val="es-CO"/>
        </w:rPr>
        <w:t xml:space="preserve">Por su parte, los representantes observaron que los proyectos de ley </w:t>
      </w:r>
      <w:r w:rsidR="00784FFD">
        <w:rPr>
          <w:rFonts w:ascii="Verdana" w:hAnsi="Verdana"/>
          <w:sz w:val="20"/>
          <w:lang w:val="es-CO"/>
        </w:rPr>
        <w:t>enumerados</w:t>
      </w:r>
      <w:r w:rsidRPr="002C1044">
        <w:rPr>
          <w:rFonts w:ascii="Verdana" w:hAnsi="Verdana"/>
          <w:sz w:val="20"/>
          <w:lang w:val="es-CO"/>
        </w:rPr>
        <w:t xml:space="preserve"> </w:t>
      </w:r>
      <w:r w:rsidR="00BC6739">
        <w:rPr>
          <w:rFonts w:ascii="Verdana" w:hAnsi="Verdana"/>
          <w:sz w:val="20"/>
          <w:lang w:val="es-CO"/>
        </w:rPr>
        <w:t>“</w:t>
      </w:r>
      <w:r w:rsidRPr="002C1044">
        <w:rPr>
          <w:rFonts w:ascii="Verdana" w:hAnsi="Verdana"/>
          <w:sz w:val="20"/>
          <w:lang w:val="es-CO"/>
        </w:rPr>
        <w:t>llevan más de 10 años en el Congreso Nacional sin haber dado frutos”</w:t>
      </w:r>
      <w:r w:rsidR="004768BA">
        <w:rPr>
          <w:rFonts w:ascii="Verdana" w:hAnsi="Verdana"/>
          <w:sz w:val="20"/>
          <w:lang w:val="es-CO"/>
        </w:rPr>
        <w:t>. Aclararon que</w:t>
      </w:r>
      <w:r w:rsidRPr="002C1044">
        <w:rPr>
          <w:rFonts w:ascii="Verdana" w:hAnsi="Verdana"/>
          <w:sz w:val="20"/>
          <w:lang w:val="es-CO"/>
        </w:rPr>
        <w:t xml:space="preserve"> el “Proyecto de Ley 4038/2008 se adjuntó al Proyecto de Ley 301/2007”</w:t>
      </w:r>
      <w:r w:rsidR="004768BA">
        <w:rPr>
          <w:rFonts w:ascii="Verdana" w:hAnsi="Verdana"/>
          <w:sz w:val="20"/>
          <w:lang w:val="es-CO"/>
        </w:rPr>
        <w:t xml:space="preserve">, el cual, a su vez, </w:t>
      </w:r>
      <w:r w:rsidRPr="002C1044">
        <w:rPr>
          <w:rFonts w:ascii="Verdana" w:hAnsi="Verdana"/>
          <w:sz w:val="20"/>
          <w:lang w:val="es-CO"/>
        </w:rPr>
        <w:t xml:space="preserve">“fue puesto en la agenda de discusión el 12 de junio de 2013, pero no fue considerado por falta de quórum”, </w:t>
      </w:r>
      <w:r w:rsidR="00E06A7B">
        <w:rPr>
          <w:rFonts w:ascii="Verdana" w:hAnsi="Verdana"/>
          <w:sz w:val="20"/>
          <w:lang w:val="es-CO"/>
        </w:rPr>
        <w:t>agregando</w:t>
      </w:r>
      <w:r w:rsidRPr="002C1044">
        <w:rPr>
          <w:rFonts w:ascii="Verdana" w:hAnsi="Verdana"/>
          <w:sz w:val="20"/>
          <w:lang w:val="es-CO"/>
        </w:rPr>
        <w:t xml:space="preserve"> que </w:t>
      </w:r>
      <w:r w:rsidR="00E06A7B">
        <w:rPr>
          <w:rFonts w:ascii="Verdana" w:hAnsi="Verdana"/>
          <w:sz w:val="20"/>
          <w:lang w:val="es-CO"/>
        </w:rPr>
        <w:t xml:space="preserve">su </w:t>
      </w:r>
      <w:r w:rsidRPr="002C1044">
        <w:rPr>
          <w:rFonts w:ascii="Verdana" w:hAnsi="Verdana"/>
          <w:sz w:val="20"/>
          <w:lang w:val="es-CO"/>
        </w:rPr>
        <w:t>“último desarrollo</w:t>
      </w:r>
      <w:r w:rsidR="00E06A7B">
        <w:rPr>
          <w:rFonts w:ascii="Verdana" w:hAnsi="Verdana"/>
          <w:sz w:val="20"/>
          <w:lang w:val="es-CO"/>
        </w:rPr>
        <w:t>”</w:t>
      </w:r>
      <w:r w:rsidRPr="002C1044">
        <w:rPr>
          <w:rFonts w:ascii="Verdana" w:hAnsi="Verdana"/>
          <w:sz w:val="20"/>
          <w:lang w:val="es-CO"/>
        </w:rPr>
        <w:t xml:space="preserve"> fue un </w:t>
      </w:r>
      <w:r w:rsidR="00E06A7B">
        <w:rPr>
          <w:rFonts w:ascii="Verdana" w:hAnsi="Verdana"/>
          <w:sz w:val="20"/>
          <w:lang w:val="es-CO"/>
        </w:rPr>
        <w:t>“</w:t>
      </w:r>
      <w:r w:rsidRPr="002C1044">
        <w:rPr>
          <w:rFonts w:ascii="Verdana" w:hAnsi="Verdana"/>
          <w:sz w:val="20"/>
          <w:lang w:val="es-CO"/>
        </w:rPr>
        <w:t xml:space="preserve">intento [de] inclusión </w:t>
      </w:r>
      <w:r w:rsidR="00E06A7B">
        <w:rPr>
          <w:rFonts w:ascii="Verdana" w:hAnsi="Verdana"/>
          <w:sz w:val="20"/>
          <w:lang w:val="es-CO"/>
        </w:rPr>
        <w:t>[…]</w:t>
      </w:r>
      <w:r w:rsidRPr="002C1044">
        <w:rPr>
          <w:rFonts w:ascii="Verdana" w:hAnsi="Verdana"/>
          <w:sz w:val="20"/>
          <w:lang w:val="es-CO"/>
        </w:rPr>
        <w:t xml:space="preserve"> en la agenda”</w:t>
      </w:r>
      <w:r w:rsidR="00E06A7B">
        <w:rPr>
          <w:rFonts w:ascii="Verdana" w:hAnsi="Verdana"/>
          <w:sz w:val="20"/>
          <w:lang w:val="es-CO"/>
        </w:rPr>
        <w:t>,</w:t>
      </w:r>
      <w:r w:rsidRPr="002C1044">
        <w:rPr>
          <w:rFonts w:ascii="Verdana" w:hAnsi="Verdana"/>
          <w:sz w:val="20"/>
          <w:lang w:val="es-CO"/>
        </w:rPr>
        <w:t xml:space="preserve"> en junio de 2018. </w:t>
      </w:r>
      <w:r w:rsidR="004768BA">
        <w:rPr>
          <w:rFonts w:ascii="Verdana" w:hAnsi="Verdana"/>
          <w:sz w:val="20"/>
          <w:lang w:val="es-CO"/>
        </w:rPr>
        <w:t xml:space="preserve">Asimismo, </w:t>
      </w:r>
      <w:r w:rsidR="00E11E4B">
        <w:rPr>
          <w:rFonts w:ascii="Verdana" w:hAnsi="Verdana"/>
          <w:sz w:val="20"/>
          <w:lang w:val="es-CO"/>
        </w:rPr>
        <w:t>indicaron</w:t>
      </w:r>
      <w:r w:rsidR="004768BA">
        <w:rPr>
          <w:rFonts w:ascii="Verdana" w:hAnsi="Verdana"/>
          <w:sz w:val="20"/>
          <w:lang w:val="es-CO"/>
        </w:rPr>
        <w:t xml:space="preserve"> que e</w:t>
      </w:r>
      <w:r w:rsidRPr="002C1044">
        <w:rPr>
          <w:rFonts w:ascii="Verdana" w:hAnsi="Verdana"/>
          <w:sz w:val="20"/>
          <w:lang w:val="es-CO"/>
        </w:rPr>
        <w:t xml:space="preserve">l texto constitucional </w:t>
      </w:r>
      <w:r w:rsidR="00E06A7B">
        <w:rPr>
          <w:rFonts w:ascii="Verdana" w:hAnsi="Verdana"/>
          <w:sz w:val="20"/>
          <w:lang w:val="es-CO"/>
        </w:rPr>
        <w:t>me</w:t>
      </w:r>
      <w:r w:rsidR="00E11E4B">
        <w:rPr>
          <w:rFonts w:ascii="Verdana" w:hAnsi="Verdana"/>
          <w:sz w:val="20"/>
          <w:lang w:val="es-CO"/>
        </w:rPr>
        <w:t>n</w:t>
      </w:r>
      <w:r w:rsidR="00E06A7B">
        <w:rPr>
          <w:rFonts w:ascii="Verdana" w:hAnsi="Verdana"/>
          <w:sz w:val="20"/>
          <w:lang w:val="es-CO"/>
        </w:rPr>
        <w:t>c</w:t>
      </w:r>
      <w:r w:rsidR="00E11E4B">
        <w:rPr>
          <w:rFonts w:ascii="Verdana" w:hAnsi="Verdana"/>
          <w:sz w:val="20"/>
          <w:lang w:val="es-CO"/>
        </w:rPr>
        <w:t xml:space="preserve">ionado por el Estado </w:t>
      </w:r>
      <w:r w:rsidRPr="002C1044">
        <w:rPr>
          <w:rFonts w:ascii="Verdana" w:hAnsi="Verdana"/>
          <w:sz w:val="20"/>
          <w:lang w:val="es-CO"/>
        </w:rPr>
        <w:t>y la referida Ley No. 8072</w:t>
      </w:r>
      <w:r w:rsidR="004768BA">
        <w:rPr>
          <w:rFonts w:ascii="Verdana" w:hAnsi="Verdana"/>
          <w:sz w:val="20"/>
          <w:lang w:val="es-CO"/>
        </w:rPr>
        <w:t xml:space="preserve"> </w:t>
      </w:r>
      <w:r w:rsidR="004D274C">
        <w:rPr>
          <w:rFonts w:ascii="Verdana" w:hAnsi="Verdana"/>
          <w:sz w:val="20"/>
          <w:lang w:val="es-CO"/>
        </w:rPr>
        <w:t xml:space="preserve">no </w:t>
      </w:r>
      <w:r w:rsidR="004768BA">
        <w:rPr>
          <w:rFonts w:ascii="Verdana" w:hAnsi="Verdana"/>
          <w:sz w:val="20"/>
          <w:lang w:val="es-CO"/>
        </w:rPr>
        <w:t>resultan “</w:t>
      </w:r>
      <w:r w:rsidR="004D274C">
        <w:rPr>
          <w:rFonts w:ascii="Verdana" w:hAnsi="Verdana"/>
          <w:sz w:val="20"/>
          <w:lang w:val="es-CO"/>
        </w:rPr>
        <w:t>suficiente</w:t>
      </w:r>
      <w:r w:rsidR="004768BA">
        <w:rPr>
          <w:rFonts w:ascii="Verdana" w:hAnsi="Verdana"/>
          <w:sz w:val="20"/>
          <w:lang w:val="es-CO"/>
        </w:rPr>
        <w:t>[s]</w:t>
      </w:r>
      <w:r w:rsidR="004D274C">
        <w:rPr>
          <w:rFonts w:ascii="Verdana" w:hAnsi="Verdana"/>
          <w:sz w:val="20"/>
          <w:lang w:val="es-CO"/>
        </w:rPr>
        <w:t xml:space="preserve"> para </w:t>
      </w:r>
      <w:r w:rsidRPr="002C1044">
        <w:rPr>
          <w:rFonts w:ascii="Verdana" w:hAnsi="Verdana"/>
          <w:sz w:val="20"/>
          <w:lang w:val="es-CO"/>
        </w:rPr>
        <w:t xml:space="preserve">cumplir con la adecuación legislativa determinada por [la] Corte”, </w:t>
      </w:r>
      <w:r w:rsidR="00E11E4B">
        <w:rPr>
          <w:rFonts w:ascii="Verdana" w:hAnsi="Verdana"/>
          <w:sz w:val="20"/>
          <w:lang w:val="es-CO"/>
        </w:rPr>
        <w:t xml:space="preserve">en tanto </w:t>
      </w:r>
      <w:r w:rsidRPr="002C1044">
        <w:rPr>
          <w:rFonts w:ascii="Verdana" w:hAnsi="Verdana"/>
          <w:sz w:val="20"/>
          <w:lang w:val="es-CO"/>
        </w:rPr>
        <w:t>al momento del dictado de la Sentencia “estos instrumentos legales ya se encontraban vigentes</w:t>
      </w:r>
      <w:r w:rsidR="00E06A7B">
        <w:rPr>
          <w:rFonts w:ascii="Verdana" w:hAnsi="Verdana"/>
          <w:sz w:val="20"/>
          <w:lang w:val="es-CO"/>
        </w:rPr>
        <w:t xml:space="preserve"> en el ordenamiento jurídico interno y </w:t>
      </w:r>
      <w:proofErr w:type="spellStart"/>
      <w:r w:rsidR="00E06A7B">
        <w:rPr>
          <w:rFonts w:ascii="Verdana" w:hAnsi="Verdana"/>
          <w:sz w:val="20"/>
          <w:lang w:val="es-CO"/>
        </w:rPr>
        <w:t>aún</w:t>
      </w:r>
      <w:proofErr w:type="spellEnd"/>
      <w:r w:rsidR="00E06A7B">
        <w:rPr>
          <w:rFonts w:ascii="Verdana" w:hAnsi="Verdana"/>
          <w:sz w:val="20"/>
          <w:lang w:val="es-CO"/>
        </w:rPr>
        <w:t xml:space="preserve"> así la […] Corte optó por determinar que se adoptaran medidas para garantizar la imprescriptibilidad de los crímenes de lesa humanidad”. Además, objetaron que dichas disposiciones</w:t>
      </w:r>
      <w:r w:rsidR="002C1044">
        <w:rPr>
          <w:rFonts w:ascii="Verdana" w:hAnsi="Verdana"/>
          <w:sz w:val="20"/>
          <w:lang w:val="es-CO"/>
        </w:rPr>
        <w:t xml:space="preserve"> “no prevén específicamente </w:t>
      </w:r>
      <w:r w:rsidR="004D274C">
        <w:rPr>
          <w:rFonts w:ascii="Verdana" w:hAnsi="Verdana"/>
          <w:sz w:val="20"/>
          <w:lang w:val="es-CO"/>
        </w:rPr>
        <w:t>[la]</w:t>
      </w:r>
      <w:r w:rsidR="002C1044">
        <w:rPr>
          <w:rFonts w:ascii="Verdana" w:hAnsi="Verdana"/>
          <w:sz w:val="20"/>
          <w:lang w:val="es-CO"/>
        </w:rPr>
        <w:t xml:space="preserve"> </w:t>
      </w:r>
      <w:proofErr w:type="spellStart"/>
      <w:r w:rsidR="002C1044">
        <w:rPr>
          <w:rFonts w:ascii="Verdana" w:hAnsi="Verdana"/>
          <w:sz w:val="20"/>
          <w:lang w:val="es-CO"/>
        </w:rPr>
        <w:t>imprescritibilidad</w:t>
      </w:r>
      <w:proofErr w:type="spellEnd"/>
      <w:r w:rsidR="002C1044">
        <w:rPr>
          <w:rFonts w:ascii="Verdana" w:hAnsi="Verdana"/>
          <w:sz w:val="20"/>
          <w:lang w:val="es-CO"/>
        </w:rPr>
        <w:t>”</w:t>
      </w:r>
      <w:r w:rsidR="004D274C">
        <w:rPr>
          <w:rFonts w:ascii="Verdana" w:hAnsi="Verdana"/>
          <w:sz w:val="20"/>
          <w:lang w:val="es-CO"/>
        </w:rPr>
        <w:t xml:space="preserve"> de </w:t>
      </w:r>
      <w:r w:rsidR="00AC15A6">
        <w:rPr>
          <w:rFonts w:ascii="Verdana" w:hAnsi="Verdana"/>
          <w:sz w:val="20"/>
          <w:lang w:val="es-CO"/>
        </w:rPr>
        <w:t xml:space="preserve">los </w:t>
      </w:r>
      <w:r w:rsidR="004D274C">
        <w:rPr>
          <w:rFonts w:ascii="Verdana" w:hAnsi="Verdana"/>
          <w:sz w:val="20"/>
          <w:lang w:val="es-CO"/>
        </w:rPr>
        <w:t>crímenes de lesa humanidad</w:t>
      </w:r>
      <w:r w:rsidR="002C1044">
        <w:rPr>
          <w:rStyle w:val="Refdenotaalpie"/>
          <w:rFonts w:ascii="Verdana" w:hAnsi="Verdana"/>
          <w:sz w:val="20"/>
          <w:lang w:val="es-CO"/>
        </w:rPr>
        <w:footnoteReference w:id="24"/>
      </w:r>
      <w:r w:rsidR="002C1044">
        <w:rPr>
          <w:rFonts w:ascii="Verdana" w:hAnsi="Verdana"/>
          <w:sz w:val="20"/>
          <w:lang w:val="es-CO"/>
        </w:rPr>
        <w:t xml:space="preserve">. </w:t>
      </w:r>
    </w:p>
    <w:p w14:paraId="413903DD" w14:textId="28ADA348" w:rsidR="00C70116" w:rsidRDefault="00C70116" w:rsidP="00C70116">
      <w:pPr>
        <w:pStyle w:val="ColorfulList-Accent11"/>
        <w:spacing w:before="120" w:after="120"/>
        <w:ind w:left="0"/>
        <w:contextualSpacing w:val="0"/>
        <w:jc w:val="both"/>
        <w:rPr>
          <w:rFonts w:ascii="Verdana" w:hAnsi="Verdana"/>
          <w:sz w:val="20"/>
          <w:lang w:val="es-CO"/>
        </w:rPr>
      </w:pPr>
    </w:p>
    <w:p w14:paraId="285DCCE9" w14:textId="66E48651" w:rsidR="00C70116" w:rsidRPr="009A1556" w:rsidRDefault="00C70116" w:rsidP="00C70116">
      <w:pPr>
        <w:pStyle w:val="ColorfulList-Accent11"/>
        <w:spacing w:before="120" w:after="120"/>
        <w:contextualSpacing w:val="0"/>
        <w:jc w:val="both"/>
        <w:rPr>
          <w:rFonts w:ascii="Verdana" w:hAnsi="Verdana"/>
          <w:i/>
          <w:sz w:val="20"/>
          <w:lang w:val="es-CO"/>
        </w:rPr>
      </w:pPr>
      <w:r>
        <w:rPr>
          <w:rFonts w:ascii="Verdana" w:hAnsi="Verdana"/>
          <w:i/>
          <w:sz w:val="20"/>
          <w:lang w:val="es-CO"/>
        </w:rPr>
        <w:t>B.3. Consideraciones de la Corte</w:t>
      </w:r>
    </w:p>
    <w:p w14:paraId="662ACDF0" w14:textId="14F4C190" w:rsidR="00C02C99" w:rsidRPr="00D72C5D" w:rsidRDefault="00C02C99" w:rsidP="004D274C">
      <w:pPr>
        <w:pStyle w:val="ColorfulList-Accent11"/>
        <w:numPr>
          <w:ilvl w:val="0"/>
          <w:numId w:val="3"/>
        </w:numPr>
        <w:spacing w:before="120" w:after="120"/>
        <w:ind w:left="0" w:firstLine="0"/>
        <w:contextualSpacing w:val="0"/>
        <w:jc w:val="both"/>
        <w:rPr>
          <w:rFonts w:ascii="Verdana" w:hAnsi="Verdana"/>
          <w:i/>
          <w:sz w:val="20"/>
          <w:lang w:val="es-CO"/>
        </w:rPr>
      </w:pPr>
      <w:r>
        <w:rPr>
          <w:rFonts w:ascii="Verdana" w:hAnsi="Verdana"/>
          <w:sz w:val="20"/>
          <w:lang w:val="es-CO"/>
        </w:rPr>
        <w:t xml:space="preserve">De la información presentada por las partes, este </w:t>
      </w:r>
      <w:r w:rsidR="00825281">
        <w:rPr>
          <w:rFonts w:ascii="Verdana" w:hAnsi="Verdana"/>
          <w:sz w:val="20"/>
          <w:lang w:val="es-CO"/>
        </w:rPr>
        <w:t>Tribunal nota</w:t>
      </w:r>
      <w:r>
        <w:rPr>
          <w:rFonts w:ascii="Verdana" w:hAnsi="Verdana"/>
          <w:sz w:val="20"/>
          <w:lang w:val="es-CO"/>
        </w:rPr>
        <w:t xml:space="preserve"> que el Estado no ha adoptado acción alguna tendiente al cumplimiento de la presente garantía de no repetición. En efecto, Brasil se limitó a hacer referencia a normativa que ya estaba vigente al momento en que se emitió la Sentencia, así como a reiterar que se encuentran en trámite dos proyectos de ley, información que ya había sido aportada por el Estado en su escrito de contestación durante la etapa de fondo del presente caso y valorada por esa Corte al momento de ordenar la presen</w:t>
      </w:r>
      <w:r w:rsidR="00FB634F">
        <w:rPr>
          <w:rFonts w:ascii="Verdana" w:hAnsi="Verdana"/>
          <w:sz w:val="20"/>
          <w:lang w:val="es-CO"/>
        </w:rPr>
        <w:t>t</w:t>
      </w:r>
      <w:r>
        <w:rPr>
          <w:rFonts w:ascii="Verdana" w:hAnsi="Verdana"/>
          <w:sz w:val="20"/>
          <w:lang w:val="es-CO"/>
        </w:rPr>
        <w:t>e garantía de no repetición</w:t>
      </w:r>
      <w:r>
        <w:rPr>
          <w:rStyle w:val="Refdenotaalpie"/>
          <w:rFonts w:ascii="Verdana" w:hAnsi="Verdana"/>
          <w:sz w:val="20"/>
          <w:lang w:val="es-CO"/>
        </w:rPr>
        <w:footnoteReference w:id="25"/>
      </w:r>
      <w:r>
        <w:rPr>
          <w:rFonts w:ascii="Verdana" w:hAnsi="Verdana"/>
          <w:sz w:val="20"/>
          <w:lang w:val="es-CO"/>
        </w:rPr>
        <w:t xml:space="preserve">. Asimismo, </w:t>
      </w:r>
      <w:r w:rsidR="00FB634F">
        <w:rPr>
          <w:rFonts w:ascii="Verdana" w:hAnsi="Verdana"/>
          <w:sz w:val="20"/>
          <w:lang w:val="es-CO"/>
        </w:rPr>
        <w:t xml:space="preserve">resulta preocupante </w:t>
      </w:r>
      <w:r>
        <w:rPr>
          <w:rFonts w:ascii="Verdana" w:hAnsi="Verdana"/>
          <w:sz w:val="20"/>
          <w:lang w:val="es-CO"/>
        </w:rPr>
        <w:t xml:space="preserve">que dichos proyectos no han tenido </w:t>
      </w:r>
      <w:r w:rsidR="00FB634F">
        <w:rPr>
          <w:rFonts w:ascii="Verdana" w:hAnsi="Verdana"/>
          <w:sz w:val="20"/>
          <w:lang w:val="es-CO"/>
        </w:rPr>
        <w:t xml:space="preserve">avance </w:t>
      </w:r>
      <w:r w:rsidR="006A73BF">
        <w:rPr>
          <w:rFonts w:ascii="Verdana" w:hAnsi="Verdana"/>
          <w:sz w:val="20"/>
          <w:lang w:val="es-CO"/>
        </w:rPr>
        <w:t xml:space="preserve">en su </w:t>
      </w:r>
      <w:proofErr w:type="spellStart"/>
      <w:r w:rsidR="006A73BF">
        <w:rPr>
          <w:rFonts w:ascii="Verdana" w:hAnsi="Verdana"/>
          <w:sz w:val="20"/>
          <w:lang w:val="es-CO"/>
        </w:rPr>
        <w:t>tramite</w:t>
      </w:r>
      <w:proofErr w:type="spellEnd"/>
      <w:r w:rsidR="006A73BF">
        <w:rPr>
          <w:rFonts w:ascii="Verdana" w:hAnsi="Verdana"/>
          <w:sz w:val="20"/>
          <w:lang w:val="es-CO"/>
        </w:rPr>
        <w:t xml:space="preserve"> </w:t>
      </w:r>
      <w:r w:rsidR="00FB634F">
        <w:rPr>
          <w:rFonts w:ascii="Verdana" w:hAnsi="Verdana"/>
          <w:sz w:val="20"/>
          <w:lang w:val="es-CO"/>
        </w:rPr>
        <w:t xml:space="preserve">en el órgano legislativo durante más de diez </w:t>
      </w:r>
      <w:r>
        <w:rPr>
          <w:rFonts w:ascii="Verdana" w:hAnsi="Verdana"/>
          <w:sz w:val="20"/>
          <w:lang w:val="es-CO"/>
        </w:rPr>
        <w:t>años</w:t>
      </w:r>
      <w:r w:rsidR="006A73BF">
        <w:rPr>
          <w:rFonts w:ascii="Verdana" w:hAnsi="Verdana"/>
          <w:sz w:val="20"/>
          <w:lang w:val="es-CO"/>
        </w:rPr>
        <w:t xml:space="preserve"> y que durante los tres años en que este caso ha estado en etapa de cumplimiento de sentencia no se ha efectuado acción alguna por parte del Ejecutivo para impulsar su inclusión en la agenda</w:t>
      </w:r>
      <w:r>
        <w:rPr>
          <w:rFonts w:ascii="Verdana" w:hAnsi="Verdana"/>
          <w:sz w:val="20"/>
          <w:lang w:val="es-CO"/>
        </w:rPr>
        <w:t xml:space="preserve">, según lo informado por los representantes y no controvertido por el Estado. </w:t>
      </w:r>
      <w:r w:rsidR="00FB634F">
        <w:rPr>
          <w:rFonts w:ascii="Verdana" w:hAnsi="Verdana"/>
          <w:sz w:val="20"/>
          <w:lang w:val="es-CO"/>
        </w:rPr>
        <w:t>A ello se suma que el Estado no ha informado de ninguna otra medida</w:t>
      </w:r>
      <w:r w:rsidR="006A73BF">
        <w:rPr>
          <w:rFonts w:ascii="Verdana" w:hAnsi="Verdana"/>
          <w:sz w:val="20"/>
          <w:lang w:val="es-CO"/>
        </w:rPr>
        <w:t xml:space="preserve"> (en el ámbito judicial, administrativo u otros)</w:t>
      </w:r>
      <w:r w:rsidR="00610146">
        <w:rPr>
          <w:rFonts w:ascii="Verdana" w:hAnsi="Verdana"/>
          <w:sz w:val="20"/>
          <w:lang w:val="es-CO"/>
        </w:rPr>
        <w:t>, aparte de las normativas,</w:t>
      </w:r>
      <w:r w:rsidR="00FB634F">
        <w:rPr>
          <w:rFonts w:ascii="Verdana" w:hAnsi="Verdana"/>
          <w:sz w:val="20"/>
          <w:lang w:val="es-CO"/>
        </w:rPr>
        <w:t xml:space="preserve"> adoptada </w:t>
      </w:r>
      <w:r w:rsidR="00610146">
        <w:rPr>
          <w:rFonts w:ascii="Verdana" w:hAnsi="Verdana"/>
          <w:sz w:val="20"/>
          <w:lang w:val="es-CO"/>
        </w:rPr>
        <w:t xml:space="preserve">con el fin de que se reconozca </w:t>
      </w:r>
      <w:r w:rsidR="00610146" w:rsidRPr="00026555">
        <w:rPr>
          <w:rFonts w:ascii="Verdana" w:hAnsi="Verdana"/>
          <w:sz w:val="20"/>
        </w:rPr>
        <w:t xml:space="preserve">la imprescriptibilidad de </w:t>
      </w:r>
      <w:r w:rsidR="00610146">
        <w:rPr>
          <w:rFonts w:ascii="Verdana" w:hAnsi="Verdana"/>
          <w:sz w:val="20"/>
        </w:rPr>
        <w:t xml:space="preserve">los </w:t>
      </w:r>
      <w:r w:rsidR="00610146" w:rsidRPr="00026555">
        <w:rPr>
          <w:rFonts w:ascii="Verdana" w:hAnsi="Verdana"/>
          <w:sz w:val="20"/>
        </w:rPr>
        <w:t>crímenes de lesa humanidad e internacionales</w:t>
      </w:r>
      <w:r w:rsidR="00610146">
        <w:rPr>
          <w:rFonts w:ascii="Verdana" w:hAnsi="Verdana"/>
          <w:sz w:val="20"/>
        </w:rPr>
        <w:t>.</w:t>
      </w:r>
      <w:r w:rsidR="00983087">
        <w:rPr>
          <w:rFonts w:ascii="Verdana" w:hAnsi="Verdana"/>
          <w:sz w:val="20"/>
        </w:rPr>
        <w:t xml:space="preserve"> </w:t>
      </w:r>
      <w:r w:rsidR="00ED2AD7">
        <w:rPr>
          <w:rFonts w:ascii="Verdana" w:hAnsi="Verdana"/>
          <w:sz w:val="20"/>
        </w:rPr>
        <w:t>Por el contrario, esta Corte ha constatado que, en el presente caso, la aplicación de esta eximente por parte del Ministerio Público a crímenes de lesa humanidad e internacionales, continúa representando un obstáculo para la investigación (</w:t>
      </w:r>
      <w:r w:rsidR="00ED2AD7">
        <w:rPr>
          <w:rFonts w:ascii="Verdana" w:hAnsi="Verdana"/>
          <w:i/>
          <w:sz w:val="20"/>
        </w:rPr>
        <w:t xml:space="preserve">supra </w:t>
      </w:r>
      <w:r w:rsidR="00ED2AD7">
        <w:rPr>
          <w:rFonts w:ascii="Verdana" w:hAnsi="Verdana"/>
          <w:sz w:val="20"/>
        </w:rPr>
        <w:t>Considerando</w:t>
      </w:r>
      <w:r w:rsidR="001D7478">
        <w:rPr>
          <w:rFonts w:ascii="Verdana" w:hAnsi="Verdana"/>
          <w:sz w:val="20"/>
        </w:rPr>
        <w:t>s 7 a 14</w:t>
      </w:r>
      <w:r w:rsidR="00ED2AD7">
        <w:rPr>
          <w:rFonts w:ascii="Verdana" w:hAnsi="Verdana"/>
          <w:sz w:val="20"/>
        </w:rPr>
        <w:t>).</w:t>
      </w:r>
      <w:r w:rsidR="004F5F88">
        <w:rPr>
          <w:rFonts w:ascii="Verdana" w:hAnsi="Verdana"/>
          <w:sz w:val="20"/>
        </w:rPr>
        <w:t xml:space="preserve"> </w:t>
      </w:r>
    </w:p>
    <w:p w14:paraId="2068813B" w14:textId="4CD06498" w:rsidR="004841CB" w:rsidRPr="00EA669D" w:rsidRDefault="00400808" w:rsidP="00400808">
      <w:pPr>
        <w:pStyle w:val="ColorfulList-Accent11"/>
        <w:numPr>
          <w:ilvl w:val="0"/>
          <w:numId w:val="3"/>
        </w:numPr>
        <w:spacing w:before="120" w:after="120"/>
        <w:ind w:left="0" w:firstLine="0"/>
        <w:contextualSpacing w:val="0"/>
        <w:jc w:val="both"/>
        <w:rPr>
          <w:rFonts w:ascii="Verdana" w:hAnsi="Verdana"/>
          <w:i/>
          <w:sz w:val="20"/>
          <w:lang w:val="es-CO"/>
        </w:rPr>
      </w:pPr>
      <w:r>
        <w:rPr>
          <w:rFonts w:ascii="Verdana" w:hAnsi="Verdana"/>
          <w:sz w:val="20"/>
        </w:rPr>
        <w:t xml:space="preserve">Con base en lo expuesto, </w:t>
      </w:r>
      <w:r w:rsidRPr="0057169E">
        <w:rPr>
          <w:rFonts w:ascii="Verdana" w:hAnsi="Verdana"/>
          <w:sz w:val="20"/>
        </w:rPr>
        <w:t xml:space="preserve">el Tribunal considera que se encuentra pendiente de cumplimiento la medida ordenada en el punto </w:t>
      </w:r>
      <w:r>
        <w:rPr>
          <w:rFonts w:ascii="Verdana" w:hAnsi="Verdana"/>
          <w:sz w:val="20"/>
        </w:rPr>
        <w:t>resolutivo</w:t>
      </w:r>
      <w:r w:rsidRPr="0057169E">
        <w:rPr>
          <w:rFonts w:ascii="Verdana" w:hAnsi="Verdana"/>
          <w:sz w:val="20"/>
        </w:rPr>
        <w:t xml:space="preserve"> </w:t>
      </w:r>
      <w:r>
        <w:rPr>
          <w:rFonts w:ascii="Verdana" w:hAnsi="Verdana"/>
          <w:sz w:val="20"/>
        </w:rPr>
        <w:t>octavo</w:t>
      </w:r>
      <w:r w:rsidRPr="0057169E">
        <w:rPr>
          <w:rFonts w:ascii="Verdana" w:hAnsi="Verdana"/>
          <w:sz w:val="20"/>
        </w:rPr>
        <w:t xml:space="preserve"> de la Sentencia</w:t>
      </w:r>
      <w:r>
        <w:rPr>
          <w:rFonts w:ascii="Verdana" w:hAnsi="Verdana"/>
          <w:sz w:val="20"/>
        </w:rPr>
        <w:t xml:space="preserve">. </w:t>
      </w:r>
      <w:r w:rsidR="004841CB" w:rsidRPr="00400808">
        <w:rPr>
          <w:rFonts w:ascii="Verdana" w:hAnsi="Verdana"/>
          <w:sz w:val="20"/>
        </w:rPr>
        <w:t xml:space="preserve">En su próximo informe, Brasil deberá presentar información detallada y actualizada respecto </w:t>
      </w:r>
      <w:r>
        <w:rPr>
          <w:rFonts w:ascii="Verdana" w:hAnsi="Verdana"/>
          <w:sz w:val="20"/>
        </w:rPr>
        <w:t>de</w:t>
      </w:r>
      <w:r w:rsidR="004841CB" w:rsidRPr="00400808">
        <w:rPr>
          <w:rFonts w:ascii="Verdana" w:hAnsi="Verdana"/>
          <w:sz w:val="20"/>
        </w:rPr>
        <w:t xml:space="preserve"> las </w:t>
      </w:r>
      <w:r w:rsidR="00BD7F9F">
        <w:rPr>
          <w:rFonts w:ascii="Verdana" w:hAnsi="Verdana"/>
          <w:sz w:val="20"/>
        </w:rPr>
        <w:t>acciones</w:t>
      </w:r>
      <w:r w:rsidR="004841CB" w:rsidRPr="00400808">
        <w:rPr>
          <w:rFonts w:ascii="Verdana" w:hAnsi="Verdana"/>
          <w:sz w:val="20"/>
        </w:rPr>
        <w:t xml:space="preserve"> emprendidas para dar cumplimiento a lo dispuesto por la C</w:t>
      </w:r>
      <w:r w:rsidR="00AB41AC" w:rsidRPr="00400808">
        <w:rPr>
          <w:rFonts w:ascii="Verdana" w:hAnsi="Verdana"/>
          <w:sz w:val="20"/>
        </w:rPr>
        <w:t>orte.</w:t>
      </w:r>
    </w:p>
    <w:p w14:paraId="71B0065D" w14:textId="77777777" w:rsidR="00EA669D" w:rsidRPr="00217948" w:rsidRDefault="00EA669D" w:rsidP="00EA669D">
      <w:pPr>
        <w:pStyle w:val="ColorfulList-Accent11"/>
        <w:spacing w:before="120" w:after="120"/>
        <w:ind w:left="0"/>
        <w:contextualSpacing w:val="0"/>
        <w:jc w:val="both"/>
        <w:rPr>
          <w:rFonts w:ascii="Verdana" w:hAnsi="Verdana"/>
          <w:i/>
          <w:sz w:val="18"/>
          <w:szCs w:val="18"/>
          <w:lang w:val="es-CO"/>
        </w:rPr>
      </w:pPr>
    </w:p>
    <w:p w14:paraId="7B5D10BB" w14:textId="169801B4" w:rsidR="00C37833" w:rsidRPr="00C37833" w:rsidRDefault="00C37833" w:rsidP="00C02C99">
      <w:pPr>
        <w:pStyle w:val="Ttulo1"/>
        <w:keepNext w:val="0"/>
        <w:widowControl w:val="0"/>
        <w:numPr>
          <w:ilvl w:val="1"/>
          <w:numId w:val="2"/>
        </w:numPr>
        <w:spacing w:before="120" w:after="120"/>
        <w:ind w:left="1134" w:hanging="425"/>
        <w:jc w:val="both"/>
        <w:rPr>
          <w:rFonts w:ascii="Verdana" w:hAnsi="Verdana"/>
          <w:i/>
          <w:sz w:val="20"/>
          <w:lang w:val="es-CO"/>
        </w:rPr>
      </w:pPr>
      <w:bookmarkStart w:id="5" w:name="_Toc70670913"/>
      <w:r w:rsidRPr="00C37833">
        <w:rPr>
          <w:rFonts w:ascii="Verdana" w:hAnsi="Verdana"/>
          <w:i/>
          <w:sz w:val="20"/>
          <w:lang w:val="es-CO"/>
        </w:rPr>
        <w:t>Acto público de reconocimiento de responsabilidad internacional</w:t>
      </w:r>
      <w:bookmarkEnd w:id="5"/>
    </w:p>
    <w:p w14:paraId="3C99F031" w14:textId="6A3E3E22" w:rsidR="00C37833" w:rsidRDefault="00C37833" w:rsidP="00C37833">
      <w:pPr>
        <w:pStyle w:val="ColorfulList-Accent11"/>
        <w:spacing w:before="120" w:after="120"/>
        <w:contextualSpacing w:val="0"/>
        <w:jc w:val="both"/>
        <w:rPr>
          <w:rFonts w:ascii="Verdana" w:hAnsi="Verdana"/>
          <w:i/>
          <w:sz w:val="20"/>
          <w:lang w:val="es-CO"/>
        </w:rPr>
      </w:pPr>
      <w:r>
        <w:rPr>
          <w:rFonts w:ascii="Verdana" w:hAnsi="Verdana"/>
          <w:i/>
          <w:sz w:val="20"/>
          <w:lang w:val="es-CO"/>
        </w:rPr>
        <w:t>C</w:t>
      </w:r>
      <w:r w:rsidRPr="00C37833">
        <w:rPr>
          <w:rFonts w:ascii="Verdana" w:hAnsi="Verdana"/>
          <w:i/>
          <w:sz w:val="20"/>
          <w:lang w:val="es-CO"/>
        </w:rPr>
        <w:t>.1. Medida ordenada por la Corte</w:t>
      </w:r>
    </w:p>
    <w:p w14:paraId="3A3F169D" w14:textId="72B99C02" w:rsidR="00F65EED" w:rsidRPr="00824D58" w:rsidRDefault="00813BA9" w:rsidP="00824D58">
      <w:pPr>
        <w:pStyle w:val="ColorfulList-Accent11"/>
        <w:numPr>
          <w:ilvl w:val="0"/>
          <w:numId w:val="3"/>
        </w:numPr>
        <w:spacing w:before="120" w:after="120"/>
        <w:ind w:left="0" w:firstLine="0"/>
        <w:contextualSpacing w:val="0"/>
        <w:jc w:val="both"/>
        <w:rPr>
          <w:rFonts w:ascii="Verdana" w:hAnsi="Verdana"/>
          <w:sz w:val="20"/>
          <w:lang w:val="es-CO"/>
        </w:rPr>
      </w:pPr>
      <w:r w:rsidRPr="00813BA9">
        <w:rPr>
          <w:rFonts w:ascii="Verdana" w:hAnsi="Verdana"/>
          <w:sz w:val="20"/>
          <w:lang w:val="es-CO"/>
        </w:rPr>
        <w:t xml:space="preserve">En el punto resolutivo </w:t>
      </w:r>
      <w:r>
        <w:rPr>
          <w:rFonts w:ascii="Verdana" w:hAnsi="Verdana"/>
          <w:sz w:val="20"/>
          <w:lang w:val="es-CO"/>
        </w:rPr>
        <w:t>noveno</w:t>
      </w:r>
      <w:r w:rsidRPr="00813BA9">
        <w:rPr>
          <w:rFonts w:ascii="Verdana" w:hAnsi="Verdana"/>
          <w:sz w:val="20"/>
          <w:lang w:val="es-CO"/>
        </w:rPr>
        <w:t xml:space="preserve"> y en el párrafo </w:t>
      </w:r>
      <w:r>
        <w:rPr>
          <w:rFonts w:ascii="Verdana" w:hAnsi="Verdana"/>
          <w:sz w:val="20"/>
          <w:lang w:val="es-CO"/>
        </w:rPr>
        <w:t>380</w:t>
      </w:r>
      <w:r w:rsidRPr="00813BA9">
        <w:rPr>
          <w:rFonts w:ascii="Verdana" w:hAnsi="Verdana"/>
          <w:sz w:val="20"/>
          <w:lang w:val="es-CO"/>
        </w:rPr>
        <w:t xml:space="preserve"> de la Sentencia, la Corte dispuso</w:t>
      </w:r>
      <w:r w:rsidR="00F65EED">
        <w:rPr>
          <w:rFonts w:ascii="Verdana" w:hAnsi="Verdana"/>
          <w:sz w:val="20"/>
          <w:lang w:val="es-CO"/>
        </w:rPr>
        <w:t xml:space="preserve"> que el Estado debía “</w:t>
      </w:r>
      <w:r w:rsidR="00F65EED" w:rsidRPr="00703ABF">
        <w:rPr>
          <w:rFonts w:ascii="Verdana" w:hAnsi="Verdana"/>
          <w:sz w:val="20"/>
          <w:lang w:val="es-CO"/>
        </w:rPr>
        <w:t>realizar</w:t>
      </w:r>
      <w:r w:rsidR="00F65EED" w:rsidRPr="00F65EED">
        <w:rPr>
          <w:rFonts w:ascii="Verdana" w:hAnsi="Verdana"/>
          <w:sz w:val="20"/>
        </w:rPr>
        <w:t xml:space="preserve"> un acto público de reconocimiento de responsabilidad </w:t>
      </w:r>
      <w:r w:rsidR="00F65EED" w:rsidRPr="00F65EED">
        <w:rPr>
          <w:rFonts w:ascii="Verdana" w:hAnsi="Verdana"/>
          <w:sz w:val="20"/>
        </w:rPr>
        <w:lastRenderedPageBreak/>
        <w:t>internacional, por los hechos del presente caso en desagravio a la memoria de Vladimir Herzog y la falta de investigación, juzgamiento y sanción de los responsables por su tortura y muerte</w:t>
      </w:r>
      <w:r w:rsidR="00F65EED">
        <w:rPr>
          <w:rFonts w:ascii="Verdana" w:hAnsi="Verdana"/>
          <w:sz w:val="20"/>
        </w:rPr>
        <w:t>”.</w:t>
      </w:r>
      <w:r w:rsidR="00824D58">
        <w:rPr>
          <w:rFonts w:ascii="Verdana" w:hAnsi="Verdana"/>
          <w:sz w:val="20"/>
        </w:rPr>
        <w:t xml:space="preserve"> </w:t>
      </w:r>
      <w:r w:rsidR="00824D58" w:rsidRPr="00824D58">
        <w:rPr>
          <w:rFonts w:ascii="Verdana" w:hAnsi="Verdana"/>
          <w:sz w:val="20"/>
        </w:rPr>
        <w:t>P</w:t>
      </w:r>
      <w:r w:rsidR="00F65EED" w:rsidRPr="00824D58">
        <w:rPr>
          <w:rFonts w:ascii="Verdana" w:hAnsi="Verdana"/>
          <w:sz w:val="20"/>
        </w:rPr>
        <w:t>recisó que</w:t>
      </w:r>
      <w:r w:rsidR="00824D58">
        <w:rPr>
          <w:rFonts w:ascii="Verdana" w:hAnsi="Verdana"/>
          <w:sz w:val="20"/>
        </w:rPr>
        <w:t xml:space="preserve"> en</w:t>
      </w:r>
      <w:r w:rsidR="00F65EED" w:rsidRPr="00824D58">
        <w:rPr>
          <w:rFonts w:ascii="Verdana" w:hAnsi="Verdana"/>
          <w:sz w:val="20"/>
        </w:rPr>
        <w:t xml:space="preserve"> </w:t>
      </w:r>
      <w:r w:rsidR="000C5828" w:rsidRPr="00824D58">
        <w:rPr>
          <w:rFonts w:ascii="Verdana" w:hAnsi="Verdana"/>
          <w:sz w:val="20"/>
        </w:rPr>
        <w:t xml:space="preserve">dicho acto se </w:t>
      </w:r>
      <w:r w:rsidR="00824D58">
        <w:rPr>
          <w:rFonts w:ascii="Verdana" w:hAnsi="Verdana"/>
          <w:sz w:val="20"/>
        </w:rPr>
        <w:t>deberá</w:t>
      </w:r>
      <w:r w:rsidR="000C5828" w:rsidRPr="00824D58">
        <w:rPr>
          <w:rFonts w:ascii="Verdana" w:hAnsi="Verdana"/>
          <w:sz w:val="20"/>
        </w:rPr>
        <w:t xml:space="preserve"> hacer referencia a las violaciones de derechos humanos declaradas en la Sentencia y que deberá llevarse a cabo mediante una ceremonia pública en presencia de altos funcionarios del Estado, las fuerzas armadas y las víctimas. </w:t>
      </w:r>
      <w:r w:rsidR="00824D58">
        <w:rPr>
          <w:rFonts w:ascii="Verdana" w:hAnsi="Verdana"/>
          <w:sz w:val="20"/>
        </w:rPr>
        <w:t>Además, estableció</w:t>
      </w:r>
      <w:r w:rsidR="000C5828" w:rsidRPr="00824D58">
        <w:rPr>
          <w:rFonts w:ascii="Verdana" w:hAnsi="Verdana"/>
          <w:sz w:val="20"/>
        </w:rPr>
        <w:t xml:space="preserve"> que el Estado y las víctimas y/o sus representantes, deberán acordar la modalidad de cumplimento del acto público de reconocimiento, así como las particularidades que se requieran, tales como el lugar y la fecha para su realización.</w:t>
      </w:r>
      <w:r w:rsidR="00824D58">
        <w:rPr>
          <w:rFonts w:ascii="Verdana" w:hAnsi="Verdana"/>
          <w:sz w:val="20"/>
        </w:rPr>
        <w:t xml:space="preserve"> </w:t>
      </w:r>
    </w:p>
    <w:p w14:paraId="47A7FF87" w14:textId="106A213B" w:rsidR="00C37833" w:rsidRDefault="00A95C13" w:rsidP="00D63992">
      <w:pPr>
        <w:pStyle w:val="ColorfulList-Accent11"/>
        <w:spacing w:before="120" w:after="120"/>
        <w:contextualSpacing w:val="0"/>
        <w:jc w:val="both"/>
        <w:rPr>
          <w:rFonts w:ascii="Verdana" w:hAnsi="Verdana"/>
          <w:i/>
          <w:sz w:val="20"/>
          <w:lang w:val="es-CO"/>
        </w:rPr>
      </w:pPr>
      <w:r>
        <w:rPr>
          <w:rFonts w:ascii="Verdana" w:hAnsi="Verdana"/>
          <w:i/>
          <w:sz w:val="20"/>
          <w:lang w:val="es-CO"/>
        </w:rPr>
        <w:t>C.2</w:t>
      </w:r>
      <w:r w:rsidR="00C37833">
        <w:rPr>
          <w:rFonts w:ascii="Verdana" w:hAnsi="Verdana"/>
          <w:i/>
          <w:sz w:val="20"/>
          <w:lang w:val="es-CO"/>
        </w:rPr>
        <w:t xml:space="preserve">. </w:t>
      </w:r>
      <w:r w:rsidR="00C37833" w:rsidRPr="00805E7A">
        <w:rPr>
          <w:rFonts w:ascii="Verdana" w:hAnsi="Verdana"/>
          <w:i/>
          <w:sz w:val="20"/>
          <w:lang w:val="es-CO"/>
        </w:rPr>
        <w:t>Consideraciones de la Corte</w:t>
      </w:r>
    </w:p>
    <w:p w14:paraId="40E232BE" w14:textId="6B1A99A8" w:rsidR="00AC5645" w:rsidRDefault="00824D58" w:rsidP="00A93AD8">
      <w:pPr>
        <w:pStyle w:val="ColorfulList-Accent11"/>
        <w:numPr>
          <w:ilvl w:val="0"/>
          <w:numId w:val="3"/>
        </w:numPr>
        <w:spacing w:before="120" w:after="120"/>
        <w:ind w:left="0" w:firstLine="0"/>
        <w:contextualSpacing w:val="0"/>
        <w:jc w:val="both"/>
        <w:rPr>
          <w:rFonts w:ascii="Verdana" w:hAnsi="Verdana"/>
          <w:sz w:val="20"/>
          <w:lang w:val="es-CO"/>
        </w:rPr>
      </w:pPr>
      <w:r>
        <w:rPr>
          <w:rFonts w:ascii="Verdana" w:hAnsi="Verdana"/>
          <w:sz w:val="20"/>
          <w:lang w:val="es-CO"/>
        </w:rPr>
        <w:t>E</w:t>
      </w:r>
      <w:r w:rsidR="007816F3">
        <w:rPr>
          <w:rFonts w:ascii="Verdana" w:hAnsi="Verdana"/>
          <w:sz w:val="20"/>
          <w:lang w:val="es-CO"/>
        </w:rPr>
        <w:t>n</w:t>
      </w:r>
      <w:r w:rsidR="00D63992" w:rsidRPr="00D63992">
        <w:rPr>
          <w:rFonts w:ascii="Verdana" w:hAnsi="Verdana"/>
          <w:sz w:val="20"/>
          <w:lang w:val="es-CO"/>
        </w:rPr>
        <w:t xml:space="preserve"> </w:t>
      </w:r>
      <w:r w:rsidR="007816F3">
        <w:rPr>
          <w:rFonts w:ascii="Verdana" w:hAnsi="Verdana"/>
          <w:sz w:val="20"/>
          <w:lang w:val="es-CO"/>
        </w:rPr>
        <w:t>septiembre de 2019</w:t>
      </w:r>
      <w:r w:rsidR="002D19B9">
        <w:rPr>
          <w:rFonts w:ascii="Verdana" w:hAnsi="Verdana"/>
          <w:sz w:val="20"/>
          <w:lang w:val="es-CO"/>
        </w:rPr>
        <w:t>,</w:t>
      </w:r>
      <w:r w:rsidR="007816F3">
        <w:rPr>
          <w:rFonts w:ascii="Verdana" w:hAnsi="Verdana"/>
          <w:sz w:val="20"/>
          <w:lang w:val="es-CO"/>
        </w:rPr>
        <w:t xml:space="preserve"> el </w:t>
      </w:r>
      <w:r w:rsidR="00D63992" w:rsidRPr="00D63992">
        <w:rPr>
          <w:rFonts w:ascii="Verdana" w:hAnsi="Verdana"/>
          <w:sz w:val="20"/>
          <w:lang w:val="es-CO"/>
        </w:rPr>
        <w:t xml:space="preserve">Estado informó que el “Ministerio de la Mujer, la Familia y los Derechos </w:t>
      </w:r>
      <w:r w:rsidR="00D63992" w:rsidRPr="00D63992">
        <w:rPr>
          <w:rFonts w:ascii="Verdana" w:hAnsi="Verdana"/>
          <w:sz w:val="20"/>
        </w:rPr>
        <w:t>Humanos</w:t>
      </w:r>
      <w:r w:rsidR="00D63992" w:rsidRPr="00D63992">
        <w:rPr>
          <w:rFonts w:ascii="Verdana" w:hAnsi="Verdana"/>
          <w:sz w:val="20"/>
          <w:lang w:val="es-CO"/>
        </w:rPr>
        <w:t xml:space="preserve">, a través de la Asesoría Especial en Asuntos Internacionales, </w:t>
      </w:r>
      <w:proofErr w:type="spellStart"/>
      <w:r w:rsidR="00D63992" w:rsidRPr="00D63992">
        <w:rPr>
          <w:rFonts w:ascii="Verdana" w:hAnsi="Verdana"/>
          <w:sz w:val="20"/>
          <w:lang w:val="es-CO"/>
        </w:rPr>
        <w:t>est</w:t>
      </w:r>
      <w:proofErr w:type="spellEnd"/>
      <w:r w:rsidR="007816F3">
        <w:rPr>
          <w:rFonts w:ascii="Verdana" w:hAnsi="Verdana"/>
          <w:sz w:val="20"/>
          <w:lang w:val="es-CO"/>
        </w:rPr>
        <w:t>[aba]</w:t>
      </w:r>
      <w:r w:rsidR="00D63992" w:rsidRPr="00D63992">
        <w:rPr>
          <w:rFonts w:ascii="Verdana" w:hAnsi="Verdana"/>
          <w:sz w:val="20"/>
          <w:lang w:val="es-CO"/>
        </w:rPr>
        <w:t xml:space="preserve"> estudiando posibles formas viables para que el Estado brasileño cumpla con este punto resolutivo”</w:t>
      </w:r>
      <w:r>
        <w:rPr>
          <w:rFonts w:ascii="Verdana" w:hAnsi="Verdana"/>
          <w:sz w:val="20"/>
          <w:lang w:val="es-CO"/>
        </w:rPr>
        <w:t>. Al respecto,</w:t>
      </w:r>
      <w:r w:rsidR="00D63992" w:rsidRPr="00D63992">
        <w:rPr>
          <w:rFonts w:ascii="Verdana" w:hAnsi="Verdana"/>
          <w:sz w:val="20"/>
          <w:lang w:val="es-CO"/>
        </w:rPr>
        <w:t xml:space="preserve"> los representantes </w:t>
      </w:r>
      <w:r>
        <w:rPr>
          <w:rFonts w:ascii="Verdana" w:hAnsi="Verdana"/>
          <w:sz w:val="20"/>
          <w:lang w:val="es-CO"/>
        </w:rPr>
        <w:t>objetaron</w:t>
      </w:r>
      <w:r w:rsidRPr="00D63992">
        <w:rPr>
          <w:rFonts w:ascii="Verdana" w:hAnsi="Verdana"/>
          <w:sz w:val="20"/>
          <w:lang w:val="es-CO"/>
        </w:rPr>
        <w:t xml:space="preserve"> </w:t>
      </w:r>
      <w:r w:rsidR="00D63992" w:rsidRPr="00D63992">
        <w:rPr>
          <w:rFonts w:ascii="Verdana" w:hAnsi="Verdana"/>
          <w:sz w:val="20"/>
          <w:lang w:val="es-CO"/>
        </w:rPr>
        <w:t xml:space="preserve">que </w:t>
      </w:r>
      <w:r>
        <w:rPr>
          <w:rFonts w:ascii="Verdana" w:hAnsi="Verdana"/>
          <w:sz w:val="20"/>
          <w:lang w:val="es-CO"/>
        </w:rPr>
        <w:t>Brasil</w:t>
      </w:r>
      <w:r w:rsidR="00D63992" w:rsidRPr="00D63992">
        <w:rPr>
          <w:rFonts w:ascii="Verdana" w:hAnsi="Verdana"/>
          <w:sz w:val="20"/>
          <w:lang w:val="es-CO"/>
        </w:rPr>
        <w:t xml:space="preserve"> “no </w:t>
      </w:r>
      <w:r>
        <w:rPr>
          <w:rFonts w:ascii="Verdana" w:hAnsi="Verdana"/>
          <w:sz w:val="20"/>
          <w:lang w:val="es-CO"/>
        </w:rPr>
        <w:t>[…]</w:t>
      </w:r>
      <w:r w:rsidRPr="00D63992">
        <w:rPr>
          <w:rFonts w:ascii="Verdana" w:hAnsi="Verdana"/>
          <w:sz w:val="20"/>
          <w:lang w:val="es-CO"/>
        </w:rPr>
        <w:t xml:space="preserve"> </w:t>
      </w:r>
      <w:r w:rsidR="00D63992" w:rsidRPr="00D63992">
        <w:rPr>
          <w:rFonts w:ascii="Verdana" w:hAnsi="Verdana"/>
          <w:sz w:val="20"/>
          <w:lang w:val="es-CO"/>
        </w:rPr>
        <w:t>presentó una planificación concreta para la realización de tal acto”</w:t>
      </w:r>
      <w:r>
        <w:rPr>
          <w:rFonts w:ascii="Verdana" w:hAnsi="Verdana"/>
          <w:sz w:val="20"/>
          <w:lang w:val="es-CO"/>
        </w:rPr>
        <w:t xml:space="preserve"> ni se comunicó con </w:t>
      </w:r>
      <w:r w:rsidR="000C0777">
        <w:rPr>
          <w:rFonts w:ascii="Verdana" w:hAnsi="Verdana"/>
          <w:sz w:val="20"/>
          <w:lang w:val="es-CO"/>
        </w:rPr>
        <w:t xml:space="preserve">ellos </w:t>
      </w:r>
      <w:r>
        <w:rPr>
          <w:rFonts w:ascii="Verdana" w:hAnsi="Verdana"/>
          <w:sz w:val="20"/>
          <w:lang w:val="es-CO"/>
        </w:rPr>
        <w:t>para coordinar el cumplimiento de esta reparación</w:t>
      </w:r>
      <w:r w:rsidR="00817A3A">
        <w:rPr>
          <w:rStyle w:val="Refdenotaalpie"/>
          <w:rFonts w:ascii="Verdana" w:hAnsi="Verdana"/>
          <w:sz w:val="20"/>
          <w:lang w:val="es-CO"/>
        </w:rPr>
        <w:footnoteReference w:id="26"/>
      </w:r>
      <w:r w:rsidR="00817A3A">
        <w:rPr>
          <w:rFonts w:ascii="Verdana" w:hAnsi="Verdana"/>
          <w:sz w:val="20"/>
          <w:lang w:val="es-CO"/>
        </w:rPr>
        <w:t xml:space="preserve">. </w:t>
      </w:r>
    </w:p>
    <w:p w14:paraId="56FBFBC0" w14:textId="17541E58" w:rsidR="004C1447" w:rsidRPr="00B2127A" w:rsidRDefault="006460ED" w:rsidP="00B2127A">
      <w:pPr>
        <w:pStyle w:val="ColorfulList-Accent11"/>
        <w:numPr>
          <w:ilvl w:val="0"/>
          <w:numId w:val="3"/>
        </w:numPr>
        <w:spacing w:before="120" w:after="120"/>
        <w:ind w:left="0" w:firstLine="0"/>
        <w:contextualSpacing w:val="0"/>
        <w:jc w:val="both"/>
        <w:rPr>
          <w:rFonts w:ascii="Verdana" w:hAnsi="Verdana"/>
          <w:sz w:val="20"/>
          <w:lang w:val="es-CO"/>
        </w:rPr>
      </w:pPr>
      <w:r>
        <w:rPr>
          <w:rFonts w:ascii="Verdana" w:hAnsi="Verdana"/>
          <w:sz w:val="20"/>
          <w:lang w:val="es-CO"/>
        </w:rPr>
        <w:t xml:space="preserve">De acuerdo a tal información, </w:t>
      </w:r>
      <w:r w:rsidR="00B2127A">
        <w:rPr>
          <w:rFonts w:ascii="Verdana" w:hAnsi="Verdana"/>
          <w:sz w:val="20"/>
        </w:rPr>
        <w:t xml:space="preserve">la realización del acto público de reconocimiento de responsabilidad internacional </w:t>
      </w:r>
      <w:r w:rsidR="004C1447" w:rsidRPr="00B2127A">
        <w:rPr>
          <w:rFonts w:ascii="Verdana" w:hAnsi="Verdana"/>
          <w:sz w:val="20"/>
        </w:rPr>
        <w:t>se encuentra pendiente de cumplimiento</w:t>
      </w:r>
      <w:r>
        <w:rPr>
          <w:rFonts w:ascii="Verdana" w:hAnsi="Verdana"/>
          <w:sz w:val="20"/>
        </w:rPr>
        <w:t>. La Corte</w:t>
      </w:r>
      <w:r w:rsidR="004C1447" w:rsidRPr="00B2127A">
        <w:rPr>
          <w:rFonts w:ascii="Verdana" w:hAnsi="Verdana"/>
          <w:sz w:val="20"/>
        </w:rPr>
        <w:t xml:space="preserve"> insta al Estado y a las víctimas y/o sus representantes a</w:t>
      </w:r>
      <w:r>
        <w:rPr>
          <w:rFonts w:ascii="Verdana" w:hAnsi="Verdana"/>
          <w:sz w:val="20"/>
        </w:rPr>
        <w:t xml:space="preserve"> </w:t>
      </w:r>
      <w:proofErr w:type="gramStart"/>
      <w:r>
        <w:rPr>
          <w:rFonts w:ascii="Verdana" w:hAnsi="Verdana"/>
          <w:sz w:val="20"/>
        </w:rPr>
        <w:t xml:space="preserve">que </w:t>
      </w:r>
      <w:r w:rsidR="004C1447" w:rsidRPr="00B2127A">
        <w:rPr>
          <w:rFonts w:ascii="Verdana" w:hAnsi="Verdana"/>
          <w:sz w:val="20"/>
        </w:rPr>
        <w:t xml:space="preserve"> mantengan</w:t>
      </w:r>
      <w:proofErr w:type="gramEnd"/>
      <w:r w:rsidR="004C1447" w:rsidRPr="00B2127A">
        <w:rPr>
          <w:rFonts w:ascii="Verdana" w:hAnsi="Verdana"/>
          <w:sz w:val="20"/>
        </w:rPr>
        <w:t xml:space="preserve"> la comunicación pertinente a fin de que</w:t>
      </w:r>
      <w:r>
        <w:rPr>
          <w:rFonts w:ascii="Verdana" w:hAnsi="Verdana"/>
          <w:sz w:val="20"/>
        </w:rPr>
        <w:t xml:space="preserve">, </w:t>
      </w:r>
      <w:r w:rsidRPr="00B2127A">
        <w:rPr>
          <w:rFonts w:ascii="Verdana" w:hAnsi="Verdana"/>
          <w:sz w:val="20"/>
        </w:rPr>
        <w:t>una vez estén dadas las condiciones de seguridad y salubridad necesarias para la realización del referido acto público</w:t>
      </w:r>
      <w:r>
        <w:rPr>
          <w:rFonts w:ascii="Verdana" w:hAnsi="Verdana"/>
          <w:sz w:val="20"/>
        </w:rPr>
        <w:t>,</w:t>
      </w:r>
      <w:r w:rsidR="004C1447" w:rsidRPr="00B2127A">
        <w:rPr>
          <w:rFonts w:ascii="Verdana" w:hAnsi="Verdana"/>
          <w:sz w:val="20"/>
        </w:rPr>
        <w:t xml:space="preserve"> acuerden</w:t>
      </w:r>
      <w:r w:rsidR="0085175D" w:rsidRPr="00B2127A">
        <w:rPr>
          <w:rFonts w:ascii="Verdana" w:hAnsi="Verdana"/>
          <w:sz w:val="20"/>
        </w:rPr>
        <w:t xml:space="preserve"> </w:t>
      </w:r>
      <w:r w:rsidR="004C1447" w:rsidRPr="00B2127A">
        <w:rPr>
          <w:rFonts w:ascii="Verdana" w:hAnsi="Verdana"/>
          <w:sz w:val="20"/>
        </w:rPr>
        <w:t>su realización</w:t>
      </w:r>
      <w:r w:rsidR="0085175D" w:rsidRPr="00B2127A">
        <w:rPr>
          <w:rFonts w:ascii="Verdana" w:hAnsi="Verdana"/>
          <w:sz w:val="20"/>
        </w:rPr>
        <w:t xml:space="preserve"> de la forma más pronta posible</w:t>
      </w:r>
      <w:r w:rsidR="004C1447" w:rsidRPr="00B2127A">
        <w:rPr>
          <w:rFonts w:ascii="Verdana" w:hAnsi="Verdana"/>
          <w:sz w:val="20"/>
        </w:rPr>
        <w:t xml:space="preserve">. </w:t>
      </w:r>
    </w:p>
    <w:p w14:paraId="474B82A5" w14:textId="77777777" w:rsidR="004C1447" w:rsidRPr="00A93AD8" w:rsidRDefault="004C1447" w:rsidP="004C1447">
      <w:pPr>
        <w:pStyle w:val="ColorfulList-Accent11"/>
        <w:spacing w:before="120" w:after="120"/>
        <w:ind w:left="0"/>
        <w:contextualSpacing w:val="0"/>
        <w:jc w:val="both"/>
        <w:rPr>
          <w:rFonts w:ascii="Verdana" w:hAnsi="Verdana"/>
          <w:sz w:val="20"/>
          <w:lang w:val="es-CO"/>
        </w:rPr>
      </w:pPr>
    </w:p>
    <w:p w14:paraId="6E31745D" w14:textId="60BD0071" w:rsidR="00C37833" w:rsidRDefault="00C37833" w:rsidP="00C02C99">
      <w:pPr>
        <w:pStyle w:val="Ttulo1"/>
        <w:keepNext w:val="0"/>
        <w:widowControl w:val="0"/>
        <w:numPr>
          <w:ilvl w:val="1"/>
          <w:numId w:val="2"/>
        </w:numPr>
        <w:spacing w:before="120" w:after="120"/>
        <w:ind w:left="1134" w:hanging="425"/>
        <w:jc w:val="both"/>
        <w:rPr>
          <w:rFonts w:ascii="Verdana" w:hAnsi="Verdana"/>
          <w:i/>
          <w:sz w:val="20"/>
          <w:lang w:val="es-CO"/>
        </w:rPr>
      </w:pPr>
      <w:bookmarkStart w:id="6" w:name="_Toc70670914"/>
      <w:r w:rsidRPr="00C37833">
        <w:rPr>
          <w:rFonts w:ascii="Verdana" w:hAnsi="Verdana"/>
          <w:i/>
          <w:sz w:val="20"/>
          <w:lang w:val="es-CO"/>
        </w:rPr>
        <w:t>Publicación y difusión de la Sentencia</w:t>
      </w:r>
      <w:bookmarkEnd w:id="6"/>
    </w:p>
    <w:p w14:paraId="0EE6008E" w14:textId="48A2AE08" w:rsidR="00C37833" w:rsidRDefault="00C37833" w:rsidP="00C37833">
      <w:pPr>
        <w:pStyle w:val="ColorfulList-Accent11"/>
        <w:spacing w:before="120" w:after="120"/>
        <w:contextualSpacing w:val="0"/>
        <w:jc w:val="both"/>
        <w:rPr>
          <w:rFonts w:ascii="Verdana" w:hAnsi="Verdana"/>
          <w:i/>
          <w:sz w:val="20"/>
          <w:lang w:val="es-CO"/>
        </w:rPr>
      </w:pPr>
      <w:r>
        <w:rPr>
          <w:rFonts w:ascii="Verdana" w:hAnsi="Verdana"/>
          <w:i/>
          <w:sz w:val="20"/>
          <w:lang w:val="es-CO"/>
        </w:rPr>
        <w:t>D</w:t>
      </w:r>
      <w:r w:rsidRPr="00C37833">
        <w:rPr>
          <w:rFonts w:ascii="Verdana" w:hAnsi="Verdana"/>
          <w:i/>
          <w:sz w:val="20"/>
          <w:lang w:val="es-CO"/>
        </w:rPr>
        <w:t>.1. Medida ordenada por la Corte</w:t>
      </w:r>
    </w:p>
    <w:p w14:paraId="28B012BE" w14:textId="1965FE97" w:rsidR="00C37833" w:rsidRPr="00E43219" w:rsidRDefault="009D16CF" w:rsidP="00E43219">
      <w:pPr>
        <w:pStyle w:val="ColorfulList-Accent11"/>
        <w:numPr>
          <w:ilvl w:val="0"/>
          <w:numId w:val="3"/>
        </w:numPr>
        <w:spacing w:before="120" w:after="120"/>
        <w:ind w:left="0" w:firstLine="0"/>
        <w:contextualSpacing w:val="0"/>
        <w:jc w:val="both"/>
        <w:rPr>
          <w:rFonts w:ascii="Verdana" w:hAnsi="Verdana"/>
          <w:sz w:val="20"/>
          <w:lang w:val="es-CO"/>
        </w:rPr>
      </w:pPr>
      <w:r w:rsidRPr="009D16CF">
        <w:rPr>
          <w:rFonts w:ascii="Verdana" w:hAnsi="Verdana"/>
          <w:sz w:val="20"/>
          <w:lang w:val="es-CO"/>
        </w:rPr>
        <w:t xml:space="preserve">En el punto resolutivo </w:t>
      </w:r>
      <w:r>
        <w:rPr>
          <w:rFonts w:ascii="Verdana" w:hAnsi="Verdana"/>
          <w:sz w:val="20"/>
          <w:lang w:val="es-CO"/>
        </w:rPr>
        <w:t>décimo</w:t>
      </w:r>
      <w:r w:rsidRPr="009D16CF">
        <w:rPr>
          <w:rFonts w:ascii="Verdana" w:hAnsi="Verdana"/>
          <w:sz w:val="20"/>
          <w:lang w:val="es-CO"/>
        </w:rPr>
        <w:t xml:space="preserve"> y en el párrafo 3</w:t>
      </w:r>
      <w:r>
        <w:rPr>
          <w:rFonts w:ascii="Verdana" w:hAnsi="Verdana"/>
          <w:sz w:val="20"/>
          <w:lang w:val="es-CO"/>
        </w:rPr>
        <w:t>83</w:t>
      </w:r>
      <w:r w:rsidRPr="009D16CF">
        <w:rPr>
          <w:rFonts w:ascii="Verdana" w:hAnsi="Verdana"/>
          <w:sz w:val="20"/>
          <w:lang w:val="es-CO"/>
        </w:rPr>
        <w:t xml:space="preserve"> de la Sentencia, la Corte dispuso que</w:t>
      </w:r>
      <w:r>
        <w:rPr>
          <w:rFonts w:ascii="Verdana" w:hAnsi="Verdana"/>
          <w:sz w:val="20"/>
          <w:lang w:val="es-CO"/>
        </w:rPr>
        <w:t xml:space="preserve"> </w:t>
      </w:r>
      <w:r>
        <w:rPr>
          <w:rFonts w:ascii="Verdana" w:hAnsi="Verdana"/>
          <w:sz w:val="20"/>
        </w:rPr>
        <w:t>el Estado publicara</w:t>
      </w:r>
      <w:r w:rsidR="00B2127A">
        <w:rPr>
          <w:rFonts w:ascii="Verdana" w:hAnsi="Verdana"/>
          <w:sz w:val="20"/>
        </w:rPr>
        <w:t>,</w:t>
      </w:r>
      <w:r w:rsidRPr="009D16CF">
        <w:rPr>
          <w:rFonts w:ascii="Verdana" w:hAnsi="Verdana"/>
          <w:sz w:val="20"/>
        </w:rPr>
        <w:t xml:space="preserve"> en el plazo de seis meses contado a partir de </w:t>
      </w:r>
      <w:r w:rsidR="00B2127A">
        <w:rPr>
          <w:rFonts w:ascii="Verdana" w:hAnsi="Verdana"/>
          <w:sz w:val="20"/>
        </w:rPr>
        <w:t>su</w:t>
      </w:r>
      <w:r w:rsidR="00B2127A" w:rsidRPr="009D16CF">
        <w:rPr>
          <w:rFonts w:ascii="Verdana" w:hAnsi="Verdana"/>
          <w:sz w:val="20"/>
        </w:rPr>
        <w:t xml:space="preserve"> </w:t>
      </w:r>
      <w:r w:rsidRPr="009D16CF">
        <w:rPr>
          <w:rFonts w:ascii="Verdana" w:hAnsi="Verdana"/>
          <w:sz w:val="20"/>
        </w:rPr>
        <w:t xml:space="preserve">notificación: </w:t>
      </w:r>
      <w:r w:rsidR="00B2127A">
        <w:rPr>
          <w:rFonts w:ascii="Verdana" w:hAnsi="Verdana"/>
          <w:sz w:val="20"/>
        </w:rPr>
        <w:t>“</w:t>
      </w:r>
      <w:r w:rsidRPr="009D16CF">
        <w:rPr>
          <w:rFonts w:ascii="Verdana" w:hAnsi="Verdana"/>
          <w:sz w:val="20"/>
        </w:rPr>
        <w:t xml:space="preserve">a) la Sentencia en su </w:t>
      </w:r>
      <w:r w:rsidRPr="00703ABF">
        <w:rPr>
          <w:rFonts w:ascii="Verdana" w:hAnsi="Verdana"/>
          <w:sz w:val="20"/>
          <w:lang w:val="es-CO"/>
        </w:rPr>
        <w:t>integridad</w:t>
      </w:r>
      <w:r w:rsidRPr="009D16CF">
        <w:rPr>
          <w:rFonts w:ascii="Verdana" w:hAnsi="Verdana"/>
          <w:sz w:val="20"/>
        </w:rPr>
        <w:t xml:space="preserve">, por una sola vez, en el Diario Oficial en un tamaño de letra legible y adecuado; b) el resumen oficial de la </w:t>
      </w:r>
      <w:r w:rsidR="00B2127A">
        <w:rPr>
          <w:rFonts w:ascii="Verdana" w:hAnsi="Verdana"/>
          <w:sz w:val="20"/>
        </w:rPr>
        <w:t xml:space="preserve">[…] </w:t>
      </w:r>
      <w:r w:rsidRPr="009D16CF">
        <w:rPr>
          <w:rFonts w:ascii="Verdana" w:hAnsi="Verdana"/>
          <w:sz w:val="20"/>
        </w:rPr>
        <w:t xml:space="preserve">Sentencia elaborado por la Corte, por una sola vez, en un diario de amplia circulación a nivel nacional, en un tamaño de letra legible y adecuado; y c) la </w:t>
      </w:r>
      <w:r w:rsidR="00B2127A">
        <w:rPr>
          <w:rFonts w:ascii="Verdana" w:hAnsi="Verdana"/>
          <w:sz w:val="20"/>
        </w:rPr>
        <w:t xml:space="preserve">[…] </w:t>
      </w:r>
      <w:r w:rsidRPr="009D16CF">
        <w:rPr>
          <w:rFonts w:ascii="Verdana" w:hAnsi="Verdana"/>
          <w:sz w:val="20"/>
        </w:rPr>
        <w:t>Sentencia en su integridad y su Resumen, disponible al menos por un periodo de un año, en el sitio web oficial de la Secretaría Especial de Derechos Humanos del Ministerio de Justicia y Ciudadanía y del Ejército brasileño, de manera accesible al público y su divulgación a través de redes sociales, de la siguiente manera: las cuentas de redes sociales Twitter y Facebook de la Secretaría Especial de Derechos Humanos y del Ejército, deben promover la página web donde se ubique la Sentencia y su Resumen por medio de un post sem</w:t>
      </w:r>
      <w:r>
        <w:rPr>
          <w:rFonts w:ascii="Verdana" w:hAnsi="Verdana"/>
          <w:sz w:val="20"/>
        </w:rPr>
        <w:t>anal durante un plazo de un año</w:t>
      </w:r>
      <w:r w:rsidR="00B2127A">
        <w:rPr>
          <w:rFonts w:ascii="Verdana" w:hAnsi="Verdana"/>
          <w:sz w:val="20"/>
        </w:rPr>
        <w:t>”</w:t>
      </w:r>
      <w:r w:rsidR="00B2127A">
        <w:rPr>
          <w:rStyle w:val="Refdenotaalpie"/>
          <w:rFonts w:ascii="Verdana" w:hAnsi="Verdana"/>
          <w:sz w:val="20"/>
        </w:rPr>
        <w:footnoteReference w:id="27"/>
      </w:r>
      <w:r>
        <w:rPr>
          <w:rFonts w:ascii="Verdana" w:hAnsi="Verdana"/>
          <w:sz w:val="20"/>
        </w:rPr>
        <w:t xml:space="preserve">. </w:t>
      </w:r>
    </w:p>
    <w:p w14:paraId="4DC6E523" w14:textId="3140FDE5" w:rsidR="00C37833" w:rsidRDefault="00E43219" w:rsidP="00C37833">
      <w:pPr>
        <w:pStyle w:val="ColorfulList-Accent11"/>
        <w:spacing w:before="120" w:after="120"/>
        <w:contextualSpacing w:val="0"/>
        <w:jc w:val="both"/>
        <w:rPr>
          <w:rFonts w:ascii="Verdana" w:hAnsi="Verdana"/>
          <w:i/>
          <w:sz w:val="20"/>
          <w:lang w:val="es-CO"/>
        </w:rPr>
      </w:pPr>
      <w:r>
        <w:rPr>
          <w:rFonts w:ascii="Verdana" w:hAnsi="Verdana"/>
          <w:i/>
          <w:sz w:val="20"/>
          <w:lang w:val="es-CO"/>
        </w:rPr>
        <w:t>D.2</w:t>
      </w:r>
      <w:r w:rsidR="00C37833">
        <w:rPr>
          <w:rFonts w:ascii="Verdana" w:hAnsi="Verdana"/>
          <w:i/>
          <w:sz w:val="20"/>
          <w:lang w:val="es-CO"/>
        </w:rPr>
        <w:t xml:space="preserve">. </w:t>
      </w:r>
      <w:r w:rsidR="00C37833" w:rsidRPr="00805E7A">
        <w:rPr>
          <w:rFonts w:ascii="Verdana" w:hAnsi="Verdana"/>
          <w:i/>
          <w:sz w:val="20"/>
          <w:lang w:val="es-CO"/>
        </w:rPr>
        <w:t>Consideraciones de la Corte</w:t>
      </w:r>
    </w:p>
    <w:p w14:paraId="2C9E861B" w14:textId="71A5396B" w:rsidR="00984C88" w:rsidRPr="00984C88" w:rsidRDefault="00685799" w:rsidP="00E43219">
      <w:pPr>
        <w:pStyle w:val="ColorfulList-Accent11"/>
        <w:numPr>
          <w:ilvl w:val="0"/>
          <w:numId w:val="3"/>
        </w:numPr>
        <w:spacing w:before="120" w:after="120"/>
        <w:ind w:left="0" w:firstLine="0"/>
        <w:contextualSpacing w:val="0"/>
        <w:jc w:val="both"/>
        <w:rPr>
          <w:rFonts w:ascii="Verdana" w:hAnsi="Verdana"/>
          <w:sz w:val="20"/>
          <w:lang w:val="es-CO"/>
        </w:rPr>
      </w:pPr>
      <w:r w:rsidRPr="00685799">
        <w:rPr>
          <w:rFonts w:ascii="Verdana" w:hAnsi="Verdana"/>
          <w:sz w:val="20"/>
        </w:rPr>
        <w:t xml:space="preserve">La Corte ha constatado, con base en lo </w:t>
      </w:r>
      <w:r w:rsidR="00D13EFE">
        <w:rPr>
          <w:rFonts w:ascii="Verdana" w:hAnsi="Verdana"/>
          <w:sz w:val="20"/>
        </w:rPr>
        <w:t>informado</w:t>
      </w:r>
      <w:r w:rsidRPr="00685799">
        <w:rPr>
          <w:rFonts w:ascii="Verdana" w:hAnsi="Verdana"/>
          <w:sz w:val="20"/>
        </w:rPr>
        <w:t xml:space="preserve"> por el Estado</w:t>
      </w:r>
      <w:r w:rsidR="00B45683">
        <w:rPr>
          <w:rFonts w:ascii="Verdana" w:hAnsi="Verdana"/>
          <w:sz w:val="20"/>
        </w:rPr>
        <w:t xml:space="preserve"> y no controvertido por los representantes</w:t>
      </w:r>
      <w:r w:rsidR="009C2B61">
        <w:rPr>
          <w:rFonts w:ascii="Verdana" w:hAnsi="Verdana"/>
          <w:sz w:val="20"/>
        </w:rPr>
        <w:t xml:space="preserve">, que éste cumplió con publicar </w:t>
      </w:r>
      <w:r w:rsidR="009C2B61" w:rsidRPr="009C2B61">
        <w:rPr>
          <w:rFonts w:ascii="Verdana" w:hAnsi="Verdana"/>
          <w:sz w:val="20"/>
        </w:rPr>
        <w:t>la Sentencia</w:t>
      </w:r>
      <w:r w:rsidR="009C2B61">
        <w:rPr>
          <w:rFonts w:ascii="Verdana" w:hAnsi="Verdana"/>
          <w:sz w:val="20"/>
        </w:rPr>
        <w:t xml:space="preserve"> en su integridad y su </w:t>
      </w:r>
      <w:r w:rsidR="0054252A">
        <w:rPr>
          <w:rFonts w:ascii="Verdana" w:hAnsi="Verdana"/>
          <w:sz w:val="20"/>
        </w:rPr>
        <w:t>r</w:t>
      </w:r>
      <w:r w:rsidR="009C2B61">
        <w:rPr>
          <w:rFonts w:ascii="Verdana" w:hAnsi="Verdana"/>
          <w:sz w:val="20"/>
        </w:rPr>
        <w:t>esumen</w:t>
      </w:r>
      <w:r w:rsidR="00B45683">
        <w:rPr>
          <w:rFonts w:ascii="Verdana" w:hAnsi="Verdana"/>
          <w:sz w:val="20"/>
        </w:rPr>
        <w:t>,</w:t>
      </w:r>
      <w:r w:rsidR="009C2B61">
        <w:rPr>
          <w:rFonts w:ascii="Verdana" w:hAnsi="Verdana"/>
          <w:sz w:val="20"/>
        </w:rPr>
        <w:t xml:space="preserve"> </w:t>
      </w:r>
      <w:r w:rsidR="009C2B61" w:rsidRPr="009C2B61">
        <w:rPr>
          <w:rFonts w:ascii="Verdana" w:hAnsi="Verdana"/>
          <w:sz w:val="20"/>
        </w:rPr>
        <w:lastRenderedPageBreak/>
        <w:t>al menos por un per</w:t>
      </w:r>
      <w:r w:rsidR="00B45683">
        <w:rPr>
          <w:rFonts w:ascii="Verdana" w:hAnsi="Verdana"/>
          <w:sz w:val="20"/>
        </w:rPr>
        <w:t>í</w:t>
      </w:r>
      <w:r w:rsidR="009C2B61" w:rsidRPr="009C2B61">
        <w:rPr>
          <w:rFonts w:ascii="Verdana" w:hAnsi="Verdana"/>
          <w:sz w:val="20"/>
        </w:rPr>
        <w:t>odo de un</w:t>
      </w:r>
      <w:r w:rsidR="0021042F">
        <w:rPr>
          <w:rFonts w:ascii="Verdana" w:hAnsi="Verdana"/>
          <w:sz w:val="20"/>
        </w:rPr>
        <w:t xml:space="preserve"> año, en el sitio web oficial del</w:t>
      </w:r>
      <w:r w:rsidR="00C02C99">
        <w:rPr>
          <w:rFonts w:ascii="Verdana" w:hAnsi="Verdana"/>
          <w:sz w:val="20"/>
        </w:rPr>
        <w:t xml:space="preserve"> actual</w:t>
      </w:r>
      <w:r w:rsidR="0021042F">
        <w:rPr>
          <w:rFonts w:ascii="Verdana" w:hAnsi="Verdana"/>
          <w:sz w:val="20"/>
        </w:rPr>
        <w:t xml:space="preserve"> Ministerio de la Mujer, Familia y Derechos Humanos</w:t>
      </w:r>
      <w:r w:rsidR="009C2B61">
        <w:rPr>
          <w:rStyle w:val="Refdenotaalpie"/>
          <w:rFonts w:ascii="Verdana" w:hAnsi="Verdana"/>
          <w:sz w:val="20"/>
        </w:rPr>
        <w:footnoteReference w:id="28"/>
      </w:r>
      <w:r w:rsidR="00D13EFE">
        <w:rPr>
          <w:rFonts w:ascii="Verdana" w:hAnsi="Verdana"/>
          <w:sz w:val="20"/>
        </w:rPr>
        <w:t>,</w:t>
      </w:r>
      <w:r w:rsidR="009C2B61">
        <w:rPr>
          <w:rFonts w:ascii="Verdana" w:hAnsi="Verdana"/>
          <w:sz w:val="20"/>
        </w:rPr>
        <w:t xml:space="preserve"> así como </w:t>
      </w:r>
      <w:r w:rsidR="00B45683">
        <w:rPr>
          <w:rFonts w:ascii="Verdana" w:hAnsi="Verdana"/>
          <w:sz w:val="20"/>
        </w:rPr>
        <w:t xml:space="preserve">con </w:t>
      </w:r>
      <w:r w:rsidR="009C2B61">
        <w:rPr>
          <w:rFonts w:ascii="Verdana" w:hAnsi="Verdana"/>
          <w:sz w:val="20"/>
        </w:rPr>
        <w:t>su divulgación en redes sociales</w:t>
      </w:r>
      <w:r w:rsidR="009C2B61">
        <w:rPr>
          <w:rStyle w:val="Refdenotaalpie"/>
          <w:rFonts w:ascii="Verdana" w:hAnsi="Verdana"/>
          <w:sz w:val="20"/>
        </w:rPr>
        <w:footnoteReference w:id="29"/>
      </w:r>
      <w:r w:rsidR="00D13EFE">
        <w:rPr>
          <w:rFonts w:ascii="Verdana" w:hAnsi="Verdana"/>
          <w:sz w:val="20"/>
        </w:rPr>
        <w:t>.</w:t>
      </w:r>
    </w:p>
    <w:p w14:paraId="1C4DA0D6" w14:textId="7F2A7544" w:rsidR="0009598C" w:rsidRPr="00892D03" w:rsidRDefault="00D8694A" w:rsidP="0009598C">
      <w:pPr>
        <w:pStyle w:val="ColorfulList-Accent11"/>
        <w:numPr>
          <w:ilvl w:val="0"/>
          <w:numId w:val="3"/>
        </w:numPr>
        <w:spacing w:before="120" w:after="120"/>
        <w:ind w:left="0" w:firstLine="0"/>
        <w:contextualSpacing w:val="0"/>
        <w:jc w:val="both"/>
        <w:rPr>
          <w:rFonts w:ascii="Verdana" w:hAnsi="Verdana"/>
          <w:sz w:val="20"/>
          <w:lang w:val="es-CO"/>
        </w:rPr>
      </w:pPr>
      <w:r w:rsidRPr="00D8694A">
        <w:rPr>
          <w:rFonts w:ascii="Verdana" w:hAnsi="Verdana"/>
          <w:sz w:val="20"/>
        </w:rPr>
        <w:t xml:space="preserve">En virtud de lo anterior, </w:t>
      </w:r>
      <w:r w:rsidR="00E0309B">
        <w:rPr>
          <w:rFonts w:ascii="Verdana" w:hAnsi="Verdana"/>
          <w:sz w:val="20"/>
        </w:rPr>
        <w:t xml:space="preserve">queda pendiente </w:t>
      </w:r>
      <w:r w:rsidR="006460ED">
        <w:rPr>
          <w:rFonts w:ascii="Verdana" w:hAnsi="Verdana"/>
          <w:sz w:val="20"/>
        </w:rPr>
        <w:t xml:space="preserve">de cumplimiento </w:t>
      </w:r>
      <w:r>
        <w:rPr>
          <w:rFonts w:ascii="Verdana" w:hAnsi="Verdana"/>
          <w:sz w:val="20"/>
        </w:rPr>
        <w:t xml:space="preserve">la publicación de la Sentencia en </w:t>
      </w:r>
      <w:proofErr w:type="spellStart"/>
      <w:r w:rsidRPr="00D8694A">
        <w:rPr>
          <w:rFonts w:ascii="Verdana" w:hAnsi="Verdana"/>
          <w:sz w:val="20"/>
        </w:rPr>
        <w:t>en</w:t>
      </w:r>
      <w:proofErr w:type="spellEnd"/>
      <w:r w:rsidRPr="00D8694A">
        <w:rPr>
          <w:rFonts w:ascii="Verdana" w:hAnsi="Verdana"/>
          <w:sz w:val="20"/>
        </w:rPr>
        <w:t xml:space="preserve"> su </w:t>
      </w:r>
      <w:r w:rsidRPr="00D8694A">
        <w:rPr>
          <w:rFonts w:ascii="Verdana" w:hAnsi="Verdana"/>
          <w:sz w:val="20"/>
          <w:lang w:val="es-CO"/>
        </w:rPr>
        <w:t>integridad</w:t>
      </w:r>
      <w:r w:rsidRPr="00D8694A">
        <w:rPr>
          <w:rFonts w:ascii="Verdana" w:hAnsi="Verdana"/>
          <w:sz w:val="20"/>
        </w:rPr>
        <w:t xml:space="preserve"> en el Diario Oficial; el resumen oficial de la Sentencia en un diario de amplia circulación a nivel nacional, y la Sentencia en su integridad y su </w:t>
      </w:r>
      <w:r w:rsidR="00450AD2">
        <w:rPr>
          <w:rFonts w:ascii="Verdana" w:hAnsi="Verdana"/>
          <w:sz w:val="20"/>
        </w:rPr>
        <w:t>r</w:t>
      </w:r>
      <w:r w:rsidRPr="00D8694A">
        <w:rPr>
          <w:rFonts w:ascii="Verdana" w:hAnsi="Verdana"/>
          <w:sz w:val="20"/>
        </w:rPr>
        <w:t>esumen en el sitio web oficial del Ejército brasileño</w:t>
      </w:r>
      <w:r>
        <w:rPr>
          <w:rFonts w:ascii="Verdana" w:hAnsi="Verdana"/>
          <w:sz w:val="20"/>
        </w:rPr>
        <w:t>.</w:t>
      </w:r>
      <w:r w:rsidR="006F2EE9">
        <w:rPr>
          <w:rFonts w:ascii="Verdana" w:hAnsi="Verdana"/>
          <w:sz w:val="20"/>
        </w:rPr>
        <w:t xml:space="preserve"> Debido a que el plazo para el cumplimiento de estas medidas venció el </w:t>
      </w:r>
      <w:r w:rsidR="00892D03">
        <w:rPr>
          <w:rFonts w:ascii="Verdana" w:hAnsi="Verdana"/>
          <w:sz w:val="20"/>
        </w:rPr>
        <w:t xml:space="preserve">7 de enero de 2019, </w:t>
      </w:r>
      <w:r w:rsidR="00446623">
        <w:rPr>
          <w:rFonts w:ascii="Verdana" w:hAnsi="Verdana"/>
          <w:sz w:val="20"/>
        </w:rPr>
        <w:t>se requiere al Estado que dé</w:t>
      </w:r>
      <w:r w:rsidR="006F2EE9">
        <w:rPr>
          <w:rFonts w:ascii="Verdana" w:hAnsi="Verdana"/>
          <w:sz w:val="20"/>
        </w:rPr>
        <w:t xml:space="preserve"> cumplimiento a la mayor brevedad. </w:t>
      </w:r>
    </w:p>
    <w:p w14:paraId="6FECB3A2" w14:textId="77777777" w:rsidR="00C559AE" w:rsidRPr="00E43219" w:rsidRDefault="00C559AE" w:rsidP="0009598C">
      <w:pPr>
        <w:pStyle w:val="ColorfulList-Accent11"/>
        <w:spacing w:before="120" w:after="120"/>
        <w:ind w:left="0"/>
        <w:contextualSpacing w:val="0"/>
        <w:jc w:val="both"/>
        <w:rPr>
          <w:rFonts w:ascii="Verdana" w:hAnsi="Verdana"/>
          <w:sz w:val="20"/>
          <w:lang w:val="es-CO"/>
        </w:rPr>
      </w:pPr>
    </w:p>
    <w:p w14:paraId="2D509905" w14:textId="7DC11563" w:rsidR="00C37833" w:rsidRDefault="00C37833" w:rsidP="00C02C99">
      <w:pPr>
        <w:pStyle w:val="Ttulo1"/>
        <w:keepNext w:val="0"/>
        <w:widowControl w:val="0"/>
        <w:numPr>
          <w:ilvl w:val="1"/>
          <w:numId w:val="2"/>
        </w:numPr>
        <w:spacing w:before="120" w:after="120"/>
        <w:ind w:left="1134" w:hanging="425"/>
        <w:jc w:val="both"/>
        <w:rPr>
          <w:rFonts w:ascii="Verdana" w:hAnsi="Verdana"/>
          <w:i/>
          <w:sz w:val="20"/>
          <w:lang w:val="es-CO"/>
        </w:rPr>
      </w:pPr>
      <w:bookmarkStart w:id="7" w:name="_Toc70670915"/>
      <w:r w:rsidRPr="00C37833">
        <w:rPr>
          <w:rFonts w:ascii="Verdana" w:hAnsi="Verdana"/>
          <w:i/>
          <w:sz w:val="20"/>
          <w:lang w:val="es-CO"/>
        </w:rPr>
        <w:t>Indemnizaciones por concepto de daño material e inmaterial y reintegro de costas y gastos</w:t>
      </w:r>
      <w:bookmarkEnd w:id="7"/>
    </w:p>
    <w:p w14:paraId="15812AF2" w14:textId="52014ED7" w:rsidR="00C37833" w:rsidRDefault="00C37833" w:rsidP="00C37833">
      <w:pPr>
        <w:pStyle w:val="ColorfulList-Accent11"/>
        <w:spacing w:before="120" w:after="120"/>
        <w:contextualSpacing w:val="0"/>
        <w:jc w:val="both"/>
        <w:rPr>
          <w:rFonts w:ascii="Verdana" w:hAnsi="Verdana"/>
          <w:i/>
          <w:sz w:val="20"/>
          <w:lang w:val="es-CO"/>
        </w:rPr>
      </w:pPr>
      <w:r>
        <w:rPr>
          <w:rFonts w:ascii="Verdana" w:hAnsi="Verdana"/>
          <w:i/>
          <w:sz w:val="20"/>
          <w:lang w:val="es-CO"/>
        </w:rPr>
        <w:t>E</w:t>
      </w:r>
      <w:r w:rsidRPr="00C37833">
        <w:rPr>
          <w:rFonts w:ascii="Verdana" w:hAnsi="Verdana"/>
          <w:i/>
          <w:sz w:val="20"/>
          <w:lang w:val="es-CO"/>
        </w:rPr>
        <w:t>.1. Medida</w:t>
      </w:r>
      <w:r w:rsidR="006460ED">
        <w:rPr>
          <w:rFonts w:ascii="Verdana" w:hAnsi="Verdana"/>
          <w:i/>
          <w:sz w:val="20"/>
          <w:lang w:val="es-CO"/>
        </w:rPr>
        <w:t>s</w:t>
      </w:r>
      <w:r w:rsidRPr="00C37833">
        <w:rPr>
          <w:rFonts w:ascii="Verdana" w:hAnsi="Verdana"/>
          <w:i/>
          <w:sz w:val="20"/>
          <w:lang w:val="es-CO"/>
        </w:rPr>
        <w:t xml:space="preserve"> ordenada</w:t>
      </w:r>
      <w:r w:rsidR="006460ED">
        <w:rPr>
          <w:rFonts w:ascii="Verdana" w:hAnsi="Verdana"/>
          <w:i/>
          <w:sz w:val="20"/>
          <w:lang w:val="es-CO"/>
        </w:rPr>
        <w:t>s</w:t>
      </w:r>
      <w:r w:rsidRPr="00C37833">
        <w:rPr>
          <w:rFonts w:ascii="Verdana" w:hAnsi="Verdana"/>
          <w:i/>
          <w:sz w:val="20"/>
          <w:lang w:val="es-CO"/>
        </w:rPr>
        <w:t xml:space="preserve"> por la Corte</w:t>
      </w:r>
    </w:p>
    <w:p w14:paraId="4E20712B" w14:textId="1CEB77CE" w:rsidR="009D16CF" w:rsidRDefault="009D16CF" w:rsidP="00FA606A">
      <w:pPr>
        <w:pStyle w:val="ColorfulList-Accent11"/>
        <w:numPr>
          <w:ilvl w:val="0"/>
          <w:numId w:val="3"/>
        </w:numPr>
        <w:spacing w:before="120" w:after="120"/>
        <w:ind w:left="0" w:firstLine="0"/>
        <w:contextualSpacing w:val="0"/>
        <w:jc w:val="both"/>
        <w:rPr>
          <w:rFonts w:ascii="Verdana" w:hAnsi="Verdana"/>
          <w:sz w:val="20"/>
        </w:rPr>
      </w:pPr>
      <w:r w:rsidRPr="009D16CF">
        <w:rPr>
          <w:rFonts w:ascii="Verdana" w:hAnsi="Verdana"/>
          <w:sz w:val="20"/>
          <w:lang w:val="es-CO"/>
        </w:rPr>
        <w:t xml:space="preserve">En el </w:t>
      </w:r>
      <w:r w:rsidRPr="00590341">
        <w:rPr>
          <w:rFonts w:ascii="Verdana" w:hAnsi="Verdana"/>
          <w:sz w:val="20"/>
        </w:rPr>
        <w:t>punto</w:t>
      </w:r>
      <w:r w:rsidRPr="009D16CF">
        <w:rPr>
          <w:rFonts w:ascii="Verdana" w:hAnsi="Verdana"/>
          <w:sz w:val="20"/>
          <w:lang w:val="es-CO"/>
        </w:rPr>
        <w:t xml:space="preserve"> resolutivo décimo </w:t>
      </w:r>
      <w:r w:rsidR="00450AD2">
        <w:rPr>
          <w:rFonts w:ascii="Verdana" w:hAnsi="Verdana"/>
          <w:sz w:val="20"/>
          <w:lang w:val="es-CO"/>
        </w:rPr>
        <w:t xml:space="preserve">primero </w:t>
      </w:r>
      <w:r w:rsidRPr="009D16CF">
        <w:rPr>
          <w:rFonts w:ascii="Verdana" w:hAnsi="Verdana"/>
          <w:sz w:val="20"/>
        </w:rPr>
        <w:t xml:space="preserve">de la Sentencia, se dispuso que </w:t>
      </w:r>
      <w:r>
        <w:rPr>
          <w:rFonts w:ascii="Verdana" w:hAnsi="Verdana"/>
          <w:sz w:val="20"/>
        </w:rPr>
        <w:t>Brasil</w:t>
      </w:r>
      <w:r w:rsidRPr="009D16CF">
        <w:rPr>
          <w:rFonts w:ascii="Verdana" w:hAnsi="Verdana"/>
          <w:sz w:val="20"/>
        </w:rPr>
        <w:t xml:space="preserve"> debía pagar:</w:t>
      </w:r>
    </w:p>
    <w:p w14:paraId="23EC7405" w14:textId="16C4BA03" w:rsidR="009D16CF" w:rsidRPr="009D16CF" w:rsidRDefault="009D16CF" w:rsidP="00FA606A">
      <w:pPr>
        <w:pStyle w:val="ColorfulList-Accent11"/>
        <w:numPr>
          <w:ilvl w:val="0"/>
          <w:numId w:val="6"/>
        </w:numPr>
        <w:spacing w:before="120" w:after="120"/>
        <w:contextualSpacing w:val="0"/>
        <w:jc w:val="both"/>
        <w:rPr>
          <w:rFonts w:ascii="Verdana" w:hAnsi="Verdana"/>
          <w:sz w:val="20"/>
          <w:lang w:val="es-CO"/>
        </w:rPr>
      </w:pPr>
      <w:r w:rsidRPr="009D16CF">
        <w:rPr>
          <w:rFonts w:ascii="Verdana" w:hAnsi="Verdana"/>
          <w:sz w:val="20"/>
        </w:rPr>
        <w:t>a la señora Clarice Herzog, en representación de todas las víctimas del caso</w:t>
      </w:r>
      <w:r w:rsidR="00ED10AA">
        <w:rPr>
          <w:rFonts w:ascii="Verdana" w:hAnsi="Verdana"/>
          <w:sz w:val="20"/>
        </w:rPr>
        <w:t>, la cantidad fijada en el párrafo 392</w:t>
      </w:r>
      <w:r w:rsidR="00ED10AA">
        <w:rPr>
          <w:rStyle w:val="Refdenotaalpie"/>
          <w:rFonts w:ascii="Verdana" w:hAnsi="Verdana"/>
          <w:sz w:val="20"/>
        </w:rPr>
        <w:footnoteReference w:id="30"/>
      </w:r>
      <w:r w:rsidR="00ED10AA">
        <w:rPr>
          <w:rFonts w:ascii="Verdana" w:hAnsi="Verdana"/>
          <w:sz w:val="20"/>
        </w:rPr>
        <w:t xml:space="preserve"> de la Sentencia por concepto de </w:t>
      </w:r>
      <w:r w:rsidR="00AC307D">
        <w:rPr>
          <w:rFonts w:ascii="Verdana" w:hAnsi="Verdana"/>
          <w:sz w:val="20"/>
        </w:rPr>
        <w:t xml:space="preserve">indemnización del </w:t>
      </w:r>
      <w:r w:rsidR="00ED10AA">
        <w:rPr>
          <w:rFonts w:ascii="Verdana" w:hAnsi="Verdana"/>
          <w:sz w:val="20"/>
        </w:rPr>
        <w:t>daño emergente</w:t>
      </w:r>
      <w:r w:rsidR="00450AD2">
        <w:rPr>
          <w:rFonts w:ascii="Verdana" w:hAnsi="Verdana"/>
          <w:sz w:val="20"/>
        </w:rPr>
        <w:t>;</w:t>
      </w:r>
    </w:p>
    <w:p w14:paraId="2B596393" w14:textId="41080C3B" w:rsidR="009D16CF" w:rsidRPr="00ED10AA" w:rsidRDefault="00ED10AA" w:rsidP="00FA606A">
      <w:pPr>
        <w:pStyle w:val="ColorfulList-Accent11"/>
        <w:numPr>
          <w:ilvl w:val="0"/>
          <w:numId w:val="6"/>
        </w:numPr>
        <w:spacing w:before="120" w:after="120"/>
        <w:contextualSpacing w:val="0"/>
        <w:jc w:val="both"/>
        <w:rPr>
          <w:rFonts w:ascii="Verdana" w:hAnsi="Verdana"/>
          <w:sz w:val="20"/>
          <w:lang w:val="es-CO"/>
        </w:rPr>
      </w:pPr>
      <w:r>
        <w:rPr>
          <w:rFonts w:ascii="Verdana" w:hAnsi="Verdana"/>
          <w:sz w:val="20"/>
        </w:rPr>
        <w:t xml:space="preserve">a </w:t>
      </w:r>
      <w:r w:rsidR="009D16CF" w:rsidRPr="009D16CF">
        <w:rPr>
          <w:rFonts w:ascii="Verdana" w:hAnsi="Verdana"/>
          <w:sz w:val="20"/>
        </w:rPr>
        <w:t xml:space="preserve">Clarice, André, Ivo y </w:t>
      </w:r>
      <w:proofErr w:type="spellStart"/>
      <w:r w:rsidR="009D16CF" w:rsidRPr="009D16CF">
        <w:rPr>
          <w:rFonts w:ascii="Verdana" w:hAnsi="Verdana"/>
          <w:sz w:val="20"/>
        </w:rPr>
        <w:t>Zora</w:t>
      </w:r>
      <w:proofErr w:type="spellEnd"/>
      <w:r w:rsidR="009D16CF" w:rsidRPr="009D16CF">
        <w:rPr>
          <w:rFonts w:ascii="Verdana" w:hAnsi="Verdana"/>
          <w:sz w:val="20"/>
        </w:rPr>
        <w:t xml:space="preserve"> Herzog</w:t>
      </w:r>
      <w:r>
        <w:rPr>
          <w:rFonts w:ascii="Verdana" w:hAnsi="Verdana"/>
          <w:sz w:val="20"/>
        </w:rPr>
        <w:t>, la suma fijada en el párrafo 397</w:t>
      </w:r>
      <w:r>
        <w:rPr>
          <w:rStyle w:val="Refdenotaalpie"/>
          <w:rFonts w:ascii="Verdana" w:hAnsi="Verdana"/>
          <w:sz w:val="20"/>
        </w:rPr>
        <w:footnoteReference w:id="31"/>
      </w:r>
      <w:r>
        <w:rPr>
          <w:rFonts w:ascii="Verdana" w:hAnsi="Verdana"/>
          <w:sz w:val="20"/>
        </w:rPr>
        <w:t xml:space="preserve"> de la Sentencia por concepto de </w:t>
      </w:r>
      <w:r w:rsidR="00AC307D">
        <w:rPr>
          <w:rFonts w:ascii="Verdana" w:hAnsi="Verdana"/>
          <w:sz w:val="20"/>
        </w:rPr>
        <w:t xml:space="preserve">indemnización por </w:t>
      </w:r>
      <w:r>
        <w:rPr>
          <w:rFonts w:ascii="Verdana" w:hAnsi="Verdana"/>
          <w:sz w:val="20"/>
        </w:rPr>
        <w:t>daño inmaterial</w:t>
      </w:r>
      <w:r w:rsidR="009D16CF" w:rsidRPr="009D16CF">
        <w:rPr>
          <w:rFonts w:ascii="Verdana" w:hAnsi="Verdana"/>
          <w:sz w:val="20"/>
        </w:rPr>
        <w:t xml:space="preserve">. Respecto a </w:t>
      </w:r>
      <w:proofErr w:type="spellStart"/>
      <w:r w:rsidR="009D16CF" w:rsidRPr="009D16CF">
        <w:rPr>
          <w:rFonts w:ascii="Verdana" w:hAnsi="Verdana"/>
          <w:sz w:val="20"/>
        </w:rPr>
        <w:t>Zora</w:t>
      </w:r>
      <w:proofErr w:type="spellEnd"/>
      <w:r w:rsidR="009D16CF" w:rsidRPr="009D16CF">
        <w:rPr>
          <w:rFonts w:ascii="Verdana" w:hAnsi="Verdana"/>
          <w:sz w:val="20"/>
        </w:rPr>
        <w:t xml:space="preserve"> Herzog, en atención a que falleció en el añ</w:t>
      </w:r>
      <w:r>
        <w:rPr>
          <w:rFonts w:ascii="Verdana" w:hAnsi="Verdana"/>
          <w:sz w:val="20"/>
        </w:rPr>
        <w:t xml:space="preserve">o 2006, </w:t>
      </w:r>
      <w:r w:rsidR="00450AD2">
        <w:rPr>
          <w:rFonts w:ascii="Verdana" w:hAnsi="Verdana"/>
          <w:sz w:val="20"/>
        </w:rPr>
        <w:t xml:space="preserve">la Corte determinó que </w:t>
      </w:r>
      <w:r>
        <w:rPr>
          <w:rFonts w:ascii="Verdana" w:hAnsi="Verdana"/>
          <w:sz w:val="20"/>
        </w:rPr>
        <w:t>el monto debía</w:t>
      </w:r>
      <w:r w:rsidR="009D16CF" w:rsidRPr="009D16CF">
        <w:rPr>
          <w:rFonts w:ascii="Verdana" w:hAnsi="Verdana"/>
          <w:sz w:val="20"/>
        </w:rPr>
        <w:t xml:space="preserve"> ser pagado directamente a sus derechohabientes</w:t>
      </w:r>
      <w:r w:rsidR="00450AD2">
        <w:rPr>
          <w:rFonts w:ascii="Verdana" w:hAnsi="Verdana"/>
          <w:sz w:val="20"/>
        </w:rPr>
        <w:t>;</w:t>
      </w:r>
    </w:p>
    <w:p w14:paraId="5711C0A8" w14:textId="5D787185" w:rsidR="00ED10AA" w:rsidRDefault="00ED10AA" w:rsidP="00FA606A">
      <w:pPr>
        <w:pStyle w:val="ColorfulList-Accent11"/>
        <w:numPr>
          <w:ilvl w:val="0"/>
          <w:numId w:val="6"/>
        </w:numPr>
        <w:spacing w:before="120" w:after="120"/>
        <w:contextualSpacing w:val="0"/>
        <w:jc w:val="both"/>
        <w:rPr>
          <w:rFonts w:ascii="Verdana" w:hAnsi="Verdana"/>
          <w:sz w:val="20"/>
          <w:lang w:val="es-CO"/>
        </w:rPr>
      </w:pPr>
      <w:r>
        <w:rPr>
          <w:rFonts w:ascii="Verdana" w:hAnsi="Verdana"/>
          <w:sz w:val="20"/>
          <w:lang w:val="es-CO"/>
        </w:rPr>
        <w:t>al Centro por la Justicia y el Derecho Internacional (CEJIL) la cantidad fijada en el párrafo 403</w:t>
      </w:r>
      <w:r>
        <w:rPr>
          <w:rStyle w:val="Refdenotaalpie"/>
          <w:rFonts w:ascii="Verdana" w:hAnsi="Verdana"/>
          <w:sz w:val="20"/>
          <w:lang w:val="es-CO"/>
        </w:rPr>
        <w:footnoteReference w:id="32"/>
      </w:r>
      <w:r>
        <w:rPr>
          <w:rFonts w:ascii="Verdana" w:hAnsi="Verdana"/>
          <w:sz w:val="20"/>
          <w:lang w:val="es-CO"/>
        </w:rPr>
        <w:t xml:space="preserve"> de la Sentencia, por concepto de reintegro de costas y gastos.</w:t>
      </w:r>
    </w:p>
    <w:p w14:paraId="3CB95E1B" w14:textId="4C4AAE28" w:rsidR="00255A78" w:rsidRPr="009D16CF" w:rsidRDefault="00781F33" w:rsidP="00590341">
      <w:pPr>
        <w:pStyle w:val="ColorfulList-Accent11"/>
        <w:numPr>
          <w:ilvl w:val="0"/>
          <w:numId w:val="3"/>
        </w:numPr>
        <w:spacing w:before="120" w:after="120"/>
        <w:ind w:left="0" w:firstLine="0"/>
        <w:contextualSpacing w:val="0"/>
        <w:jc w:val="both"/>
        <w:rPr>
          <w:rFonts w:ascii="Verdana" w:hAnsi="Verdana"/>
          <w:sz w:val="20"/>
          <w:lang w:val="es-CO"/>
        </w:rPr>
      </w:pPr>
      <w:r w:rsidRPr="00781F33">
        <w:rPr>
          <w:rFonts w:ascii="Verdana" w:hAnsi="Verdana"/>
          <w:sz w:val="20"/>
        </w:rPr>
        <w:t xml:space="preserve">En cuanto a la modalidad de cumplimiento de los pagos, en el párrafo </w:t>
      </w:r>
      <w:r w:rsidR="00AB31C2">
        <w:rPr>
          <w:rFonts w:ascii="Verdana" w:hAnsi="Verdana"/>
          <w:sz w:val="20"/>
        </w:rPr>
        <w:t>413</w:t>
      </w:r>
      <w:r w:rsidRPr="00781F33">
        <w:rPr>
          <w:rFonts w:ascii="Verdana" w:hAnsi="Verdana"/>
          <w:sz w:val="20"/>
        </w:rPr>
        <w:t xml:space="preserve"> del Fallo, el Tribunal dispuso que si “por causas atribuibles a</w:t>
      </w:r>
      <w:r w:rsidR="00450830">
        <w:rPr>
          <w:rFonts w:ascii="Verdana" w:hAnsi="Verdana"/>
          <w:sz w:val="20"/>
        </w:rPr>
        <w:t xml:space="preserve"> alguno de</w:t>
      </w:r>
      <w:r w:rsidRPr="00781F33">
        <w:rPr>
          <w:rFonts w:ascii="Verdana" w:hAnsi="Verdana"/>
          <w:sz w:val="20"/>
        </w:rPr>
        <w:t xml:space="preserve"> los beneficiarios de las indemnizaciones o a sus derechohabientes no fuese posible el pago</w:t>
      </w:r>
      <w:r w:rsidR="00450830">
        <w:rPr>
          <w:rFonts w:ascii="Verdana" w:hAnsi="Verdana"/>
          <w:sz w:val="20"/>
        </w:rPr>
        <w:t xml:space="preserve"> de todo o parte</w:t>
      </w:r>
      <w:r w:rsidRPr="00781F33">
        <w:rPr>
          <w:rFonts w:ascii="Verdana" w:hAnsi="Verdana"/>
          <w:sz w:val="20"/>
        </w:rPr>
        <w:t xml:space="preserve"> de las cantidades determinadas dentro del plazo indicado, el Estado consignará dichos montos a su favor en una cuenta o certificado de depósito en una institución financiera </w:t>
      </w:r>
      <w:r w:rsidR="00AB31C2">
        <w:rPr>
          <w:rFonts w:ascii="Verdana" w:hAnsi="Verdana"/>
          <w:sz w:val="20"/>
        </w:rPr>
        <w:t>brasileña</w:t>
      </w:r>
      <w:r w:rsidRPr="00781F33">
        <w:rPr>
          <w:rFonts w:ascii="Verdana" w:hAnsi="Verdana"/>
          <w:sz w:val="20"/>
        </w:rPr>
        <w:t xml:space="preserve"> solvente, en dólares de los Estados Unidos de América,</w:t>
      </w:r>
      <w:r w:rsidR="00450830">
        <w:rPr>
          <w:rFonts w:ascii="Verdana" w:hAnsi="Verdana"/>
          <w:sz w:val="20"/>
        </w:rPr>
        <w:t xml:space="preserve"> […]</w:t>
      </w:r>
      <w:r w:rsidRPr="00781F33">
        <w:rPr>
          <w:rFonts w:ascii="Verdana" w:hAnsi="Verdana"/>
          <w:sz w:val="20"/>
        </w:rPr>
        <w:t xml:space="preserve"> y en las condiciones financieras más favorables que permitan la legislación y la práctica bancaria”. De conformidad con el párrafo </w:t>
      </w:r>
      <w:r w:rsidR="00AB31C2">
        <w:rPr>
          <w:rFonts w:ascii="Verdana" w:hAnsi="Verdana"/>
          <w:sz w:val="20"/>
        </w:rPr>
        <w:t>415</w:t>
      </w:r>
      <w:r w:rsidRPr="00781F33">
        <w:rPr>
          <w:rFonts w:ascii="Verdana" w:hAnsi="Verdana"/>
          <w:sz w:val="20"/>
        </w:rPr>
        <w:t>, si “el</w:t>
      </w:r>
      <w:r w:rsidR="00136A8A">
        <w:rPr>
          <w:rFonts w:ascii="Verdana" w:hAnsi="Verdana"/>
          <w:sz w:val="20"/>
        </w:rPr>
        <w:t xml:space="preserve"> Estado incurriera en mora, </w:t>
      </w:r>
      <w:r w:rsidRPr="00781F33">
        <w:rPr>
          <w:rFonts w:ascii="Verdana" w:hAnsi="Verdana"/>
          <w:sz w:val="20"/>
        </w:rPr>
        <w:t>deberá pagar un interés sobre la cantidad adeudada</w:t>
      </w:r>
      <w:r w:rsidR="00136A8A">
        <w:rPr>
          <w:rFonts w:ascii="Verdana" w:hAnsi="Verdana"/>
          <w:sz w:val="20"/>
        </w:rPr>
        <w:t xml:space="preserve"> </w:t>
      </w:r>
      <w:r w:rsidR="00136A8A" w:rsidRPr="00136A8A">
        <w:rPr>
          <w:rFonts w:ascii="Verdana" w:hAnsi="Verdana"/>
          <w:sz w:val="20"/>
        </w:rPr>
        <w:t xml:space="preserve">ya </w:t>
      </w:r>
      <w:r w:rsidR="00136A8A" w:rsidRPr="00136A8A">
        <w:rPr>
          <w:rFonts w:ascii="Verdana" w:hAnsi="Verdana"/>
          <w:sz w:val="20"/>
        </w:rPr>
        <w:lastRenderedPageBreak/>
        <w:t>convertida en reales brasileños</w:t>
      </w:r>
      <w:r w:rsidR="00136A8A">
        <w:rPr>
          <w:rFonts w:ascii="Verdana" w:hAnsi="Verdana"/>
          <w:sz w:val="20"/>
        </w:rPr>
        <w:t>,</w:t>
      </w:r>
      <w:r w:rsidRPr="00781F33">
        <w:rPr>
          <w:rFonts w:ascii="Verdana" w:hAnsi="Verdana"/>
          <w:sz w:val="20"/>
        </w:rPr>
        <w:t xml:space="preserve"> correspondiente al interés bancario </w:t>
      </w:r>
      <w:r w:rsidRPr="00590341">
        <w:rPr>
          <w:rFonts w:ascii="Verdana" w:hAnsi="Verdana"/>
          <w:sz w:val="20"/>
          <w:lang w:val="es-CO"/>
        </w:rPr>
        <w:t>moratorio</w:t>
      </w:r>
      <w:r w:rsidRPr="00781F33">
        <w:rPr>
          <w:rFonts w:ascii="Verdana" w:hAnsi="Verdana"/>
          <w:sz w:val="20"/>
        </w:rPr>
        <w:t xml:space="preserve"> en </w:t>
      </w:r>
      <w:r w:rsidR="00AB31C2">
        <w:rPr>
          <w:rFonts w:ascii="Verdana" w:hAnsi="Verdana"/>
          <w:sz w:val="20"/>
        </w:rPr>
        <w:t>la República Federativa de Brasil</w:t>
      </w:r>
      <w:r w:rsidRPr="00781F33">
        <w:rPr>
          <w:rFonts w:ascii="Verdana" w:hAnsi="Verdana"/>
          <w:sz w:val="20"/>
        </w:rPr>
        <w:t>”</w:t>
      </w:r>
      <w:r w:rsidR="00136A8A">
        <w:rPr>
          <w:rFonts w:ascii="Verdana" w:hAnsi="Verdana"/>
          <w:sz w:val="20"/>
        </w:rPr>
        <w:t>.</w:t>
      </w:r>
      <w:r w:rsidR="001520FD">
        <w:rPr>
          <w:rFonts w:ascii="Verdana" w:hAnsi="Verdana"/>
          <w:sz w:val="20"/>
        </w:rPr>
        <w:t xml:space="preserve"> </w:t>
      </w:r>
    </w:p>
    <w:p w14:paraId="1759489A" w14:textId="52BAC94E" w:rsidR="00C37833" w:rsidRDefault="00C37833" w:rsidP="00C37833">
      <w:pPr>
        <w:pStyle w:val="ColorfulList-Accent11"/>
        <w:spacing w:before="120" w:after="120"/>
        <w:contextualSpacing w:val="0"/>
        <w:jc w:val="both"/>
        <w:rPr>
          <w:rFonts w:ascii="Verdana" w:hAnsi="Verdana"/>
          <w:i/>
          <w:sz w:val="20"/>
          <w:lang w:val="es-CO"/>
        </w:rPr>
      </w:pPr>
      <w:r>
        <w:rPr>
          <w:rFonts w:ascii="Verdana" w:hAnsi="Verdana"/>
          <w:i/>
          <w:sz w:val="20"/>
          <w:lang w:val="es-CO"/>
        </w:rPr>
        <w:t>E</w:t>
      </w:r>
      <w:r w:rsidRPr="00C37833">
        <w:rPr>
          <w:rFonts w:ascii="Verdana" w:hAnsi="Verdana"/>
          <w:i/>
          <w:sz w:val="20"/>
          <w:lang w:val="es-CO"/>
        </w:rPr>
        <w:t xml:space="preserve">.2. </w:t>
      </w:r>
      <w:r w:rsidR="002824FB" w:rsidRPr="00805E7A">
        <w:rPr>
          <w:rFonts w:ascii="Verdana" w:hAnsi="Verdana"/>
          <w:i/>
          <w:sz w:val="20"/>
          <w:lang w:val="es-CO"/>
        </w:rPr>
        <w:t>Consideraciones de la Corte</w:t>
      </w:r>
    </w:p>
    <w:p w14:paraId="252A4306" w14:textId="11F27522" w:rsidR="00B2013F" w:rsidRPr="0009598C" w:rsidRDefault="006B27CA" w:rsidP="00884D9A">
      <w:pPr>
        <w:pStyle w:val="ColorfulList-Accent11"/>
        <w:numPr>
          <w:ilvl w:val="0"/>
          <w:numId w:val="3"/>
        </w:numPr>
        <w:spacing w:before="120" w:after="120"/>
        <w:ind w:left="0" w:firstLine="0"/>
        <w:contextualSpacing w:val="0"/>
        <w:jc w:val="both"/>
        <w:rPr>
          <w:rFonts w:ascii="Verdana" w:hAnsi="Verdana"/>
          <w:sz w:val="20"/>
          <w:lang w:val="es-CO"/>
        </w:rPr>
      </w:pPr>
      <w:r>
        <w:rPr>
          <w:rFonts w:ascii="Verdana" w:hAnsi="Verdana"/>
          <w:sz w:val="20"/>
          <w:lang w:val="es-CO"/>
        </w:rPr>
        <w:t>Con base en la información aportada por el Estado</w:t>
      </w:r>
      <w:r>
        <w:rPr>
          <w:rStyle w:val="Refdenotaalpie"/>
          <w:rFonts w:ascii="Verdana" w:hAnsi="Verdana"/>
          <w:sz w:val="20"/>
          <w:lang w:val="es-CO"/>
        </w:rPr>
        <w:footnoteReference w:id="33"/>
      </w:r>
      <w:r>
        <w:rPr>
          <w:rFonts w:ascii="Verdana" w:hAnsi="Verdana"/>
          <w:sz w:val="20"/>
          <w:lang w:val="es-CO"/>
        </w:rPr>
        <w:t>, así como lo observado por los representantes</w:t>
      </w:r>
      <w:r>
        <w:rPr>
          <w:rStyle w:val="Refdenotaalpie"/>
          <w:rFonts w:ascii="Verdana" w:hAnsi="Verdana"/>
          <w:sz w:val="20"/>
          <w:lang w:val="es-CO"/>
        </w:rPr>
        <w:footnoteReference w:id="34"/>
      </w:r>
      <w:r>
        <w:rPr>
          <w:rFonts w:ascii="Verdana" w:hAnsi="Verdana"/>
          <w:sz w:val="20"/>
          <w:lang w:val="es-CO"/>
        </w:rPr>
        <w:t xml:space="preserve">, esta Corte constata que el Estado </w:t>
      </w:r>
      <w:r w:rsidR="00BC07F2" w:rsidRPr="009B314C">
        <w:rPr>
          <w:rFonts w:ascii="Verdana" w:hAnsi="Verdana"/>
          <w:sz w:val="20"/>
          <w:szCs w:val="20"/>
        </w:rPr>
        <w:t>ha dado cumplimiento total a</w:t>
      </w:r>
      <w:r w:rsidR="00BC07F2">
        <w:rPr>
          <w:rFonts w:ascii="Verdana" w:hAnsi="Verdana"/>
          <w:sz w:val="20"/>
          <w:szCs w:val="20"/>
        </w:rPr>
        <w:t>l reintegro de costas y gastos</w:t>
      </w:r>
      <w:r w:rsidR="001520FD">
        <w:rPr>
          <w:rFonts w:ascii="Verdana" w:hAnsi="Verdana"/>
          <w:sz w:val="20"/>
          <w:lang w:val="es-CO"/>
        </w:rPr>
        <w:t xml:space="preserve">, quedando pendiente de cumplimiento </w:t>
      </w:r>
      <w:r w:rsidR="00B2013F" w:rsidRPr="00B2013F">
        <w:rPr>
          <w:rFonts w:ascii="Verdana" w:hAnsi="Verdana"/>
          <w:sz w:val="20"/>
        </w:rPr>
        <w:t xml:space="preserve">el pago de </w:t>
      </w:r>
      <w:r w:rsidR="001520FD">
        <w:rPr>
          <w:rFonts w:ascii="Verdana" w:hAnsi="Verdana"/>
          <w:sz w:val="20"/>
        </w:rPr>
        <w:t xml:space="preserve">las cantidades ordenadas </w:t>
      </w:r>
      <w:r w:rsidR="00185C90">
        <w:rPr>
          <w:rFonts w:ascii="Verdana" w:hAnsi="Verdana"/>
          <w:sz w:val="20"/>
        </w:rPr>
        <w:t>por</w:t>
      </w:r>
      <w:r w:rsidR="001520FD">
        <w:rPr>
          <w:rFonts w:ascii="Verdana" w:hAnsi="Verdana"/>
          <w:sz w:val="20"/>
        </w:rPr>
        <w:t xml:space="preserve"> concepto de </w:t>
      </w:r>
      <w:r w:rsidR="00B2013F" w:rsidRPr="00B2013F">
        <w:rPr>
          <w:rFonts w:ascii="Verdana" w:hAnsi="Verdana"/>
          <w:sz w:val="20"/>
        </w:rPr>
        <w:t>indemnizaciones por daños materiales e inmateriales.</w:t>
      </w:r>
    </w:p>
    <w:p w14:paraId="334D0F6B" w14:textId="77777777" w:rsidR="0009598C" w:rsidRPr="002824FB" w:rsidRDefault="0009598C" w:rsidP="0009598C">
      <w:pPr>
        <w:pStyle w:val="ColorfulList-Accent11"/>
        <w:spacing w:before="120" w:after="120"/>
        <w:ind w:left="0"/>
        <w:contextualSpacing w:val="0"/>
        <w:jc w:val="both"/>
        <w:rPr>
          <w:rFonts w:ascii="Verdana" w:hAnsi="Verdana"/>
          <w:sz w:val="20"/>
          <w:lang w:val="es-CO"/>
        </w:rPr>
      </w:pPr>
    </w:p>
    <w:p w14:paraId="17E3BE34" w14:textId="52D3DFFA" w:rsidR="00C37833" w:rsidRDefault="00C37833" w:rsidP="00C02C99">
      <w:pPr>
        <w:pStyle w:val="Ttulo1"/>
        <w:keepNext w:val="0"/>
        <w:widowControl w:val="0"/>
        <w:numPr>
          <w:ilvl w:val="1"/>
          <w:numId w:val="2"/>
        </w:numPr>
        <w:spacing w:before="120" w:after="120"/>
        <w:ind w:left="1134" w:hanging="425"/>
        <w:jc w:val="both"/>
        <w:rPr>
          <w:rFonts w:ascii="Verdana" w:hAnsi="Verdana"/>
          <w:i/>
          <w:sz w:val="20"/>
          <w:lang w:val="es-CO"/>
        </w:rPr>
      </w:pPr>
      <w:bookmarkStart w:id="8" w:name="_Toc70670916"/>
      <w:r w:rsidRPr="00C37833">
        <w:rPr>
          <w:rFonts w:ascii="Verdana" w:hAnsi="Verdana"/>
          <w:i/>
          <w:sz w:val="20"/>
          <w:lang w:val="es-CO"/>
        </w:rPr>
        <w:t>Reintegro al Fondo de Asistencia Legal de Víctimas</w:t>
      </w:r>
      <w:bookmarkEnd w:id="8"/>
    </w:p>
    <w:p w14:paraId="78923AB8" w14:textId="5AE66B21" w:rsidR="00136A8A" w:rsidRDefault="00136A8A" w:rsidP="00FA606A">
      <w:pPr>
        <w:pStyle w:val="ColorfulList-Accent11"/>
        <w:numPr>
          <w:ilvl w:val="0"/>
          <w:numId w:val="3"/>
        </w:numPr>
        <w:spacing w:before="120" w:after="120"/>
        <w:ind w:left="0" w:firstLine="0"/>
        <w:contextualSpacing w:val="0"/>
        <w:jc w:val="both"/>
        <w:rPr>
          <w:rFonts w:ascii="Verdana" w:hAnsi="Verdana"/>
          <w:sz w:val="20"/>
        </w:rPr>
      </w:pPr>
      <w:r>
        <w:rPr>
          <w:rFonts w:ascii="Verdana" w:hAnsi="Verdana"/>
          <w:sz w:val="20"/>
          <w:lang w:val="es-CO"/>
        </w:rPr>
        <w:t>En el punto resolutivo décimo segundo y en el párrafo 409 de la Sentencia, la Corte dispuso el reint</w:t>
      </w:r>
      <w:r w:rsidR="001520FD">
        <w:rPr>
          <w:rFonts w:ascii="Verdana" w:hAnsi="Verdana"/>
          <w:sz w:val="20"/>
          <w:lang w:val="es-CO"/>
        </w:rPr>
        <w:t>eg</w:t>
      </w:r>
      <w:r>
        <w:rPr>
          <w:rFonts w:ascii="Verdana" w:hAnsi="Verdana"/>
          <w:sz w:val="20"/>
          <w:lang w:val="es-CO"/>
        </w:rPr>
        <w:t xml:space="preserve">ro al Fondo de Asistencia Legal de Víctimas </w:t>
      </w:r>
      <w:r w:rsidRPr="00136A8A">
        <w:rPr>
          <w:rFonts w:ascii="Verdana" w:hAnsi="Verdana"/>
          <w:sz w:val="20"/>
        </w:rPr>
        <w:t>de la cantidad de US$4,260.95 (cuatro mil doscientos sesenta dólares de los Estados Unidos de América con noventa y cinco centavos) por concepto de los gastos realizados para la comparecencia de una víctima, un testigo y un perito en la audiencia pública del presente caso.</w:t>
      </w:r>
    </w:p>
    <w:p w14:paraId="254449FF" w14:textId="4F37D1EC" w:rsidR="00C37833" w:rsidRDefault="00C611AA" w:rsidP="00FA606A">
      <w:pPr>
        <w:pStyle w:val="ColorfulList-Accent11"/>
        <w:numPr>
          <w:ilvl w:val="0"/>
          <w:numId w:val="3"/>
        </w:numPr>
        <w:spacing w:before="120" w:after="120"/>
        <w:ind w:left="0" w:firstLine="0"/>
        <w:contextualSpacing w:val="0"/>
        <w:jc w:val="both"/>
        <w:rPr>
          <w:rFonts w:ascii="Verdana" w:hAnsi="Verdana"/>
          <w:sz w:val="20"/>
        </w:rPr>
      </w:pPr>
      <w:r>
        <w:rPr>
          <w:rFonts w:ascii="Verdana" w:hAnsi="Verdana"/>
          <w:sz w:val="20"/>
        </w:rPr>
        <w:t>En</w:t>
      </w:r>
      <w:r w:rsidR="00136A8A" w:rsidRPr="00136A8A">
        <w:rPr>
          <w:rFonts w:ascii="Verdana" w:hAnsi="Verdana"/>
          <w:sz w:val="20"/>
        </w:rPr>
        <w:t xml:space="preserve"> el párrafo </w:t>
      </w:r>
      <w:r w:rsidR="00136A8A">
        <w:rPr>
          <w:rFonts w:ascii="Verdana" w:hAnsi="Verdana"/>
          <w:sz w:val="20"/>
        </w:rPr>
        <w:t>409</w:t>
      </w:r>
      <w:r w:rsidR="00136A8A" w:rsidRPr="00136A8A">
        <w:rPr>
          <w:rFonts w:ascii="Verdana" w:hAnsi="Verdana"/>
          <w:sz w:val="20"/>
        </w:rPr>
        <w:t xml:space="preserve"> de la Sentencia, la Corte dispuso que </w:t>
      </w:r>
      <w:r w:rsidR="001520FD">
        <w:rPr>
          <w:rFonts w:ascii="Verdana" w:hAnsi="Verdana"/>
          <w:sz w:val="20"/>
        </w:rPr>
        <w:t>é</w:t>
      </w:r>
      <w:r w:rsidR="00F76CDB">
        <w:rPr>
          <w:rFonts w:ascii="Verdana" w:hAnsi="Verdana"/>
          <w:sz w:val="20"/>
        </w:rPr>
        <w:t>ste debía ser efectuado</w:t>
      </w:r>
      <w:r w:rsidR="00136A8A" w:rsidRPr="00136A8A">
        <w:rPr>
          <w:rFonts w:ascii="Verdana" w:hAnsi="Verdana"/>
          <w:sz w:val="20"/>
        </w:rPr>
        <w:t xml:space="preserve"> dentro del plazo de </w:t>
      </w:r>
      <w:r w:rsidR="00136A8A">
        <w:rPr>
          <w:rFonts w:ascii="Verdana" w:hAnsi="Verdana"/>
          <w:sz w:val="20"/>
        </w:rPr>
        <w:t>seis meses</w:t>
      </w:r>
      <w:r w:rsidR="00136A8A" w:rsidRPr="00136A8A">
        <w:rPr>
          <w:rFonts w:ascii="Verdana" w:hAnsi="Verdana"/>
          <w:sz w:val="20"/>
        </w:rPr>
        <w:t xml:space="preserve"> contado a pa</w:t>
      </w:r>
      <w:r w:rsidR="00136A8A">
        <w:rPr>
          <w:rFonts w:ascii="Verdana" w:hAnsi="Verdana"/>
          <w:sz w:val="20"/>
        </w:rPr>
        <w:t>rtir de la notificación del Fallo</w:t>
      </w:r>
      <w:r w:rsidR="00136A8A" w:rsidRPr="00136A8A">
        <w:rPr>
          <w:rFonts w:ascii="Verdana" w:hAnsi="Verdana"/>
          <w:sz w:val="20"/>
        </w:rPr>
        <w:t>.</w:t>
      </w:r>
      <w:r w:rsidR="00136A8A">
        <w:rPr>
          <w:rFonts w:ascii="Verdana" w:hAnsi="Verdana"/>
          <w:sz w:val="20"/>
        </w:rPr>
        <w:t xml:space="preserve"> </w:t>
      </w:r>
      <w:r w:rsidR="00136A8A" w:rsidRPr="00136A8A">
        <w:rPr>
          <w:rFonts w:ascii="Verdana" w:hAnsi="Verdana"/>
          <w:sz w:val="20"/>
        </w:rPr>
        <w:t>De conformidad con el párrafo 415, si “el</w:t>
      </w:r>
      <w:r w:rsidR="00136A8A">
        <w:rPr>
          <w:rFonts w:ascii="Verdana" w:hAnsi="Verdana"/>
          <w:sz w:val="20"/>
        </w:rPr>
        <w:t xml:space="preserve"> Estado incurriera en mora, </w:t>
      </w:r>
      <w:r w:rsidR="00136A8A" w:rsidRPr="00136A8A">
        <w:rPr>
          <w:rFonts w:ascii="Verdana" w:hAnsi="Verdana"/>
          <w:sz w:val="20"/>
        </w:rPr>
        <w:t>deberá pagar un interés sobre la cantidad adeudada</w:t>
      </w:r>
      <w:r w:rsidR="00136A8A">
        <w:rPr>
          <w:rFonts w:ascii="Verdana" w:hAnsi="Verdana"/>
          <w:sz w:val="20"/>
        </w:rPr>
        <w:t xml:space="preserve"> </w:t>
      </w:r>
      <w:r w:rsidR="00136A8A" w:rsidRPr="00136A8A">
        <w:rPr>
          <w:rFonts w:ascii="Verdana" w:hAnsi="Verdana"/>
          <w:sz w:val="20"/>
        </w:rPr>
        <w:t>ya convertida en reales brasileños</w:t>
      </w:r>
      <w:r w:rsidR="00136A8A">
        <w:rPr>
          <w:rFonts w:ascii="Verdana" w:hAnsi="Verdana"/>
          <w:sz w:val="20"/>
        </w:rPr>
        <w:t>,</w:t>
      </w:r>
      <w:r w:rsidR="00136A8A" w:rsidRPr="00136A8A">
        <w:rPr>
          <w:rFonts w:ascii="Verdana" w:hAnsi="Verdana"/>
          <w:sz w:val="20"/>
        </w:rPr>
        <w:t xml:space="preserve"> correspondiente al interés bancario moratorio en la República Federativa de Brasil”.</w:t>
      </w:r>
    </w:p>
    <w:p w14:paraId="7170DA62" w14:textId="59B42F3E" w:rsidR="008F71C0" w:rsidRPr="00446623" w:rsidRDefault="00703ABF" w:rsidP="00884D9A">
      <w:pPr>
        <w:pStyle w:val="ColorfulList-Accent11"/>
        <w:numPr>
          <w:ilvl w:val="0"/>
          <w:numId w:val="3"/>
        </w:numPr>
        <w:spacing w:before="120" w:after="120"/>
        <w:ind w:left="0" w:firstLine="0"/>
        <w:contextualSpacing w:val="0"/>
        <w:jc w:val="both"/>
        <w:rPr>
          <w:rFonts w:ascii="Verdana" w:hAnsi="Verdana"/>
          <w:sz w:val="20"/>
          <w:lang w:val="es-CO"/>
        </w:rPr>
      </w:pPr>
      <w:r w:rsidRPr="00703ABF">
        <w:rPr>
          <w:rFonts w:ascii="Verdana" w:hAnsi="Verdana"/>
          <w:sz w:val="20"/>
        </w:rPr>
        <w:t>E</w:t>
      </w:r>
      <w:r w:rsidR="00590341">
        <w:rPr>
          <w:rFonts w:ascii="Verdana" w:hAnsi="Verdana"/>
          <w:sz w:val="20"/>
        </w:rPr>
        <w:t>n</w:t>
      </w:r>
      <w:r w:rsidRPr="00703ABF">
        <w:rPr>
          <w:rFonts w:ascii="Verdana" w:hAnsi="Verdana"/>
          <w:sz w:val="20"/>
        </w:rPr>
        <w:t xml:space="preserve"> </w:t>
      </w:r>
      <w:r w:rsidR="008F71C0">
        <w:rPr>
          <w:rFonts w:ascii="Verdana" w:hAnsi="Verdana"/>
          <w:sz w:val="20"/>
        </w:rPr>
        <w:t xml:space="preserve">respuesta a una solicitud efectuada por el Estado en </w:t>
      </w:r>
      <w:r>
        <w:rPr>
          <w:rFonts w:ascii="Verdana" w:hAnsi="Verdana"/>
          <w:sz w:val="20"/>
        </w:rPr>
        <w:t>febrero de 2</w:t>
      </w:r>
      <w:r w:rsidR="00AB5E50">
        <w:rPr>
          <w:rFonts w:ascii="Verdana" w:hAnsi="Verdana"/>
          <w:sz w:val="20"/>
        </w:rPr>
        <w:t>0</w:t>
      </w:r>
      <w:r>
        <w:rPr>
          <w:rFonts w:ascii="Verdana" w:hAnsi="Verdana"/>
          <w:sz w:val="20"/>
        </w:rPr>
        <w:t>19</w:t>
      </w:r>
      <w:r w:rsidR="008F71C0">
        <w:rPr>
          <w:rFonts w:ascii="Verdana" w:hAnsi="Verdana"/>
          <w:sz w:val="20"/>
        </w:rPr>
        <w:t>,</w:t>
      </w:r>
      <w:r w:rsidRPr="00703ABF">
        <w:rPr>
          <w:rFonts w:ascii="Verdana" w:hAnsi="Verdana"/>
          <w:sz w:val="20"/>
        </w:rPr>
        <w:t xml:space="preserve"> </w:t>
      </w:r>
      <w:r w:rsidR="00590341">
        <w:rPr>
          <w:rFonts w:ascii="Verdana" w:hAnsi="Verdana"/>
          <w:sz w:val="20"/>
        </w:rPr>
        <w:t xml:space="preserve">la </w:t>
      </w:r>
      <w:r w:rsidRPr="00703ABF">
        <w:rPr>
          <w:rFonts w:ascii="Verdana" w:hAnsi="Verdana"/>
          <w:sz w:val="20"/>
        </w:rPr>
        <w:t xml:space="preserve">Secretaría </w:t>
      </w:r>
      <w:r w:rsidR="008F71C0">
        <w:rPr>
          <w:rFonts w:ascii="Verdana" w:hAnsi="Verdana"/>
          <w:sz w:val="20"/>
        </w:rPr>
        <w:t>le remitió los datos sobre los medios para efectuar el pago del reintegro</w:t>
      </w:r>
      <w:r w:rsidRPr="00703ABF">
        <w:rPr>
          <w:rFonts w:ascii="Verdana" w:hAnsi="Verdana"/>
          <w:sz w:val="20"/>
        </w:rPr>
        <w:t xml:space="preserve">. </w:t>
      </w:r>
      <w:r>
        <w:rPr>
          <w:rFonts w:ascii="Verdana" w:hAnsi="Verdana"/>
          <w:sz w:val="20"/>
        </w:rPr>
        <w:t>A su vez</w:t>
      </w:r>
      <w:r w:rsidR="001520FD">
        <w:rPr>
          <w:rFonts w:ascii="Verdana" w:hAnsi="Verdana"/>
          <w:sz w:val="20"/>
        </w:rPr>
        <w:t>,</w:t>
      </w:r>
      <w:r>
        <w:rPr>
          <w:rFonts w:ascii="Verdana" w:hAnsi="Verdana"/>
          <w:sz w:val="20"/>
        </w:rPr>
        <w:t xml:space="preserve"> mediante nota de Secretaría de 18 de diciembre de 2020, </w:t>
      </w:r>
      <w:r w:rsidR="001520FD">
        <w:rPr>
          <w:rFonts w:ascii="Verdana" w:hAnsi="Verdana"/>
          <w:sz w:val="20"/>
        </w:rPr>
        <w:t>siguiendo</w:t>
      </w:r>
      <w:r>
        <w:rPr>
          <w:rFonts w:ascii="Verdana" w:hAnsi="Verdana"/>
          <w:sz w:val="20"/>
        </w:rPr>
        <w:t xml:space="preserve"> instrucciones de la Presidencia de la Corte, se recordó al Estado acerca del vencimiento del plazo del reintegro y </w:t>
      </w:r>
      <w:r w:rsidR="00152008" w:rsidRPr="00152008">
        <w:rPr>
          <w:rFonts w:ascii="Verdana" w:hAnsi="Verdana"/>
          <w:sz w:val="20"/>
        </w:rPr>
        <w:t xml:space="preserve">se remitió </w:t>
      </w:r>
      <w:r w:rsidR="008F71C0">
        <w:rPr>
          <w:rFonts w:ascii="Verdana" w:hAnsi="Verdana"/>
          <w:sz w:val="20"/>
        </w:rPr>
        <w:t>nuevamente</w:t>
      </w:r>
      <w:r w:rsidR="00152008">
        <w:rPr>
          <w:rFonts w:ascii="Verdana" w:hAnsi="Verdana"/>
          <w:sz w:val="20"/>
        </w:rPr>
        <w:t xml:space="preserve"> </w:t>
      </w:r>
      <w:r w:rsidR="00152008" w:rsidRPr="00152008">
        <w:rPr>
          <w:rFonts w:ascii="Verdana" w:hAnsi="Verdana"/>
          <w:sz w:val="20"/>
        </w:rPr>
        <w:t>la información necesaria para realizar el pago</w:t>
      </w:r>
      <w:r w:rsidR="00152008">
        <w:rPr>
          <w:rFonts w:ascii="Verdana" w:hAnsi="Verdana"/>
          <w:sz w:val="20"/>
        </w:rPr>
        <w:t xml:space="preserve">. </w:t>
      </w:r>
      <w:r w:rsidRPr="00703ABF">
        <w:rPr>
          <w:rFonts w:ascii="Verdana" w:hAnsi="Verdana"/>
          <w:sz w:val="20"/>
        </w:rPr>
        <w:t xml:space="preserve">A la fecha, </w:t>
      </w:r>
      <w:r>
        <w:rPr>
          <w:rFonts w:ascii="Verdana" w:hAnsi="Verdana"/>
          <w:sz w:val="20"/>
        </w:rPr>
        <w:t>Brasil</w:t>
      </w:r>
      <w:r w:rsidRPr="00703ABF">
        <w:rPr>
          <w:rFonts w:ascii="Verdana" w:hAnsi="Verdana"/>
          <w:sz w:val="20"/>
        </w:rPr>
        <w:t xml:space="preserve"> no ha proporcionado más información al respecto, a pesar de que ya ha transcurrido más de un año desde que venció el plazo de seis meses </w:t>
      </w:r>
      <w:r w:rsidR="004C5505">
        <w:rPr>
          <w:rFonts w:ascii="Verdana" w:hAnsi="Verdana"/>
          <w:sz w:val="20"/>
        </w:rPr>
        <w:t>dispuesto</w:t>
      </w:r>
      <w:r w:rsidRPr="00703ABF">
        <w:rPr>
          <w:rFonts w:ascii="Verdana" w:hAnsi="Verdana"/>
          <w:sz w:val="20"/>
        </w:rPr>
        <w:t xml:space="preserve"> en la Sentencia para </w:t>
      </w:r>
      <w:r>
        <w:rPr>
          <w:rFonts w:ascii="Verdana" w:hAnsi="Verdana"/>
          <w:sz w:val="20"/>
        </w:rPr>
        <w:t>realizar el referido reintegro</w:t>
      </w:r>
      <w:r w:rsidRPr="00703ABF">
        <w:rPr>
          <w:rFonts w:ascii="Verdana" w:hAnsi="Verdana"/>
          <w:sz w:val="20"/>
        </w:rPr>
        <w:t xml:space="preserve">. </w:t>
      </w:r>
    </w:p>
    <w:p w14:paraId="5AC3A2D2" w14:textId="3E0F710D" w:rsidR="00703ABF" w:rsidRPr="00884D9A" w:rsidRDefault="00703ABF" w:rsidP="00884D9A">
      <w:pPr>
        <w:pStyle w:val="ColorfulList-Accent11"/>
        <w:numPr>
          <w:ilvl w:val="0"/>
          <w:numId w:val="3"/>
        </w:numPr>
        <w:spacing w:before="120" w:after="120"/>
        <w:ind w:left="0" w:firstLine="0"/>
        <w:contextualSpacing w:val="0"/>
        <w:jc w:val="both"/>
        <w:rPr>
          <w:rFonts w:ascii="Verdana" w:hAnsi="Verdana"/>
          <w:sz w:val="20"/>
          <w:lang w:val="es-CO"/>
        </w:rPr>
      </w:pPr>
      <w:r w:rsidRPr="00884D9A">
        <w:rPr>
          <w:rFonts w:ascii="Verdana" w:hAnsi="Verdana"/>
          <w:sz w:val="20"/>
        </w:rPr>
        <w:t>En consecuencia, se recuerda al Estado que en lo que respecta al financiamiento del Fondo de Asistencia de la Corte, los recursos disponibles en el mismo son limitados. Desde su funcionamiento a partir del 2010, éste ha dependido de los aportes de capital voluntario de fuentes cooperantes y del aporte de un Estado miembro de la OEA</w:t>
      </w:r>
      <w:r w:rsidR="00C611AA">
        <w:rPr>
          <w:rStyle w:val="Refdenotaalpie"/>
          <w:rFonts w:ascii="Verdana" w:hAnsi="Verdana"/>
          <w:sz w:val="20"/>
        </w:rPr>
        <w:footnoteReference w:id="35"/>
      </w:r>
      <w:r w:rsidRPr="00884D9A">
        <w:rPr>
          <w:rFonts w:ascii="Verdana" w:hAnsi="Verdana"/>
          <w:sz w:val="20"/>
        </w:rPr>
        <w:t>, así como de los reintegros que realicen los Estados responsables. En consecuencia, la falta de cumplimiento oportuno de los Estados del reintegro al Fondo de Asistencia de la cantidad ordenada en las decisiones correspondientes afecta de forma directa su sostenibilidad y, sobre todo, el acceso a la justicia de las presuntas víctimas y, de ser el caso, víctimas ante este Tribunal</w:t>
      </w:r>
      <w:r w:rsidR="00C611AA">
        <w:rPr>
          <w:rStyle w:val="Refdenotaalpie"/>
          <w:rFonts w:ascii="Verdana" w:hAnsi="Verdana"/>
          <w:sz w:val="20"/>
        </w:rPr>
        <w:footnoteReference w:id="36"/>
      </w:r>
      <w:r w:rsidRPr="00884D9A">
        <w:rPr>
          <w:rFonts w:ascii="Verdana" w:hAnsi="Verdana"/>
          <w:sz w:val="20"/>
        </w:rPr>
        <w:t>.</w:t>
      </w:r>
    </w:p>
    <w:p w14:paraId="778BF2AE" w14:textId="7268487C" w:rsidR="00DF1F12" w:rsidRPr="002D50F5" w:rsidRDefault="00703ABF" w:rsidP="00FA606A">
      <w:pPr>
        <w:pStyle w:val="ColorfulList-Accent11"/>
        <w:numPr>
          <w:ilvl w:val="0"/>
          <w:numId w:val="3"/>
        </w:numPr>
        <w:spacing w:before="120" w:after="120"/>
        <w:ind w:left="0" w:firstLine="0"/>
        <w:contextualSpacing w:val="0"/>
        <w:jc w:val="both"/>
        <w:rPr>
          <w:rFonts w:ascii="Verdana" w:hAnsi="Verdana"/>
          <w:sz w:val="20"/>
          <w:szCs w:val="20"/>
          <w:lang w:val="es-CO"/>
        </w:rPr>
      </w:pPr>
      <w:r w:rsidRPr="00703ABF">
        <w:rPr>
          <w:rFonts w:ascii="Verdana" w:hAnsi="Verdana"/>
          <w:sz w:val="20"/>
          <w:szCs w:val="20"/>
        </w:rPr>
        <w:t xml:space="preserve">Por </w:t>
      </w:r>
      <w:r w:rsidRPr="00703ABF">
        <w:rPr>
          <w:rFonts w:ascii="Verdana" w:hAnsi="Verdana"/>
          <w:sz w:val="20"/>
        </w:rPr>
        <w:t>consiguiente</w:t>
      </w:r>
      <w:r w:rsidRPr="00703ABF">
        <w:rPr>
          <w:rFonts w:ascii="Verdana" w:hAnsi="Verdana"/>
          <w:sz w:val="20"/>
          <w:szCs w:val="20"/>
        </w:rPr>
        <w:t xml:space="preserve">, el Tribunal requiere al Estado que, en cumplimiento de sus obligaciones convencionales, proceda a la mayor brevedad con el reintegro al Fondo de </w:t>
      </w:r>
      <w:r w:rsidRPr="00703ABF">
        <w:rPr>
          <w:rFonts w:ascii="Verdana" w:hAnsi="Verdana"/>
          <w:sz w:val="20"/>
          <w:szCs w:val="20"/>
        </w:rPr>
        <w:lastRenderedPageBreak/>
        <w:t>Asistencia de la Corte de la cantidad ordenada en la Sentencia</w:t>
      </w:r>
      <w:r w:rsidR="00C611AA">
        <w:rPr>
          <w:rFonts w:ascii="Verdana" w:hAnsi="Verdana"/>
          <w:sz w:val="20"/>
          <w:szCs w:val="20"/>
        </w:rPr>
        <w:t xml:space="preserve"> y los intereses moratorios de conformidad con lo dispuesto en el párrafo 415 del Fallo</w:t>
      </w:r>
      <w:r w:rsidRPr="00703ABF">
        <w:rPr>
          <w:rFonts w:ascii="Verdana" w:hAnsi="Verdana"/>
          <w:sz w:val="20"/>
          <w:szCs w:val="20"/>
        </w:rPr>
        <w:t xml:space="preserve"> (</w:t>
      </w:r>
      <w:r w:rsidRPr="001D7478">
        <w:rPr>
          <w:rFonts w:ascii="Verdana" w:hAnsi="Verdana"/>
          <w:i/>
          <w:sz w:val="20"/>
          <w:szCs w:val="20"/>
        </w:rPr>
        <w:t>supra</w:t>
      </w:r>
      <w:r w:rsidRPr="00703ABF">
        <w:rPr>
          <w:rFonts w:ascii="Verdana" w:hAnsi="Verdana"/>
          <w:sz w:val="20"/>
          <w:szCs w:val="20"/>
        </w:rPr>
        <w:t xml:space="preserve"> Considerando </w:t>
      </w:r>
      <w:r w:rsidR="00DF45A8">
        <w:rPr>
          <w:rFonts w:ascii="Verdana" w:hAnsi="Verdana"/>
          <w:sz w:val="20"/>
          <w:szCs w:val="20"/>
        </w:rPr>
        <w:t>30</w:t>
      </w:r>
      <w:r w:rsidRPr="00703ABF">
        <w:rPr>
          <w:rFonts w:ascii="Verdana" w:hAnsi="Verdana"/>
          <w:sz w:val="20"/>
          <w:szCs w:val="20"/>
        </w:rPr>
        <w:t>).</w:t>
      </w:r>
    </w:p>
    <w:p w14:paraId="7F405D33" w14:textId="141F1CF3" w:rsidR="002D50F5" w:rsidRDefault="002D50F5" w:rsidP="002D50F5">
      <w:pPr>
        <w:pStyle w:val="ColorfulList-Accent11"/>
        <w:spacing w:before="120" w:after="120"/>
        <w:ind w:left="0"/>
        <w:contextualSpacing w:val="0"/>
        <w:jc w:val="both"/>
        <w:rPr>
          <w:rFonts w:ascii="Verdana" w:hAnsi="Verdana"/>
          <w:sz w:val="20"/>
          <w:szCs w:val="20"/>
          <w:lang w:val="es-CO"/>
        </w:rPr>
      </w:pPr>
    </w:p>
    <w:p w14:paraId="5AF056E5" w14:textId="3C5FCE5E" w:rsidR="009C50BE" w:rsidRDefault="009C50BE" w:rsidP="009C50BE">
      <w:pPr>
        <w:pStyle w:val="Ttulo1"/>
        <w:keepNext w:val="0"/>
        <w:widowControl w:val="0"/>
        <w:numPr>
          <w:ilvl w:val="1"/>
          <w:numId w:val="2"/>
        </w:numPr>
        <w:spacing w:before="120" w:after="120"/>
        <w:jc w:val="both"/>
        <w:rPr>
          <w:rFonts w:ascii="Verdana" w:hAnsi="Verdana"/>
          <w:i/>
          <w:sz w:val="20"/>
          <w:lang w:val="es-CO"/>
        </w:rPr>
      </w:pPr>
      <w:bookmarkStart w:id="9" w:name="_Toc70670917"/>
      <w:r>
        <w:rPr>
          <w:rFonts w:ascii="Verdana" w:hAnsi="Verdana"/>
          <w:i/>
          <w:sz w:val="20"/>
          <w:lang w:val="es-CO"/>
        </w:rPr>
        <w:t>Solicitud de realizar una audiencia de supervisión de cumplimiento</w:t>
      </w:r>
      <w:bookmarkEnd w:id="9"/>
    </w:p>
    <w:p w14:paraId="08A649C2" w14:textId="4DF904B9" w:rsidR="009C50BE" w:rsidRPr="00E259B9" w:rsidRDefault="007C0529" w:rsidP="007C0529">
      <w:pPr>
        <w:pStyle w:val="ColorfulList-Accent11"/>
        <w:numPr>
          <w:ilvl w:val="0"/>
          <w:numId w:val="3"/>
        </w:numPr>
        <w:spacing w:before="120" w:after="120"/>
        <w:ind w:left="0" w:firstLine="0"/>
        <w:contextualSpacing w:val="0"/>
        <w:jc w:val="both"/>
        <w:rPr>
          <w:rFonts w:ascii="Verdana" w:hAnsi="Verdana"/>
          <w:sz w:val="20"/>
          <w:szCs w:val="20"/>
          <w:lang w:val="es-CO"/>
        </w:rPr>
      </w:pPr>
      <w:r>
        <w:rPr>
          <w:rFonts w:ascii="Verdana" w:hAnsi="Verdana"/>
          <w:sz w:val="20"/>
          <w:szCs w:val="20"/>
          <w:lang w:val="es-CO"/>
        </w:rPr>
        <w:t xml:space="preserve">Esta Corte considera pertinente hacer lugar a </w:t>
      </w:r>
      <w:r w:rsidR="009C50BE">
        <w:rPr>
          <w:rFonts w:ascii="Verdana" w:hAnsi="Verdana"/>
          <w:sz w:val="20"/>
          <w:szCs w:val="20"/>
          <w:lang w:val="es-CO"/>
        </w:rPr>
        <w:t xml:space="preserve">la solicitud </w:t>
      </w:r>
      <w:r>
        <w:rPr>
          <w:rFonts w:ascii="Verdana" w:hAnsi="Verdana"/>
          <w:sz w:val="20"/>
          <w:szCs w:val="20"/>
          <w:lang w:val="es-CO"/>
        </w:rPr>
        <w:t>de</w:t>
      </w:r>
      <w:r w:rsidR="009C50BE">
        <w:rPr>
          <w:rFonts w:ascii="Verdana" w:hAnsi="Verdana"/>
          <w:sz w:val="20"/>
          <w:szCs w:val="20"/>
          <w:lang w:val="es-CO"/>
        </w:rPr>
        <w:t xml:space="preserve"> los representantes </w:t>
      </w:r>
      <w:r>
        <w:rPr>
          <w:rFonts w:ascii="Verdana" w:hAnsi="Verdana"/>
          <w:sz w:val="20"/>
          <w:szCs w:val="20"/>
          <w:lang w:val="es-CO"/>
        </w:rPr>
        <w:t xml:space="preserve">y convocar a las </w:t>
      </w:r>
      <w:r w:rsidRPr="007C0529">
        <w:rPr>
          <w:rFonts w:ascii="Verdana" w:hAnsi="Verdana"/>
          <w:sz w:val="20"/>
          <w:szCs w:val="20"/>
        </w:rPr>
        <w:t>partes</w:t>
      </w:r>
      <w:r>
        <w:rPr>
          <w:rFonts w:ascii="Verdana" w:hAnsi="Verdana"/>
          <w:sz w:val="20"/>
          <w:szCs w:val="20"/>
          <w:lang w:val="es-CO"/>
        </w:rPr>
        <w:t xml:space="preserve"> y a la Comisión a una audiencia p</w:t>
      </w:r>
      <w:r w:rsidR="00E259B9">
        <w:rPr>
          <w:rFonts w:ascii="Verdana" w:hAnsi="Verdana"/>
          <w:sz w:val="20"/>
          <w:szCs w:val="20"/>
          <w:lang w:val="es-CO"/>
        </w:rPr>
        <w:t>ública de super</w:t>
      </w:r>
      <w:r>
        <w:rPr>
          <w:rFonts w:ascii="Verdana" w:hAnsi="Verdana"/>
          <w:sz w:val="20"/>
          <w:szCs w:val="20"/>
          <w:lang w:val="es-CO"/>
        </w:rPr>
        <w:t>vis</w:t>
      </w:r>
      <w:r w:rsidR="00E259B9">
        <w:rPr>
          <w:rFonts w:ascii="Verdana" w:hAnsi="Verdana"/>
          <w:sz w:val="20"/>
          <w:szCs w:val="20"/>
          <w:lang w:val="es-CO"/>
        </w:rPr>
        <w:t>i</w:t>
      </w:r>
      <w:r>
        <w:rPr>
          <w:rFonts w:ascii="Verdana" w:hAnsi="Verdana"/>
          <w:sz w:val="20"/>
          <w:szCs w:val="20"/>
          <w:lang w:val="es-CO"/>
        </w:rPr>
        <w:t xml:space="preserve">ón de cumplimiento de las medidas de reparación </w:t>
      </w:r>
      <w:r w:rsidR="009C50BE">
        <w:rPr>
          <w:rFonts w:ascii="Verdana" w:hAnsi="Verdana"/>
          <w:sz w:val="20"/>
          <w:szCs w:val="20"/>
          <w:lang w:val="es-CO"/>
        </w:rPr>
        <w:t xml:space="preserve">ordenadas en los puntos </w:t>
      </w:r>
      <w:r w:rsidR="009C50BE" w:rsidRPr="00E31394">
        <w:rPr>
          <w:rFonts w:ascii="Verdana" w:hAnsi="Verdana"/>
          <w:sz w:val="20"/>
          <w:szCs w:val="20"/>
          <w:lang w:val="es-CO"/>
        </w:rPr>
        <w:t xml:space="preserve">resolutivos </w:t>
      </w:r>
      <w:r w:rsidR="00B90FBC" w:rsidRPr="00E31394">
        <w:rPr>
          <w:rFonts w:ascii="Verdana" w:hAnsi="Verdana"/>
          <w:sz w:val="20"/>
          <w:szCs w:val="20"/>
          <w:lang w:val="es-CO"/>
        </w:rPr>
        <w:t>séptimo</w:t>
      </w:r>
      <w:r w:rsidR="009C50BE" w:rsidRPr="00E31394">
        <w:rPr>
          <w:rFonts w:ascii="Verdana" w:hAnsi="Verdana"/>
          <w:sz w:val="20"/>
          <w:szCs w:val="20"/>
          <w:lang w:val="es-CO"/>
        </w:rPr>
        <w:t xml:space="preserve"> y </w:t>
      </w:r>
      <w:r w:rsidR="00B90FBC" w:rsidRPr="00E31394">
        <w:rPr>
          <w:rFonts w:ascii="Verdana" w:hAnsi="Verdana"/>
          <w:sz w:val="20"/>
          <w:szCs w:val="20"/>
          <w:lang w:val="es-CO"/>
        </w:rPr>
        <w:t>octavo</w:t>
      </w:r>
      <w:r w:rsidR="009C50BE" w:rsidRPr="00E31394">
        <w:rPr>
          <w:rFonts w:ascii="Verdana" w:hAnsi="Verdana"/>
          <w:sz w:val="20"/>
          <w:szCs w:val="20"/>
          <w:lang w:val="es-CO"/>
        </w:rPr>
        <w:t xml:space="preserve"> de la</w:t>
      </w:r>
      <w:r w:rsidR="009C50BE">
        <w:rPr>
          <w:rFonts w:ascii="Verdana" w:hAnsi="Verdana"/>
          <w:sz w:val="20"/>
          <w:szCs w:val="20"/>
          <w:lang w:val="es-CO"/>
        </w:rPr>
        <w:t xml:space="preserve"> Sentencia, </w:t>
      </w:r>
      <w:r w:rsidR="009C50BE" w:rsidRPr="001D7478">
        <w:rPr>
          <w:rFonts w:ascii="Verdana" w:hAnsi="Verdana"/>
          <w:sz w:val="20"/>
          <w:szCs w:val="20"/>
          <w:lang w:val="es-CO"/>
        </w:rPr>
        <w:t>relativas</w:t>
      </w:r>
      <w:r w:rsidR="009C50BE">
        <w:rPr>
          <w:rFonts w:ascii="Verdana" w:hAnsi="Verdana"/>
          <w:sz w:val="20"/>
          <w:szCs w:val="20"/>
          <w:lang w:val="es-CO"/>
        </w:rPr>
        <w:t xml:space="preserve"> a la obligación de investigar la tortura y muerte del señor H</w:t>
      </w:r>
      <w:r>
        <w:rPr>
          <w:rFonts w:ascii="Verdana" w:hAnsi="Verdana"/>
          <w:sz w:val="20"/>
          <w:szCs w:val="20"/>
          <w:lang w:val="es-CO"/>
        </w:rPr>
        <w:t xml:space="preserve">erzog y </w:t>
      </w:r>
      <w:r w:rsidR="00BC07F2">
        <w:rPr>
          <w:rFonts w:ascii="Verdana" w:hAnsi="Verdana"/>
          <w:sz w:val="20"/>
          <w:szCs w:val="20"/>
          <w:lang w:val="es-CO"/>
        </w:rPr>
        <w:t xml:space="preserve">la garantía de no repetición </w:t>
      </w:r>
      <w:r w:rsidR="00BC07F2" w:rsidRPr="001D7478">
        <w:rPr>
          <w:rFonts w:ascii="Verdana" w:hAnsi="Verdana"/>
          <w:sz w:val="20"/>
          <w:szCs w:val="20"/>
          <w:lang w:val="es-CO"/>
        </w:rPr>
        <w:t>relativa</w:t>
      </w:r>
      <w:r w:rsidR="00BC07F2">
        <w:rPr>
          <w:rFonts w:ascii="Verdana" w:hAnsi="Verdana"/>
          <w:sz w:val="20"/>
          <w:szCs w:val="20"/>
          <w:lang w:val="es-CO"/>
        </w:rPr>
        <w:t xml:space="preserve"> a </w:t>
      </w:r>
      <w:r>
        <w:rPr>
          <w:rFonts w:ascii="Verdana" w:hAnsi="Verdana"/>
          <w:sz w:val="20"/>
          <w:szCs w:val="20"/>
          <w:lang w:val="es-CO"/>
        </w:rPr>
        <w:t>adoptar</w:t>
      </w:r>
      <w:r w:rsidR="009C50BE">
        <w:rPr>
          <w:rFonts w:ascii="Verdana" w:hAnsi="Verdana"/>
          <w:sz w:val="20"/>
          <w:szCs w:val="20"/>
          <w:lang w:val="es-CO"/>
        </w:rPr>
        <w:t xml:space="preserve"> </w:t>
      </w:r>
      <w:r w:rsidR="009C50BE" w:rsidRPr="00026555">
        <w:rPr>
          <w:rFonts w:ascii="Verdana" w:hAnsi="Verdana"/>
          <w:sz w:val="20"/>
        </w:rPr>
        <w:t xml:space="preserve">medidas para </w:t>
      </w:r>
      <w:r w:rsidR="009C50BE">
        <w:rPr>
          <w:rFonts w:ascii="Verdana" w:hAnsi="Verdana"/>
          <w:sz w:val="20"/>
        </w:rPr>
        <w:t>el reconocimiento de</w:t>
      </w:r>
      <w:r w:rsidR="009C50BE" w:rsidRPr="00026555">
        <w:rPr>
          <w:rFonts w:ascii="Verdana" w:hAnsi="Verdana"/>
          <w:sz w:val="20"/>
        </w:rPr>
        <w:t xml:space="preserve"> la imprescriptibilidad de las acciones emergentes de crímenes de lesa humanidad </w:t>
      </w:r>
      <w:r w:rsidR="009C50BE">
        <w:rPr>
          <w:rFonts w:ascii="Verdana" w:hAnsi="Verdana"/>
          <w:sz w:val="20"/>
        </w:rPr>
        <w:t xml:space="preserve">y otros crímenes </w:t>
      </w:r>
      <w:r w:rsidR="009C50BE" w:rsidRPr="00026555">
        <w:rPr>
          <w:rFonts w:ascii="Verdana" w:hAnsi="Verdana"/>
          <w:sz w:val="20"/>
        </w:rPr>
        <w:t>internacionales</w:t>
      </w:r>
      <w:r w:rsidR="00B90FBC">
        <w:rPr>
          <w:rFonts w:ascii="Verdana" w:hAnsi="Verdana"/>
          <w:sz w:val="20"/>
        </w:rPr>
        <w:t>, a celebrarse de manera virtual el</w:t>
      </w:r>
      <w:r w:rsidR="008027D7">
        <w:rPr>
          <w:rFonts w:ascii="Verdana" w:hAnsi="Verdana"/>
          <w:sz w:val="20"/>
        </w:rPr>
        <w:t xml:space="preserve"> 24 de junio de 2021 de las 10:</w:t>
      </w:r>
      <w:r w:rsidR="004F5F88">
        <w:rPr>
          <w:rFonts w:ascii="Verdana" w:hAnsi="Verdana"/>
          <w:sz w:val="20"/>
        </w:rPr>
        <w:t>3</w:t>
      </w:r>
      <w:r w:rsidR="00B90FBC">
        <w:rPr>
          <w:rFonts w:ascii="Verdana" w:hAnsi="Verdana"/>
          <w:sz w:val="20"/>
        </w:rPr>
        <w:t>0 a las 12:</w:t>
      </w:r>
      <w:r w:rsidR="004F5F88">
        <w:rPr>
          <w:rFonts w:ascii="Verdana" w:hAnsi="Verdana"/>
          <w:sz w:val="20"/>
        </w:rPr>
        <w:t>3</w:t>
      </w:r>
      <w:r w:rsidR="00B90FBC">
        <w:rPr>
          <w:rFonts w:ascii="Verdana" w:hAnsi="Verdana"/>
          <w:sz w:val="20"/>
        </w:rPr>
        <w:t xml:space="preserve">0 horas, horario de Costa Rica, durante el 142° período ordinario de sesiones de esta Corte. La misma se realizará de manera conjunta para supervisar algunas de las reparaciones pendientes de cumplimiento en el caso </w:t>
      </w:r>
      <w:r w:rsidR="00B90FBC">
        <w:rPr>
          <w:rFonts w:ascii="Verdana" w:hAnsi="Verdana"/>
          <w:i/>
          <w:sz w:val="20"/>
        </w:rPr>
        <w:t xml:space="preserve">Gomes </w:t>
      </w:r>
      <w:r w:rsidR="00B90FBC" w:rsidRPr="00B90FBC">
        <w:rPr>
          <w:rFonts w:ascii="Verdana" w:hAnsi="Verdana"/>
          <w:i/>
          <w:sz w:val="20"/>
        </w:rPr>
        <w:t xml:space="preserve">Lund </w:t>
      </w:r>
      <w:hyperlink r:id="rId8" w:history="1">
        <w:r w:rsidR="00B90FBC" w:rsidRPr="00B90FBC">
          <w:rPr>
            <w:rStyle w:val="Hipervnculo"/>
            <w:rFonts w:ascii="Verdana" w:hAnsi="Verdana"/>
            <w:i/>
            <w:color w:val="auto"/>
            <w:sz w:val="20"/>
            <w:szCs w:val="24"/>
          </w:rPr>
          <w:t>y otros (</w:t>
        </w:r>
        <w:proofErr w:type="spellStart"/>
        <w:r w:rsidR="00B90FBC" w:rsidRPr="00B90FBC">
          <w:rPr>
            <w:rStyle w:val="Hipervnculo"/>
            <w:rFonts w:ascii="Verdana" w:hAnsi="Verdana"/>
            <w:i/>
            <w:color w:val="auto"/>
            <w:sz w:val="20"/>
            <w:szCs w:val="24"/>
          </w:rPr>
          <w:t>Guerrilha</w:t>
        </w:r>
        <w:proofErr w:type="spellEnd"/>
        <w:r w:rsidR="00B90FBC" w:rsidRPr="00B90FBC">
          <w:rPr>
            <w:rStyle w:val="Hipervnculo"/>
            <w:rFonts w:ascii="Verdana" w:hAnsi="Verdana"/>
            <w:i/>
            <w:color w:val="auto"/>
            <w:sz w:val="20"/>
            <w:szCs w:val="24"/>
          </w:rPr>
          <w:t xml:space="preserve"> do </w:t>
        </w:r>
        <w:proofErr w:type="spellStart"/>
        <w:r w:rsidR="00B90FBC" w:rsidRPr="00B90FBC">
          <w:rPr>
            <w:rStyle w:val="Hipervnculo"/>
            <w:rFonts w:ascii="Verdana" w:hAnsi="Verdana"/>
            <w:i/>
            <w:color w:val="auto"/>
            <w:sz w:val="20"/>
            <w:szCs w:val="24"/>
          </w:rPr>
          <w:t>Araguaia</w:t>
        </w:r>
        <w:proofErr w:type="spellEnd"/>
        <w:r w:rsidR="00B90FBC" w:rsidRPr="00B90FBC">
          <w:rPr>
            <w:rStyle w:val="Hipervnculo"/>
            <w:rFonts w:ascii="Verdana" w:hAnsi="Verdana"/>
            <w:i/>
            <w:color w:val="auto"/>
            <w:sz w:val="20"/>
            <w:szCs w:val="24"/>
          </w:rPr>
          <w:t>)</w:t>
        </w:r>
      </w:hyperlink>
      <w:r w:rsidR="00B90FBC" w:rsidRPr="00B90FBC">
        <w:rPr>
          <w:rFonts w:ascii="Verdana" w:hAnsi="Verdana"/>
          <w:i/>
          <w:sz w:val="20"/>
        </w:rPr>
        <w:t xml:space="preserve"> Vs. Brasil</w:t>
      </w:r>
      <w:r w:rsidR="00B90FBC" w:rsidRPr="00B90FBC">
        <w:rPr>
          <w:rFonts w:ascii="Verdana" w:hAnsi="Verdana"/>
          <w:sz w:val="20"/>
        </w:rPr>
        <w:t xml:space="preserve">. </w:t>
      </w:r>
    </w:p>
    <w:p w14:paraId="16480C69" w14:textId="013C0E7F" w:rsidR="00E259B9" w:rsidRPr="00E259B9" w:rsidRDefault="00E259B9" w:rsidP="00E259B9">
      <w:pPr>
        <w:pStyle w:val="ColorfulList-Accent11"/>
        <w:numPr>
          <w:ilvl w:val="0"/>
          <w:numId w:val="3"/>
        </w:numPr>
        <w:spacing w:before="120" w:after="120"/>
        <w:ind w:left="0" w:firstLine="0"/>
        <w:contextualSpacing w:val="0"/>
        <w:jc w:val="both"/>
        <w:rPr>
          <w:rFonts w:ascii="Verdana" w:hAnsi="Verdana"/>
          <w:i/>
          <w:sz w:val="20"/>
        </w:rPr>
      </w:pPr>
      <w:r w:rsidRPr="00E259B9">
        <w:rPr>
          <w:rFonts w:ascii="Verdana" w:hAnsi="Verdana"/>
          <w:sz w:val="20"/>
        </w:rPr>
        <w:t xml:space="preserve">Adicionalmente, con base en lo dispuesto en el </w:t>
      </w:r>
      <w:proofErr w:type="spellStart"/>
      <w:r w:rsidRPr="00E259B9">
        <w:rPr>
          <w:rFonts w:ascii="Verdana" w:hAnsi="Verdana"/>
          <w:sz w:val="20"/>
        </w:rPr>
        <w:t>artículo</w:t>
      </w:r>
      <w:proofErr w:type="spellEnd"/>
      <w:r w:rsidRPr="00E259B9">
        <w:rPr>
          <w:rFonts w:ascii="Verdana" w:hAnsi="Verdana"/>
          <w:sz w:val="20"/>
        </w:rPr>
        <w:t xml:space="preserve"> 69.2 del </w:t>
      </w:r>
      <w:r>
        <w:rPr>
          <w:rFonts w:ascii="Verdana" w:hAnsi="Verdana"/>
          <w:sz w:val="20"/>
        </w:rPr>
        <w:t>Reglamento de la Corte</w:t>
      </w:r>
      <w:r>
        <w:rPr>
          <w:rStyle w:val="Refdenotaalpie"/>
          <w:rFonts w:ascii="Verdana" w:hAnsi="Verdana"/>
          <w:sz w:val="20"/>
        </w:rPr>
        <w:footnoteReference w:id="37"/>
      </w:r>
      <w:r w:rsidRPr="00E259B9">
        <w:rPr>
          <w:rFonts w:ascii="Verdana" w:hAnsi="Verdana"/>
          <w:sz w:val="20"/>
        </w:rPr>
        <w:t>, se solicita al Consejo Nacional de Justicia d</w:t>
      </w:r>
      <w:r>
        <w:rPr>
          <w:rFonts w:ascii="Verdana" w:hAnsi="Verdana"/>
          <w:sz w:val="20"/>
        </w:rPr>
        <w:t>e Brasil</w:t>
      </w:r>
      <w:r w:rsidRPr="00E259B9">
        <w:rPr>
          <w:rFonts w:ascii="Verdana" w:hAnsi="Verdana"/>
          <w:sz w:val="20"/>
        </w:rPr>
        <w:t xml:space="preserve"> que rinda un informe oral en la referida audiencia </w:t>
      </w:r>
      <w:proofErr w:type="spellStart"/>
      <w:r w:rsidRPr="00E259B9">
        <w:rPr>
          <w:rFonts w:ascii="Verdana" w:hAnsi="Verdana"/>
          <w:sz w:val="20"/>
        </w:rPr>
        <w:t>pública</w:t>
      </w:r>
      <w:proofErr w:type="spellEnd"/>
      <w:r w:rsidRPr="00E259B9">
        <w:rPr>
          <w:rFonts w:ascii="Verdana" w:hAnsi="Verdana"/>
          <w:sz w:val="20"/>
        </w:rPr>
        <w:t xml:space="preserve">, en el cual presente </w:t>
      </w:r>
      <w:proofErr w:type="spellStart"/>
      <w:r w:rsidRPr="00E259B9">
        <w:rPr>
          <w:rFonts w:ascii="Verdana" w:hAnsi="Verdana"/>
          <w:sz w:val="20"/>
        </w:rPr>
        <w:t>información</w:t>
      </w:r>
      <w:proofErr w:type="spellEnd"/>
      <w:r w:rsidRPr="00E259B9">
        <w:rPr>
          <w:rFonts w:ascii="Verdana" w:hAnsi="Verdana"/>
          <w:sz w:val="20"/>
        </w:rPr>
        <w:t xml:space="preserve"> que estime relevante, en el </w:t>
      </w:r>
      <w:proofErr w:type="spellStart"/>
      <w:r w:rsidRPr="00E259B9">
        <w:rPr>
          <w:rFonts w:ascii="Verdana" w:hAnsi="Verdana"/>
          <w:sz w:val="20"/>
        </w:rPr>
        <w:t>ámbito</w:t>
      </w:r>
      <w:proofErr w:type="spellEnd"/>
      <w:r w:rsidRPr="00E259B9">
        <w:rPr>
          <w:rFonts w:ascii="Verdana" w:hAnsi="Verdana"/>
          <w:sz w:val="20"/>
        </w:rPr>
        <w:t xml:space="preserve"> de sus competencias, relativa al cumplimiento de la</w:t>
      </w:r>
      <w:r>
        <w:rPr>
          <w:rFonts w:ascii="Verdana" w:hAnsi="Verdana"/>
          <w:sz w:val="20"/>
        </w:rPr>
        <w:t>s referidas</w:t>
      </w:r>
      <w:r w:rsidRPr="00E259B9">
        <w:rPr>
          <w:rFonts w:ascii="Verdana" w:hAnsi="Verdana"/>
          <w:sz w:val="20"/>
        </w:rPr>
        <w:t xml:space="preserve"> medida</w:t>
      </w:r>
      <w:r w:rsidR="00DF45A8">
        <w:rPr>
          <w:rFonts w:ascii="Verdana" w:hAnsi="Verdana"/>
          <w:sz w:val="20"/>
        </w:rPr>
        <w:t>s</w:t>
      </w:r>
      <w:r w:rsidRPr="00E259B9">
        <w:rPr>
          <w:rFonts w:ascii="Verdana" w:hAnsi="Verdana"/>
          <w:sz w:val="20"/>
        </w:rPr>
        <w:t xml:space="preserve"> de reparación</w:t>
      </w:r>
      <w:r>
        <w:rPr>
          <w:rFonts w:ascii="Verdana" w:hAnsi="Verdana"/>
          <w:sz w:val="20"/>
        </w:rPr>
        <w:t xml:space="preserve"> (</w:t>
      </w:r>
      <w:r>
        <w:rPr>
          <w:rFonts w:ascii="Verdana" w:hAnsi="Verdana"/>
          <w:i/>
          <w:sz w:val="20"/>
        </w:rPr>
        <w:t xml:space="preserve">supra </w:t>
      </w:r>
      <w:r>
        <w:rPr>
          <w:rFonts w:ascii="Verdana" w:hAnsi="Verdana"/>
          <w:sz w:val="20"/>
        </w:rPr>
        <w:t xml:space="preserve">Considerando </w:t>
      </w:r>
      <w:r w:rsidR="00DF45A8">
        <w:rPr>
          <w:rFonts w:ascii="Verdana" w:hAnsi="Verdana"/>
          <w:sz w:val="20"/>
        </w:rPr>
        <w:t>34</w:t>
      </w:r>
      <w:r>
        <w:rPr>
          <w:rFonts w:ascii="Verdana" w:hAnsi="Verdana"/>
          <w:sz w:val="20"/>
        </w:rPr>
        <w:t>)</w:t>
      </w:r>
      <w:r w:rsidRPr="00E259B9">
        <w:rPr>
          <w:rFonts w:ascii="Verdana" w:hAnsi="Verdana"/>
          <w:sz w:val="20"/>
        </w:rPr>
        <w:t xml:space="preserve">. Esta </w:t>
      </w:r>
      <w:proofErr w:type="spellStart"/>
      <w:r w:rsidRPr="00E259B9">
        <w:rPr>
          <w:rFonts w:ascii="Verdana" w:hAnsi="Verdana"/>
          <w:sz w:val="20"/>
        </w:rPr>
        <w:t>participación</w:t>
      </w:r>
      <w:proofErr w:type="spellEnd"/>
      <w:r w:rsidRPr="00E259B9">
        <w:rPr>
          <w:rFonts w:ascii="Verdana" w:hAnsi="Verdana"/>
          <w:sz w:val="20"/>
        </w:rPr>
        <w:t xml:space="preserve"> del Consejo Nacional de Justicia de Brasil se realizará como “otra fuente de </w:t>
      </w:r>
      <w:proofErr w:type="spellStart"/>
      <w:r w:rsidRPr="00E259B9">
        <w:rPr>
          <w:rFonts w:ascii="Verdana" w:hAnsi="Verdana"/>
          <w:sz w:val="20"/>
        </w:rPr>
        <w:t>información</w:t>
      </w:r>
      <w:proofErr w:type="spellEnd"/>
      <w:r w:rsidRPr="00E259B9">
        <w:rPr>
          <w:rFonts w:ascii="Verdana" w:hAnsi="Verdana"/>
          <w:sz w:val="20"/>
        </w:rPr>
        <w:t xml:space="preserve">”, </w:t>
      </w:r>
      <w:proofErr w:type="spellStart"/>
      <w:r w:rsidRPr="00E259B9">
        <w:rPr>
          <w:rFonts w:ascii="Verdana" w:hAnsi="Verdana"/>
          <w:sz w:val="20"/>
        </w:rPr>
        <w:t>según</w:t>
      </w:r>
      <w:proofErr w:type="spellEnd"/>
      <w:r w:rsidRPr="00E259B9">
        <w:rPr>
          <w:rFonts w:ascii="Verdana" w:hAnsi="Verdana"/>
          <w:sz w:val="20"/>
        </w:rPr>
        <w:t xml:space="preserve"> el referido </w:t>
      </w:r>
      <w:proofErr w:type="spellStart"/>
      <w:r w:rsidRPr="00E259B9">
        <w:rPr>
          <w:rFonts w:ascii="Verdana" w:hAnsi="Verdana"/>
          <w:sz w:val="20"/>
        </w:rPr>
        <w:t>artículo</w:t>
      </w:r>
      <w:proofErr w:type="spellEnd"/>
      <w:r w:rsidRPr="00E259B9">
        <w:rPr>
          <w:rFonts w:ascii="Verdana" w:hAnsi="Verdana"/>
          <w:sz w:val="20"/>
        </w:rPr>
        <w:t xml:space="preserve">, y es distinta a la que brinde el Estado en su </w:t>
      </w:r>
      <w:proofErr w:type="spellStart"/>
      <w:r w:rsidRPr="00E259B9">
        <w:rPr>
          <w:rFonts w:ascii="Verdana" w:hAnsi="Verdana"/>
          <w:sz w:val="20"/>
        </w:rPr>
        <w:t>carácter</w:t>
      </w:r>
      <w:proofErr w:type="spellEnd"/>
      <w:r w:rsidRPr="00E259B9">
        <w:rPr>
          <w:rFonts w:ascii="Verdana" w:hAnsi="Verdana"/>
          <w:sz w:val="20"/>
        </w:rPr>
        <w:t xml:space="preserve"> de parte en este proceso de </w:t>
      </w:r>
      <w:proofErr w:type="spellStart"/>
      <w:r w:rsidRPr="00E259B9">
        <w:rPr>
          <w:rFonts w:ascii="Verdana" w:hAnsi="Verdana"/>
          <w:sz w:val="20"/>
        </w:rPr>
        <w:t>supervisión</w:t>
      </w:r>
      <w:proofErr w:type="spellEnd"/>
      <w:r w:rsidRPr="00E259B9">
        <w:rPr>
          <w:rFonts w:ascii="Verdana" w:hAnsi="Verdana"/>
          <w:sz w:val="20"/>
        </w:rPr>
        <w:t>.</w:t>
      </w:r>
    </w:p>
    <w:p w14:paraId="00AEF554" w14:textId="65811097" w:rsidR="00E31394" w:rsidRDefault="00E31394" w:rsidP="007C0529">
      <w:pPr>
        <w:pStyle w:val="ColorfulList-Accent11"/>
        <w:numPr>
          <w:ilvl w:val="0"/>
          <w:numId w:val="3"/>
        </w:numPr>
        <w:spacing w:before="120" w:after="120"/>
        <w:ind w:left="0" w:firstLine="0"/>
        <w:contextualSpacing w:val="0"/>
        <w:jc w:val="both"/>
        <w:rPr>
          <w:rFonts w:ascii="Verdana" w:hAnsi="Verdana"/>
          <w:sz w:val="20"/>
          <w:szCs w:val="20"/>
          <w:lang w:val="es-CO"/>
        </w:rPr>
      </w:pPr>
      <w:r w:rsidRPr="00E31394">
        <w:rPr>
          <w:rFonts w:ascii="Verdana" w:hAnsi="Verdana"/>
          <w:sz w:val="20"/>
          <w:szCs w:val="20"/>
        </w:rPr>
        <w:t xml:space="preserve">Asimismo, el Tribunal delega en la Presidencia que posteriormente determine la necesidad de permitir la </w:t>
      </w:r>
      <w:proofErr w:type="spellStart"/>
      <w:r w:rsidRPr="00E31394">
        <w:rPr>
          <w:rFonts w:ascii="Verdana" w:hAnsi="Verdana"/>
          <w:sz w:val="20"/>
          <w:szCs w:val="20"/>
        </w:rPr>
        <w:t>participación</w:t>
      </w:r>
      <w:proofErr w:type="spellEnd"/>
      <w:r w:rsidRPr="00E31394">
        <w:rPr>
          <w:rFonts w:ascii="Verdana" w:hAnsi="Verdana"/>
          <w:sz w:val="20"/>
          <w:szCs w:val="20"/>
        </w:rPr>
        <w:t xml:space="preserve"> de alguna otra autoridad o </w:t>
      </w:r>
      <w:proofErr w:type="spellStart"/>
      <w:r w:rsidRPr="00E31394">
        <w:rPr>
          <w:rFonts w:ascii="Verdana" w:hAnsi="Verdana"/>
          <w:sz w:val="20"/>
          <w:szCs w:val="20"/>
        </w:rPr>
        <w:t>institución</w:t>
      </w:r>
      <w:proofErr w:type="spellEnd"/>
      <w:r w:rsidRPr="00E31394">
        <w:rPr>
          <w:rFonts w:ascii="Verdana" w:hAnsi="Verdana"/>
          <w:sz w:val="20"/>
          <w:szCs w:val="20"/>
        </w:rPr>
        <w:t xml:space="preserve"> estatal, en </w:t>
      </w:r>
      <w:proofErr w:type="spellStart"/>
      <w:r w:rsidRPr="00E31394">
        <w:rPr>
          <w:rFonts w:ascii="Verdana" w:hAnsi="Verdana"/>
          <w:sz w:val="20"/>
          <w:szCs w:val="20"/>
        </w:rPr>
        <w:t>aplicación</w:t>
      </w:r>
      <w:proofErr w:type="spellEnd"/>
      <w:r w:rsidRPr="00E31394">
        <w:rPr>
          <w:rFonts w:ascii="Verdana" w:hAnsi="Verdana"/>
          <w:sz w:val="20"/>
          <w:szCs w:val="20"/>
        </w:rPr>
        <w:t xml:space="preserve"> del </w:t>
      </w:r>
      <w:proofErr w:type="spellStart"/>
      <w:r w:rsidRPr="00E31394">
        <w:rPr>
          <w:rFonts w:ascii="Verdana" w:hAnsi="Verdana"/>
          <w:sz w:val="20"/>
          <w:szCs w:val="20"/>
        </w:rPr>
        <w:t>artículo</w:t>
      </w:r>
      <w:proofErr w:type="spellEnd"/>
      <w:r w:rsidRPr="00E31394">
        <w:rPr>
          <w:rFonts w:ascii="Verdana" w:hAnsi="Verdana"/>
          <w:sz w:val="20"/>
          <w:szCs w:val="20"/>
        </w:rPr>
        <w:t xml:space="preserve"> 69.2 del Reglamento.</w:t>
      </w:r>
    </w:p>
    <w:p w14:paraId="21D2EF5C" w14:textId="64978530" w:rsidR="009C50BE" w:rsidRDefault="009C50BE" w:rsidP="00E31394">
      <w:pPr>
        <w:pStyle w:val="Textocomentario"/>
      </w:pPr>
    </w:p>
    <w:p w14:paraId="5F1BBDAF" w14:textId="77777777" w:rsidR="009C50BE" w:rsidRPr="00703ABF" w:rsidRDefault="009C50BE" w:rsidP="002D50F5">
      <w:pPr>
        <w:pStyle w:val="ColorfulList-Accent11"/>
        <w:spacing w:before="120" w:after="120"/>
        <w:ind w:left="0"/>
        <w:contextualSpacing w:val="0"/>
        <w:jc w:val="both"/>
        <w:rPr>
          <w:rFonts w:ascii="Verdana" w:hAnsi="Verdana"/>
          <w:sz w:val="20"/>
          <w:szCs w:val="20"/>
          <w:lang w:val="es-CO"/>
        </w:rPr>
      </w:pPr>
    </w:p>
    <w:p w14:paraId="50089A50" w14:textId="77777777" w:rsidR="00FC73ED" w:rsidRPr="00F10321" w:rsidRDefault="00FC73ED" w:rsidP="00FC73ED">
      <w:pPr>
        <w:spacing w:after="200"/>
        <w:ind w:right="366"/>
        <w:jc w:val="both"/>
        <w:rPr>
          <w:rFonts w:ascii="Verdana" w:hAnsi="Verdana"/>
          <w:b/>
          <w:sz w:val="20"/>
          <w:szCs w:val="20"/>
        </w:rPr>
      </w:pPr>
      <w:r w:rsidRPr="00F10321">
        <w:rPr>
          <w:rFonts w:ascii="Verdana" w:hAnsi="Verdana"/>
          <w:b/>
          <w:sz w:val="20"/>
          <w:szCs w:val="20"/>
        </w:rPr>
        <w:t>POR TANTO:</w:t>
      </w:r>
    </w:p>
    <w:p w14:paraId="7514E140" w14:textId="77777777" w:rsidR="00FC73ED" w:rsidRPr="00F10321" w:rsidRDefault="00FC73ED" w:rsidP="00FC73ED">
      <w:pPr>
        <w:spacing w:after="200"/>
        <w:ind w:right="366"/>
        <w:jc w:val="both"/>
        <w:rPr>
          <w:rFonts w:ascii="Verdana" w:hAnsi="Verdana"/>
          <w:sz w:val="20"/>
          <w:szCs w:val="20"/>
        </w:rPr>
      </w:pPr>
      <w:r w:rsidRPr="00F10321">
        <w:rPr>
          <w:rFonts w:ascii="Verdana" w:hAnsi="Verdana"/>
          <w:b/>
          <w:sz w:val="20"/>
          <w:szCs w:val="20"/>
        </w:rPr>
        <w:t>LA CORTE INTERAMERICANA DE DERECHOS HUMANOS,</w:t>
      </w:r>
    </w:p>
    <w:p w14:paraId="0F313FEF" w14:textId="77777777" w:rsidR="0082190D" w:rsidRDefault="0082190D" w:rsidP="00C37833">
      <w:pPr>
        <w:spacing w:after="200"/>
        <w:jc w:val="both"/>
        <w:rPr>
          <w:rFonts w:ascii="Verdana" w:hAnsi="Verdana"/>
          <w:b/>
          <w:sz w:val="20"/>
        </w:rPr>
      </w:pPr>
      <w:r w:rsidRPr="0082190D">
        <w:rPr>
          <w:rFonts w:ascii="Verdana" w:hAnsi="Verdana"/>
          <w:sz w:val="20"/>
        </w:rPr>
        <w:t>en el ejercicio de sus atribuciones de supervisión del cumplimiento de sus decisiones, de conformidad con los artículos 33, 62.1, 62.3, 65, 67 y 68.1 de la Convención Americana sobre Derechos Humanos, 24, 25 y 30 del Estatuto, y 31.2 y 69 de su Reglamento, así como con los artículos 1, 4 y 5 del Reglamento del Fondo de Asistencia Legal de Víctimas,</w:t>
      </w:r>
      <w:r w:rsidRPr="0082190D">
        <w:rPr>
          <w:rFonts w:ascii="Verdana" w:hAnsi="Verdana"/>
          <w:b/>
          <w:sz w:val="20"/>
        </w:rPr>
        <w:t xml:space="preserve"> </w:t>
      </w:r>
    </w:p>
    <w:p w14:paraId="2690BBE6" w14:textId="61E655B0" w:rsidR="009B314C" w:rsidRDefault="00FC73ED" w:rsidP="009B314C">
      <w:pPr>
        <w:spacing w:after="200"/>
        <w:ind w:right="366"/>
        <w:jc w:val="both"/>
        <w:rPr>
          <w:rFonts w:ascii="Verdana" w:hAnsi="Verdana"/>
          <w:b/>
          <w:caps/>
          <w:sz w:val="20"/>
          <w:szCs w:val="20"/>
        </w:rPr>
      </w:pPr>
      <w:r w:rsidRPr="00F10321">
        <w:rPr>
          <w:rFonts w:ascii="Verdana" w:hAnsi="Verdana"/>
          <w:b/>
          <w:caps/>
          <w:sz w:val="20"/>
          <w:szCs w:val="20"/>
        </w:rPr>
        <w:t>Resuelve:</w:t>
      </w:r>
    </w:p>
    <w:p w14:paraId="5C722411" w14:textId="0E3A6FEE" w:rsidR="009B314C" w:rsidRDefault="009B314C" w:rsidP="00AA384C">
      <w:pPr>
        <w:pStyle w:val="ColorfulList-Accent11"/>
        <w:numPr>
          <w:ilvl w:val="0"/>
          <w:numId w:val="9"/>
        </w:numPr>
        <w:spacing w:before="120" w:after="120"/>
        <w:ind w:left="0" w:firstLine="0"/>
        <w:contextualSpacing w:val="0"/>
        <w:jc w:val="both"/>
        <w:rPr>
          <w:rFonts w:ascii="Verdana" w:hAnsi="Verdana"/>
          <w:sz w:val="20"/>
          <w:szCs w:val="20"/>
        </w:rPr>
      </w:pPr>
      <w:r>
        <w:rPr>
          <w:rFonts w:ascii="Verdana" w:hAnsi="Verdana"/>
          <w:sz w:val="20"/>
          <w:szCs w:val="20"/>
        </w:rPr>
        <w:t xml:space="preserve">Que </w:t>
      </w:r>
      <w:r w:rsidRPr="009B314C">
        <w:rPr>
          <w:rFonts w:ascii="Verdana" w:hAnsi="Verdana"/>
          <w:sz w:val="20"/>
          <w:szCs w:val="20"/>
        </w:rPr>
        <w:t xml:space="preserve">la posición asumida por </w:t>
      </w:r>
      <w:r>
        <w:rPr>
          <w:rFonts w:ascii="Verdana" w:hAnsi="Verdana"/>
          <w:sz w:val="20"/>
          <w:szCs w:val="20"/>
        </w:rPr>
        <w:t>Brasil</w:t>
      </w:r>
      <w:r w:rsidRPr="009B314C">
        <w:rPr>
          <w:rFonts w:ascii="Verdana" w:hAnsi="Verdana"/>
          <w:sz w:val="20"/>
          <w:szCs w:val="20"/>
        </w:rPr>
        <w:t xml:space="preserve"> en el escrito </w:t>
      </w:r>
      <w:r>
        <w:rPr>
          <w:rFonts w:ascii="Verdana" w:hAnsi="Verdana"/>
          <w:sz w:val="20"/>
          <w:szCs w:val="20"/>
        </w:rPr>
        <w:t>16</w:t>
      </w:r>
      <w:r w:rsidRPr="009B314C">
        <w:rPr>
          <w:rFonts w:ascii="Verdana" w:hAnsi="Verdana"/>
          <w:sz w:val="20"/>
          <w:szCs w:val="20"/>
        </w:rPr>
        <w:t xml:space="preserve"> de </w:t>
      </w:r>
      <w:proofErr w:type="spellStart"/>
      <w:r>
        <w:rPr>
          <w:rFonts w:ascii="Verdana" w:hAnsi="Verdana"/>
          <w:sz w:val="20"/>
          <w:szCs w:val="20"/>
        </w:rPr>
        <w:t>sepiembre</w:t>
      </w:r>
      <w:proofErr w:type="spellEnd"/>
      <w:r w:rsidRPr="009B314C">
        <w:rPr>
          <w:rFonts w:ascii="Verdana" w:hAnsi="Verdana"/>
          <w:sz w:val="20"/>
          <w:szCs w:val="20"/>
        </w:rPr>
        <w:t xml:space="preserve"> de 2019 presentado en la etapa de supervisión de cumplimiento de Sentencia constituye un acto de evidente desacato de la obligatoriedad de las Sentencias dictadas por este Tribunal, contrario al principio internacional de acatar sus obligaciones convencionales de buena fe, en los términos expuestos en los Considerandos </w:t>
      </w:r>
      <w:r w:rsidR="003C7AA5">
        <w:rPr>
          <w:rFonts w:ascii="Verdana" w:hAnsi="Verdana"/>
          <w:sz w:val="20"/>
          <w:szCs w:val="20"/>
        </w:rPr>
        <w:t>7</w:t>
      </w:r>
      <w:r w:rsidRPr="009B314C">
        <w:rPr>
          <w:rFonts w:ascii="Verdana" w:hAnsi="Verdana"/>
          <w:sz w:val="20"/>
          <w:szCs w:val="20"/>
        </w:rPr>
        <w:t xml:space="preserve"> a </w:t>
      </w:r>
      <w:r w:rsidR="003C7AA5">
        <w:rPr>
          <w:rFonts w:ascii="Verdana" w:hAnsi="Verdana"/>
          <w:sz w:val="20"/>
          <w:szCs w:val="20"/>
        </w:rPr>
        <w:t>14</w:t>
      </w:r>
      <w:r w:rsidRPr="009B314C">
        <w:rPr>
          <w:rFonts w:ascii="Verdana" w:hAnsi="Verdana"/>
          <w:sz w:val="20"/>
          <w:szCs w:val="20"/>
        </w:rPr>
        <w:t xml:space="preserve"> de la presente Resolución.</w:t>
      </w:r>
      <w:r w:rsidR="00E31394">
        <w:rPr>
          <w:rFonts w:ascii="Verdana" w:hAnsi="Verdana"/>
          <w:sz w:val="20"/>
          <w:szCs w:val="20"/>
        </w:rPr>
        <w:t xml:space="preserve"> </w:t>
      </w:r>
    </w:p>
    <w:p w14:paraId="1E559B74" w14:textId="23CEE01A" w:rsidR="009B314C" w:rsidRDefault="009B314C" w:rsidP="00AA384C">
      <w:pPr>
        <w:pStyle w:val="ColorfulList-Accent11"/>
        <w:numPr>
          <w:ilvl w:val="0"/>
          <w:numId w:val="9"/>
        </w:numPr>
        <w:spacing w:before="120" w:after="120"/>
        <w:ind w:left="0" w:firstLine="0"/>
        <w:contextualSpacing w:val="0"/>
        <w:jc w:val="both"/>
        <w:rPr>
          <w:rFonts w:ascii="Verdana" w:hAnsi="Verdana"/>
          <w:sz w:val="20"/>
          <w:szCs w:val="20"/>
        </w:rPr>
      </w:pPr>
      <w:r w:rsidRPr="009B314C">
        <w:rPr>
          <w:rFonts w:ascii="Verdana" w:hAnsi="Verdana"/>
          <w:sz w:val="20"/>
          <w:szCs w:val="20"/>
        </w:rPr>
        <w:t>Declarar, de conformidad con lo señalado</w:t>
      </w:r>
      <w:r w:rsidR="00ED175F">
        <w:rPr>
          <w:rFonts w:ascii="Verdana" w:hAnsi="Verdana"/>
          <w:sz w:val="20"/>
          <w:szCs w:val="20"/>
        </w:rPr>
        <w:t xml:space="preserve"> en</w:t>
      </w:r>
      <w:r w:rsidRPr="009B314C">
        <w:rPr>
          <w:rFonts w:ascii="Verdana" w:hAnsi="Verdana"/>
          <w:sz w:val="20"/>
          <w:szCs w:val="20"/>
        </w:rPr>
        <w:t xml:space="preserve"> </w:t>
      </w:r>
      <w:r w:rsidR="003C7AA5">
        <w:rPr>
          <w:rFonts w:ascii="Verdana" w:hAnsi="Verdana"/>
          <w:sz w:val="20"/>
          <w:szCs w:val="20"/>
        </w:rPr>
        <w:t>el</w:t>
      </w:r>
      <w:r w:rsidR="003C7AA5" w:rsidRPr="009B314C">
        <w:rPr>
          <w:rFonts w:ascii="Verdana" w:hAnsi="Verdana"/>
          <w:sz w:val="20"/>
          <w:szCs w:val="20"/>
        </w:rPr>
        <w:t xml:space="preserve"> </w:t>
      </w:r>
      <w:r w:rsidRPr="009B314C">
        <w:rPr>
          <w:rFonts w:ascii="Verdana" w:hAnsi="Verdana"/>
          <w:sz w:val="20"/>
          <w:szCs w:val="20"/>
        </w:rPr>
        <w:t xml:space="preserve">Considerando </w:t>
      </w:r>
      <w:r w:rsidR="003C7AA5">
        <w:rPr>
          <w:rFonts w:ascii="Verdana" w:hAnsi="Verdana"/>
          <w:sz w:val="20"/>
          <w:szCs w:val="20"/>
        </w:rPr>
        <w:t>28</w:t>
      </w:r>
      <w:r w:rsidR="003C7AA5" w:rsidRPr="009B314C">
        <w:rPr>
          <w:rFonts w:ascii="Verdana" w:hAnsi="Verdana"/>
          <w:sz w:val="20"/>
          <w:szCs w:val="20"/>
        </w:rPr>
        <w:t xml:space="preserve"> </w:t>
      </w:r>
      <w:r w:rsidRPr="009B314C">
        <w:rPr>
          <w:rFonts w:ascii="Verdana" w:hAnsi="Verdana"/>
          <w:sz w:val="20"/>
          <w:szCs w:val="20"/>
        </w:rPr>
        <w:t xml:space="preserve">la presente Resolución, que el Estado de </w:t>
      </w:r>
      <w:r w:rsidR="00884D9A">
        <w:rPr>
          <w:rFonts w:ascii="Verdana" w:hAnsi="Verdana"/>
          <w:sz w:val="20"/>
          <w:szCs w:val="20"/>
        </w:rPr>
        <w:t>Brasil</w:t>
      </w:r>
      <w:r w:rsidR="00884D9A" w:rsidRPr="009B314C">
        <w:rPr>
          <w:rFonts w:ascii="Verdana" w:hAnsi="Verdana"/>
          <w:sz w:val="20"/>
          <w:szCs w:val="20"/>
        </w:rPr>
        <w:t xml:space="preserve"> </w:t>
      </w:r>
      <w:r w:rsidRPr="009B314C">
        <w:rPr>
          <w:rFonts w:ascii="Verdana" w:hAnsi="Verdana"/>
          <w:sz w:val="20"/>
          <w:szCs w:val="20"/>
        </w:rPr>
        <w:t>ha dado cumplimiento total a</w:t>
      </w:r>
      <w:r w:rsidR="00ED175F">
        <w:rPr>
          <w:rFonts w:ascii="Verdana" w:hAnsi="Verdana"/>
          <w:sz w:val="20"/>
          <w:szCs w:val="20"/>
        </w:rPr>
        <w:t>l reintegro de costas y gastos</w:t>
      </w:r>
      <w:r>
        <w:rPr>
          <w:rFonts w:ascii="Verdana" w:hAnsi="Verdana"/>
          <w:sz w:val="20"/>
          <w:szCs w:val="20"/>
        </w:rPr>
        <w:t xml:space="preserve"> </w:t>
      </w:r>
      <w:r w:rsidR="009C50BE">
        <w:rPr>
          <w:rFonts w:ascii="Verdana" w:hAnsi="Verdana"/>
          <w:sz w:val="20"/>
          <w:szCs w:val="20"/>
        </w:rPr>
        <w:t>(</w:t>
      </w:r>
      <w:r w:rsidR="009C50BE">
        <w:rPr>
          <w:rFonts w:ascii="Verdana" w:hAnsi="Verdana"/>
          <w:i/>
          <w:sz w:val="20"/>
          <w:szCs w:val="20"/>
        </w:rPr>
        <w:t xml:space="preserve">punto resolutivo </w:t>
      </w:r>
      <w:r w:rsidR="00ED175F">
        <w:rPr>
          <w:rFonts w:ascii="Verdana" w:hAnsi="Verdana"/>
          <w:i/>
          <w:sz w:val="20"/>
          <w:szCs w:val="20"/>
        </w:rPr>
        <w:t>décimo primero</w:t>
      </w:r>
      <w:r w:rsidR="009C50BE">
        <w:rPr>
          <w:rFonts w:ascii="Verdana" w:hAnsi="Verdana"/>
          <w:i/>
          <w:sz w:val="20"/>
          <w:szCs w:val="20"/>
        </w:rPr>
        <w:t xml:space="preserve"> de la Sentencia</w:t>
      </w:r>
      <w:r w:rsidR="009C50BE">
        <w:rPr>
          <w:rFonts w:ascii="Verdana" w:hAnsi="Verdana"/>
          <w:sz w:val="20"/>
          <w:szCs w:val="20"/>
        </w:rPr>
        <w:t>)</w:t>
      </w:r>
      <w:r>
        <w:rPr>
          <w:rFonts w:ascii="Verdana" w:hAnsi="Verdana"/>
          <w:sz w:val="20"/>
          <w:szCs w:val="20"/>
        </w:rPr>
        <w:t>.</w:t>
      </w:r>
    </w:p>
    <w:p w14:paraId="1138E447" w14:textId="69A88671" w:rsidR="009B314C" w:rsidRDefault="009B314C" w:rsidP="00AA384C">
      <w:pPr>
        <w:pStyle w:val="ColorfulList-Accent11"/>
        <w:numPr>
          <w:ilvl w:val="0"/>
          <w:numId w:val="9"/>
        </w:numPr>
        <w:spacing w:before="120" w:after="120"/>
        <w:ind w:left="0" w:firstLine="0"/>
        <w:contextualSpacing w:val="0"/>
        <w:jc w:val="both"/>
        <w:rPr>
          <w:rFonts w:ascii="Verdana" w:hAnsi="Verdana"/>
          <w:sz w:val="20"/>
          <w:szCs w:val="20"/>
        </w:rPr>
      </w:pPr>
      <w:r w:rsidRPr="009B314C">
        <w:rPr>
          <w:rFonts w:ascii="Verdana" w:hAnsi="Verdana"/>
          <w:sz w:val="20"/>
          <w:szCs w:val="20"/>
        </w:rPr>
        <w:lastRenderedPageBreak/>
        <w:t xml:space="preserve">Declarar, de conformidad con lo señalado en los Considerandos </w:t>
      </w:r>
      <w:r w:rsidR="003C7AA5">
        <w:rPr>
          <w:rFonts w:ascii="Verdana" w:hAnsi="Verdana"/>
          <w:sz w:val="20"/>
          <w:szCs w:val="20"/>
        </w:rPr>
        <w:t>24 y 25</w:t>
      </w:r>
      <w:r w:rsidR="003C7AA5" w:rsidRPr="009B314C">
        <w:rPr>
          <w:rFonts w:ascii="Verdana" w:hAnsi="Verdana"/>
          <w:sz w:val="20"/>
          <w:szCs w:val="20"/>
        </w:rPr>
        <w:t xml:space="preserve"> </w:t>
      </w:r>
      <w:r w:rsidRPr="009B314C">
        <w:rPr>
          <w:rFonts w:ascii="Verdana" w:hAnsi="Verdana"/>
          <w:sz w:val="20"/>
          <w:szCs w:val="20"/>
        </w:rPr>
        <w:t>de la presente Resolución, que el Estado</w:t>
      </w:r>
      <w:r w:rsidR="00884D9A">
        <w:rPr>
          <w:rFonts w:ascii="Verdana" w:hAnsi="Verdana"/>
          <w:sz w:val="20"/>
          <w:szCs w:val="20"/>
        </w:rPr>
        <w:t xml:space="preserve"> </w:t>
      </w:r>
      <w:r w:rsidR="00BC07F2">
        <w:rPr>
          <w:rFonts w:ascii="Verdana" w:hAnsi="Verdana"/>
          <w:sz w:val="20"/>
        </w:rPr>
        <w:t xml:space="preserve">cumplió con publicar </w:t>
      </w:r>
      <w:r w:rsidR="00BC07F2" w:rsidRPr="009C2B61">
        <w:rPr>
          <w:rFonts w:ascii="Verdana" w:hAnsi="Verdana"/>
          <w:sz w:val="20"/>
        </w:rPr>
        <w:t>la Sentencia</w:t>
      </w:r>
      <w:r w:rsidR="00BC07F2">
        <w:rPr>
          <w:rFonts w:ascii="Verdana" w:hAnsi="Verdana"/>
          <w:sz w:val="20"/>
        </w:rPr>
        <w:t xml:space="preserve"> en su integridad y su resumen, </w:t>
      </w:r>
      <w:r w:rsidR="00BC07F2" w:rsidRPr="009C2B61">
        <w:rPr>
          <w:rFonts w:ascii="Verdana" w:hAnsi="Verdana"/>
          <w:sz w:val="20"/>
        </w:rPr>
        <w:t>al menos por un per</w:t>
      </w:r>
      <w:r w:rsidR="00BC07F2">
        <w:rPr>
          <w:rFonts w:ascii="Verdana" w:hAnsi="Verdana"/>
          <w:sz w:val="20"/>
        </w:rPr>
        <w:t>í</w:t>
      </w:r>
      <w:r w:rsidR="00BC07F2" w:rsidRPr="009C2B61">
        <w:rPr>
          <w:rFonts w:ascii="Verdana" w:hAnsi="Verdana"/>
          <w:sz w:val="20"/>
        </w:rPr>
        <w:t>odo de un</w:t>
      </w:r>
      <w:r w:rsidR="00BC07F2">
        <w:rPr>
          <w:rFonts w:ascii="Verdana" w:hAnsi="Verdana"/>
          <w:sz w:val="20"/>
        </w:rPr>
        <w:t xml:space="preserve"> año, en el sitio web oficial del actual Ministerio de la Mujer, Familia y Derechos Humanos</w:t>
      </w:r>
      <w:r w:rsidR="00BC07F2">
        <w:rPr>
          <w:rStyle w:val="Refdenotaalpie"/>
          <w:rFonts w:ascii="Verdana" w:hAnsi="Verdana"/>
          <w:sz w:val="20"/>
        </w:rPr>
        <w:footnoteReference w:id="38"/>
      </w:r>
      <w:r w:rsidR="00BC07F2">
        <w:rPr>
          <w:rFonts w:ascii="Verdana" w:hAnsi="Verdana"/>
          <w:sz w:val="20"/>
        </w:rPr>
        <w:t>, así como con su divulgación en redes sociales</w:t>
      </w:r>
      <w:r w:rsidR="00884D9A">
        <w:rPr>
          <w:rFonts w:ascii="Verdana" w:hAnsi="Verdana"/>
          <w:sz w:val="20"/>
        </w:rPr>
        <w:t xml:space="preserve">, quedando </w:t>
      </w:r>
      <w:r w:rsidR="00BC07F2">
        <w:rPr>
          <w:rFonts w:ascii="Verdana" w:hAnsi="Verdana"/>
          <w:sz w:val="20"/>
        </w:rPr>
        <w:t xml:space="preserve">pendiente de cumplimiento la publicación de la Sentencia en </w:t>
      </w:r>
      <w:proofErr w:type="spellStart"/>
      <w:r w:rsidR="00BC07F2" w:rsidRPr="00D8694A">
        <w:rPr>
          <w:rFonts w:ascii="Verdana" w:hAnsi="Verdana"/>
          <w:sz w:val="20"/>
        </w:rPr>
        <w:t>en</w:t>
      </w:r>
      <w:proofErr w:type="spellEnd"/>
      <w:r w:rsidR="00BC07F2" w:rsidRPr="00D8694A">
        <w:rPr>
          <w:rFonts w:ascii="Verdana" w:hAnsi="Verdana"/>
          <w:sz w:val="20"/>
        </w:rPr>
        <w:t xml:space="preserve"> su </w:t>
      </w:r>
      <w:r w:rsidR="00BC07F2" w:rsidRPr="00D8694A">
        <w:rPr>
          <w:rFonts w:ascii="Verdana" w:hAnsi="Verdana"/>
          <w:sz w:val="20"/>
          <w:lang w:val="es-CO"/>
        </w:rPr>
        <w:t>integridad</w:t>
      </w:r>
      <w:r w:rsidR="00BC07F2" w:rsidRPr="00D8694A">
        <w:rPr>
          <w:rFonts w:ascii="Verdana" w:hAnsi="Verdana"/>
          <w:sz w:val="20"/>
        </w:rPr>
        <w:t xml:space="preserve"> en el Diario Oficial; el resumen oficial de la Sentencia en un diario de amplia circulación a nivel nacional, y la Sentencia en su integridad y su </w:t>
      </w:r>
      <w:r w:rsidR="00BC07F2">
        <w:rPr>
          <w:rFonts w:ascii="Verdana" w:hAnsi="Verdana"/>
          <w:sz w:val="20"/>
        </w:rPr>
        <w:t>r</w:t>
      </w:r>
      <w:r w:rsidR="00BC07F2" w:rsidRPr="00D8694A">
        <w:rPr>
          <w:rFonts w:ascii="Verdana" w:hAnsi="Verdana"/>
          <w:sz w:val="20"/>
        </w:rPr>
        <w:t>esumen en el sitio web oficial del Ejército brasileño</w:t>
      </w:r>
      <w:r w:rsidR="00BC07F2">
        <w:rPr>
          <w:rFonts w:ascii="Verdana" w:hAnsi="Verdana"/>
          <w:sz w:val="20"/>
        </w:rPr>
        <w:t xml:space="preserve"> (</w:t>
      </w:r>
      <w:r w:rsidR="00BC07F2">
        <w:rPr>
          <w:rFonts w:ascii="Verdana" w:hAnsi="Verdana"/>
          <w:i/>
          <w:sz w:val="20"/>
        </w:rPr>
        <w:t>punto resolutivo décimo de la Sentencia</w:t>
      </w:r>
      <w:r w:rsidR="00BC07F2">
        <w:rPr>
          <w:rFonts w:ascii="Verdana" w:hAnsi="Verdana"/>
          <w:sz w:val="20"/>
        </w:rPr>
        <w:t>)</w:t>
      </w:r>
      <w:r w:rsidRPr="009B314C">
        <w:rPr>
          <w:rFonts w:ascii="Verdana" w:hAnsi="Verdana"/>
          <w:sz w:val="20"/>
          <w:szCs w:val="20"/>
        </w:rPr>
        <w:t>.</w:t>
      </w:r>
    </w:p>
    <w:p w14:paraId="263960BB" w14:textId="76B81DEA" w:rsidR="009B314C" w:rsidRDefault="009B314C" w:rsidP="00AA384C">
      <w:pPr>
        <w:pStyle w:val="ColorfulList-Accent11"/>
        <w:numPr>
          <w:ilvl w:val="0"/>
          <w:numId w:val="9"/>
        </w:numPr>
        <w:spacing w:before="120" w:after="120"/>
        <w:ind w:left="0" w:firstLine="0"/>
        <w:contextualSpacing w:val="0"/>
        <w:jc w:val="both"/>
        <w:rPr>
          <w:rFonts w:ascii="Verdana" w:hAnsi="Verdana"/>
          <w:sz w:val="20"/>
          <w:szCs w:val="20"/>
        </w:rPr>
      </w:pPr>
      <w:r w:rsidRPr="009B314C">
        <w:rPr>
          <w:rFonts w:ascii="Verdana" w:hAnsi="Verdana"/>
          <w:sz w:val="20"/>
          <w:szCs w:val="20"/>
        </w:rPr>
        <w:t>Mantener abierto el procedimiento de supervisión de cumplimiento respecto de las siguientes medidas:</w:t>
      </w:r>
    </w:p>
    <w:p w14:paraId="10609365" w14:textId="25412E08" w:rsidR="009B314C" w:rsidRPr="009B314C" w:rsidRDefault="009B314C" w:rsidP="00D72C5D">
      <w:pPr>
        <w:pStyle w:val="ColorfulList-Accent11"/>
        <w:numPr>
          <w:ilvl w:val="0"/>
          <w:numId w:val="17"/>
        </w:numPr>
        <w:spacing w:before="120" w:after="120"/>
        <w:contextualSpacing w:val="0"/>
        <w:jc w:val="both"/>
        <w:rPr>
          <w:rFonts w:ascii="Verdana" w:hAnsi="Verdana"/>
          <w:sz w:val="20"/>
          <w:szCs w:val="20"/>
        </w:rPr>
      </w:pPr>
      <w:r w:rsidRPr="009B314C">
        <w:rPr>
          <w:rFonts w:ascii="Verdana" w:hAnsi="Verdana"/>
          <w:sz w:val="20"/>
          <w:szCs w:val="20"/>
        </w:rPr>
        <w:t>reiniciar, con la debida diligencia, la investigación y proceso penal que corresponda por los hechos ocurridos el 25 de octubre de 1975 para identificar, procesar y, en su caso, sancionar a los responsables por la tortura y muerte de Vladimir Herzog, en atención al carácter de delito de crimen de lesa humanidad de tales hechos y las correspondientes consecuencias jurídicas de las mismas para el derecho internacional</w:t>
      </w:r>
      <w:r>
        <w:rPr>
          <w:rFonts w:ascii="Verdana" w:hAnsi="Verdana"/>
          <w:sz w:val="20"/>
          <w:szCs w:val="20"/>
        </w:rPr>
        <w:t xml:space="preserve"> </w:t>
      </w:r>
      <w:r>
        <w:rPr>
          <w:rFonts w:ascii="Verdana" w:hAnsi="Verdana"/>
          <w:i/>
          <w:sz w:val="20"/>
          <w:szCs w:val="20"/>
        </w:rPr>
        <w:t>(punto resolutivo séptimo de la Sentencia)</w:t>
      </w:r>
      <w:r w:rsidR="00884D9A">
        <w:rPr>
          <w:rFonts w:ascii="Verdana" w:hAnsi="Verdana"/>
          <w:sz w:val="20"/>
          <w:szCs w:val="20"/>
        </w:rPr>
        <w:t>;</w:t>
      </w:r>
    </w:p>
    <w:p w14:paraId="1D8CD579" w14:textId="0E66FD32" w:rsidR="009B314C" w:rsidRPr="009B314C" w:rsidRDefault="008A69C4" w:rsidP="00D72C5D">
      <w:pPr>
        <w:pStyle w:val="ColorfulList-Accent11"/>
        <w:numPr>
          <w:ilvl w:val="0"/>
          <w:numId w:val="17"/>
        </w:numPr>
        <w:spacing w:before="120" w:after="120"/>
        <w:contextualSpacing w:val="0"/>
        <w:jc w:val="both"/>
        <w:rPr>
          <w:rFonts w:ascii="Verdana" w:hAnsi="Verdana"/>
          <w:sz w:val="20"/>
          <w:szCs w:val="20"/>
        </w:rPr>
      </w:pPr>
      <w:r>
        <w:rPr>
          <w:rFonts w:ascii="Verdana" w:hAnsi="Verdana"/>
          <w:sz w:val="20"/>
          <w:szCs w:val="20"/>
        </w:rPr>
        <w:t>“</w:t>
      </w:r>
      <w:r w:rsidR="009B314C" w:rsidRPr="009B314C">
        <w:rPr>
          <w:rFonts w:ascii="Verdana" w:hAnsi="Verdana"/>
          <w:sz w:val="20"/>
          <w:szCs w:val="20"/>
        </w:rPr>
        <w:t xml:space="preserve">adoptar las medidas más idóneas conforme a sus instituciones, para que se reconozca, sin excepción, la imprescriptibilidad de las acciones emergentes de crímenes de lesa humanidad e internacionales, en atención a la </w:t>
      </w:r>
      <w:r w:rsidR="00E93A0A">
        <w:rPr>
          <w:rFonts w:ascii="Verdana" w:hAnsi="Verdana"/>
          <w:sz w:val="20"/>
          <w:szCs w:val="20"/>
        </w:rPr>
        <w:t>[…]</w:t>
      </w:r>
      <w:r w:rsidR="009B314C" w:rsidRPr="009B314C">
        <w:rPr>
          <w:rFonts w:ascii="Verdana" w:hAnsi="Verdana"/>
          <w:sz w:val="20"/>
          <w:szCs w:val="20"/>
        </w:rPr>
        <w:t xml:space="preserve"> Sentencia y a los estándares internacionales en la materia</w:t>
      </w:r>
      <w:r>
        <w:rPr>
          <w:rFonts w:ascii="Verdana" w:hAnsi="Verdana"/>
          <w:sz w:val="20"/>
          <w:szCs w:val="20"/>
        </w:rPr>
        <w:t>”</w:t>
      </w:r>
      <w:r w:rsidR="009B314C">
        <w:rPr>
          <w:rFonts w:ascii="Verdana" w:hAnsi="Verdana"/>
          <w:sz w:val="20"/>
          <w:szCs w:val="20"/>
        </w:rPr>
        <w:t xml:space="preserve"> </w:t>
      </w:r>
      <w:r w:rsidR="009B314C">
        <w:rPr>
          <w:rFonts w:ascii="Verdana" w:hAnsi="Verdana"/>
          <w:i/>
          <w:sz w:val="20"/>
          <w:szCs w:val="20"/>
        </w:rPr>
        <w:t>(punto resolutivo octavo de la Sentencia)</w:t>
      </w:r>
      <w:r w:rsidR="00884D9A">
        <w:rPr>
          <w:rFonts w:ascii="Verdana" w:hAnsi="Verdana"/>
          <w:sz w:val="20"/>
          <w:szCs w:val="20"/>
        </w:rPr>
        <w:t>;</w:t>
      </w:r>
    </w:p>
    <w:p w14:paraId="06ED155D" w14:textId="77C603DF" w:rsidR="009B314C" w:rsidRPr="009B314C" w:rsidRDefault="008A69C4" w:rsidP="00D72C5D">
      <w:pPr>
        <w:pStyle w:val="ColorfulList-Accent11"/>
        <w:numPr>
          <w:ilvl w:val="0"/>
          <w:numId w:val="17"/>
        </w:numPr>
        <w:spacing w:before="120" w:after="120"/>
        <w:contextualSpacing w:val="0"/>
        <w:jc w:val="both"/>
        <w:rPr>
          <w:rFonts w:ascii="Verdana" w:hAnsi="Verdana"/>
          <w:sz w:val="20"/>
          <w:szCs w:val="20"/>
        </w:rPr>
      </w:pPr>
      <w:r>
        <w:rPr>
          <w:rFonts w:ascii="Verdana" w:hAnsi="Verdana"/>
          <w:sz w:val="20"/>
          <w:szCs w:val="20"/>
        </w:rPr>
        <w:t>“</w:t>
      </w:r>
      <w:r w:rsidR="009B314C" w:rsidRPr="009B314C">
        <w:rPr>
          <w:rFonts w:ascii="Verdana" w:hAnsi="Verdana"/>
          <w:sz w:val="20"/>
          <w:szCs w:val="20"/>
        </w:rPr>
        <w:t>realizar un acto público de reconocimiento de responsabilidad internacional, por los hechos del presente caso en desagravio a la memoria de Vladimir Herzog y la falta de investigación, juzgamiento y sanción de los responsables por su tortura y muerte</w:t>
      </w:r>
      <w:r>
        <w:rPr>
          <w:rFonts w:ascii="Verdana" w:hAnsi="Verdana"/>
          <w:sz w:val="20"/>
          <w:szCs w:val="20"/>
        </w:rPr>
        <w:t>”</w:t>
      </w:r>
      <w:r w:rsidR="009B314C">
        <w:rPr>
          <w:rFonts w:ascii="Verdana" w:hAnsi="Verdana"/>
          <w:sz w:val="20"/>
          <w:szCs w:val="20"/>
        </w:rPr>
        <w:t xml:space="preserve"> </w:t>
      </w:r>
      <w:r w:rsidR="009B314C">
        <w:rPr>
          <w:rFonts w:ascii="Verdana" w:hAnsi="Verdana"/>
          <w:i/>
          <w:sz w:val="20"/>
          <w:szCs w:val="20"/>
        </w:rPr>
        <w:t>(punto resolutivo noveno de la Sentencia)</w:t>
      </w:r>
      <w:r w:rsidR="00884D9A">
        <w:rPr>
          <w:rFonts w:ascii="Verdana" w:hAnsi="Verdana"/>
          <w:sz w:val="20"/>
          <w:szCs w:val="20"/>
        </w:rPr>
        <w:t>;</w:t>
      </w:r>
    </w:p>
    <w:p w14:paraId="5C448819" w14:textId="4FC42454" w:rsidR="009B314C" w:rsidRPr="00981E94" w:rsidRDefault="00884D9A" w:rsidP="00D72C5D">
      <w:pPr>
        <w:pStyle w:val="ColorfulList-Accent11"/>
        <w:numPr>
          <w:ilvl w:val="0"/>
          <w:numId w:val="17"/>
        </w:numPr>
        <w:spacing w:before="120" w:after="120"/>
        <w:contextualSpacing w:val="0"/>
        <w:jc w:val="both"/>
        <w:rPr>
          <w:rFonts w:ascii="Verdana" w:hAnsi="Verdana"/>
          <w:sz w:val="20"/>
          <w:szCs w:val="20"/>
        </w:rPr>
      </w:pPr>
      <w:r>
        <w:rPr>
          <w:rFonts w:ascii="Verdana" w:hAnsi="Verdana"/>
          <w:sz w:val="20"/>
          <w:szCs w:val="20"/>
        </w:rPr>
        <w:t xml:space="preserve">publicar </w:t>
      </w:r>
      <w:r w:rsidR="008110CC">
        <w:rPr>
          <w:rFonts w:ascii="Verdana" w:hAnsi="Verdana"/>
          <w:sz w:val="20"/>
        </w:rPr>
        <w:t xml:space="preserve">la Sentencia en </w:t>
      </w:r>
      <w:proofErr w:type="spellStart"/>
      <w:r w:rsidR="008110CC" w:rsidRPr="00D8694A">
        <w:rPr>
          <w:rFonts w:ascii="Verdana" w:hAnsi="Verdana"/>
          <w:sz w:val="20"/>
        </w:rPr>
        <w:t>en</w:t>
      </w:r>
      <w:proofErr w:type="spellEnd"/>
      <w:r w:rsidR="008110CC" w:rsidRPr="00D8694A">
        <w:rPr>
          <w:rFonts w:ascii="Verdana" w:hAnsi="Verdana"/>
          <w:sz w:val="20"/>
        </w:rPr>
        <w:t xml:space="preserve"> su </w:t>
      </w:r>
      <w:r w:rsidR="008110CC" w:rsidRPr="00D8694A">
        <w:rPr>
          <w:rFonts w:ascii="Verdana" w:hAnsi="Verdana"/>
          <w:sz w:val="20"/>
          <w:lang w:val="es-CO"/>
        </w:rPr>
        <w:t>integridad</w:t>
      </w:r>
      <w:r w:rsidR="008110CC" w:rsidRPr="00D8694A">
        <w:rPr>
          <w:rFonts w:ascii="Verdana" w:hAnsi="Verdana"/>
          <w:sz w:val="20"/>
        </w:rPr>
        <w:t xml:space="preserve"> en el Diario Oficial; el resumen oficial de la Sentencia en un diario de amplia circulación a nivel nacional, y la Sentencia en su integridad y su </w:t>
      </w:r>
      <w:r w:rsidR="008110CC">
        <w:rPr>
          <w:rFonts w:ascii="Verdana" w:hAnsi="Verdana"/>
          <w:sz w:val="20"/>
        </w:rPr>
        <w:t>r</w:t>
      </w:r>
      <w:r w:rsidR="008110CC" w:rsidRPr="00D8694A">
        <w:rPr>
          <w:rFonts w:ascii="Verdana" w:hAnsi="Verdana"/>
          <w:sz w:val="20"/>
        </w:rPr>
        <w:t>esumen en el sitio web oficial del Ejército brasileño</w:t>
      </w:r>
      <w:r w:rsidR="008110CC">
        <w:rPr>
          <w:rFonts w:ascii="Verdana" w:hAnsi="Verdana"/>
          <w:i/>
          <w:sz w:val="20"/>
          <w:szCs w:val="20"/>
        </w:rPr>
        <w:t xml:space="preserve"> </w:t>
      </w:r>
      <w:r w:rsidR="00981E94">
        <w:rPr>
          <w:rFonts w:ascii="Verdana" w:hAnsi="Verdana"/>
          <w:i/>
          <w:sz w:val="20"/>
          <w:szCs w:val="20"/>
        </w:rPr>
        <w:t>(punto resolutivo décimo de la Sentencia)</w:t>
      </w:r>
      <w:r>
        <w:rPr>
          <w:rFonts w:ascii="Verdana" w:hAnsi="Verdana"/>
          <w:sz w:val="20"/>
          <w:szCs w:val="20"/>
        </w:rPr>
        <w:t>;</w:t>
      </w:r>
    </w:p>
    <w:p w14:paraId="78FE1126" w14:textId="7BEFF140" w:rsidR="00981E94" w:rsidRPr="00981E94" w:rsidRDefault="00981E94" w:rsidP="00D72C5D">
      <w:pPr>
        <w:pStyle w:val="ColorfulList-Accent11"/>
        <w:numPr>
          <w:ilvl w:val="0"/>
          <w:numId w:val="17"/>
        </w:numPr>
        <w:spacing w:before="120" w:after="120"/>
        <w:contextualSpacing w:val="0"/>
        <w:jc w:val="both"/>
        <w:rPr>
          <w:rFonts w:ascii="Verdana" w:hAnsi="Verdana"/>
          <w:sz w:val="20"/>
          <w:szCs w:val="20"/>
        </w:rPr>
      </w:pPr>
      <w:r w:rsidRPr="00981E94">
        <w:rPr>
          <w:rFonts w:ascii="Verdana" w:hAnsi="Verdana"/>
          <w:sz w:val="20"/>
          <w:szCs w:val="20"/>
        </w:rPr>
        <w:t>pagar las cantidades fijadas</w:t>
      </w:r>
      <w:r>
        <w:rPr>
          <w:rFonts w:ascii="Verdana" w:hAnsi="Verdana"/>
          <w:sz w:val="20"/>
          <w:szCs w:val="20"/>
        </w:rPr>
        <w:t xml:space="preserve"> </w:t>
      </w:r>
      <w:r w:rsidRPr="00981E94">
        <w:rPr>
          <w:rFonts w:ascii="Verdana" w:hAnsi="Verdana"/>
          <w:sz w:val="20"/>
          <w:szCs w:val="20"/>
        </w:rPr>
        <w:t xml:space="preserve">por concepto de </w:t>
      </w:r>
      <w:r w:rsidR="008A69C4">
        <w:rPr>
          <w:rFonts w:ascii="Verdana" w:hAnsi="Verdana"/>
          <w:sz w:val="20"/>
          <w:szCs w:val="20"/>
        </w:rPr>
        <w:t xml:space="preserve">indemnizaciones de </w:t>
      </w:r>
      <w:r w:rsidRPr="00981E94">
        <w:rPr>
          <w:rFonts w:ascii="Verdana" w:hAnsi="Verdana"/>
          <w:sz w:val="20"/>
          <w:szCs w:val="20"/>
        </w:rPr>
        <w:t>daños materiales e inmateriales</w:t>
      </w:r>
      <w:r>
        <w:rPr>
          <w:rFonts w:ascii="Verdana" w:hAnsi="Verdana"/>
          <w:sz w:val="20"/>
          <w:szCs w:val="20"/>
        </w:rPr>
        <w:t xml:space="preserve"> </w:t>
      </w:r>
      <w:r w:rsidRPr="00981E94">
        <w:rPr>
          <w:rFonts w:ascii="Verdana" w:hAnsi="Verdana"/>
          <w:i/>
          <w:sz w:val="20"/>
          <w:szCs w:val="20"/>
        </w:rPr>
        <w:t xml:space="preserve">(punto resolutivo </w:t>
      </w:r>
      <w:r w:rsidR="00ED175F">
        <w:rPr>
          <w:rFonts w:ascii="Verdana" w:hAnsi="Verdana"/>
          <w:i/>
          <w:sz w:val="20"/>
          <w:szCs w:val="20"/>
        </w:rPr>
        <w:t>décimo primero</w:t>
      </w:r>
      <w:r w:rsidRPr="00981E94">
        <w:rPr>
          <w:rFonts w:ascii="Verdana" w:hAnsi="Verdana"/>
          <w:i/>
          <w:sz w:val="20"/>
          <w:szCs w:val="20"/>
        </w:rPr>
        <w:t xml:space="preserve"> de la Sentencia)</w:t>
      </w:r>
      <w:r w:rsidR="00884D9A">
        <w:rPr>
          <w:rFonts w:ascii="Verdana" w:hAnsi="Verdana"/>
          <w:sz w:val="20"/>
          <w:szCs w:val="20"/>
        </w:rPr>
        <w:t>, y</w:t>
      </w:r>
    </w:p>
    <w:p w14:paraId="6EA9C1B7" w14:textId="2D16A32B" w:rsidR="00981E94" w:rsidRPr="00A92753" w:rsidRDefault="00981E94" w:rsidP="00D72C5D">
      <w:pPr>
        <w:pStyle w:val="ColorfulList-Accent11"/>
        <w:numPr>
          <w:ilvl w:val="0"/>
          <w:numId w:val="17"/>
        </w:numPr>
        <w:spacing w:before="120" w:after="120"/>
        <w:contextualSpacing w:val="0"/>
        <w:jc w:val="both"/>
        <w:rPr>
          <w:rFonts w:ascii="Verdana" w:hAnsi="Verdana"/>
          <w:sz w:val="20"/>
          <w:szCs w:val="20"/>
        </w:rPr>
      </w:pPr>
      <w:r w:rsidRPr="00981E94">
        <w:rPr>
          <w:rFonts w:ascii="Verdana" w:hAnsi="Verdana"/>
          <w:sz w:val="20"/>
          <w:szCs w:val="20"/>
        </w:rPr>
        <w:t>reintegrar al Fondo de Asistencia Legal de Víctimas de la Corte Interamericana de Derechos Humanos la cantidad erogada durante la tramitación del</w:t>
      </w:r>
      <w:r>
        <w:rPr>
          <w:rFonts w:ascii="Verdana" w:hAnsi="Verdana"/>
          <w:sz w:val="20"/>
          <w:szCs w:val="20"/>
        </w:rPr>
        <w:t xml:space="preserve"> caso </w:t>
      </w:r>
      <w:r w:rsidRPr="00981E94">
        <w:rPr>
          <w:rFonts w:ascii="Verdana" w:hAnsi="Verdana"/>
          <w:i/>
          <w:sz w:val="20"/>
          <w:szCs w:val="20"/>
        </w:rPr>
        <w:t>(punto resolutivo décimo</w:t>
      </w:r>
      <w:r>
        <w:rPr>
          <w:rFonts w:ascii="Verdana" w:hAnsi="Verdana"/>
          <w:i/>
          <w:sz w:val="20"/>
          <w:szCs w:val="20"/>
        </w:rPr>
        <w:t xml:space="preserve"> segundo</w:t>
      </w:r>
      <w:r w:rsidRPr="00981E94">
        <w:rPr>
          <w:rFonts w:ascii="Verdana" w:hAnsi="Verdana"/>
          <w:i/>
          <w:sz w:val="20"/>
          <w:szCs w:val="20"/>
        </w:rPr>
        <w:t xml:space="preserve"> de la Sentencia).</w:t>
      </w:r>
    </w:p>
    <w:p w14:paraId="75B2ABD3" w14:textId="4E60036C" w:rsidR="00A92753" w:rsidRDefault="00A92753" w:rsidP="00A92753">
      <w:pPr>
        <w:pStyle w:val="ColorfulList-Accent11"/>
        <w:numPr>
          <w:ilvl w:val="0"/>
          <w:numId w:val="9"/>
        </w:numPr>
        <w:spacing w:before="120" w:after="120"/>
        <w:ind w:left="0" w:firstLine="0"/>
        <w:contextualSpacing w:val="0"/>
        <w:jc w:val="both"/>
        <w:rPr>
          <w:rFonts w:ascii="Verdana" w:hAnsi="Verdana"/>
          <w:sz w:val="20"/>
          <w:szCs w:val="20"/>
        </w:rPr>
      </w:pPr>
      <w:r w:rsidRPr="009B314C">
        <w:rPr>
          <w:rFonts w:ascii="Verdana" w:hAnsi="Verdana"/>
          <w:sz w:val="20"/>
          <w:szCs w:val="20"/>
        </w:rPr>
        <w:t>Requerir al Estado que adopte, en definitiva y a la mayor brevedad, todas las medidas que sean necesarias para dar efectivo y pronto cumplimiento a la</w:t>
      </w:r>
      <w:r>
        <w:rPr>
          <w:rFonts w:ascii="Verdana" w:hAnsi="Verdana"/>
          <w:sz w:val="20"/>
          <w:szCs w:val="20"/>
        </w:rPr>
        <w:t>s reparaciones indicadas en el punto resolutivo anterior</w:t>
      </w:r>
      <w:r w:rsidR="00BC266F">
        <w:rPr>
          <w:rFonts w:ascii="Verdana" w:hAnsi="Verdana"/>
          <w:sz w:val="20"/>
          <w:szCs w:val="20"/>
        </w:rPr>
        <w:t xml:space="preserve">, </w:t>
      </w:r>
      <w:r w:rsidR="00BC266F" w:rsidRPr="00BC266F">
        <w:rPr>
          <w:rFonts w:ascii="Verdana" w:hAnsi="Verdana"/>
          <w:sz w:val="20"/>
          <w:szCs w:val="20"/>
        </w:rPr>
        <w:t xml:space="preserve">de acuerdo con lo considerado en la presente </w:t>
      </w:r>
      <w:proofErr w:type="spellStart"/>
      <w:r w:rsidR="00BC266F" w:rsidRPr="00BC266F">
        <w:rPr>
          <w:rFonts w:ascii="Verdana" w:hAnsi="Verdana"/>
          <w:sz w:val="20"/>
          <w:szCs w:val="20"/>
        </w:rPr>
        <w:t>Resolución</w:t>
      </w:r>
      <w:proofErr w:type="spellEnd"/>
      <w:r w:rsidR="00BC266F" w:rsidRPr="00BC266F">
        <w:rPr>
          <w:rFonts w:ascii="Verdana" w:hAnsi="Verdana"/>
          <w:sz w:val="20"/>
          <w:szCs w:val="20"/>
        </w:rPr>
        <w:t xml:space="preserve">, y con lo estipulado en el </w:t>
      </w:r>
      <w:proofErr w:type="spellStart"/>
      <w:r w:rsidR="00BC266F" w:rsidRPr="00BC266F">
        <w:rPr>
          <w:rFonts w:ascii="Verdana" w:hAnsi="Verdana"/>
          <w:sz w:val="20"/>
          <w:szCs w:val="20"/>
        </w:rPr>
        <w:t>artículo</w:t>
      </w:r>
      <w:proofErr w:type="spellEnd"/>
      <w:r w:rsidR="00BC266F" w:rsidRPr="00BC266F">
        <w:rPr>
          <w:rFonts w:ascii="Verdana" w:hAnsi="Verdana"/>
          <w:sz w:val="20"/>
          <w:szCs w:val="20"/>
        </w:rPr>
        <w:t xml:space="preserve"> 68.1 de la </w:t>
      </w:r>
      <w:proofErr w:type="spellStart"/>
      <w:r w:rsidR="00BC266F" w:rsidRPr="00BC266F">
        <w:rPr>
          <w:rFonts w:ascii="Verdana" w:hAnsi="Verdana"/>
          <w:sz w:val="20"/>
          <w:szCs w:val="20"/>
        </w:rPr>
        <w:t>Convención</w:t>
      </w:r>
      <w:proofErr w:type="spellEnd"/>
      <w:r w:rsidR="00BC266F" w:rsidRPr="00BC266F">
        <w:rPr>
          <w:rFonts w:ascii="Verdana" w:hAnsi="Verdana"/>
          <w:sz w:val="20"/>
          <w:szCs w:val="20"/>
        </w:rPr>
        <w:t xml:space="preserve"> </w:t>
      </w:r>
      <w:proofErr w:type="gramStart"/>
      <w:r w:rsidR="00BC266F" w:rsidRPr="00BC266F">
        <w:rPr>
          <w:rFonts w:ascii="Verdana" w:hAnsi="Verdana"/>
          <w:sz w:val="20"/>
          <w:szCs w:val="20"/>
        </w:rPr>
        <w:t>Americana</w:t>
      </w:r>
      <w:proofErr w:type="gramEnd"/>
      <w:r w:rsidR="00BC266F" w:rsidRPr="00BC266F">
        <w:rPr>
          <w:rFonts w:ascii="Verdana" w:hAnsi="Verdana"/>
          <w:sz w:val="20"/>
          <w:szCs w:val="20"/>
        </w:rPr>
        <w:t xml:space="preserve"> sobre Derechos Humanos</w:t>
      </w:r>
      <w:r w:rsidRPr="009B314C">
        <w:rPr>
          <w:rFonts w:ascii="Verdana" w:hAnsi="Verdana"/>
          <w:sz w:val="20"/>
          <w:szCs w:val="20"/>
        </w:rPr>
        <w:t>.</w:t>
      </w:r>
    </w:p>
    <w:p w14:paraId="5273B26C" w14:textId="3F4E2579" w:rsidR="00892D03" w:rsidRDefault="00892D03" w:rsidP="00884D9A">
      <w:pPr>
        <w:pStyle w:val="ColorfulList-Accent11"/>
        <w:numPr>
          <w:ilvl w:val="0"/>
          <w:numId w:val="9"/>
        </w:numPr>
        <w:spacing w:before="120" w:after="120"/>
        <w:ind w:left="0" w:firstLine="0"/>
        <w:contextualSpacing w:val="0"/>
        <w:jc w:val="both"/>
        <w:rPr>
          <w:rFonts w:ascii="Verdana" w:hAnsi="Verdana"/>
          <w:sz w:val="20"/>
          <w:szCs w:val="20"/>
        </w:rPr>
      </w:pPr>
      <w:r w:rsidRPr="00892D03">
        <w:rPr>
          <w:rFonts w:ascii="Verdana" w:hAnsi="Verdana"/>
          <w:sz w:val="20"/>
          <w:szCs w:val="20"/>
        </w:rPr>
        <w:t xml:space="preserve">Convocar a la República Federativa del Brasil, a los representantes de las </w:t>
      </w:r>
      <w:proofErr w:type="spellStart"/>
      <w:r w:rsidRPr="00892D03">
        <w:rPr>
          <w:rFonts w:ascii="Verdana" w:hAnsi="Verdana"/>
          <w:sz w:val="20"/>
          <w:szCs w:val="20"/>
        </w:rPr>
        <w:t>víctimas</w:t>
      </w:r>
      <w:proofErr w:type="spellEnd"/>
      <w:r w:rsidRPr="00892D03">
        <w:rPr>
          <w:rFonts w:ascii="Verdana" w:hAnsi="Verdana"/>
          <w:sz w:val="20"/>
          <w:szCs w:val="20"/>
        </w:rPr>
        <w:t xml:space="preserve"> y a la </w:t>
      </w:r>
      <w:proofErr w:type="spellStart"/>
      <w:r w:rsidRPr="00892D03">
        <w:rPr>
          <w:rFonts w:ascii="Verdana" w:hAnsi="Verdana"/>
          <w:sz w:val="20"/>
          <w:szCs w:val="20"/>
        </w:rPr>
        <w:t>Comisión</w:t>
      </w:r>
      <w:proofErr w:type="spellEnd"/>
      <w:r w:rsidRPr="00892D03">
        <w:rPr>
          <w:rFonts w:ascii="Verdana" w:hAnsi="Verdana"/>
          <w:sz w:val="20"/>
          <w:szCs w:val="20"/>
        </w:rPr>
        <w:t xml:space="preserve"> Interamericana de Derechos Humanos a una audiencia </w:t>
      </w:r>
      <w:proofErr w:type="spellStart"/>
      <w:r w:rsidRPr="00892D03">
        <w:rPr>
          <w:rFonts w:ascii="Verdana" w:hAnsi="Verdana"/>
          <w:sz w:val="20"/>
          <w:szCs w:val="20"/>
        </w:rPr>
        <w:t>pública</w:t>
      </w:r>
      <w:proofErr w:type="spellEnd"/>
      <w:r w:rsidRPr="00892D03">
        <w:rPr>
          <w:rFonts w:ascii="Verdana" w:hAnsi="Verdana"/>
          <w:sz w:val="20"/>
          <w:szCs w:val="20"/>
        </w:rPr>
        <w:t xml:space="preserve"> de </w:t>
      </w:r>
      <w:proofErr w:type="spellStart"/>
      <w:r w:rsidRPr="00892D03">
        <w:rPr>
          <w:rFonts w:ascii="Verdana" w:hAnsi="Verdana"/>
          <w:sz w:val="20"/>
          <w:szCs w:val="20"/>
        </w:rPr>
        <w:t>supervisión</w:t>
      </w:r>
      <w:proofErr w:type="spellEnd"/>
      <w:r w:rsidRPr="00892D03">
        <w:rPr>
          <w:rFonts w:ascii="Verdana" w:hAnsi="Verdana"/>
          <w:sz w:val="20"/>
          <w:szCs w:val="20"/>
        </w:rPr>
        <w:t xml:space="preserve"> de </w:t>
      </w:r>
      <w:r w:rsidRPr="00892D03">
        <w:rPr>
          <w:rFonts w:ascii="Verdana" w:hAnsi="Verdana"/>
          <w:sz w:val="20"/>
          <w:szCs w:val="20"/>
        </w:rPr>
        <w:lastRenderedPageBreak/>
        <w:t xml:space="preserve">cumplimiento de </w:t>
      </w:r>
      <w:r w:rsidR="00CA4177">
        <w:rPr>
          <w:rFonts w:ascii="Verdana" w:hAnsi="Verdana"/>
          <w:sz w:val="20"/>
          <w:szCs w:val="20"/>
        </w:rPr>
        <w:t xml:space="preserve">las medidas ordenadas en los puntos resolutivos séptimo y octavo de la </w:t>
      </w:r>
      <w:r w:rsidRPr="00892D03">
        <w:rPr>
          <w:rFonts w:ascii="Verdana" w:hAnsi="Verdana"/>
          <w:sz w:val="20"/>
          <w:szCs w:val="20"/>
        </w:rPr>
        <w:t>Sentencia</w:t>
      </w:r>
      <w:r w:rsidR="00CA4177">
        <w:rPr>
          <w:rFonts w:ascii="Verdana" w:hAnsi="Verdana"/>
          <w:sz w:val="20"/>
          <w:szCs w:val="20"/>
        </w:rPr>
        <w:t xml:space="preserve">. La audiencia </w:t>
      </w:r>
      <w:r w:rsidRPr="00892D03">
        <w:rPr>
          <w:rFonts w:ascii="Verdana" w:hAnsi="Verdana"/>
          <w:sz w:val="20"/>
          <w:szCs w:val="20"/>
        </w:rPr>
        <w:t xml:space="preserve">se celebrará de manera virtual el </w:t>
      </w:r>
      <w:r>
        <w:rPr>
          <w:rFonts w:ascii="Verdana" w:hAnsi="Verdana"/>
          <w:sz w:val="20"/>
          <w:szCs w:val="20"/>
        </w:rPr>
        <w:t>24 de junio</w:t>
      </w:r>
      <w:r w:rsidRPr="00892D03">
        <w:rPr>
          <w:rFonts w:ascii="Verdana" w:hAnsi="Verdana"/>
          <w:sz w:val="20"/>
          <w:szCs w:val="20"/>
        </w:rPr>
        <w:t xml:space="preserve"> de 2021 de las </w:t>
      </w:r>
      <w:r>
        <w:rPr>
          <w:rFonts w:ascii="Verdana" w:hAnsi="Verdana"/>
          <w:sz w:val="20"/>
          <w:szCs w:val="20"/>
        </w:rPr>
        <w:t>10:</w:t>
      </w:r>
      <w:r w:rsidR="004F5F88">
        <w:rPr>
          <w:rFonts w:ascii="Verdana" w:hAnsi="Verdana"/>
          <w:sz w:val="20"/>
          <w:szCs w:val="20"/>
        </w:rPr>
        <w:t>3</w:t>
      </w:r>
      <w:r>
        <w:rPr>
          <w:rFonts w:ascii="Verdana" w:hAnsi="Verdana"/>
          <w:sz w:val="20"/>
          <w:szCs w:val="20"/>
        </w:rPr>
        <w:t>0 a las 12:</w:t>
      </w:r>
      <w:r w:rsidR="004F5F88">
        <w:rPr>
          <w:rFonts w:ascii="Verdana" w:hAnsi="Verdana"/>
          <w:sz w:val="20"/>
          <w:szCs w:val="20"/>
        </w:rPr>
        <w:t>3</w:t>
      </w:r>
      <w:r>
        <w:rPr>
          <w:rFonts w:ascii="Verdana" w:hAnsi="Verdana"/>
          <w:sz w:val="20"/>
          <w:szCs w:val="20"/>
        </w:rPr>
        <w:t>0</w:t>
      </w:r>
      <w:r w:rsidRPr="00892D03">
        <w:rPr>
          <w:rFonts w:ascii="Verdana" w:hAnsi="Verdana"/>
          <w:sz w:val="20"/>
          <w:szCs w:val="20"/>
        </w:rPr>
        <w:t xml:space="preserve"> horas, horar</w:t>
      </w:r>
      <w:r>
        <w:rPr>
          <w:rFonts w:ascii="Verdana" w:hAnsi="Verdana"/>
          <w:sz w:val="20"/>
          <w:szCs w:val="20"/>
        </w:rPr>
        <w:t>io de Costa Rica, durante el 142°</w:t>
      </w:r>
      <w:r w:rsidRPr="00892D03">
        <w:rPr>
          <w:rFonts w:ascii="Verdana" w:hAnsi="Verdana"/>
          <w:sz w:val="20"/>
          <w:szCs w:val="20"/>
        </w:rPr>
        <w:t xml:space="preserve"> período ordinario de sesiones de esta Corte, en los </w:t>
      </w:r>
      <w:proofErr w:type="spellStart"/>
      <w:r w:rsidRPr="00892D03">
        <w:rPr>
          <w:rFonts w:ascii="Verdana" w:hAnsi="Verdana"/>
          <w:sz w:val="20"/>
          <w:szCs w:val="20"/>
        </w:rPr>
        <w:t>términos</w:t>
      </w:r>
      <w:proofErr w:type="spellEnd"/>
      <w:r w:rsidRPr="00892D03">
        <w:rPr>
          <w:rFonts w:ascii="Verdana" w:hAnsi="Verdana"/>
          <w:sz w:val="20"/>
          <w:szCs w:val="20"/>
        </w:rPr>
        <w:t xml:space="preserve"> indicados en los Considerandos </w:t>
      </w:r>
      <w:r w:rsidR="003C7AA5">
        <w:rPr>
          <w:rFonts w:ascii="Verdana" w:hAnsi="Verdana"/>
          <w:sz w:val="20"/>
          <w:szCs w:val="20"/>
        </w:rPr>
        <w:t>34 a 36</w:t>
      </w:r>
      <w:r w:rsidR="003C7AA5" w:rsidRPr="00892D03">
        <w:rPr>
          <w:rFonts w:ascii="Verdana" w:hAnsi="Verdana"/>
          <w:sz w:val="20"/>
          <w:szCs w:val="20"/>
        </w:rPr>
        <w:t xml:space="preserve"> </w:t>
      </w:r>
      <w:r w:rsidRPr="00892D03">
        <w:rPr>
          <w:rFonts w:ascii="Verdana" w:hAnsi="Verdana"/>
          <w:sz w:val="20"/>
          <w:szCs w:val="20"/>
        </w:rPr>
        <w:t xml:space="preserve">de la presente </w:t>
      </w:r>
      <w:proofErr w:type="spellStart"/>
      <w:r w:rsidRPr="00892D03">
        <w:rPr>
          <w:rFonts w:ascii="Verdana" w:hAnsi="Verdana"/>
          <w:sz w:val="20"/>
          <w:szCs w:val="20"/>
        </w:rPr>
        <w:t>Resolución</w:t>
      </w:r>
      <w:proofErr w:type="spellEnd"/>
      <w:r>
        <w:rPr>
          <w:rFonts w:ascii="Verdana" w:hAnsi="Verdana"/>
          <w:sz w:val="20"/>
          <w:szCs w:val="20"/>
        </w:rPr>
        <w:t>.</w:t>
      </w:r>
    </w:p>
    <w:p w14:paraId="2E6BFEAD" w14:textId="6ACEFA98" w:rsidR="008A69C4" w:rsidRPr="00892D03" w:rsidRDefault="00892D03" w:rsidP="00892D03">
      <w:pPr>
        <w:pStyle w:val="ColorfulList-Accent11"/>
        <w:numPr>
          <w:ilvl w:val="0"/>
          <w:numId w:val="9"/>
        </w:numPr>
        <w:spacing w:before="120" w:after="120"/>
        <w:ind w:left="0" w:firstLine="0"/>
        <w:contextualSpacing w:val="0"/>
        <w:jc w:val="both"/>
        <w:rPr>
          <w:rFonts w:ascii="Verdana" w:hAnsi="Verdana"/>
          <w:sz w:val="20"/>
          <w:szCs w:val="20"/>
        </w:rPr>
      </w:pPr>
      <w:r w:rsidRPr="00892D03">
        <w:rPr>
          <w:rFonts w:ascii="Verdana" w:hAnsi="Verdana"/>
          <w:sz w:val="20"/>
          <w:szCs w:val="20"/>
        </w:rPr>
        <w:t xml:space="preserve">En </w:t>
      </w:r>
      <w:proofErr w:type="spellStart"/>
      <w:r w:rsidRPr="00892D03">
        <w:rPr>
          <w:rFonts w:ascii="Verdana" w:hAnsi="Verdana"/>
          <w:sz w:val="20"/>
          <w:szCs w:val="20"/>
        </w:rPr>
        <w:t>aplicación</w:t>
      </w:r>
      <w:proofErr w:type="spellEnd"/>
      <w:r w:rsidRPr="00892D03">
        <w:rPr>
          <w:rFonts w:ascii="Verdana" w:hAnsi="Verdana"/>
          <w:sz w:val="20"/>
          <w:szCs w:val="20"/>
        </w:rPr>
        <w:t xml:space="preserve"> del </w:t>
      </w:r>
      <w:proofErr w:type="spellStart"/>
      <w:r w:rsidRPr="00892D03">
        <w:rPr>
          <w:rFonts w:ascii="Verdana" w:hAnsi="Verdana"/>
          <w:sz w:val="20"/>
          <w:szCs w:val="20"/>
        </w:rPr>
        <w:t>artículo</w:t>
      </w:r>
      <w:proofErr w:type="spellEnd"/>
      <w:r w:rsidRPr="00892D03">
        <w:rPr>
          <w:rFonts w:ascii="Verdana" w:hAnsi="Verdana"/>
          <w:sz w:val="20"/>
          <w:szCs w:val="20"/>
        </w:rPr>
        <w:t xml:space="preserve"> 69.2 de su Reglamento, solicitar al Consejo Nacional de Justicia de Brasil que rinda un informe oral en la referida audiencia </w:t>
      </w:r>
      <w:proofErr w:type="spellStart"/>
      <w:r w:rsidRPr="00892D03">
        <w:rPr>
          <w:rFonts w:ascii="Verdana" w:hAnsi="Verdana"/>
          <w:sz w:val="20"/>
          <w:szCs w:val="20"/>
        </w:rPr>
        <w:t>pública</w:t>
      </w:r>
      <w:proofErr w:type="spellEnd"/>
      <w:r w:rsidRPr="00892D03">
        <w:rPr>
          <w:rFonts w:ascii="Verdana" w:hAnsi="Verdana"/>
          <w:sz w:val="20"/>
          <w:szCs w:val="20"/>
        </w:rPr>
        <w:t xml:space="preserve">, tomando en cuenta lo indicado en el Considerando </w:t>
      </w:r>
      <w:r w:rsidR="003C7AA5">
        <w:rPr>
          <w:rFonts w:ascii="Verdana" w:hAnsi="Verdana"/>
          <w:sz w:val="20"/>
          <w:szCs w:val="20"/>
        </w:rPr>
        <w:t>35</w:t>
      </w:r>
      <w:r w:rsidR="003C7AA5" w:rsidRPr="00892D03">
        <w:rPr>
          <w:rFonts w:ascii="Verdana" w:hAnsi="Verdana"/>
          <w:sz w:val="20"/>
          <w:szCs w:val="20"/>
        </w:rPr>
        <w:t xml:space="preserve"> </w:t>
      </w:r>
      <w:r w:rsidRPr="00892D03">
        <w:rPr>
          <w:rFonts w:ascii="Verdana" w:hAnsi="Verdana"/>
          <w:sz w:val="20"/>
          <w:szCs w:val="20"/>
        </w:rPr>
        <w:t xml:space="preserve">de la presente </w:t>
      </w:r>
      <w:proofErr w:type="spellStart"/>
      <w:r w:rsidRPr="00892D03">
        <w:rPr>
          <w:rFonts w:ascii="Verdana" w:hAnsi="Verdana"/>
          <w:sz w:val="20"/>
          <w:szCs w:val="20"/>
        </w:rPr>
        <w:t>Resolución</w:t>
      </w:r>
      <w:proofErr w:type="spellEnd"/>
      <w:r>
        <w:rPr>
          <w:rFonts w:ascii="Verdana" w:hAnsi="Verdana"/>
          <w:sz w:val="20"/>
          <w:szCs w:val="20"/>
        </w:rPr>
        <w:t xml:space="preserve">. </w:t>
      </w:r>
    </w:p>
    <w:p w14:paraId="39457DA5" w14:textId="35B73AD5" w:rsidR="00981E94" w:rsidRDefault="00981E94" w:rsidP="00884D9A">
      <w:pPr>
        <w:pStyle w:val="ColorfulList-Accent11"/>
        <w:numPr>
          <w:ilvl w:val="0"/>
          <w:numId w:val="9"/>
        </w:numPr>
        <w:spacing w:before="120" w:after="120"/>
        <w:ind w:left="0" w:firstLine="0"/>
        <w:contextualSpacing w:val="0"/>
        <w:jc w:val="both"/>
        <w:rPr>
          <w:rFonts w:ascii="Verdana" w:hAnsi="Verdana"/>
          <w:sz w:val="20"/>
          <w:szCs w:val="20"/>
        </w:rPr>
      </w:pPr>
      <w:r w:rsidRPr="00981E94">
        <w:rPr>
          <w:rFonts w:ascii="Verdana" w:hAnsi="Verdana"/>
          <w:sz w:val="20"/>
          <w:szCs w:val="20"/>
        </w:rPr>
        <w:t xml:space="preserve">Disponer que </w:t>
      </w:r>
      <w:r>
        <w:rPr>
          <w:rFonts w:ascii="Verdana" w:hAnsi="Verdana"/>
          <w:sz w:val="20"/>
          <w:szCs w:val="20"/>
        </w:rPr>
        <w:t>la República Federativa de Brasil</w:t>
      </w:r>
      <w:r w:rsidRPr="00981E94">
        <w:rPr>
          <w:rFonts w:ascii="Verdana" w:hAnsi="Verdana"/>
          <w:sz w:val="20"/>
          <w:szCs w:val="20"/>
        </w:rPr>
        <w:t xml:space="preserve"> presente a la Corte Interamericana de Derechos Humanos, a más </w:t>
      </w:r>
      <w:r w:rsidRPr="00A92753">
        <w:rPr>
          <w:rFonts w:ascii="Verdana" w:hAnsi="Verdana"/>
          <w:sz w:val="20"/>
          <w:szCs w:val="20"/>
        </w:rPr>
        <w:t xml:space="preserve">tardar el </w:t>
      </w:r>
      <w:r w:rsidR="00A92753" w:rsidRPr="00A92753">
        <w:rPr>
          <w:rFonts w:ascii="Verdana" w:hAnsi="Verdana"/>
          <w:sz w:val="20"/>
          <w:szCs w:val="20"/>
        </w:rPr>
        <w:t>17 de agosto de 2021</w:t>
      </w:r>
      <w:r w:rsidRPr="00A92753">
        <w:rPr>
          <w:rFonts w:ascii="Verdana" w:hAnsi="Verdana"/>
          <w:sz w:val="20"/>
          <w:szCs w:val="20"/>
        </w:rPr>
        <w:t>, un informe</w:t>
      </w:r>
      <w:r w:rsidRPr="00981E94">
        <w:rPr>
          <w:rFonts w:ascii="Verdana" w:hAnsi="Verdana"/>
          <w:sz w:val="20"/>
          <w:szCs w:val="20"/>
        </w:rPr>
        <w:t xml:space="preserve"> </w:t>
      </w:r>
      <w:r w:rsidR="00892D03">
        <w:rPr>
          <w:rFonts w:ascii="Verdana" w:hAnsi="Verdana"/>
          <w:sz w:val="20"/>
          <w:szCs w:val="20"/>
        </w:rPr>
        <w:t xml:space="preserve">relativo a las medidas de reparación ordenadas en los puntos resolutivos noveno, décimo y décimo primero, </w:t>
      </w:r>
      <w:r w:rsidRPr="00981E94">
        <w:rPr>
          <w:rFonts w:ascii="Verdana" w:hAnsi="Verdana"/>
          <w:sz w:val="20"/>
          <w:szCs w:val="20"/>
        </w:rPr>
        <w:t xml:space="preserve">de conformidad con lo indicado en </w:t>
      </w:r>
      <w:r w:rsidR="00892D03">
        <w:rPr>
          <w:rFonts w:ascii="Verdana" w:hAnsi="Verdana"/>
          <w:sz w:val="20"/>
          <w:szCs w:val="20"/>
        </w:rPr>
        <w:t xml:space="preserve">el punto resolutivo quinto y </w:t>
      </w:r>
      <w:r w:rsidRPr="00981E94">
        <w:rPr>
          <w:rFonts w:ascii="Verdana" w:hAnsi="Verdana"/>
          <w:sz w:val="20"/>
          <w:szCs w:val="20"/>
        </w:rPr>
        <w:t xml:space="preserve">los Considerandos </w:t>
      </w:r>
      <w:r w:rsidR="003C7AA5">
        <w:rPr>
          <w:rFonts w:ascii="Verdana" w:hAnsi="Verdana"/>
          <w:sz w:val="20"/>
          <w:szCs w:val="20"/>
        </w:rPr>
        <w:t>14,</w:t>
      </w:r>
      <w:r w:rsidR="001D7478">
        <w:rPr>
          <w:rFonts w:ascii="Verdana" w:hAnsi="Verdana"/>
          <w:sz w:val="20"/>
          <w:szCs w:val="20"/>
        </w:rPr>
        <w:t xml:space="preserve"> </w:t>
      </w:r>
      <w:r w:rsidR="003C7AA5">
        <w:rPr>
          <w:rFonts w:ascii="Verdana" w:hAnsi="Verdana"/>
          <w:sz w:val="20"/>
          <w:szCs w:val="20"/>
        </w:rPr>
        <w:t>19,</w:t>
      </w:r>
      <w:r w:rsidR="001D7478">
        <w:rPr>
          <w:rFonts w:ascii="Verdana" w:hAnsi="Verdana"/>
          <w:sz w:val="20"/>
          <w:szCs w:val="20"/>
        </w:rPr>
        <w:t xml:space="preserve"> </w:t>
      </w:r>
      <w:r w:rsidR="003C7AA5">
        <w:rPr>
          <w:rFonts w:ascii="Verdana" w:hAnsi="Verdana"/>
          <w:sz w:val="20"/>
          <w:szCs w:val="20"/>
        </w:rPr>
        <w:t>22,</w:t>
      </w:r>
      <w:r w:rsidR="001D7478">
        <w:rPr>
          <w:rFonts w:ascii="Verdana" w:hAnsi="Verdana"/>
          <w:sz w:val="20"/>
          <w:szCs w:val="20"/>
        </w:rPr>
        <w:t xml:space="preserve"> </w:t>
      </w:r>
      <w:r w:rsidR="003C7AA5">
        <w:rPr>
          <w:rFonts w:ascii="Verdana" w:hAnsi="Verdana"/>
          <w:sz w:val="20"/>
          <w:szCs w:val="20"/>
        </w:rPr>
        <w:t>25,</w:t>
      </w:r>
      <w:r w:rsidR="001D7478">
        <w:rPr>
          <w:rFonts w:ascii="Verdana" w:hAnsi="Verdana"/>
          <w:sz w:val="20"/>
          <w:szCs w:val="20"/>
        </w:rPr>
        <w:t xml:space="preserve"> </w:t>
      </w:r>
      <w:r w:rsidR="003C7AA5">
        <w:rPr>
          <w:rFonts w:ascii="Verdana" w:hAnsi="Verdana"/>
          <w:sz w:val="20"/>
          <w:szCs w:val="20"/>
        </w:rPr>
        <w:t>28 y 33</w:t>
      </w:r>
      <w:r w:rsidR="003C7AA5" w:rsidRPr="00981E94">
        <w:rPr>
          <w:rFonts w:ascii="Verdana" w:hAnsi="Verdana"/>
          <w:sz w:val="20"/>
          <w:szCs w:val="20"/>
        </w:rPr>
        <w:t xml:space="preserve"> </w:t>
      </w:r>
      <w:r w:rsidRPr="00981E94">
        <w:rPr>
          <w:rFonts w:ascii="Verdana" w:hAnsi="Verdana"/>
          <w:sz w:val="20"/>
          <w:szCs w:val="20"/>
        </w:rPr>
        <w:t>de la presente Resolución</w:t>
      </w:r>
      <w:r>
        <w:rPr>
          <w:rFonts w:ascii="Verdana" w:hAnsi="Verdana"/>
          <w:sz w:val="20"/>
          <w:szCs w:val="20"/>
        </w:rPr>
        <w:t>.</w:t>
      </w:r>
    </w:p>
    <w:p w14:paraId="2178C5EB" w14:textId="64B1285B" w:rsidR="00981E94" w:rsidRDefault="00981E94" w:rsidP="00884D9A">
      <w:pPr>
        <w:pStyle w:val="ColorfulList-Accent11"/>
        <w:numPr>
          <w:ilvl w:val="0"/>
          <w:numId w:val="9"/>
        </w:numPr>
        <w:spacing w:before="120" w:after="120"/>
        <w:ind w:left="0" w:firstLine="0"/>
        <w:contextualSpacing w:val="0"/>
        <w:jc w:val="both"/>
        <w:rPr>
          <w:rFonts w:ascii="Verdana" w:hAnsi="Verdana"/>
          <w:sz w:val="20"/>
          <w:szCs w:val="20"/>
        </w:rPr>
      </w:pPr>
      <w:r w:rsidRPr="00981E94">
        <w:rPr>
          <w:rFonts w:ascii="Verdana" w:hAnsi="Verdana"/>
          <w:sz w:val="20"/>
          <w:szCs w:val="20"/>
        </w:rPr>
        <w:t>Solicitar a los representantes de las víctimas y a la Comisión Interamericana de Derechos Humanos que presenten observaciones al informe del Estado mencionado en el punto resolutivo anterior, en los plazos de cuatro y seis semanas, respectivamente, contados a partir de la recepción del informe.</w:t>
      </w:r>
    </w:p>
    <w:p w14:paraId="7B662244" w14:textId="46B43388" w:rsidR="00C54A70" w:rsidRDefault="00892D03" w:rsidP="00884D9A">
      <w:pPr>
        <w:pStyle w:val="ColorfulList-Accent11"/>
        <w:numPr>
          <w:ilvl w:val="0"/>
          <w:numId w:val="9"/>
        </w:numPr>
        <w:spacing w:before="120" w:after="120"/>
        <w:ind w:left="0" w:firstLine="0"/>
        <w:contextualSpacing w:val="0"/>
        <w:jc w:val="both"/>
        <w:rPr>
          <w:rFonts w:ascii="Verdana" w:hAnsi="Verdana"/>
          <w:sz w:val="20"/>
          <w:szCs w:val="20"/>
        </w:rPr>
      </w:pPr>
      <w:r w:rsidRPr="00892D03">
        <w:rPr>
          <w:rFonts w:ascii="Verdana" w:hAnsi="Verdana"/>
          <w:sz w:val="20"/>
          <w:szCs w:val="20"/>
        </w:rPr>
        <w:t xml:space="preserve">Disponer que la </w:t>
      </w:r>
      <w:proofErr w:type="spellStart"/>
      <w:r w:rsidRPr="00892D03">
        <w:rPr>
          <w:rFonts w:ascii="Verdana" w:hAnsi="Verdana"/>
          <w:sz w:val="20"/>
          <w:szCs w:val="20"/>
        </w:rPr>
        <w:t>Secretaría</w:t>
      </w:r>
      <w:proofErr w:type="spellEnd"/>
      <w:r w:rsidRPr="00892D03">
        <w:rPr>
          <w:rFonts w:ascii="Verdana" w:hAnsi="Verdana"/>
          <w:sz w:val="20"/>
          <w:szCs w:val="20"/>
        </w:rPr>
        <w:t xml:space="preserve"> de la Corte notifique la presente </w:t>
      </w:r>
      <w:proofErr w:type="spellStart"/>
      <w:r w:rsidRPr="00892D03">
        <w:rPr>
          <w:rFonts w:ascii="Verdana" w:hAnsi="Verdana"/>
          <w:sz w:val="20"/>
          <w:szCs w:val="20"/>
        </w:rPr>
        <w:t>Resolución</w:t>
      </w:r>
      <w:proofErr w:type="spellEnd"/>
      <w:r w:rsidRPr="00892D03">
        <w:rPr>
          <w:rFonts w:ascii="Verdana" w:hAnsi="Verdana"/>
          <w:sz w:val="20"/>
          <w:szCs w:val="20"/>
        </w:rPr>
        <w:t xml:space="preserve"> al Estado, a los representantes de las </w:t>
      </w:r>
      <w:proofErr w:type="spellStart"/>
      <w:r w:rsidRPr="00892D03">
        <w:rPr>
          <w:rFonts w:ascii="Verdana" w:hAnsi="Verdana"/>
          <w:sz w:val="20"/>
          <w:szCs w:val="20"/>
        </w:rPr>
        <w:t>víctimas</w:t>
      </w:r>
      <w:proofErr w:type="spellEnd"/>
      <w:r w:rsidRPr="00892D03">
        <w:rPr>
          <w:rFonts w:ascii="Verdana" w:hAnsi="Verdana"/>
          <w:sz w:val="20"/>
          <w:szCs w:val="20"/>
        </w:rPr>
        <w:t xml:space="preserve">, a la </w:t>
      </w:r>
      <w:proofErr w:type="spellStart"/>
      <w:r w:rsidRPr="00892D03">
        <w:rPr>
          <w:rFonts w:ascii="Verdana" w:hAnsi="Verdana"/>
          <w:sz w:val="20"/>
          <w:szCs w:val="20"/>
        </w:rPr>
        <w:t>Comisión</w:t>
      </w:r>
      <w:proofErr w:type="spellEnd"/>
      <w:r w:rsidRPr="00892D03">
        <w:rPr>
          <w:rFonts w:ascii="Verdana" w:hAnsi="Verdana"/>
          <w:sz w:val="20"/>
          <w:szCs w:val="20"/>
        </w:rPr>
        <w:t xml:space="preserve"> Interamericana de Derechos Humanos y al Consejo Nacional de Justicia de Brasil</w:t>
      </w:r>
      <w:r w:rsidR="00981E94">
        <w:rPr>
          <w:rFonts w:ascii="Verdana" w:hAnsi="Verdana"/>
          <w:sz w:val="20"/>
          <w:szCs w:val="20"/>
        </w:rPr>
        <w:t>.</w:t>
      </w:r>
    </w:p>
    <w:p w14:paraId="0A29B1FD" w14:textId="713B2399" w:rsidR="00C54A70" w:rsidRDefault="00C54A70">
      <w:pPr>
        <w:rPr>
          <w:rFonts w:ascii="Verdana" w:hAnsi="Verdana"/>
          <w:sz w:val="20"/>
          <w:szCs w:val="20"/>
        </w:rPr>
      </w:pPr>
    </w:p>
    <w:p w14:paraId="6683E012" w14:textId="77777777" w:rsidR="00C54A70" w:rsidRDefault="00C54A70" w:rsidP="00C54A70">
      <w:pPr>
        <w:jc w:val="both"/>
        <w:rPr>
          <w:rFonts w:ascii="Verdana" w:hAnsi="Verdana"/>
          <w:sz w:val="20"/>
          <w:lang w:val="es-ES"/>
        </w:rPr>
      </w:pPr>
    </w:p>
    <w:p w14:paraId="6C3802EE" w14:textId="77777777" w:rsidR="00C54A70" w:rsidRDefault="00C54A70" w:rsidP="00C54A70">
      <w:pPr>
        <w:jc w:val="both"/>
        <w:rPr>
          <w:rFonts w:ascii="Verdana" w:hAnsi="Verdana"/>
          <w:iCs/>
          <w:sz w:val="20"/>
          <w:lang w:val="es-CR"/>
        </w:rPr>
      </w:pPr>
      <w:r w:rsidRPr="002D12F9">
        <w:rPr>
          <w:rFonts w:ascii="Verdana" w:hAnsi="Verdana"/>
          <w:sz w:val="20"/>
          <w:lang w:val="es-ES"/>
        </w:rPr>
        <w:t xml:space="preserve">Corte IDH. </w:t>
      </w:r>
      <w:r w:rsidRPr="000304D5">
        <w:rPr>
          <w:rFonts w:ascii="Verdana" w:hAnsi="Verdana"/>
          <w:i/>
          <w:sz w:val="20"/>
          <w:lang w:val="es-ES"/>
        </w:rPr>
        <w:t xml:space="preserve">Caso </w:t>
      </w:r>
      <w:r>
        <w:rPr>
          <w:rFonts w:ascii="Verdana" w:hAnsi="Verdana"/>
          <w:i/>
          <w:iCs/>
          <w:sz w:val="20"/>
          <w:lang w:val="es-CR"/>
        </w:rPr>
        <w:t>Herzog y otros Vs. Brasil.</w:t>
      </w:r>
      <w:r>
        <w:rPr>
          <w:rFonts w:ascii="Verdana" w:hAnsi="Verdana"/>
          <w:iCs/>
          <w:sz w:val="20"/>
          <w:lang w:val="es-CR"/>
        </w:rPr>
        <w:t xml:space="preserve"> </w:t>
      </w:r>
      <w:proofErr w:type="spellStart"/>
      <w:r>
        <w:rPr>
          <w:rFonts w:ascii="Verdana" w:hAnsi="Verdana"/>
          <w:sz w:val="20"/>
          <w:lang w:val="pt-BR"/>
        </w:rPr>
        <w:t>S</w:t>
      </w:r>
      <w:r w:rsidRPr="007B6776">
        <w:rPr>
          <w:rFonts w:ascii="Verdana" w:hAnsi="Verdana"/>
          <w:sz w:val="20"/>
          <w:lang w:val="pt-BR"/>
        </w:rPr>
        <w:t>upervis</w:t>
      </w:r>
      <w:r>
        <w:rPr>
          <w:rFonts w:ascii="Verdana" w:hAnsi="Verdana"/>
          <w:sz w:val="20"/>
          <w:lang w:val="pt-BR"/>
        </w:rPr>
        <w:t>ión</w:t>
      </w:r>
      <w:proofErr w:type="spellEnd"/>
      <w:r w:rsidRPr="007B6776">
        <w:rPr>
          <w:rFonts w:ascii="Verdana" w:hAnsi="Verdana"/>
          <w:sz w:val="20"/>
          <w:lang w:val="pt-BR"/>
        </w:rPr>
        <w:t xml:space="preserve"> de </w:t>
      </w:r>
      <w:proofErr w:type="spellStart"/>
      <w:r>
        <w:rPr>
          <w:rFonts w:ascii="Verdana" w:hAnsi="Verdana"/>
          <w:sz w:val="20"/>
          <w:lang w:val="pt-BR"/>
        </w:rPr>
        <w:t>C</w:t>
      </w:r>
      <w:r w:rsidRPr="007B6776">
        <w:rPr>
          <w:rFonts w:ascii="Verdana" w:hAnsi="Verdana"/>
          <w:sz w:val="20"/>
          <w:lang w:val="pt-BR"/>
        </w:rPr>
        <w:t>ump</w:t>
      </w:r>
      <w:r>
        <w:rPr>
          <w:rFonts w:ascii="Verdana" w:hAnsi="Verdana"/>
          <w:sz w:val="20"/>
          <w:lang w:val="pt-BR"/>
        </w:rPr>
        <w:t>li</w:t>
      </w:r>
      <w:r w:rsidRPr="007B6776">
        <w:rPr>
          <w:rFonts w:ascii="Verdana" w:hAnsi="Verdana"/>
          <w:sz w:val="20"/>
          <w:lang w:val="pt-BR"/>
        </w:rPr>
        <w:t>m</w:t>
      </w:r>
      <w:r>
        <w:rPr>
          <w:rFonts w:ascii="Verdana" w:hAnsi="Verdana"/>
          <w:sz w:val="20"/>
          <w:lang w:val="pt-BR"/>
        </w:rPr>
        <w:t>i</w:t>
      </w:r>
      <w:r w:rsidRPr="007B6776">
        <w:rPr>
          <w:rFonts w:ascii="Verdana" w:hAnsi="Verdana"/>
          <w:sz w:val="20"/>
          <w:lang w:val="pt-BR"/>
        </w:rPr>
        <w:t>ento</w:t>
      </w:r>
      <w:proofErr w:type="spellEnd"/>
      <w:r w:rsidRPr="007B6776">
        <w:rPr>
          <w:rFonts w:ascii="Verdana" w:hAnsi="Verdana"/>
          <w:sz w:val="20"/>
          <w:lang w:val="pt-BR"/>
        </w:rPr>
        <w:t xml:space="preserve"> de </w:t>
      </w:r>
      <w:r>
        <w:rPr>
          <w:rFonts w:ascii="Verdana" w:hAnsi="Verdana"/>
          <w:sz w:val="20"/>
          <w:lang w:val="pt-BR"/>
        </w:rPr>
        <w:t>S</w:t>
      </w:r>
      <w:r w:rsidRPr="007B6776">
        <w:rPr>
          <w:rFonts w:ascii="Verdana" w:hAnsi="Verdana"/>
          <w:sz w:val="20"/>
          <w:lang w:val="pt-BR"/>
        </w:rPr>
        <w:t>enten</w:t>
      </w:r>
      <w:r>
        <w:rPr>
          <w:rFonts w:ascii="Verdana" w:hAnsi="Verdana"/>
          <w:sz w:val="20"/>
          <w:lang w:val="pt-BR"/>
        </w:rPr>
        <w:t>ci</w:t>
      </w:r>
      <w:r w:rsidRPr="007B6776">
        <w:rPr>
          <w:rFonts w:ascii="Verdana" w:hAnsi="Verdana"/>
          <w:sz w:val="20"/>
          <w:lang w:val="pt-BR"/>
        </w:rPr>
        <w:t>a</w:t>
      </w:r>
      <w:r>
        <w:rPr>
          <w:rFonts w:ascii="Verdana" w:hAnsi="Verdana"/>
          <w:sz w:val="20"/>
          <w:lang w:val="pt-BR"/>
        </w:rPr>
        <w:t xml:space="preserve">. </w:t>
      </w:r>
      <w:proofErr w:type="spellStart"/>
      <w:r w:rsidRPr="007B6776">
        <w:rPr>
          <w:rFonts w:ascii="Verdana" w:hAnsi="Verdana"/>
          <w:sz w:val="20"/>
          <w:lang w:val="pt-BR"/>
        </w:rPr>
        <w:t>Resolu</w:t>
      </w:r>
      <w:r>
        <w:rPr>
          <w:rFonts w:ascii="Verdana" w:hAnsi="Verdana"/>
          <w:sz w:val="20"/>
          <w:lang w:val="pt-BR"/>
        </w:rPr>
        <w:t>ción</w:t>
      </w:r>
      <w:proofErr w:type="spellEnd"/>
      <w:r w:rsidRPr="007B6776">
        <w:rPr>
          <w:rFonts w:ascii="Verdana" w:hAnsi="Verdana"/>
          <w:sz w:val="20"/>
          <w:lang w:val="pt-BR"/>
        </w:rPr>
        <w:t xml:space="preserve"> </w:t>
      </w:r>
      <w:r>
        <w:rPr>
          <w:rFonts w:ascii="Verdana" w:hAnsi="Verdana"/>
          <w:sz w:val="20"/>
          <w:lang w:val="pt-BR"/>
        </w:rPr>
        <w:t xml:space="preserve">de </w:t>
      </w:r>
      <w:proofErr w:type="spellStart"/>
      <w:r>
        <w:rPr>
          <w:rFonts w:ascii="Verdana" w:hAnsi="Verdana"/>
          <w:sz w:val="20"/>
          <w:lang w:val="pt-BR"/>
        </w:rPr>
        <w:t>la</w:t>
      </w:r>
      <w:proofErr w:type="spellEnd"/>
      <w:r w:rsidRPr="007B6776">
        <w:rPr>
          <w:rFonts w:ascii="Verdana" w:hAnsi="Verdana"/>
          <w:sz w:val="20"/>
          <w:lang w:val="pt-BR"/>
        </w:rPr>
        <w:t xml:space="preserve"> Corte Interam</w:t>
      </w:r>
      <w:r>
        <w:rPr>
          <w:rFonts w:ascii="Verdana" w:hAnsi="Verdana"/>
          <w:sz w:val="20"/>
          <w:lang w:val="pt-BR"/>
        </w:rPr>
        <w:t xml:space="preserve">ericana de </w:t>
      </w:r>
      <w:proofErr w:type="spellStart"/>
      <w:r>
        <w:rPr>
          <w:rFonts w:ascii="Verdana" w:hAnsi="Verdana"/>
          <w:sz w:val="20"/>
          <w:lang w:val="pt-BR"/>
        </w:rPr>
        <w:t>Derechos</w:t>
      </w:r>
      <w:proofErr w:type="spellEnd"/>
      <w:r>
        <w:rPr>
          <w:rFonts w:ascii="Verdana" w:hAnsi="Verdana"/>
          <w:sz w:val="20"/>
          <w:lang w:val="pt-BR"/>
        </w:rPr>
        <w:t xml:space="preserve"> Humanos de 30</w:t>
      </w:r>
      <w:r w:rsidRPr="007B6776">
        <w:rPr>
          <w:rFonts w:ascii="Verdana" w:hAnsi="Verdana"/>
          <w:sz w:val="20"/>
          <w:lang w:val="pt-BR"/>
        </w:rPr>
        <w:t xml:space="preserve"> de </w:t>
      </w:r>
      <w:r>
        <w:rPr>
          <w:rFonts w:ascii="Verdana" w:hAnsi="Verdana"/>
          <w:sz w:val="20"/>
          <w:lang w:val="pt-BR"/>
        </w:rPr>
        <w:t>abril</w:t>
      </w:r>
      <w:r w:rsidRPr="007B6776">
        <w:rPr>
          <w:rFonts w:ascii="Verdana" w:hAnsi="Verdana"/>
          <w:sz w:val="20"/>
          <w:lang w:val="pt-BR"/>
        </w:rPr>
        <w:t xml:space="preserve"> de 20</w:t>
      </w:r>
      <w:r>
        <w:rPr>
          <w:rFonts w:ascii="Verdana" w:hAnsi="Verdana"/>
          <w:sz w:val="20"/>
          <w:lang w:val="pt-BR"/>
        </w:rPr>
        <w:t xml:space="preserve">21.  </w:t>
      </w:r>
      <w:proofErr w:type="spellStart"/>
      <w:r w:rsidRPr="007D5CDA">
        <w:rPr>
          <w:rFonts w:ascii="Verdana" w:hAnsi="Verdana"/>
          <w:sz w:val="20"/>
          <w:lang w:val="pt-BR"/>
        </w:rPr>
        <w:t>Resolu</w:t>
      </w:r>
      <w:r>
        <w:rPr>
          <w:rFonts w:ascii="Verdana" w:hAnsi="Verdana"/>
          <w:sz w:val="20"/>
          <w:lang w:val="pt-BR"/>
        </w:rPr>
        <w:t>ción</w:t>
      </w:r>
      <w:proofErr w:type="spellEnd"/>
      <w:r w:rsidRPr="007D5CDA">
        <w:rPr>
          <w:rFonts w:ascii="Verdana" w:hAnsi="Verdana"/>
          <w:sz w:val="20"/>
          <w:lang w:val="pt-BR"/>
        </w:rPr>
        <w:t xml:space="preserve"> ado</w:t>
      </w:r>
      <w:r>
        <w:rPr>
          <w:rFonts w:ascii="Verdana" w:hAnsi="Verdana"/>
          <w:sz w:val="20"/>
          <w:lang w:val="pt-BR"/>
        </w:rPr>
        <w:t>ptada</w:t>
      </w:r>
      <w:r w:rsidRPr="007D5CDA">
        <w:rPr>
          <w:rFonts w:ascii="Verdana" w:hAnsi="Verdana"/>
          <w:sz w:val="20"/>
          <w:lang w:val="pt-BR"/>
        </w:rPr>
        <w:t xml:space="preserve"> </w:t>
      </w:r>
      <w:proofErr w:type="spellStart"/>
      <w:r w:rsidRPr="007D5CDA">
        <w:rPr>
          <w:rFonts w:ascii="Verdana" w:hAnsi="Verdana"/>
          <w:sz w:val="20"/>
          <w:lang w:val="pt-BR"/>
        </w:rPr>
        <w:t>e</w:t>
      </w:r>
      <w:r>
        <w:rPr>
          <w:rFonts w:ascii="Verdana" w:hAnsi="Verdana"/>
          <w:sz w:val="20"/>
          <w:lang w:val="pt-BR"/>
        </w:rPr>
        <w:t>n</w:t>
      </w:r>
      <w:proofErr w:type="spellEnd"/>
      <w:r w:rsidRPr="007D5CDA">
        <w:rPr>
          <w:rFonts w:ascii="Verdana" w:hAnsi="Verdana"/>
          <w:sz w:val="20"/>
          <w:lang w:val="pt-BR"/>
        </w:rPr>
        <w:t xml:space="preserve"> San José, Costa Rica, por </w:t>
      </w:r>
      <w:proofErr w:type="spellStart"/>
      <w:r w:rsidRPr="007D5CDA">
        <w:rPr>
          <w:rFonts w:ascii="Verdana" w:hAnsi="Verdana"/>
          <w:sz w:val="20"/>
          <w:lang w:val="pt-BR"/>
        </w:rPr>
        <w:t>me</w:t>
      </w:r>
      <w:r>
        <w:rPr>
          <w:rFonts w:ascii="Verdana" w:hAnsi="Verdana"/>
          <w:sz w:val="20"/>
          <w:lang w:val="pt-BR"/>
        </w:rPr>
        <w:t>dio</w:t>
      </w:r>
      <w:proofErr w:type="spellEnd"/>
      <w:r w:rsidRPr="007D5CDA">
        <w:rPr>
          <w:rFonts w:ascii="Verdana" w:hAnsi="Verdana"/>
          <w:sz w:val="20"/>
          <w:lang w:val="pt-BR"/>
        </w:rPr>
        <w:t xml:space="preserve"> de </w:t>
      </w:r>
      <w:proofErr w:type="spellStart"/>
      <w:r w:rsidRPr="007D5CDA">
        <w:rPr>
          <w:rFonts w:ascii="Verdana" w:hAnsi="Verdana"/>
          <w:sz w:val="20"/>
          <w:lang w:val="pt-BR"/>
        </w:rPr>
        <w:t>ses</w:t>
      </w:r>
      <w:r>
        <w:rPr>
          <w:rFonts w:ascii="Verdana" w:hAnsi="Verdana"/>
          <w:sz w:val="20"/>
          <w:lang w:val="pt-BR"/>
        </w:rPr>
        <w:t>ión</w:t>
      </w:r>
      <w:proofErr w:type="spellEnd"/>
      <w:r w:rsidRPr="007D5CDA">
        <w:rPr>
          <w:rFonts w:ascii="Verdana" w:hAnsi="Verdana"/>
          <w:sz w:val="20"/>
          <w:lang w:val="pt-BR"/>
        </w:rPr>
        <w:t xml:space="preserve"> virtual</w:t>
      </w:r>
      <w:r>
        <w:rPr>
          <w:rFonts w:ascii="Verdana" w:hAnsi="Verdana"/>
          <w:sz w:val="20"/>
          <w:lang w:val="pt-BR"/>
        </w:rPr>
        <w:t>.</w:t>
      </w:r>
    </w:p>
    <w:p w14:paraId="3BD54FFC" w14:textId="77777777" w:rsidR="00C54A70" w:rsidRPr="00350863" w:rsidRDefault="00C54A70" w:rsidP="00C54A70">
      <w:pPr>
        <w:jc w:val="both"/>
        <w:rPr>
          <w:rFonts w:ascii="Verdana" w:hAnsi="Verdana"/>
          <w:b/>
          <w:i/>
          <w:iCs/>
          <w:sz w:val="20"/>
          <w:lang w:val="es-CR"/>
        </w:rPr>
      </w:pPr>
    </w:p>
    <w:p w14:paraId="016A4334" w14:textId="77777777" w:rsidR="00C54A70" w:rsidRPr="00350863" w:rsidRDefault="00C54A70" w:rsidP="00C54A70">
      <w:pPr>
        <w:ind w:left="3540" w:firstLine="708"/>
        <w:outlineLvl w:val="0"/>
        <w:rPr>
          <w:rFonts w:ascii="Verdana" w:hAnsi="Verdana"/>
          <w:b/>
          <w:i/>
          <w:iCs/>
          <w:sz w:val="20"/>
          <w:lang w:val="es-CR"/>
        </w:rPr>
      </w:pPr>
    </w:p>
    <w:p w14:paraId="64A0CE65" w14:textId="133A368B" w:rsidR="00C54A70" w:rsidRDefault="00C54A70" w:rsidP="00C54A70">
      <w:pPr>
        <w:jc w:val="center"/>
        <w:rPr>
          <w:rFonts w:ascii="Verdana" w:hAnsi="Verdana"/>
          <w:sz w:val="20"/>
          <w:lang w:val="pt-BR"/>
        </w:rPr>
      </w:pPr>
    </w:p>
    <w:p w14:paraId="081AF4DA" w14:textId="77777777" w:rsidR="00C54A70" w:rsidRDefault="00C54A70" w:rsidP="00C54A70">
      <w:pPr>
        <w:jc w:val="center"/>
        <w:rPr>
          <w:rFonts w:ascii="Verdana" w:hAnsi="Verdana"/>
          <w:sz w:val="20"/>
          <w:lang w:val="pt-BR"/>
        </w:rPr>
      </w:pPr>
    </w:p>
    <w:p w14:paraId="0D300D50" w14:textId="77777777" w:rsidR="00C54A70" w:rsidRDefault="00C54A70" w:rsidP="00C54A70">
      <w:pPr>
        <w:jc w:val="center"/>
        <w:rPr>
          <w:rFonts w:ascii="Verdana" w:hAnsi="Verdana"/>
          <w:sz w:val="20"/>
          <w:lang w:val="pt-BR"/>
        </w:rPr>
      </w:pPr>
    </w:p>
    <w:p w14:paraId="077B7FCC" w14:textId="77777777" w:rsidR="00C54A70" w:rsidRDefault="00C54A70" w:rsidP="00C54A70">
      <w:pPr>
        <w:jc w:val="center"/>
        <w:rPr>
          <w:rFonts w:ascii="Verdana" w:hAnsi="Verdana"/>
          <w:sz w:val="20"/>
          <w:lang w:val="pt-BR"/>
        </w:rPr>
      </w:pPr>
    </w:p>
    <w:p w14:paraId="27E25E66" w14:textId="77777777" w:rsidR="00C54A70" w:rsidRDefault="00C54A70" w:rsidP="00C54A70">
      <w:pPr>
        <w:jc w:val="center"/>
        <w:rPr>
          <w:rFonts w:ascii="Verdana" w:hAnsi="Verdana"/>
          <w:sz w:val="20"/>
          <w:lang w:val="pt-BR"/>
        </w:rPr>
      </w:pPr>
    </w:p>
    <w:p w14:paraId="324C25C1" w14:textId="677D59F7" w:rsidR="00C54A70" w:rsidRDefault="00C54A70" w:rsidP="00C54A70">
      <w:pPr>
        <w:jc w:val="center"/>
        <w:rPr>
          <w:rFonts w:ascii="Verdana" w:hAnsi="Verdana"/>
          <w:sz w:val="20"/>
          <w:lang w:val="pt-BR"/>
        </w:rPr>
      </w:pPr>
      <w:r>
        <w:rPr>
          <w:rFonts w:ascii="Verdana" w:hAnsi="Verdana"/>
          <w:sz w:val="20"/>
          <w:lang w:val="pt-BR"/>
        </w:rPr>
        <w:t xml:space="preserve">Elizabeth </w:t>
      </w:r>
      <w:proofErr w:type="spellStart"/>
      <w:r>
        <w:rPr>
          <w:rFonts w:ascii="Verdana" w:hAnsi="Verdana"/>
          <w:sz w:val="20"/>
          <w:lang w:val="pt-BR"/>
        </w:rPr>
        <w:t>Odio</w:t>
      </w:r>
      <w:proofErr w:type="spellEnd"/>
      <w:r>
        <w:rPr>
          <w:rFonts w:ascii="Verdana" w:hAnsi="Verdana"/>
          <w:sz w:val="20"/>
          <w:lang w:val="pt-BR"/>
        </w:rPr>
        <w:t xml:space="preserve"> Benito</w:t>
      </w:r>
    </w:p>
    <w:p w14:paraId="2E512785" w14:textId="77777777" w:rsidR="00C54A70" w:rsidRDefault="00C54A70" w:rsidP="00C54A70">
      <w:pPr>
        <w:jc w:val="center"/>
        <w:rPr>
          <w:rFonts w:ascii="Verdana" w:hAnsi="Verdana"/>
          <w:sz w:val="20"/>
          <w:lang w:val="pt-BR"/>
        </w:rPr>
      </w:pPr>
      <w:r>
        <w:rPr>
          <w:rFonts w:ascii="Verdana" w:hAnsi="Verdana"/>
          <w:sz w:val="20"/>
          <w:lang w:val="pt-BR"/>
        </w:rPr>
        <w:t>Presidenta</w:t>
      </w:r>
    </w:p>
    <w:p w14:paraId="7A65DAF3" w14:textId="77777777" w:rsidR="00C54A70" w:rsidRDefault="00C54A70" w:rsidP="00C54A70">
      <w:pPr>
        <w:jc w:val="center"/>
        <w:rPr>
          <w:rFonts w:ascii="Verdana" w:hAnsi="Verdana"/>
          <w:sz w:val="20"/>
          <w:lang w:val="pt-BR"/>
        </w:rPr>
      </w:pPr>
    </w:p>
    <w:p w14:paraId="5CBB980F" w14:textId="50EF104E" w:rsidR="00C54A70" w:rsidRDefault="00C54A70" w:rsidP="00C54A70">
      <w:pPr>
        <w:rPr>
          <w:rFonts w:ascii="Verdana" w:hAnsi="Verdana"/>
          <w:sz w:val="20"/>
          <w:lang w:val="pt-BR"/>
        </w:rPr>
      </w:pPr>
    </w:p>
    <w:p w14:paraId="7E514FD5" w14:textId="77777777" w:rsidR="00265542" w:rsidRDefault="00265542" w:rsidP="00C54A70">
      <w:pPr>
        <w:rPr>
          <w:rFonts w:ascii="Verdana" w:hAnsi="Verdana"/>
          <w:sz w:val="20"/>
          <w:lang w:val="pt-BR"/>
        </w:rPr>
      </w:pPr>
    </w:p>
    <w:p w14:paraId="23C55676" w14:textId="042AEA80" w:rsidR="00C54A70" w:rsidRDefault="00C54A70" w:rsidP="00C54A70">
      <w:pPr>
        <w:rPr>
          <w:rFonts w:ascii="Verdana" w:hAnsi="Verdana"/>
          <w:sz w:val="20"/>
          <w:lang w:val="pt-BR"/>
        </w:rPr>
      </w:pPr>
      <w:r>
        <w:rPr>
          <w:rFonts w:ascii="Verdana" w:hAnsi="Verdana"/>
          <w:sz w:val="20"/>
          <w:lang w:val="pt-BR"/>
        </w:rPr>
        <w:t xml:space="preserve">L. </w:t>
      </w:r>
      <w:proofErr w:type="spellStart"/>
      <w:r>
        <w:rPr>
          <w:rFonts w:ascii="Verdana" w:hAnsi="Verdana"/>
          <w:sz w:val="20"/>
          <w:lang w:val="pt-BR"/>
        </w:rPr>
        <w:t>Patricio</w:t>
      </w:r>
      <w:proofErr w:type="spellEnd"/>
      <w:r>
        <w:rPr>
          <w:rFonts w:ascii="Verdana" w:hAnsi="Verdana"/>
          <w:sz w:val="20"/>
          <w:lang w:val="pt-BR"/>
        </w:rPr>
        <w:t xml:space="preserve"> </w:t>
      </w:r>
      <w:proofErr w:type="spellStart"/>
      <w:r>
        <w:rPr>
          <w:rFonts w:ascii="Verdana" w:hAnsi="Verdana"/>
          <w:sz w:val="20"/>
          <w:lang w:val="pt-BR"/>
        </w:rPr>
        <w:t>Pazmiño</w:t>
      </w:r>
      <w:proofErr w:type="spellEnd"/>
      <w:r>
        <w:rPr>
          <w:rFonts w:ascii="Verdana" w:hAnsi="Verdana"/>
          <w:sz w:val="20"/>
          <w:lang w:val="pt-BR"/>
        </w:rPr>
        <w:t xml:space="preserve"> Frei</w:t>
      </w:r>
      <w:r w:rsidRPr="0019261A">
        <w:rPr>
          <w:rFonts w:ascii="Verdana" w:hAnsi="Verdana"/>
          <w:sz w:val="20"/>
          <w:lang w:val="pt-BR"/>
        </w:rPr>
        <w:t>re</w:t>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t xml:space="preserve">       Humberto </w:t>
      </w:r>
      <w:proofErr w:type="spellStart"/>
      <w:r>
        <w:rPr>
          <w:rFonts w:ascii="Verdana" w:hAnsi="Verdana"/>
          <w:sz w:val="20"/>
          <w:lang w:val="pt-BR"/>
        </w:rPr>
        <w:t>Antonio</w:t>
      </w:r>
      <w:proofErr w:type="spellEnd"/>
      <w:r>
        <w:rPr>
          <w:rFonts w:ascii="Verdana" w:hAnsi="Verdana"/>
          <w:sz w:val="20"/>
          <w:lang w:val="pt-BR"/>
        </w:rPr>
        <w:t xml:space="preserve"> </w:t>
      </w:r>
      <w:proofErr w:type="spellStart"/>
      <w:r>
        <w:rPr>
          <w:rFonts w:ascii="Verdana" w:hAnsi="Verdana"/>
          <w:sz w:val="20"/>
          <w:lang w:val="pt-BR"/>
        </w:rPr>
        <w:t>Sierra</w:t>
      </w:r>
      <w:proofErr w:type="spellEnd"/>
      <w:r>
        <w:rPr>
          <w:rFonts w:ascii="Verdana" w:hAnsi="Verdana"/>
          <w:sz w:val="20"/>
          <w:lang w:val="pt-BR"/>
        </w:rPr>
        <w:t xml:space="preserve"> Porto</w:t>
      </w:r>
      <w:r>
        <w:rPr>
          <w:rFonts w:ascii="Verdana" w:hAnsi="Verdana"/>
          <w:sz w:val="20"/>
          <w:lang w:val="pt-BR"/>
        </w:rPr>
        <w:tab/>
        <w:t xml:space="preserve">  </w:t>
      </w:r>
    </w:p>
    <w:p w14:paraId="6492B818" w14:textId="77777777" w:rsidR="00C54A70" w:rsidRDefault="00C54A70" w:rsidP="00C54A70">
      <w:pPr>
        <w:rPr>
          <w:rFonts w:ascii="Verdana" w:hAnsi="Verdana"/>
          <w:sz w:val="20"/>
          <w:lang w:val="pt-BR"/>
        </w:rPr>
      </w:pPr>
    </w:p>
    <w:p w14:paraId="6BAD58A4" w14:textId="4EF14BF8" w:rsidR="00C54A70" w:rsidRDefault="00C54A70" w:rsidP="00C54A70">
      <w:pPr>
        <w:rPr>
          <w:rFonts w:ascii="Verdana" w:hAnsi="Verdana"/>
          <w:sz w:val="20"/>
          <w:lang w:val="pt-BR"/>
        </w:rPr>
      </w:pPr>
    </w:p>
    <w:p w14:paraId="6BB52C19" w14:textId="52598FD0" w:rsidR="00C54A70" w:rsidRDefault="00C54A70" w:rsidP="00C54A70">
      <w:pPr>
        <w:rPr>
          <w:rFonts w:ascii="Verdana" w:hAnsi="Verdana"/>
          <w:sz w:val="20"/>
          <w:lang w:val="pt-BR"/>
        </w:rPr>
      </w:pPr>
    </w:p>
    <w:p w14:paraId="20699C44" w14:textId="7FB74470" w:rsidR="00C54A70" w:rsidRPr="0019261A" w:rsidRDefault="00C54A70" w:rsidP="00C54A70">
      <w:pPr>
        <w:rPr>
          <w:rFonts w:ascii="Verdana" w:hAnsi="Verdana"/>
          <w:sz w:val="20"/>
          <w:lang w:val="pt-BR"/>
        </w:rPr>
      </w:pPr>
      <w:r>
        <w:rPr>
          <w:rFonts w:ascii="Verdana" w:hAnsi="Verdana"/>
          <w:sz w:val="20"/>
          <w:lang w:val="pt-BR"/>
        </w:rPr>
        <w:t xml:space="preserve">Eugenio </w:t>
      </w:r>
      <w:proofErr w:type="spellStart"/>
      <w:r>
        <w:rPr>
          <w:rFonts w:ascii="Verdana" w:hAnsi="Verdana"/>
          <w:sz w:val="20"/>
          <w:lang w:val="pt-BR"/>
        </w:rPr>
        <w:t>Raúl</w:t>
      </w:r>
      <w:proofErr w:type="spellEnd"/>
      <w:r>
        <w:rPr>
          <w:rFonts w:ascii="Verdana" w:hAnsi="Verdana"/>
          <w:sz w:val="20"/>
          <w:lang w:val="pt-BR"/>
        </w:rPr>
        <w:t xml:space="preserve"> </w:t>
      </w:r>
      <w:proofErr w:type="spellStart"/>
      <w:r>
        <w:rPr>
          <w:rFonts w:ascii="Verdana" w:hAnsi="Verdana"/>
          <w:sz w:val="20"/>
          <w:lang w:val="pt-BR"/>
        </w:rPr>
        <w:t>Zaffaroni</w:t>
      </w:r>
      <w:proofErr w:type="spellEnd"/>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t xml:space="preserve">   Ricardo C. Pérez </w:t>
      </w:r>
      <w:proofErr w:type="spellStart"/>
      <w:r>
        <w:rPr>
          <w:rFonts w:ascii="Verdana" w:hAnsi="Verdana"/>
          <w:sz w:val="20"/>
          <w:lang w:val="pt-BR"/>
        </w:rPr>
        <w:t>Manrique</w:t>
      </w:r>
      <w:proofErr w:type="spellEnd"/>
      <w:r>
        <w:rPr>
          <w:rFonts w:ascii="Verdana" w:hAnsi="Verdana"/>
          <w:sz w:val="20"/>
          <w:lang w:val="pt-BR"/>
        </w:rPr>
        <w:t xml:space="preserve"> </w:t>
      </w:r>
    </w:p>
    <w:p w14:paraId="0E9CA6D0" w14:textId="77777777" w:rsidR="00C54A70" w:rsidRDefault="00C54A70" w:rsidP="00C54A70">
      <w:pPr>
        <w:jc w:val="both"/>
        <w:rPr>
          <w:rFonts w:ascii="Verdana" w:hAnsi="Verdana"/>
          <w:sz w:val="20"/>
          <w:lang w:val="pt-BR"/>
        </w:rPr>
      </w:pPr>
    </w:p>
    <w:p w14:paraId="2AB81F54" w14:textId="77777777" w:rsidR="00C54A70" w:rsidRDefault="00C54A70" w:rsidP="00C54A70">
      <w:pPr>
        <w:jc w:val="both"/>
        <w:rPr>
          <w:rFonts w:ascii="Verdana" w:hAnsi="Verdana"/>
          <w:sz w:val="20"/>
          <w:lang w:val="pt-BR"/>
        </w:rPr>
      </w:pPr>
    </w:p>
    <w:p w14:paraId="7496A1F8" w14:textId="77777777" w:rsidR="00C54A70" w:rsidRPr="0019261A" w:rsidRDefault="00C54A70" w:rsidP="00C54A70">
      <w:pPr>
        <w:jc w:val="both"/>
        <w:rPr>
          <w:rFonts w:ascii="Verdana" w:hAnsi="Verdana"/>
          <w:sz w:val="20"/>
          <w:lang w:val="pt-BR"/>
        </w:rPr>
      </w:pPr>
    </w:p>
    <w:p w14:paraId="4AA697D7" w14:textId="77777777" w:rsidR="00C54A70" w:rsidRDefault="00C54A70" w:rsidP="00C54A70">
      <w:pPr>
        <w:jc w:val="center"/>
        <w:rPr>
          <w:rFonts w:ascii="Verdana" w:hAnsi="Verdana"/>
          <w:sz w:val="20"/>
          <w:lang w:val="pt-BR"/>
        </w:rPr>
      </w:pPr>
    </w:p>
    <w:p w14:paraId="741BE513" w14:textId="77777777" w:rsidR="00C54A70" w:rsidRPr="00FC4051" w:rsidRDefault="00C54A70" w:rsidP="00C54A70">
      <w:pPr>
        <w:jc w:val="center"/>
        <w:rPr>
          <w:rFonts w:ascii="Verdana" w:hAnsi="Verdana"/>
          <w:sz w:val="20"/>
          <w:lang w:val="pt-BR"/>
        </w:rPr>
      </w:pPr>
      <w:r w:rsidRPr="00FC4051">
        <w:rPr>
          <w:rFonts w:ascii="Verdana" w:hAnsi="Verdana"/>
          <w:sz w:val="20"/>
          <w:lang w:val="pt-BR"/>
        </w:rPr>
        <w:t>Pablo Saavedra Alessandri</w:t>
      </w:r>
    </w:p>
    <w:p w14:paraId="6D2FFF2A" w14:textId="77777777" w:rsidR="00C54A70" w:rsidRDefault="00C54A70" w:rsidP="00C54A70">
      <w:pPr>
        <w:jc w:val="center"/>
        <w:rPr>
          <w:rFonts w:ascii="Verdana" w:hAnsi="Verdana"/>
          <w:sz w:val="20"/>
          <w:lang w:val="pt-BR"/>
        </w:rPr>
      </w:pPr>
      <w:r w:rsidRPr="00FC4051">
        <w:rPr>
          <w:rFonts w:ascii="Verdana" w:hAnsi="Verdana"/>
          <w:sz w:val="20"/>
          <w:lang w:val="pt-BR"/>
        </w:rPr>
        <w:t>Secret</w:t>
      </w:r>
      <w:r>
        <w:rPr>
          <w:rFonts w:ascii="Verdana" w:hAnsi="Verdana"/>
          <w:sz w:val="20"/>
          <w:lang w:val="pt-BR"/>
        </w:rPr>
        <w:t>a</w:t>
      </w:r>
      <w:r w:rsidRPr="00FC4051">
        <w:rPr>
          <w:rFonts w:ascii="Verdana" w:hAnsi="Verdana"/>
          <w:sz w:val="20"/>
          <w:lang w:val="pt-BR"/>
        </w:rPr>
        <w:t>rio</w:t>
      </w:r>
    </w:p>
    <w:p w14:paraId="655CD26F" w14:textId="34C97D31" w:rsidR="00C54A70" w:rsidRPr="00FC4051" w:rsidRDefault="00C54A70" w:rsidP="00C54A70">
      <w:pPr>
        <w:pStyle w:val="Textonotapie"/>
        <w:rPr>
          <w:lang w:val="pt-BR"/>
        </w:rPr>
      </w:pPr>
    </w:p>
    <w:p w14:paraId="3501E6FC" w14:textId="77777777" w:rsidR="00C54A70" w:rsidRPr="00FC4051" w:rsidRDefault="00C54A70" w:rsidP="00C54A70">
      <w:pPr>
        <w:pStyle w:val="Textonotapie"/>
        <w:rPr>
          <w:lang w:val="pt-BR"/>
        </w:rPr>
      </w:pPr>
    </w:p>
    <w:p w14:paraId="25071249" w14:textId="77777777" w:rsidR="00C54A70" w:rsidRPr="00FC4051" w:rsidRDefault="00C54A70" w:rsidP="00C54A70">
      <w:pPr>
        <w:jc w:val="both"/>
        <w:rPr>
          <w:rFonts w:ascii="Verdana" w:hAnsi="Verdana"/>
          <w:sz w:val="20"/>
          <w:lang w:val="pt-BR"/>
        </w:rPr>
      </w:pPr>
      <w:proofErr w:type="spellStart"/>
      <w:r>
        <w:rPr>
          <w:rFonts w:ascii="Verdana" w:hAnsi="Verdana"/>
          <w:sz w:val="20"/>
          <w:lang w:val="pt-BR"/>
        </w:rPr>
        <w:t>Comuníquese</w:t>
      </w:r>
      <w:proofErr w:type="spellEnd"/>
      <w:r>
        <w:rPr>
          <w:rFonts w:ascii="Verdana" w:hAnsi="Verdana"/>
          <w:sz w:val="20"/>
          <w:lang w:val="pt-BR"/>
        </w:rPr>
        <w:t xml:space="preserve"> y </w:t>
      </w:r>
      <w:proofErr w:type="spellStart"/>
      <w:r>
        <w:rPr>
          <w:rFonts w:ascii="Verdana" w:hAnsi="Verdana"/>
          <w:sz w:val="20"/>
          <w:lang w:val="pt-BR"/>
        </w:rPr>
        <w:t>ejecútese</w:t>
      </w:r>
      <w:proofErr w:type="spellEnd"/>
      <w:r w:rsidRPr="00FC4051">
        <w:rPr>
          <w:rFonts w:ascii="Verdana" w:hAnsi="Verdana"/>
          <w:sz w:val="20"/>
          <w:lang w:val="pt-BR"/>
        </w:rPr>
        <w:t>,</w:t>
      </w:r>
    </w:p>
    <w:p w14:paraId="1B5551F7" w14:textId="77777777" w:rsidR="00C54A70" w:rsidRPr="00FC4051" w:rsidRDefault="00C54A70" w:rsidP="00C54A70">
      <w:pPr>
        <w:rPr>
          <w:rFonts w:ascii="Verdana" w:hAnsi="Verdana"/>
          <w:sz w:val="20"/>
          <w:lang w:val="pt-BR"/>
        </w:rPr>
      </w:pPr>
    </w:p>
    <w:p w14:paraId="3336233C" w14:textId="77777777" w:rsidR="00C54A70" w:rsidRDefault="00C54A70" w:rsidP="00C54A70">
      <w:pPr>
        <w:jc w:val="center"/>
        <w:rPr>
          <w:rFonts w:ascii="Verdana" w:hAnsi="Verdana"/>
          <w:sz w:val="20"/>
          <w:lang w:val="pt-BR"/>
        </w:rPr>
      </w:pPr>
    </w:p>
    <w:p w14:paraId="3EF2789B" w14:textId="77777777" w:rsidR="00C54A70" w:rsidRPr="00FC4051" w:rsidRDefault="00C54A70" w:rsidP="00C54A70">
      <w:pPr>
        <w:rPr>
          <w:rFonts w:ascii="Verdana" w:hAnsi="Verdana"/>
          <w:sz w:val="20"/>
          <w:lang w:val="pt-BR"/>
        </w:rPr>
      </w:pPr>
    </w:p>
    <w:p w14:paraId="7709BAE8" w14:textId="30D4880F" w:rsidR="00C54A70" w:rsidRDefault="00C54A70" w:rsidP="00C54A70">
      <w:pPr>
        <w:jc w:val="center"/>
        <w:rPr>
          <w:rFonts w:ascii="Verdana" w:hAnsi="Verdana"/>
          <w:sz w:val="20"/>
          <w:lang w:val="pt-BR"/>
        </w:rPr>
      </w:pPr>
      <w:r>
        <w:rPr>
          <w:rFonts w:ascii="Verdana" w:hAnsi="Verdana"/>
          <w:sz w:val="20"/>
          <w:lang w:val="pt-BR"/>
        </w:rPr>
        <w:t xml:space="preserve">                                                                                                Elizabeth </w:t>
      </w:r>
      <w:proofErr w:type="spellStart"/>
      <w:r>
        <w:rPr>
          <w:rFonts w:ascii="Verdana" w:hAnsi="Verdana"/>
          <w:sz w:val="20"/>
          <w:lang w:val="pt-BR"/>
        </w:rPr>
        <w:t>Odio</w:t>
      </w:r>
      <w:proofErr w:type="spellEnd"/>
      <w:r>
        <w:rPr>
          <w:rFonts w:ascii="Verdana" w:hAnsi="Verdana"/>
          <w:sz w:val="20"/>
          <w:lang w:val="pt-BR"/>
        </w:rPr>
        <w:t xml:space="preserve"> Benito</w:t>
      </w:r>
    </w:p>
    <w:p w14:paraId="4B544600" w14:textId="77777777" w:rsidR="00C54A70" w:rsidRDefault="00C54A70" w:rsidP="00C54A70">
      <w:pPr>
        <w:ind w:left="6480" w:firstLine="720"/>
        <w:rPr>
          <w:rFonts w:ascii="Verdana" w:hAnsi="Verdana"/>
          <w:sz w:val="20"/>
          <w:lang w:val="pt-BR"/>
        </w:rPr>
      </w:pPr>
      <w:r>
        <w:rPr>
          <w:rFonts w:ascii="Verdana" w:hAnsi="Verdana"/>
          <w:sz w:val="20"/>
          <w:lang w:val="pt-BR"/>
        </w:rPr>
        <w:t xml:space="preserve">     Presidenta</w:t>
      </w:r>
    </w:p>
    <w:p w14:paraId="7B0E413E" w14:textId="77777777" w:rsidR="00C54A70" w:rsidRPr="00FC4051" w:rsidRDefault="00C54A70" w:rsidP="00C54A70">
      <w:pPr>
        <w:jc w:val="both"/>
        <w:rPr>
          <w:rFonts w:ascii="Verdana" w:hAnsi="Verdana"/>
          <w:sz w:val="20"/>
          <w:lang w:val="pt-BR"/>
        </w:rPr>
      </w:pPr>
    </w:p>
    <w:p w14:paraId="6CE9E028" w14:textId="77777777" w:rsidR="00C54A70" w:rsidRDefault="00C54A70" w:rsidP="00C54A70">
      <w:pPr>
        <w:jc w:val="both"/>
        <w:rPr>
          <w:rFonts w:ascii="Verdana" w:hAnsi="Verdana"/>
          <w:sz w:val="20"/>
          <w:lang w:val="pt-BR"/>
        </w:rPr>
      </w:pPr>
    </w:p>
    <w:p w14:paraId="63494974" w14:textId="77777777" w:rsidR="00C54A70" w:rsidRDefault="00C54A70" w:rsidP="00C54A70">
      <w:pPr>
        <w:jc w:val="both"/>
        <w:rPr>
          <w:rFonts w:ascii="Verdana" w:hAnsi="Verdana"/>
          <w:sz w:val="20"/>
          <w:lang w:val="pt-BR"/>
        </w:rPr>
      </w:pPr>
    </w:p>
    <w:p w14:paraId="0D93C8C7" w14:textId="77777777" w:rsidR="00C54A70" w:rsidRDefault="00C54A70" w:rsidP="00C54A70">
      <w:pPr>
        <w:jc w:val="both"/>
        <w:rPr>
          <w:rFonts w:ascii="Verdana" w:hAnsi="Verdana"/>
          <w:sz w:val="20"/>
          <w:lang w:val="pt-BR"/>
        </w:rPr>
      </w:pPr>
    </w:p>
    <w:p w14:paraId="798A2167" w14:textId="77777777" w:rsidR="00C54A70" w:rsidRPr="00FC4051" w:rsidRDefault="00C54A70" w:rsidP="00C54A70">
      <w:pPr>
        <w:jc w:val="both"/>
        <w:rPr>
          <w:rFonts w:ascii="Verdana" w:hAnsi="Verdana"/>
          <w:sz w:val="20"/>
          <w:lang w:val="pt-BR"/>
        </w:rPr>
      </w:pPr>
    </w:p>
    <w:p w14:paraId="43306594" w14:textId="77777777" w:rsidR="00C54A70" w:rsidRPr="00FC4051" w:rsidRDefault="00C54A70" w:rsidP="00C54A70">
      <w:pPr>
        <w:jc w:val="both"/>
        <w:rPr>
          <w:rFonts w:ascii="Verdana" w:hAnsi="Verdana"/>
          <w:sz w:val="20"/>
          <w:lang w:val="pt-BR"/>
        </w:rPr>
      </w:pPr>
      <w:r w:rsidRPr="00FC4051">
        <w:rPr>
          <w:rFonts w:ascii="Verdana" w:hAnsi="Verdana"/>
          <w:sz w:val="20"/>
          <w:lang w:val="pt-BR"/>
        </w:rPr>
        <w:t>Pablo Saavedra Alessandri</w:t>
      </w:r>
    </w:p>
    <w:p w14:paraId="32B5ADAB" w14:textId="77777777" w:rsidR="00C54A70" w:rsidRPr="007D5CDA" w:rsidRDefault="00C54A70" w:rsidP="00C54A70">
      <w:pPr>
        <w:rPr>
          <w:rFonts w:ascii="Verdana" w:hAnsi="Verdana"/>
          <w:sz w:val="20"/>
          <w:lang w:val="es-ES"/>
        </w:rPr>
      </w:pPr>
      <w:r>
        <w:rPr>
          <w:rFonts w:ascii="Verdana" w:hAnsi="Verdana"/>
          <w:sz w:val="20"/>
          <w:lang w:val="pt-BR"/>
        </w:rPr>
        <w:t xml:space="preserve">          </w:t>
      </w:r>
      <w:r w:rsidRPr="0019261A">
        <w:rPr>
          <w:rFonts w:ascii="Verdana" w:hAnsi="Verdana"/>
          <w:sz w:val="20"/>
          <w:lang w:val="es-ES"/>
        </w:rPr>
        <w:t>Secret</w:t>
      </w:r>
      <w:r>
        <w:rPr>
          <w:rFonts w:ascii="Verdana" w:hAnsi="Verdana"/>
          <w:sz w:val="20"/>
          <w:lang w:val="es-ES"/>
        </w:rPr>
        <w:t>ario</w:t>
      </w:r>
    </w:p>
    <w:p w14:paraId="2175FE94" w14:textId="77777777" w:rsidR="00981E94" w:rsidRPr="00981E94" w:rsidRDefault="00981E94" w:rsidP="00C54A70">
      <w:pPr>
        <w:pStyle w:val="ColorfulList-Accent11"/>
        <w:spacing w:before="120" w:after="120"/>
        <w:ind w:left="0"/>
        <w:contextualSpacing w:val="0"/>
        <w:jc w:val="both"/>
        <w:rPr>
          <w:rFonts w:ascii="Verdana" w:hAnsi="Verdana"/>
          <w:sz w:val="20"/>
          <w:szCs w:val="20"/>
        </w:rPr>
      </w:pPr>
    </w:p>
    <w:sectPr w:rsidR="00981E94" w:rsidRPr="00981E94" w:rsidSect="00A92753">
      <w:footerReference w:type="default" r:id="rId9"/>
      <w:pgSz w:w="12240" w:h="15840"/>
      <w:pgMar w:top="1440" w:right="1440" w:bottom="1474"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A625A1" w14:textId="77777777" w:rsidR="00DB5B99" w:rsidRDefault="00DB5B99" w:rsidP="00D71858">
      <w:r>
        <w:separator/>
      </w:r>
    </w:p>
  </w:endnote>
  <w:endnote w:type="continuationSeparator" w:id="0">
    <w:p w14:paraId="1B33DB8E" w14:textId="77777777" w:rsidR="00DB5B99" w:rsidRDefault="00DB5B99" w:rsidP="00D718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New York">
    <w:panose1 w:val="020405030605060203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Times-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978614" w14:textId="77777777" w:rsidR="00B540DA" w:rsidRDefault="00B540DA" w:rsidP="00AA7CF6">
    <w:pPr>
      <w:pStyle w:val="Piedepgina"/>
    </w:pPr>
  </w:p>
  <w:p w14:paraId="41FF5EE8" w14:textId="544B722B" w:rsidR="00B540DA" w:rsidRPr="00A608E7" w:rsidRDefault="00B540DA" w:rsidP="00A608E7">
    <w:pPr>
      <w:pStyle w:val="Encabezado"/>
      <w:jc w:val="center"/>
      <w:rPr>
        <w:rFonts w:ascii="Verdana" w:hAnsi="Verdana"/>
        <w:sz w:val="20"/>
      </w:rPr>
    </w:pPr>
    <w:r>
      <w:t>-</w:t>
    </w:r>
    <w:r w:rsidRPr="000905B4">
      <w:rPr>
        <w:rFonts w:ascii="Verdana" w:hAnsi="Verdana"/>
        <w:sz w:val="20"/>
      </w:rPr>
      <w:fldChar w:fldCharType="begin"/>
    </w:r>
    <w:r w:rsidRPr="000905B4">
      <w:rPr>
        <w:rFonts w:ascii="Verdana" w:hAnsi="Verdana"/>
        <w:sz w:val="20"/>
      </w:rPr>
      <w:instrText xml:space="preserve"> PAGE   \* MERGEFORMAT </w:instrText>
    </w:r>
    <w:r w:rsidRPr="000905B4">
      <w:rPr>
        <w:rFonts w:ascii="Verdana" w:hAnsi="Verdana"/>
        <w:sz w:val="20"/>
      </w:rPr>
      <w:fldChar w:fldCharType="separate"/>
    </w:r>
    <w:r w:rsidR="00A61642">
      <w:rPr>
        <w:rFonts w:ascii="Verdana" w:hAnsi="Verdana"/>
        <w:noProof/>
        <w:sz w:val="20"/>
      </w:rPr>
      <w:t>15</w:t>
    </w:r>
    <w:r w:rsidRPr="000905B4">
      <w:rPr>
        <w:rFonts w:ascii="Verdana" w:hAnsi="Verdana"/>
        <w:sz w:val="20"/>
      </w:rPr>
      <w:fldChar w:fldCharType="end"/>
    </w:r>
    <w:r>
      <w:rPr>
        <w:rFonts w:ascii="Verdana" w:hAnsi="Verdana"/>
        <w:sz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30D73A" w14:textId="77777777" w:rsidR="00DB5B99" w:rsidRDefault="00DB5B99" w:rsidP="00D71858">
      <w:r>
        <w:separator/>
      </w:r>
    </w:p>
  </w:footnote>
  <w:footnote w:type="continuationSeparator" w:id="0">
    <w:p w14:paraId="00B50042" w14:textId="77777777" w:rsidR="00DB5B99" w:rsidRDefault="00DB5B99" w:rsidP="00D71858">
      <w:r>
        <w:continuationSeparator/>
      </w:r>
    </w:p>
  </w:footnote>
  <w:footnote w:id="1">
    <w:p w14:paraId="012122D4" w14:textId="4D237738" w:rsidR="00BF1E9B" w:rsidRPr="00064858" w:rsidRDefault="00597387">
      <w:pPr>
        <w:pStyle w:val="Textonotapie"/>
        <w:rPr>
          <w:szCs w:val="16"/>
          <w:lang w:val="es-CR"/>
        </w:rPr>
      </w:pPr>
      <w:r w:rsidRPr="00583DCB">
        <w:rPr>
          <w:szCs w:val="16"/>
          <w:vertAlign w:val="superscript"/>
          <w:lang w:val="es-CR"/>
        </w:rPr>
        <w:t>*</w:t>
      </w:r>
      <w:r>
        <w:rPr>
          <w:szCs w:val="16"/>
          <w:lang w:val="es-CR"/>
        </w:rPr>
        <w:tab/>
      </w:r>
      <w:r w:rsidRPr="007D1E63">
        <w:rPr>
          <w:szCs w:val="16"/>
          <w:lang w:val="es-CR"/>
        </w:rPr>
        <w:t xml:space="preserve">Debido a las circunstancias excepcionales ocasionadas por la pandemia COVID-19, esta </w:t>
      </w:r>
      <w:proofErr w:type="spellStart"/>
      <w:r w:rsidRPr="007D1E63">
        <w:rPr>
          <w:szCs w:val="16"/>
          <w:lang w:val="es-CR"/>
        </w:rPr>
        <w:t>Resolución</w:t>
      </w:r>
      <w:proofErr w:type="spellEnd"/>
      <w:r w:rsidRPr="007D1E63">
        <w:rPr>
          <w:szCs w:val="16"/>
          <w:lang w:val="es-CR"/>
        </w:rPr>
        <w:t xml:space="preserve"> fue</w:t>
      </w:r>
      <w:r>
        <w:rPr>
          <w:szCs w:val="16"/>
          <w:lang w:val="es-CR"/>
        </w:rPr>
        <w:t xml:space="preserve"> </w:t>
      </w:r>
      <w:r w:rsidRPr="007D1E63">
        <w:rPr>
          <w:szCs w:val="16"/>
          <w:lang w:val="es-CR"/>
        </w:rPr>
        <w:t>deli</w:t>
      </w:r>
      <w:r>
        <w:rPr>
          <w:szCs w:val="16"/>
          <w:lang w:val="es-CR"/>
        </w:rPr>
        <w:t xml:space="preserve">berada y aprobada durante el </w:t>
      </w:r>
      <w:r w:rsidRPr="00D72C5D">
        <w:rPr>
          <w:szCs w:val="16"/>
          <w:lang w:val="es-CR"/>
        </w:rPr>
        <w:t>141</w:t>
      </w:r>
      <w:r w:rsidRPr="007D1E63">
        <w:rPr>
          <w:szCs w:val="16"/>
          <w:lang w:val="es-CR"/>
        </w:rPr>
        <w:t xml:space="preserve"> </w:t>
      </w:r>
      <w:proofErr w:type="spellStart"/>
      <w:r w:rsidRPr="007D1E63">
        <w:rPr>
          <w:szCs w:val="16"/>
          <w:lang w:val="es-CR"/>
        </w:rPr>
        <w:t>Período</w:t>
      </w:r>
      <w:proofErr w:type="spellEnd"/>
      <w:r w:rsidRPr="007D1E63">
        <w:rPr>
          <w:szCs w:val="16"/>
          <w:lang w:val="es-CR"/>
        </w:rPr>
        <w:t xml:space="preserve"> Ordinario de Sesiones, el cual se </w:t>
      </w:r>
      <w:proofErr w:type="spellStart"/>
      <w:r w:rsidRPr="007D1E63">
        <w:rPr>
          <w:szCs w:val="16"/>
          <w:lang w:val="es-CR"/>
        </w:rPr>
        <w:t>llevo</w:t>
      </w:r>
      <w:proofErr w:type="spellEnd"/>
      <w:r w:rsidRPr="007D1E63">
        <w:rPr>
          <w:szCs w:val="16"/>
          <w:lang w:val="es-CR"/>
        </w:rPr>
        <w:t>́ a cabo de forma no presencial</w:t>
      </w:r>
      <w:r>
        <w:rPr>
          <w:szCs w:val="16"/>
          <w:lang w:val="es-CR"/>
        </w:rPr>
        <w:t xml:space="preserve"> </w:t>
      </w:r>
      <w:r w:rsidRPr="007D1E63">
        <w:rPr>
          <w:szCs w:val="16"/>
          <w:lang w:val="es-CR"/>
        </w:rPr>
        <w:t xml:space="preserve">utilizando medios </w:t>
      </w:r>
      <w:proofErr w:type="spellStart"/>
      <w:r w:rsidRPr="007D1E63">
        <w:rPr>
          <w:szCs w:val="16"/>
          <w:lang w:val="es-CR"/>
        </w:rPr>
        <w:t>tecnológicos</w:t>
      </w:r>
      <w:proofErr w:type="spellEnd"/>
      <w:r w:rsidRPr="007D1E63">
        <w:rPr>
          <w:szCs w:val="16"/>
          <w:lang w:val="es-CR"/>
        </w:rPr>
        <w:t xml:space="preserve"> de conformidad con lo establecido en el Reglamento de la Corte</w:t>
      </w:r>
      <w:r>
        <w:rPr>
          <w:szCs w:val="16"/>
          <w:lang w:val="es-CR"/>
        </w:rPr>
        <w:t>.</w:t>
      </w:r>
      <w:r w:rsidR="00064858">
        <w:rPr>
          <w:szCs w:val="16"/>
          <w:lang w:val="es-CR"/>
        </w:rPr>
        <w:t xml:space="preserve">  </w:t>
      </w:r>
      <w:r w:rsidR="00BF1E9B">
        <w:rPr>
          <w:szCs w:val="16"/>
          <w:lang w:val="es-CR"/>
        </w:rPr>
        <w:t>Los Jueces Eduardo Vio Grossi y Eduardo Ferrer Mac-</w:t>
      </w:r>
      <w:proofErr w:type="spellStart"/>
      <w:r w:rsidR="00BF1E9B">
        <w:rPr>
          <w:szCs w:val="16"/>
          <w:lang w:val="es-CR"/>
        </w:rPr>
        <w:t>Gregor</w:t>
      </w:r>
      <w:proofErr w:type="spellEnd"/>
      <w:r w:rsidR="00BF1E9B">
        <w:rPr>
          <w:szCs w:val="16"/>
          <w:lang w:val="es-CR"/>
        </w:rPr>
        <w:t xml:space="preserve"> </w:t>
      </w:r>
      <w:proofErr w:type="spellStart"/>
      <w:r w:rsidR="00BF1E9B">
        <w:rPr>
          <w:szCs w:val="16"/>
          <w:lang w:val="es-CR"/>
        </w:rPr>
        <w:t>Poisot</w:t>
      </w:r>
      <w:proofErr w:type="spellEnd"/>
      <w:r w:rsidR="00BF1E9B">
        <w:rPr>
          <w:szCs w:val="16"/>
          <w:lang w:val="es-CR"/>
        </w:rPr>
        <w:t xml:space="preserve"> no participaron en la deliberación y firma de la presente Resolución por razones de fuerza mayor.</w:t>
      </w:r>
    </w:p>
    <w:p w14:paraId="5B10197D" w14:textId="62DD8CA3" w:rsidR="00597387" w:rsidRPr="00597387" w:rsidRDefault="00597387">
      <w:pPr>
        <w:pStyle w:val="Textonotapie"/>
        <w:rPr>
          <w:lang w:val="es-MX"/>
        </w:rPr>
      </w:pPr>
      <w:r>
        <w:rPr>
          <w:rStyle w:val="Refdenotaalpie"/>
        </w:rPr>
        <w:footnoteRef/>
      </w:r>
      <w:r w:rsidRPr="00917B6F">
        <w:rPr>
          <w:lang w:val="es-CR"/>
        </w:rPr>
        <w:t xml:space="preserve"> </w:t>
      </w:r>
      <w:r>
        <w:rPr>
          <w:lang w:val="es-MX"/>
        </w:rPr>
        <w:tab/>
      </w:r>
      <w:r w:rsidRPr="005F5A19">
        <w:rPr>
          <w:i/>
          <w:lang w:val="es-CO"/>
        </w:rPr>
        <w:t>Cfr</w:t>
      </w:r>
      <w:r w:rsidRPr="005F5A19">
        <w:rPr>
          <w:lang w:val="es-CO"/>
        </w:rPr>
        <w:t xml:space="preserve">. </w:t>
      </w:r>
      <w:r w:rsidRPr="00C909A0">
        <w:rPr>
          <w:i/>
          <w:lang w:val="es-CO"/>
        </w:rPr>
        <w:t xml:space="preserve">Caso </w:t>
      </w:r>
      <w:r>
        <w:rPr>
          <w:i/>
          <w:lang w:val="es-CO"/>
        </w:rPr>
        <w:t>Herzog y otros</w:t>
      </w:r>
      <w:r w:rsidRPr="00C909A0">
        <w:rPr>
          <w:i/>
          <w:lang w:val="es-CO"/>
        </w:rPr>
        <w:t xml:space="preserve"> Vs. Brasil.</w:t>
      </w:r>
      <w:r>
        <w:rPr>
          <w:i/>
          <w:lang w:val="es-CO"/>
        </w:rPr>
        <w:t xml:space="preserve"> Excepciones Preliminares, Fondo, Reparaciones y Costas.</w:t>
      </w:r>
      <w:r w:rsidRPr="00C909A0">
        <w:rPr>
          <w:i/>
          <w:lang w:val="es-CO"/>
        </w:rPr>
        <w:t xml:space="preserve"> </w:t>
      </w:r>
      <w:r w:rsidRPr="00AE6C51">
        <w:rPr>
          <w:lang w:val="es-CO"/>
        </w:rPr>
        <w:t xml:space="preserve">Sentencia de </w:t>
      </w:r>
      <w:r>
        <w:rPr>
          <w:lang w:val="es-CO"/>
        </w:rPr>
        <w:t>15</w:t>
      </w:r>
      <w:r w:rsidRPr="00AE6C51">
        <w:rPr>
          <w:lang w:val="es-CO"/>
        </w:rPr>
        <w:t xml:space="preserve"> de </w:t>
      </w:r>
      <w:r>
        <w:rPr>
          <w:lang w:val="es-CO"/>
        </w:rPr>
        <w:t>marzo</w:t>
      </w:r>
      <w:r w:rsidRPr="00AE6C51">
        <w:rPr>
          <w:lang w:val="es-CO"/>
        </w:rPr>
        <w:t xml:space="preserve"> de </w:t>
      </w:r>
      <w:r>
        <w:rPr>
          <w:lang w:val="es-CO"/>
        </w:rPr>
        <w:t>2018</w:t>
      </w:r>
      <w:r w:rsidRPr="00AE6C51">
        <w:rPr>
          <w:lang w:val="es-CO"/>
        </w:rPr>
        <w:t>. Serie</w:t>
      </w:r>
      <w:r w:rsidRPr="00C909A0">
        <w:rPr>
          <w:lang w:val="es-CO"/>
        </w:rPr>
        <w:t xml:space="preserve"> C No. </w:t>
      </w:r>
      <w:r>
        <w:rPr>
          <w:lang w:val="es-CO"/>
        </w:rPr>
        <w:t>353</w:t>
      </w:r>
      <w:r w:rsidRPr="00C909A0">
        <w:rPr>
          <w:lang w:val="es-CO"/>
        </w:rPr>
        <w:t>.</w:t>
      </w:r>
      <w:r>
        <w:rPr>
          <w:i/>
          <w:lang w:val="es-CO"/>
        </w:rPr>
        <w:t xml:space="preserve"> </w:t>
      </w:r>
      <w:r w:rsidRPr="005F5A19">
        <w:rPr>
          <w:color w:val="000000"/>
          <w:szCs w:val="16"/>
          <w:lang w:val="es-CR"/>
        </w:rPr>
        <w:t>El texto íntegro de la Sentencia se encuentra disponible en:</w:t>
      </w:r>
      <w:r w:rsidRPr="005F5A19">
        <w:rPr>
          <w:lang w:val="es-CO"/>
        </w:rPr>
        <w:t xml:space="preserve"> </w:t>
      </w:r>
      <w:hyperlink r:id="rId1" w:history="1">
        <w:r w:rsidRPr="00904DB2">
          <w:rPr>
            <w:rStyle w:val="Hipervnculo"/>
            <w:sz w:val="16"/>
            <w:szCs w:val="16"/>
            <w:lang w:val="es-MX"/>
          </w:rPr>
          <w:t>http://www.corteidh.or.cr/docs/casos/articulos/Seriec_149_esp.pdf</w:t>
        </w:r>
      </w:hyperlink>
      <w:r>
        <w:rPr>
          <w:rStyle w:val="Hipervnculo"/>
          <w:sz w:val="16"/>
          <w:szCs w:val="16"/>
          <w:lang w:val="es-MX"/>
        </w:rPr>
        <w:t xml:space="preserve">. </w:t>
      </w:r>
      <w:r w:rsidRPr="005F5A19">
        <w:rPr>
          <w:lang w:val="es-CO"/>
        </w:rPr>
        <w:t xml:space="preserve">La Sentencia se notificó el </w:t>
      </w:r>
      <w:r>
        <w:rPr>
          <w:lang w:val="es-CO"/>
        </w:rPr>
        <w:t>4 de julio de</w:t>
      </w:r>
      <w:r w:rsidRPr="00C909A0">
        <w:rPr>
          <w:lang w:val="es-CO"/>
        </w:rPr>
        <w:t xml:space="preserve"> </w:t>
      </w:r>
      <w:r>
        <w:rPr>
          <w:lang w:val="es-CO"/>
        </w:rPr>
        <w:t>2018</w:t>
      </w:r>
      <w:r w:rsidR="007B6EF1">
        <w:rPr>
          <w:lang w:val="es-CO"/>
        </w:rPr>
        <w:t>.</w:t>
      </w:r>
    </w:p>
  </w:footnote>
  <w:footnote w:id="2">
    <w:p w14:paraId="1E2578B5" w14:textId="2200B220" w:rsidR="00B540DA" w:rsidRPr="00690946" w:rsidRDefault="00B540DA" w:rsidP="00295EC7">
      <w:pPr>
        <w:pStyle w:val="Textonotapie"/>
        <w:rPr>
          <w:lang w:val="es-CR"/>
        </w:rPr>
      </w:pPr>
      <w:r>
        <w:rPr>
          <w:rStyle w:val="Refdenotaalpie"/>
        </w:rPr>
        <w:footnoteRef/>
      </w:r>
      <w:r w:rsidRPr="00690946">
        <w:rPr>
          <w:lang w:val="es-CR"/>
        </w:rPr>
        <w:t xml:space="preserve"> </w:t>
      </w:r>
      <w:r>
        <w:rPr>
          <w:lang w:val="es-CR"/>
        </w:rPr>
        <w:tab/>
      </w:r>
      <w:proofErr w:type="spellStart"/>
      <w:r w:rsidRPr="00690946">
        <w:rPr>
          <w:lang w:val="es-ES_tradnl"/>
        </w:rPr>
        <w:t>Zora</w:t>
      </w:r>
      <w:proofErr w:type="spellEnd"/>
      <w:r w:rsidRPr="00690946">
        <w:rPr>
          <w:lang w:val="es-ES_tradnl"/>
        </w:rPr>
        <w:t xml:space="preserve"> Herzog, Clarice Herzog, Ivo Herzog y André Herzog</w:t>
      </w:r>
      <w:r>
        <w:rPr>
          <w:lang w:val="es-ES_tradnl"/>
        </w:rPr>
        <w:t>.</w:t>
      </w:r>
      <w:r w:rsidR="00597387">
        <w:rPr>
          <w:lang w:val="es-ES_tradnl"/>
        </w:rPr>
        <w:t xml:space="preserve"> </w:t>
      </w:r>
    </w:p>
  </w:footnote>
  <w:footnote w:id="3">
    <w:p w14:paraId="60D7DF04" w14:textId="041D8F00" w:rsidR="00B540DA" w:rsidRPr="009F2942" w:rsidRDefault="00B540DA" w:rsidP="00083E33">
      <w:pPr>
        <w:pStyle w:val="Textonotapie"/>
        <w:rPr>
          <w:szCs w:val="16"/>
          <w:lang w:val="es-MX"/>
        </w:rPr>
      </w:pPr>
      <w:r w:rsidRPr="00083E33">
        <w:rPr>
          <w:rStyle w:val="Refdenotaalpie"/>
          <w:szCs w:val="16"/>
        </w:rPr>
        <w:footnoteRef/>
      </w:r>
      <w:r w:rsidRPr="00083E33">
        <w:rPr>
          <w:szCs w:val="16"/>
          <w:lang w:val="es-CO"/>
        </w:rPr>
        <w:t xml:space="preserve"> </w:t>
      </w:r>
      <w:r w:rsidRPr="00083E33">
        <w:rPr>
          <w:szCs w:val="16"/>
          <w:lang w:val="es-CO"/>
        </w:rPr>
        <w:tab/>
      </w:r>
      <w:r>
        <w:rPr>
          <w:szCs w:val="16"/>
          <w:lang w:val="es-CO"/>
        </w:rPr>
        <w:t>El Centro por la Justicia y el Derecho Internacional (CEJIL)</w:t>
      </w:r>
      <w:r w:rsidRPr="009F2942">
        <w:rPr>
          <w:szCs w:val="16"/>
          <w:lang w:val="es-CR"/>
        </w:rPr>
        <w:t>.</w:t>
      </w:r>
    </w:p>
  </w:footnote>
  <w:footnote w:id="4">
    <w:p w14:paraId="5249B791" w14:textId="77777777" w:rsidR="00B540DA" w:rsidRPr="009F2942" w:rsidRDefault="00B540DA" w:rsidP="001D4DBD">
      <w:pPr>
        <w:pStyle w:val="Textonotapie"/>
        <w:rPr>
          <w:szCs w:val="16"/>
          <w:lang w:val="es-CR"/>
        </w:rPr>
      </w:pPr>
      <w:r w:rsidRPr="009F2942">
        <w:rPr>
          <w:rStyle w:val="Refdenotaalpie"/>
          <w:szCs w:val="16"/>
        </w:rPr>
        <w:footnoteRef/>
      </w:r>
      <w:r w:rsidRPr="009F2942">
        <w:rPr>
          <w:szCs w:val="16"/>
          <w:lang w:val="es-CR"/>
        </w:rPr>
        <w:t xml:space="preserve"> </w:t>
      </w:r>
      <w:r w:rsidRPr="009F2942">
        <w:rPr>
          <w:szCs w:val="16"/>
          <w:lang w:val="es-CR"/>
        </w:rPr>
        <w:tab/>
        <w:t xml:space="preserve">Facultad que además </w:t>
      </w:r>
      <w:r w:rsidRPr="009F2942">
        <w:rPr>
          <w:szCs w:val="16"/>
          <w:lang w:val="es-ES"/>
        </w:rPr>
        <w:t xml:space="preserve">se desprende de lo dispuesto en los artículos 33, 62.1, 62.3 y 65 de la Convención Americana sobre Derechos Humanos y </w:t>
      </w:r>
      <w:r w:rsidRPr="009F2942">
        <w:rPr>
          <w:szCs w:val="16"/>
          <w:lang w:val="es-CR"/>
        </w:rPr>
        <w:t>30 de su Estatuto y se encuentra regulada en el artículo 69 de su Reglamento.</w:t>
      </w:r>
    </w:p>
  </w:footnote>
  <w:footnote w:id="5">
    <w:p w14:paraId="791A76FE" w14:textId="12B7E5D3" w:rsidR="00B540DA" w:rsidRPr="009F2942" w:rsidRDefault="00B540DA" w:rsidP="001D4DBD">
      <w:pPr>
        <w:pStyle w:val="Textonotapie"/>
        <w:rPr>
          <w:b/>
          <w:szCs w:val="16"/>
          <w:lang w:val="es-CR"/>
        </w:rPr>
      </w:pPr>
      <w:r w:rsidRPr="009F2942">
        <w:rPr>
          <w:rStyle w:val="Refdenotaalpie"/>
          <w:szCs w:val="16"/>
        </w:rPr>
        <w:footnoteRef/>
      </w:r>
      <w:r w:rsidRPr="009F2942">
        <w:rPr>
          <w:i/>
          <w:szCs w:val="16"/>
          <w:lang w:val="es-AR"/>
        </w:rPr>
        <w:t xml:space="preserve"> </w:t>
      </w:r>
      <w:r w:rsidRPr="009F2942">
        <w:rPr>
          <w:i/>
          <w:szCs w:val="16"/>
          <w:lang w:val="es-AR"/>
        </w:rPr>
        <w:tab/>
      </w:r>
      <w:r w:rsidRPr="009F2942">
        <w:rPr>
          <w:i/>
          <w:szCs w:val="16"/>
          <w:lang w:val="es-CO"/>
        </w:rPr>
        <w:t>Cfr</w:t>
      </w:r>
      <w:r w:rsidRPr="009F2942">
        <w:rPr>
          <w:szCs w:val="16"/>
          <w:lang w:val="es-CO"/>
        </w:rPr>
        <w:t xml:space="preserve">. </w:t>
      </w:r>
      <w:r w:rsidRPr="009F2942">
        <w:rPr>
          <w:i/>
          <w:szCs w:val="16"/>
          <w:lang w:val="es-CO"/>
        </w:rPr>
        <w:t>Caso Cinco Pensionistas Vs. Perú. Supervisión de cumplimiento de Sentencia</w:t>
      </w:r>
      <w:r w:rsidRPr="009F2942">
        <w:rPr>
          <w:szCs w:val="16"/>
          <w:lang w:val="es-CO"/>
        </w:rPr>
        <w:t xml:space="preserve">. Resolución de la Corte Interamericana de Derechos Humanos de 17 </w:t>
      </w:r>
      <w:r w:rsidRPr="009F2942">
        <w:rPr>
          <w:szCs w:val="16"/>
          <w:lang w:val="es-CR"/>
        </w:rPr>
        <w:t>de</w:t>
      </w:r>
      <w:r w:rsidRPr="009F2942">
        <w:rPr>
          <w:szCs w:val="16"/>
          <w:lang w:val="es-CO"/>
        </w:rPr>
        <w:t xml:space="preserve"> noviembre de 2004, Considerando 5, y </w:t>
      </w:r>
      <w:r w:rsidRPr="009F2942">
        <w:rPr>
          <w:rStyle w:val="Textoennegrita"/>
          <w:b w:val="0"/>
          <w:i/>
          <w:szCs w:val="16"/>
          <w:shd w:val="clear" w:color="auto" w:fill="FFFFFF"/>
          <w:lang w:val="es-ES"/>
        </w:rPr>
        <w:t xml:space="preserve">Casos Artavia Murillo y otros (“Fecundación in vitro”) y </w:t>
      </w:r>
      <w:proofErr w:type="spellStart"/>
      <w:r w:rsidR="001C5CD2">
        <w:rPr>
          <w:bCs/>
          <w:i/>
          <w:szCs w:val="16"/>
          <w:shd w:val="clear" w:color="auto" w:fill="FFFFFF"/>
          <w:lang w:val="es-ES_tradnl"/>
        </w:rPr>
        <w:t>Norín</w:t>
      </w:r>
      <w:proofErr w:type="spellEnd"/>
      <w:r w:rsidR="001C5CD2">
        <w:rPr>
          <w:bCs/>
          <w:i/>
          <w:szCs w:val="16"/>
          <w:shd w:val="clear" w:color="auto" w:fill="FFFFFF"/>
          <w:lang w:val="es-ES_tradnl"/>
        </w:rPr>
        <w:t xml:space="preserve"> </w:t>
      </w:r>
      <w:proofErr w:type="spellStart"/>
      <w:r w:rsidR="001C5CD2">
        <w:rPr>
          <w:bCs/>
          <w:i/>
          <w:szCs w:val="16"/>
          <w:shd w:val="clear" w:color="auto" w:fill="FFFFFF"/>
          <w:lang w:val="es-ES_tradnl"/>
        </w:rPr>
        <w:t>Catrimán</w:t>
      </w:r>
      <w:proofErr w:type="spellEnd"/>
      <w:r w:rsidR="001C5CD2">
        <w:rPr>
          <w:bCs/>
          <w:i/>
          <w:szCs w:val="16"/>
          <w:shd w:val="clear" w:color="auto" w:fill="FFFFFF"/>
          <w:lang w:val="es-ES_tradnl"/>
        </w:rPr>
        <w:t xml:space="preserve"> y otros (Dirigentes, miembros y activista del Pueblo Indígena Mapuche) Vs. Chile. Supervisión de Cumplimiento de Sentencia. </w:t>
      </w:r>
      <w:r w:rsidR="001C5CD2">
        <w:rPr>
          <w:bCs/>
          <w:szCs w:val="16"/>
          <w:shd w:val="clear" w:color="auto" w:fill="FFFFFF"/>
          <w:lang w:val="es-ES_tradnl"/>
        </w:rPr>
        <w:t>Resolución de la Corte Interamericana de Derechos Humanos de 18 de febrero de 2021,</w:t>
      </w:r>
      <w:r>
        <w:rPr>
          <w:bCs/>
          <w:szCs w:val="16"/>
          <w:shd w:val="clear" w:color="auto" w:fill="FFFFFF"/>
          <w:lang w:val="es-ES_tradnl"/>
        </w:rPr>
        <w:t xml:space="preserve"> Considerando 2</w:t>
      </w:r>
      <w:r w:rsidRPr="00314278">
        <w:rPr>
          <w:bCs/>
          <w:szCs w:val="16"/>
          <w:shd w:val="clear" w:color="auto" w:fill="FFFFFF"/>
          <w:lang w:val="es-ES_tradnl"/>
        </w:rPr>
        <w:t>.</w:t>
      </w:r>
    </w:p>
  </w:footnote>
  <w:footnote w:id="6">
    <w:p w14:paraId="6B7FC248" w14:textId="6644D470" w:rsidR="00B540DA" w:rsidRPr="001D4DBD" w:rsidRDefault="00B540DA" w:rsidP="001D4DBD">
      <w:pPr>
        <w:pStyle w:val="Textonotapie"/>
        <w:rPr>
          <w:b/>
          <w:color w:val="00B050"/>
          <w:szCs w:val="16"/>
          <w:lang w:val="es-ES"/>
        </w:rPr>
      </w:pPr>
      <w:r w:rsidRPr="009F2942">
        <w:rPr>
          <w:rStyle w:val="Refdenotaalpie"/>
          <w:szCs w:val="16"/>
        </w:rPr>
        <w:footnoteRef/>
      </w:r>
      <w:r w:rsidRPr="009F2942">
        <w:rPr>
          <w:szCs w:val="16"/>
          <w:lang w:val="de-DE"/>
        </w:rPr>
        <w:t xml:space="preserve"> </w:t>
      </w:r>
      <w:r w:rsidRPr="009F2942">
        <w:rPr>
          <w:szCs w:val="16"/>
          <w:lang w:val="de-DE"/>
        </w:rPr>
        <w:tab/>
      </w:r>
      <w:r w:rsidRPr="009F2942">
        <w:rPr>
          <w:i/>
          <w:szCs w:val="16"/>
          <w:lang w:val="de-DE"/>
        </w:rPr>
        <w:t xml:space="preserve">Cfr. Caso Ivcher Bronstein Vs. </w:t>
      </w:r>
      <w:r w:rsidRPr="009F2942">
        <w:rPr>
          <w:i/>
          <w:szCs w:val="16"/>
          <w:lang w:val="es-CR"/>
        </w:rPr>
        <w:t>Perú. Competencia</w:t>
      </w:r>
      <w:r w:rsidRPr="009F2942">
        <w:rPr>
          <w:szCs w:val="16"/>
          <w:lang w:val="es-CR"/>
        </w:rPr>
        <w:t xml:space="preserve">. Sentencia de la Corte Interamericana de Derechos Humanos de 24 de septiembre de 1999. Serie C No. 54, párr. 37, </w:t>
      </w:r>
      <w:r w:rsidRPr="009F2942">
        <w:rPr>
          <w:szCs w:val="16"/>
          <w:lang w:val="es-ES"/>
        </w:rPr>
        <w:t xml:space="preserve">y </w:t>
      </w:r>
      <w:proofErr w:type="spellStart"/>
      <w:r w:rsidR="001C5CD2">
        <w:rPr>
          <w:bCs/>
          <w:i/>
          <w:szCs w:val="16"/>
          <w:shd w:val="clear" w:color="auto" w:fill="FFFFFF"/>
          <w:lang w:val="es-ES_tradnl"/>
        </w:rPr>
        <w:t>Norín</w:t>
      </w:r>
      <w:proofErr w:type="spellEnd"/>
      <w:r w:rsidR="001C5CD2">
        <w:rPr>
          <w:bCs/>
          <w:i/>
          <w:szCs w:val="16"/>
          <w:shd w:val="clear" w:color="auto" w:fill="FFFFFF"/>
          <w:lang w:val="es-ES_tradnl"/>
        </w:rPr>
        <w:t xml:space="preserve"> </w:t>
      </w:r>
      <w:proofErr w:type="spellStart"/>
      <w:r w:rsidR="001C5CD2">
        <w:rPr>
          <w:bCs/>
          <w:i/>
          <w:szCs w:val="16"/>
          <w:shd w:val="clear" w:color="auto" w:fill="FFFFFF"/>
          <w:lang w:val="es-ES_tradnl"/>
        </w:rPr>
        <w:t>Catrimán</w:t>
      </w:r>
      <w:proofErr w:type="spellEnd"/>
      <w:r w:rsidR="001C5CD2">
        <w:rPr>
          <w:bCs/>
          <w:i/>
          <w:szCs w:val="16"/>
          <w:shd w:val="clear" w:color="auto" w:fill="FFFFFF"/>
          <w:lang w:val="es-ES_tradnl"/>
        </w:rPr>
        <w:t xml:space="preserve"> y otros (Dirigentes, miembros y activista del Pueblo Indígena Mapuche) Vs. Chile</w:t>
      </w:r>
      <w:r>
        <w:rPr>
          <w:bCs/>
          <w:i/>
          <w:szCs w:val="16"/>
          <w:shd w:val="clear" w:color="auto" w:fill="FFFFFF"/>
          <w:lang w:val="es-ES_tradnl"/>
        </w:rPr>
        <w:t>, supra</w:t>
      </w:r>
      <w:r>
        <w:rPr>
          <w:bCs/>
          <w:szCs w:val="16"/>
          <w:shd w:val="clear" w:color="auto" w:fill="FFFFFF"/>
          <w:lang w:val="es-ES_tradnl"/>
        </w:rPr>
        <w:t>, Considerando 2</w:t>
      </w:r>
      <w:r w:rsidRPr="00314278">
        <w:rPr>
          <w:bCs/>
          <w:szCs w:val="16"/>
          <w:shd w:val="clear" w:color="auto" w:fill="FFFFFF"/>
          <w:lang w:val="es-ES_tradnl"/>
        </w:rPr>
        <w:t>.</w:t>
      </w:r>
    </w:p>
  </w:footnote>
  <w:footnote w:id="7">
    <w:p w14:paraId="7973671D" w14:textId="5922D037" w:rsidR="00B540DA" w:rsidRPr="00D72C5D" w:rsidRDefault="00B540DA" w:rsidP="00E03C5A">
      <w:pPr>
        <w:pStyle w:val="Textonotapie"/>
        <w:rPr>
          <w:lang w:val="es-MX"/>
        </w:rPr>
      </w:pPr>
      <w:r>
        <w:rPr>
          <w:rStyle w:val="Refdenotaalpie"/>
        </w:rPr>
        <w:footnoteRef/>
      </w:r>
      <w:r w:rsidRPr="00922020">
        <w:rPr>
          <w:lang w:val="es-ES"/>
        </w:rPr>
        <w:t xml:space="preserve"> </w:t>
      </w:r>
      <w:r>
        <w:rPr>
          <w:lang w:val="es-MX"/>
        </w:rPr>
        <w:tab/>
        <w:t>El Ministerio Público Militar también refirió que “[c]</w:t>
      </w:r>
      <w:proofErr w:type="spellStart"/>
      <w:r>
        <w:rPr>
          <w:lang w:val="es-MX"/>
        </w:rPr>
        <w:t>on</w:t>
      </w:r>
      <w:proofErr w:type="spellEnd"/>
      <w:r>
        <w:rPr>
          <w:lang w:val="es-MX"/>
        </w:rPr>
        <w:t xml:space="preserve"> la instauración de un nuevo orden constitucional, iniciado por la promulgación de la Constitución Federal de 1988 […], si bien la Justicia Militar mantuvo la misma estructura del período del régimen militar, hubo una ampliación de las garantías y prerrogativas de los jueces y de los miembros del Ministerio Público Militar, fortaleciendo la imparcialidad y la independencia de las instituciones para la realización de la justicia. […] Desde entonces, la remisión de militares a la Justicia Castrense ha constituido una garantía de que sus acciones sean apreciadas y juzgadas por una rama del Poder Judicial patrio creada por el poder constituyente originario justamente para cuidar de materias de esa naturaleza, no pudiendo ser vista como </w:t>
      </w:r>
      <w:proofErr w:type="spellStart"/>
      <w:proofErr w:type="gramStart"/>
      <w:r>
        <w:rPr>
          <w:lang w:val="es-MX"/>
        </w:rPr>
        <w:t>un“</w:t>
      </w:r>
      <w:proofErr w:type="gramEnd"/>
      <w:r>
        <w:rPr>
          <w:lang w:val="es-MX"/>
        </w:rPr>
        <w:t>foro</w:t>
      </w:r>
      <w:proofErr w:type="spellEnd"/>
      <w:r>
        <w:rPr>
          <w:lang w:val="es-MX"/>
        </w:rPr>
        <w:t xml:space="preserve"> privilegiado</w:t>
      </w:r>
      <w:r w:rsidR="00E03C5A">
        <w:rPr>
          <w:lang w:val="es-MX"/>
        </w:rPr>
        <w:t>”</w:t>
      </w:r>
      <w:r>
        <w:rPr>
          <w:lang w:val="es-MX"/>
        </w:rPr>
        <w:t xml:space="preserve">. […] En verdad, es común el desconocimiento del funcionamiento, de la estructura y de la composición de la Justicia Militar de la Unión […] Se ignora, en críticas irrazonables, y muchas veces intencionales, que desde dicha rama también se exige, naturalmente, el respeto a todas las garantías previstas en […] [la] Constitución de la República y, en especial, a la publicidad de los juicios, al debido proceso legal, al contradictorio, a la defensa amplia, y a la doble instancia”. Asimismo, añadió que, en una decisión de 2013, el Supremo </w:t>
      </w:r>
      <w:proofErr w:type="spellStart"/>
      <w:r>
        <w:rPr>
          <w:lang w:val="es-MX"/>
        </w:rPr>
        <w:t>Tribuna</w:t>
      </w:r>
      <w:proofErr w:type="spellEnd"/>
      <w:r>
        <w:rPr>
          <w:lang w:val="es-MX"/>
        </w:rPr>
        <w:t xml:space="preserve"> Federal reconoció la </w:t>
      </w:r>
      <w:proofErr w:type="spellStart"/>
      <w:r>
        <w:rPr>
          <w:lang w:val="es-MX"/>
        </w:rPr>
        <w:t>constitucon</w:t>
      </w:r>
      <w:r w:rsidR="00E93A0A">
        <w:rPr>
          <w:lang w:val="es-MX"/>
        </w:rPr>
        <w:t>alidad</w:t>
      </w:r>
      <w:proofErr w:type="spellEnd"/>
      <w:r w:rsidR="00E93A0A">
        <w:rPr>
          <w:lang w:val="es-MX"/>
        </w:rPr>
        <w:t xml:space="preserve"> de la justicia militar.</w:t>
      </w:r>
      <w:r>
        <w:rPr>
          <w:lang w:val="es-MX"/>
        </w:rPr>
        <w:t xml:space="preserve"> </w:t>
      </w:r>
      <w:r w:rsidR="00E03C5A">
        <w:rPr>
          <w:i/>
          <w:lang w:val="es-MX"/>
        </w:rPr>
        <w:t xml:space="preserve">Cfr. </w:t>
      </w:r>
      <w:r w:rsidR="00E03C5A">
        <w:rPr>
          <w:lang w:val="es-MX"/>
        </w:rPr>
        <w:t>Anexo 2 al informe estatal de 16 de septiembre de 2019.</w:t>
      </w:r>
    </w:p>
  </w:footnote>
  <w:footnote w:id="8">
    <w:p w14:paraId="0641FC99" w14:textId="1950D406" w:rsidR="00B540DA" w:rsidRPr="00D72C5D" w:rsidRDefault="00B540DA">
      <w:pPr>
        <w:pStyle w:val="Textonotapie"/>
        <w:rPr>
          <w:lang w:val="es-MX"/>
        </w:rPr>
      </w:pPr>
      <w:r>
        <w:rPr>
          <w:rStyle w:val="Refdenotaalpie"/>
        </w:rPr>
        <w:footnoteRef/>
      </w:r>
      <w:r w:rsidRPr="00284688">
        <w:rPr>
          <w:lang w:val="es-ES"/>
        </w:rPr>
        <w:t xml:space="preserve"> </w:t>
      </w:r>
      <w:r w:rsidRPr="00284688">
        <w:rPr>
          <w:lang w:val="es-ES"/>
        </w:rPr>
        <w:tab/>
      </w:r>
      <w:r w:rsidRPr="00ED6E55">
        <w:rPr>
          <w:lang w:val="es-CO"/>
        </w:rPr>
        <w:t xml:space="preserve">Al respecto, el Estado recordó que “la Ley No.6.683/1979 […] otorgó amnistía a todos aquellos que cometieron delitos políticos o delitos conexos de cualquier tipo entre el 2 de septiembre de 1961 y el 15 de agosto de 1979”, y que en 2010 el Supremo Tribunal Federal interpretó que “la expresión ‘delitos conexos’, presente en la Ley de Amnistía, abarca los delitos comunes, practicados por agentes públicos, civiles y militares, contra los opositores al régimen entonces vigente”, no siendo posible aplicar retroactivamente el </w:t>
      </w:r>
      <w:r w:rsidR="00E93A0A">
        <w:rPr>
          <w:lang w:val="es-CO"/>
        </w:rPr>
        <w:t xml:space="preserve">artículo 5, </w:t>
      </w:r>
      <w:r w:rsidRPr="00ED6E55">
        <w:rPr>
          <w:lang w:val="es-CO"/>
        </w:rPr>
        <w:t>inciso XLIII</w:t>
      </w:r>
      <w:r w:rsidR="00E93A0A">
        <w:rPr>
          <w:lang w:val="es-CO"/>
        </w:rPr>
        <w:t>,</w:t>
      </w:r>
      <w:r w:rsidRPr="00ED6E55">
        <w:rPr>
          <w:lang w:val="es-CO"/>
        </w:rPr>
        <w:t xml:space="preserve"> de la C</w:t>
      </w:r>
      <w:r w:rsidR="00E93A0A">
        <w:rPr>
          <w:lang w:val="es-CO"/>
        </w:rPr>
        <w:t>onstitución de 198</w:t>
      </w:r>
      <w:r w:rsidRPr="00ED6E55">
        <w:rPr>
          <w:lang w:val="es-CO"/>
        </w:rPr>
        <w:t xml:space="preserve">8, que declara que el delito de tortura no es </w:t>
      </w:r>
      <w:proofErr w:type="spellStart"/>
      <w:r w:rsidRPr="00ED6E55">
        <w:rPr>
          <w:lang w:val="es-CO"/>
        </w:rPr>
        <w:t>succeptible</w:t>
      </w:r>
      <w:proofErr w:type="spellEnd"/>
      <w:r w:rsidRPr="00ED6E55">
        <w:rPr>
          <w:lang w:val="es-CO"/>
        </w:rPr>
        <w:t xml:space="preserve"> de que gracia o amnistía alguna.</w:t>
      </w:r>
      <w:r w:rsidR="00E03C5A" w:rsidRPr="00E03C5A">
        <w:rPr>
          <w:i/>
          <w:lang w:val="es-MX"/>
        </w:rPr>
        <w:t xml:space="preserve"> </w:t>
      </w:r>
      <w:r w:rsidR="00E03C5A">
        <w:rPr>
          <w:i/>
          <w:lang w:val="es-MX"/>
        </w:rPr>
        <w:t xml:space="preserve">Cfr. </w:t>
      </w:r>
      <w:r w:rsidR="00E03C5A">
        <w:rPr>
          <w:lang w:val="es-MX"/>
        </w:rPr>
        <w:t xml:space="preserve">Informe estatal de 16 de septiembre de 2019. </w:t>
      </w:r>
    </w:p>
  </w:footnote>
  <w:footnote w:id="9">
    <w:p w14:paraId="7752AEEC" w14:textId="3EFDC3CF" w:rsidR="00B540DA" w:rsidRPr="00D72C5D" w:rsidRDefault="00B540DA">
      <w:pPr>
        <w:pStyle w:val="Textonotapie"/>
        <w:rPr>
          <w:lang w:val="es-MX"/>
        </w:rPr>
      </w:pPr>
      <w:r>
        <w:rPr>
          <w:rStyle w:val="Refdenotaalpie"/>
        </w:rPr>
        <w:footnoteRef/>
      </w:r>
      <w:r w:rsidRPr="00284688">
        <w:rPr>
          <w:lang w:val="es-ES"/>
        </w:rPr>
        <w:t xml:space="preserve"> </w:t>
      </w:r>
      <w:r>
        <w:rPr>
          <w:lang w:val="es-MX"/>
        </w:rPr>
        <w:tab/>
        <w:t xml:space="preserve">Los representantes también hicieron notar que, en virtud de lo dispuesto en el artículo 27 de la Convención </w:t>
      </w:r>
      <w:r w:rsidR="00E93A0A">
        <w:rPr>
          <w:lang w:val="es-MX"/>
        </w:rPr>
        <w:t xml:space="preserve">de </w:t>
      </w:r>
      <w:r>
        <w:rPr>
          <w:lang w:val="es-MX"/>
        </w:rPr>
        <w:t xml:space="preserve">Viena sobre el Derecho de los Tratados, los Estados no pueden alegar argumentos de derecho interno para esquivar el cumplimiento de obligaciones internacionales. Además, remarcaron que las obligaciones internacionales asumidas por un Estado vinculan a todos sus respectivos órganos y poderes. </w:t>
      </w:r>
      <w:r w:rsidR="00E03C5A">
        <w:rPr>
          <w:i/>
          <w:lang w:val="es-CR"/>
        </w:rPr>
        <w:t xml:space="preserve">Cfr. </w:t>
      </w:r>
      <w:r w:rsidR="00E03C5A">
        <w:rPr>
          <w:lang w:val="es-CR"/>
        </w:rPr>
        <w:t xml:space="preserve">Escrito de observaciones de los representantes de 11 de noviembre de 2019. </w:t>
      </w:r>
    </w:p>
  </w:footnote>
  <w:footnote w:id="10">
    <w:p w14:paraId="428A34E7" w14:textId="13A72D53" w:rsidR="00B540DA" w:rsidRPr="002B4B82" w:rsidRDefault="00B540DA">
      <w:pPr>
        <w:pStyle w:val="Textonotapie"/>
        <w:rPr>
          <w:lang w:val="es-CR"/>
        </w:rPr>
      </w:pPr>
      <w:r>
        <w:rPr>
          <w:rStyle w:val="Refdenotaalpie"/>
        </w:rPr>
        <w:footnoteRef/>
      </w:r>
      <w:r w:rsidRPr="002B4B82">
        <w:rPr>
          <w:lang w:val="es-CR"/>
        </w:rPr>
        <w:t xml:space="preserve"> </w:t>
      </w:r>
      <w:r>
        <w:rPr>
          <w:lang w:val="es-CR"/>
        </w:rPr>
        <w:tab/>
      </w:r>
      <w:r>
        <w:rPr>
          <w:i/>
          <w:lang w:val="es-CR"/>
        </w:rPr>
        <w:t xml:space="preserve">Cfr. </w:t>
      </w:r>
      <w:r>
        <w:rPr>
          <w:lang w:val="es-CR"/>
        </w:rPr>
        <w:t xml:space="preserve">Escrito de observaciones de los representantes de 11 de noviembre de 2019. Al respecto, precisaron que: </w:t>
      </w:r>
      <w:r w:rsidRPr="00550CF0">
        <w:rPr>
          <w:lang w:val="es-CO"/>
        </w:rPr>
        <w:t xml:space="preserve">(a) la propia Corte ya determinó expresamente la “incompatibilidad de la actual interpretación de la Ley de Amnistía brasileña (Ley 6683/79) con la Convención Americana, entendiendo que [sus] efectos […] pueden representar un obstáculo jurídico a las investigaciones de violaciones de derechos humanos”; </w:t>
      </w:r>
      <w:r w:rsidRPr="00550CF0">
        <w:rPr>
          <w:b/>
          <w:lang w:val="es-CO"/>
        </w:rPr>
        <w:t xml:space="preserve"> </w:t>
      </w:r>
      <w:r w:rsidRPr="00550CF0">
        <w:rPr>
          <w:lang w:val="es-CO"/>
        </w:rPr>
        <w:t xml:space="preserve">(b) no es posible </w:t>
      </w:r>
      <w:r>
        <w:rPr>
          <w:lang w:val="es-CO"/>
        </w:rPr>
        <w:t>“</w:t>
      </w:r>
      <w:r w:rsidRPr="00550CF0">
        <w:rPr>
          <w:lang w:val="es-CO"/>
        </w:rPr>
        <w:t xml:space="preserve">hablar de irretroactividad con relación a los crímenes de lesa humanidad”, en tanto las “disposiciones relativas a la prohibición de delitos de esa naturaleza en convenciones internacionales vienen a refirmar principios y costumbres existentes desde hace mucho tiempo y asentados en los valores básicos del ordenamiento internacional”, </w:t>
      </w:r>
      <w:r w:rsidRPr="00550CF0">
        <w:rPr>
          <w:b/>
          <w:lang w:val="es-CO"/>
        </w:rPr>
        <w:t xml:space="preserve"> </w:t>
      </w:r>
      <w:r w:rsidRPr="00550CF0">
        <w:rPr>
          <w:lang w:val="es-CO"/>
        </w:rPr>
        <w:t>y (c) de acuerdo con el derecho internacional, los crímenes de lesa humanidad son imprescriptibles, tal como lo señaló este Tribunal en la Sentencia</w:t>
      </w:r>
      <w:r>
        <w:rPr>
          <w:lang w:val="es-CO"/>
        </w:rPr>
        <w:t>.</w:t>
      </w:r>
    </w:p>
  </w:footnote>
  <w:footnote w:id="11">
    <w:p w14:paraId="41D07850" w14:textId="4AD5BAB3" w:rsidR="00B540DA" w:rsidRPr="008F6CFD" w:rsidRDefault="00B540DA">
      <w:pPr>
        <w:pStyle w:val="Textonotapie"/>
        <w:rPr>
          <w:lang w:val="es-CR"/>
        </w:rPr>
      </w:pPr>
      <w:r>
        <w:rPr>
          <w:rStyle w:val="Refdenotaalpie"/>
        </w:rPr>
        <w:footnoteRef/>
      </w:r>
      <w:r w:rsidRPr="008F6CFD">
        <w:rPr>
          <w:lang w:val="es-CR"/>
        </w:rPr>
        <w:t xml:space="preserve"> </w:t>
      </w:r>
      <w:r>
        <w:rPr>
          <w:lang w:val="es-CR"/>
        </w:rPr>
        <w:tab/>
      </w:r>
      <w:r w:rsidRPr="008F6CFD">
        <w:rPr>
          <w:i/>
          <w:lang w:val="es-ES_tradnl"/>
        </w:rPr>
        <w:t>Cfr. Caso Gelman Vs. Uruguay. Supervisión de Cumplimiento de Sentencia</w:t>
      </w:r>
      <w:r w:rsidRPr="008F6CFD">
        <w:rPr>
          <w:lang w:val="es-ES_tradnl"/>
        </w:rPr>
        <w:t>. Resolución de la Corte Interamericana de Derechos Humanos de 20 de marzo de 2013, Considerandos 61 y 68,</w:t>
      </w:r>
      <w:r>
        <w:rPr>
          <w:lang w:val="es-ES_tradnl"/>
        </w:rPr>
        <w:t xml:space="preserve"> </w:t>
      </w:r>
      <w:r w:rsidRPr="002A6849">
        <w:rPr>
          <w:lang w:val="es-ES_tradnl"/>
        </w:rPr>
        <w:t xml:space="preserve">y </w:t>
      </w:r>
      <w:r w:rsidRPr="002A6849">
        <w:rPr>
          <w:i/>
          <w:lang w:val="es-ES_tradnl"/>
        </w:rPr>
        <w:t>Caso</w:t>
      </w:r>
      <w:r>
        <w:rPr>
          <w:i/>
          <w:lang w:val="es-ES_tradnl"/>
        </w:rPr>
        <w:t xml:space="preserve"> Acosta y otros Vs. Nicaragua, </w:t>
      </w:r>
      <w:r w:rsidR="00730C64">
        <w:rPr>
          <w:i/>
          <w:lang w:val="es-ES_tradnl"/>
        </w:rPr>
        <w:t xml:space="preserve">Supervisión de Cumplimiento de Sentencia. </w:t>
      </w:r>
      <w:r w:rsidR="00730C64">
        <w:rPr>
          <w:lang w:val="es-ES_tradnl"/>
        </w:rPr>
        <w:t>Resolución de la Corte Interamericana de Derechos Humanos de 16 de marzo de 2021</w:t>
      </w:r>
      <w:r w:rsidR="00730C64">
        <w:rPr>
          <w:i/>
          <w:lang w:val="es-ES_tradnl"/>
        </w:rPr>
        <w:t xml:space="preserve">, </w:t>
      </w:r>
      <w:r w:rsidR="00730C64">
        <w:rPr>
          <w:lang w:val="es-ES_tradnl"/>
        </w:rPr>
        <w:t>Considerando 6</w:t>
      </w:r>
      <w:r>
        <w:rPr>
          <w:lang w:val="es-ES_tradnl"/>
        </w:rPr>
        <w:t>.</w:t>
      </w:r>
    </w:p>
  </w:footnote>
  <w:footnote w:id="12">
    <w:p w14:paraId="064AB9C5" w14:textId="0071F231" w:rsidR="00B540DA" w:rsidRPr="00167227" w:rsidRDefault="00B540DA">
      <w:pPr>
        <w:pStyle w:val="Textonotapie"/>
        <w:rPr>
          <w:lang w:val="es-CR"/>
        </w:rPr>
      </w:pPr>
      <w:r>
        <w:rPr>
          <w:rStyle w:val="Refdenotaalpie"/>
        </w:rPr>
        <w:footnoteRef/>
      </w:r>
      <w:r w:rsidRPr="00167227">
        <w:rPr>
          <w:lang w:val="es-CR"/>
        </w:rPr>
        <w:t xml:space="preserve"> </w:t>
      </w:r>
      <w:r>
        <w:rPr>
          <w:lang w:val="es-CR"/>
        </w:rPr>
        <w:tab/>
      </w:r>
      <w:r w:rsidRPr="008F6CFD">
        <w:rPr>
          <w:i/>
          <w:lang w:val="es-ES_tradnl"/>
        </w:rPr>
        <w:t>Cfr.</w:t>
      </w:r>
      <w:r>
        <w:rPr>
          <w:i/>
          <w:lang w:val="es-ES_tradnl"/>
        </w:rPr>
        <w:t xml:space="preserve"> </w:t>
      </w:r>
      <w:r w:rsidRPr="002A6849">
        <w:rPr>
          <w:i/>
          <w:lang w:val="es-ES_tradnl"/>
        </w:rPr>
        <w:t xml:space="preserve">Caso Castillo </w:t>
      </w:r>
      <w:proofErr w:type="spellStart"/>
      <w:r w:rsidRPr="002A6849">
        <w:rPr>
          <w:i/>
          <w:lang w:val="es-ES_tradnl"/>
        </w:rPr>
        <w:t>Petruzzi</w:t>
      </w:r>
      <w:proofErr w:type="spellEnd"/>
      <w:r w:rsidRPr="002A6849">
        <w:rPr>
          <w:i/>
          <w:lang w:val="es-ES_tradnl"/>
        </w:rPr>
        <w:t xml:space="preserve"> y otros Vs. Perú</w:t>
      </w:r>
      <w:r>
        <w:rPr>
          <w:i/>
          <w:lang w:val="es-ES_tradnl"/>
        </w:rPr>
        <w:t xml:space="preserve">, </w:t>
      </w:r>
      <w:r w:rsidR="00730C64" w:rsidRPr="0029490F">
        <w:rPr>
          <w:i/>
          <w:lang w:val="es-CR"/>
        </w:rPr>
        <w:t>Supervisión de Cumplimiento de Sentencia</w:t>
      </w:r>
      <w:r w:rsidR="00730C64" w:rsidRPr="0029490F">
        <w:rPr>
          <w:lang w:val="es-CR"/>
        </w:rPr>
        <w:t>. Resolución de la Corte Interamericana de Derechos Humanos de 17 de noviembre de 1999</w:t>
      </w:r>
      <w:r>
        <w:rPr>
          <w:i/>
          <w:lang w:val="es-ES_tradnl"/>
        </w:rPr>
        <w:t xml:space="preserve">, </w:t>
      </w:r>
      <w:r>
        <w:rPr>
          <w:lang w:val="es-ES_tradnl"/>
        </w:rPr>
        <w:t xml:space="preserve">Considerando 3, y </w:t>
      </w:r>
      <w:r w:rsidRPr="002A6849">
        <w:rPr>
          <w:i/>
          <w:lang w:val="es-ES_tradnl"/>
        </w:rPr>
        <w:t>Caso</w:t>
      </w:r>
      <w:r>
        <w:rPr>
          <w:i/>
          <w:lang w:val="es-ES_tradnl"/>
        </w:rPr>
        <w:t xml:space="preserve"> Acosta y otros Vs. Nicaragua, supra, </w:t>
      </w:r>
      <w:r>
        <w:rPr>
          <w:lang w:val="es-ES_tradnl"/>
        </w:rPr>
        <w:t xml:space="preserve">Considerando </w:t>
      </w:r>
      <w:r w:rsidR="00730C64">
        <w:rPr>
          <w:lang w:val="es-ES_tradnl"/>
        </w:rPr>
        <w:t>6</w:t>
      </w:r>
      <w:r>
        <w:rPr>
          <w:lang w:val="es-ES_tradnl"/>
        </w:rPr>
        <w:t>.</w:t>
      </w:r>
    </w:p>
  </w:footnote>
  <w:footnote w:id="13">
    <w:p w14:paraId="609DCB1E" w14:textId="0362438F" w:rsidR="00730C64" w:rsidRPr="001D7478" w:rsidRDefault="00730C64">
      <w:pPr>
        <w:pStyle w:val="Textonotapie"/>
        <w:rPr>
          <w:lang w:val="es-CR"/>
        </w:rPr>
      </w:pPr>
      <w:r>
        <w:rPr>
          <w:rStyle w:val="Refdenotaalpie"/>
        </w:rPr>
        <w:footnoteRef/>
      </w:r>
      <w:r w:rsidRPr="00650B93">
        <w:rPr>
          <w:lang w:val="es-ES"/>
        </w:rPr>
        <w:t xml:space="preserve"> </w:t>
      </w:r>
      <w:r w:rsidRPr="00650B93">
        <w:rPr>
          <w:lang w:val="es-ES"/>
        </w:rPr>
        <w:tab/>
      </w:r>
      <w:r w:rsidRPr="00730C64">
        <w:rPr>
          <w:i/>
          <w:lang w:val="es-ES_tradnl"/>
        </w:rPr>
        <w:t>Cfr.</w:t>
      </w:r>
      <w:r w:rsidRPr="00730C64">
        <w:rPr>
          <w:lang w:val="es-CR"/>
        </w:rPr>
        <w:t xml:space="preserve"> Responsabilidad internacional por expedición y aplicación de leyes violatorias de la Convención (arts. 1 y 2 Convención Americana sobre Derechos Humanos). Opinión Consultiva OC-14/94 de 9 de diciembre de 1994. Serie A No. 14, párr. 35; </w:t>
      </w:r>
      <w:r w:rsidRPr="00730C64">
        <w:rPr>
          <w:i/>
          <w:lang w:val="es-CR"/>
        </w:rPr>
        <w:t xml:space="preserve">Caso Castillo </w:t>
      </w:r>
      <w:proofErr w:type="spellStart"/>
      <w:r w:rsidRPr="00730C64">
        <w:rPr>
          <w:i/>
          <w:lang w:val="es-CR"/>
        </w:rPr>
        <w:t>Petruzzi</w:t>
      </w:r>
      <w:proofErr w:type="spellEnd"/>
      <w:r w:rsidRPr="00730C64">
        <w:rPr>
          <w:i/>
          <w:lang w:val="es-CR"/>
        </w:rPr>
        <w:t xml:space="preserve"> y otros Vs. Perú, supra</w:t>
      </w:r>
      <w:r w:rsidRPr="00730C64">
        <w:rPr>
          <w:lang w:val="es-CR"/>
        </w:rPr>
        <w:t xml:space="preserve">, Considerando 4, y </w:t>
      </w:r>
      <w:r w:rsidRPr="00730C64">
        <w:rPr>
          <w:i/>
          <w:lang w:val="es-CR"/>
        </w:rPr>
        <w:t xml:space="preserve">Caso </w:t>
      </w:r>
      <w:proofErr w:type="spellStart"/>
      <w:r w:rsidRPr="00730C64">
        <w:rPr>
          <w:i/>
          <w:lang w:val="es-CR"/>
        </w:rPr>
        <w:t>Norín</w:t>
      </w:r>
      <w:proofErr w:type="spellEnd"/>
      <w:r w:rsidRPr="00730C64">
        <w:rPr>
          <w:i/>
          <w:lang w:val="es-CR"/>
        </w:rPr>
        <w:t xml:space="preserve"> </w:t>
      </w:r>
      <w:proofErr w:type="spellStart"/>
      <w:r w:rsidRPr="00730C64">
        <w:rPr>
          <w:i/>
          <w:lang w:val="es-CR"/>
        </w:rPr>
        <w:t>Catrimán</w:t>
      </w:r>
      <w:proofErr w:type="spellEnd"/>
      <w:r w:rsidRPr="00730C64">
        <w:rPr>
          <w:i/>
          <w:lang w:val="es-CR"/>
        </w:rPr>
        <w:t xml:space="preserve"> y otros (Dirigentes, miembros y activista del Pueblo Indígena Mapuche) Vs. Chile. Supervisión de Cumplimiento de Sentencia. </w:t>
      </w:r>
      <w:r w:rsidRPr="00730C64">
        <w:rPr>
          <w:lang w:val="es-CR"/>
        </w:rPr>
        <w:t xml:space="preserve">Resolución de la Corte Interamericana de Derechos Humanos de 18 de febrero de 2021, Considerando 40. </w:t>
      </w:r>
    </w:p>
  </w:footnote>
  <w:footnote w:id="14">
    <w:p w14:paraId="09B4DD40" w14:textId="2A54C48C" w:rsidR="00B540DA" w:rsidRPr="00ED1C4F" w:rsidRDefault="00B540DA" w:rsidP="00C4453B">
      <w:pPr>
        <w:pStyle w:val="Textonotapie"/>
        <w:tabs>
          <w:tab w:val="left" w:pos="567"/>
        </w:tabs>
        <w:ind w:right="4"/>
        <w:rPr>
          <w:color w:val="000000"/>
          <w:szCs w:val="16"/>
          <w:lang w:val="es-ES"/>
        </w:rPr>
      </w:pPr>
      <w:r w:rsidRPr="00ED1C4F">
        <w:rPr>
          <w:rStyle w:val="Refdenotaalpie"/>
        </w:rPr>
        <w:footnoteRef/>
      </w:r>
      <w:r w:rsidRPr="00ED1C4F">
        <w:rPr>
          <w:szCs w:val="16"/>
          <w:lang w:val="es-ES"/>
        </w:rPr>
        <w:t xml:space="preserve"> </w:t>
      </w:r>
      <w:r w:rsidRPr="00ED1C4F">
        <w:rPr>
          <w:szCs w:val="16"/>
          <w:lang w:val="es-CO"/>
        </w:rPr>
        <w:tab/>
      </w:r>
      <w:r>
        <w:rPr>
          <w:szCs w:val="16"/>
          <w:lang w:val="es-CO"/>
        </w:rPr>
        <w:tab/>
      </w:r>
      <w:r w:rsidRPr="00ED1C4F">
        <w:rPr>
          <w:i/>
          <w:szCs w:val="16"/>
          <w:lang w:val="es-CO"/>
        </w:rPr>
        <w:t xml:space="preserve">Cfr. </w:t>
      </w:r>
      <w:r w:rsidRPr="00ED1C4F">
        <w:rPr>
          <w:bCs/>
          <w:i/>
          <w:color w:val="000000"/>
          <w:szCs w:val="16"/>
          <w:lang w:val="es-CO"/>
        </w:rPr>
        <w:t xml:space="preserve">Caso Baena Ricardo y otros Vs. Panamá. </w:t>
      </w:r>
      <w:r w:rsidRPr="00ED1C4F">
        <w:rPr>
          <w:i/>
          <w:color w:val="000000"/>
          <w:szCs w:val="16"/>
          <w:lang w:val="es-CO"/>
        </w:rPr>
        <w:t>Competencia.</w:t>
      </w:r>
      <w:r w:rsidRPr="00ED1C4F">
        <w:rPr>
          <w:color w:val="000000"/>
          <w:szCs w:val="16"/>
          <w:lang w:val="es-CO"/>
        </w:rPr>
        <w:t xml:space="preserve"> Sentencia de 28 de noviembre de 2003. </w:t>
      </w:r>
      <w:r w:rsidRPr="00ED1C4F">
        <w:rPr>
          <w:color w:val="000000"/>
          <w:szCs w:val="16"/>
          <w:lang w:val="es-ES"/>
        </w:rPr>
        <w:t xml:space="preserve">Serie C No. 104, párr. 60, </w:t>
      </w:r>
      <w:r w:rsidRPr="00ED1C4F">
        <w:rPr>
          <w:szCs w:val="16"/>
          <w:lang w:val="es-CR"/>
        </w:rPr>
        <w:t xml:space="preserve">y </w:t>
      </w:r>
      <w:r w:rsidR="004F506F" w:rsidRPr="002A6849">
        <w:rPr>
          <w:i/>
          <w:lang w:val="es-ES_tradnl"/>
        </w:rPr>
        <w:t>Caso</w:t>
      </w:r>
      <w:r w:rsidR="004F506F">
        <w:rPr>
          <w:i/>
          <w:lang w:val="es-ES_tradnl"/>
        </w:rPr>
        <w:t xml:space="preserve"> Acosta y otros Vs. Nicaragua, </w:t>
      </w:r>
      <w:r w:rsidR="00E46F0F">
        <w:rPr>
          <w:i/>
          <w:lang w:val="es-ES_tradnl"/>
        </w:rPr>
        <w:t xml:space="preserve">Supervisión de Cumplimiento de Sentencia. </w:t>
      </w:r>
      <w:r w:rsidR="00E46F0F">
        <w:rPr>
          <w:lang w:val="es-ES_tradnl"/>
        </w:rPr>
        <w:t>Resolución de la Corte Interamericana de Derechos Humanos de 22 de noviembre de 2019</w:t>
      </w:r>
      <w:r w:rsidR="004F506F">
        <w:rPr>
          <w:i/>
          <w:lang w:val="es-ES_tradnl"/>
        </w:rPr>
        <w:t xml:space="preserve">, </w:t>
      </w:r>
      <w:r w:rsidR="004F506F">
        <w:rPr>
          <w:lang w:val="es-ES_tradnl"/>
        </w:rPr>
        <w:t>Considerando 20</w:t>
      </w:r>
      <w:r w:rsidRPr="00ED1C4F">
        <w:rPr>
          <w:szCs w:val="16"/>
          <w:lang w:val="es-CR"/>
        </w:rPr>
        <w:t xml:space="preserve">. </w:t>
      </w:r>
    </w:p>
  </w:footnote>
  <w:footnote w:id="15">
    <w:p w14:paraId="7A989F7C" w14:textId="6DC77BC4" w:rsidR="00B540DA" w:rsidRPr="00ED1C4F" w:rsidRDefault="00B540DA" w:rsidP="00C4453B">
      <w:pPr>
        <w:pStyle w:val="Textonotapie"/>
        <w:tabs>
          <w:tab w:val="left" w:pos="567"/>
        </w:tabs>
        <w:ind w:right="4"/>
        <w:rPr>
          <w:szCs w:val="16"/>
          <w:lang w:val="es-ES"/>
        </w:rPr>
      </w:pPr>
      <w:r w:rsidRPr="00ED1C4F">
        <w:rPr>
          <w:rStyle w:val="Refdenotaalpie"/>
        </w:rPr>
        <w:footnoteRef/>
      </w:r>
      <w:r w:rsidRPr="00ED1C4F">
        <w:rPr>
          <w:szCs w:val="16"/>
          <w:lang w:val="es-ES"/>
        </w:rPr>
        <w:t xml:space="preserve"> </w:t>
      </w:r>
      <w:r w:rsidRPr="00ED1C4F">
        <w:rPr>
          <w:szCs w:val="16"/>
          <w:lang w:val="es-ES"/>
        </w:rPr>
        <w:tab/>
      </w:r>
      <w:r w:rsidRPr="00ED1C4F">
        <w:rPr>
          <w:i/>
          <w:szCs w:val="16"/>
          <w:lang w:val="es-ES"/>
        </w:rPr>
        <w:t xml:space="preserve">Cfr. </w:t>
      </w:r>
      <w:r w:rsidRPr="00ED1C4F">
        <w:rPr>
          <w:bCs/>
          <w:i/>
          <w:color w:val="000000"/>
          <w:szCs w:val="16"/>
          <w:lang w:val="es-CO"/>
        </w:rPr>
        <w:t>Caso Baena Ricardo y otros Vs. Panamá</w:t>
      </w:r>
      <w:r w:rsidRPr="00ED1C4F">
        <w:rPr>
          <w:color w:val="000000"/>
          <w:szCs w:val="16"/>
          <w:lang w:val="es-ES"/>
        </w:rPr>
        <w:t xml:space="preserve">, </w:t>
      </w:r>
      <w:r w:rsidRPr="00ED1C4F">
        <w:rPr>
          <w:i/>
          <w:color w:val="000000"/>
          <w:szCs w:val="16"/>
          <w:lang w:val="es-ES"/>
        </w:rPr>
        <w:t xml:space="preserve">supra </w:t>
      </w:r>
      <w:r w:rsidR="000D2804">
        <w:rPr>
          <w:color w:val="000000"/>
          <w:szCs w:val="16"/>
          <w:lang w:val="es-ES"/>
        </w:rPr>
        <w:t>nota 14</w:t>
      </w:r>
      <w:r w:rsidRPr="00ED1C4F">
        <w:rPr>
          <w:color w:val="000000"/>
          <w:szCs w:val="16"/>
          <w:lang w:val="es-ES"/>
        </w:rPr>
        <w:t xml:space="preserve">, párr.72, y </w:t>
      </w:r>
      <w:r w:rsidR="00E7797A" w:rsidRPr="001E74D2">
        <w:rPr>
          <w:i/>
          <w:szCs w:val="16"/>
          <w:lang w:val="es-ES_tradnl"/>
        </w:rPr>
        <w:t>Caso Acosta y otros Vs. Nicaragua</w:t>
      </w:r>
      <w:r w:rsidR="00E7797A" w:rsidRPr="00ED1C4F">
        <w:rPr>
          <w:szCs w:val="16"/>
          <w:lang w:val="es-CR"/>
        </w:rPr>
        <w:t xml:space="preserve">, </w:t>
      </w:r>
      <w:r w:rsidR="00E7797A" w:rsidRPr="00ED1C4F">
        <w:rPr>
          <w:i/>
          <w:color w:val="000000"/>
          <w:szCs w:val="16"/>
          <w:lang w:val="es-ES"/>
        </w:rPr>
        <w:t xml:space="preserve">supra </w:t>
      </w:r>
      <w:r w:rsidR="00E7797A" w:rsidRPr="00ED1C4F">
        <w:rPr>
          <w:color w:val="000000"/>
          <w:szCs w:val="16"/>
          <w:lang w:val="es-ES"/>
        </w:rPr>
        <w:t xml:space="preserve">nota </w:t>
      </w:r>
      <w:r w:rsidR="00094C59">
        <w:rPr>
          <w:color w:val="000000"/>
          <w:szCs w:val="16"/>
          <w:lang w:val="es-ES"/>
        </w:rPr>
        <w:t>14</w:t>
      </w:r>
      <w:r w:rsidR="00E7797A" w:rsidRPr="00ED1C4F">
        <w:rPr>
          <w:color w:val="000000"/>
          <w:szCs w:val="16"/>
          <w:lang w:val="es-ES"/>
        </w:rPr>
        <w:t xml:space="preserve">, </w:t>
      </w:r>
      <w:r w:rsidR="00E7797A" w:rsidRPr="00ED1C4F">
        <w:rPr>
          <w:szCs w:val="16"/>
          <w:lang w:val="es-CR"/>
        </w:rPr>
        <w:t xml:space="preserve">Considerando </w:t>
      </w:r>
      <w:r w:rsidR="00E7797A">
        <w:rPr>
          <w:szCs w:val="16"/>
          <w:lang w:val="es-CR"/>
        </w:rPr>
        <w:t>20</w:t>
      </w:r>
      <w:r w:rsidRPr="00ED1C4F">
        <w:rPr>
          <w:szCs w:val="16"/>
          <w:lang w:val="es-CR"/>
        </w:rPr>
        <w:t xml:space="preserve">. </w:t>
      </w:r>
    </w:p>
  </w:footnote>
  <w:footnote w:id="16">
    <w:p w14:paraId="43013327" w14:textId="77777777" w:rsidR="00B540DA" w:rsidRPr="00842F2C" w:rsidRDefault="00B540DA" w:rsidP="00C842F3">
      <w:pPr>
        <w:pStyle w:val="Textonotapie"/>
        <w:rPr>
          <w:lang w:val="es-MX"/>
        </w:rPr>
      </w:pPr>
      <w:r>
        <w:rPr>
          <w:rStyle w:val="Refdenotaalpie"/>
        </w:rPr>
        <w:footnoteRef/>
      </w:r>
      <w:r w:rsidRPr="00922020">
        <w:rPr>
          <w:lang w:val="es-ES"/>
        </w:rPr>
        <w:t xml:space="preserve"> </w:t>
      </w:r>
      <w:r>
        <w:rPr>
          <w:lang w:val="es-MX"/>
        </w:rPr>
        <w:tab/>
        <w:t>Asimismo, al referirse a la investigación iniciada en la jurisdicción penal militar en 1975, en los párrafos 247 y 248 de la Sentencia, el Tribunal remarcó que “[a]</w:t>
      </w:r>
      <w:proofErr w:type="spellStart"/>
      <w:r w:rsidRPr="00613504">
        <w:rPr>
          <w:lang w:val="es-ES_tradnl"/>
        </w:rPr>
        <w:t>unque</w:t>
      </w:r>
      <w:proofErr w:type="spellEnd"/>
      <w:r w:rsidRPr="00613504">
        <w:rPr>
          <w:lang w:val="es-ES_tradnl"/>
        </w:rPr>
        <w:t xml:space="preserve"> dicha actuación estatal no se encuentra dentro de la competencia contenciosa del Tribunal, la Corte recuerda su jurisprudencia constante relativa a los límites de la competencia de la jurisdicción militar para conocer hechos que constituyen violaciones a derechos humanos, en el sentido de que en un Estado democrático de derecho la jurisdicción penal militar ha de tener un alcance restrictivo y excepcional y estar encaminada a la protección de intereses jurídicos especiales, vinculados a las funciones p</w:t>
      </w:r>
      <w:r>
        <w:rPr>
          <w:lang w:val="es-ES_tradnl"/>
        </w:rPr>
        <w:t>ropias de las fuerzas armadas</w:t>
      </w:r>
      <w:r w:rsidRPr="00613504">
        <w:rPr>
          <w:lang w:val="es-ES_tradnl"/>
        </w:rPr>
        <w:t>. Por ello, la Corte ha señalado que en el fuero militar sólo se debe juzgar a militares activos por la comisión de delitos o faltas que por su propia naturaleza atenten contra bienes jurídico</w:t>
      </w:r>
      <w:r>
        <w:rPr>
          <w:lang w:val="es-ES_tradnl"/>
        </w:rPr>
        <w:t>s propios del orden castrense</w:t>
      </w:r>
      <w:r w:rsidRPr="00613504">
        <w:rPr>
          <w:lang w:val="es-ES_tradnl"/>
        </w:rPr>
        <w:t xml:space="preserve">. El hecho que los sujetos involucrados pertenezcan a las fuerzas armadas o que los sucesos hayan ocurrido dentro de un establecimiento militar no significa per </w:t>
      </w:r>
      <w:proofErr w:type="spellStart"/>
      <w:r w:rsidRPr="00613504">
        <w:rPr>
          <w:lang w:val="es-ES_tradnl"/>
        </w:rPr>
        <w:t>se</w:t>
      </w:r>
      <w:proofErr w:type="spellEnd"/>
      <w:r w:rsidRPr="00613504">
        <w:rPr>
          <w:lang w:val="es-ES_tradnl"/>
        </w:rPr>
        <w:t xml:space="preserve"> que deba intervenir la justicia castrense. Esto así porque, considerando la naturaleza del crimen y el bien jurídico lesionado, la jurisdicción penal militar no es el fuero competente para investigar y, e</w:t>
      </w:r>
      <w:r>
        <w:rPr>
          <w:lang w:val="es-ES_tradnl"/>
        </w:rPr>
        <w:t>n su caso, juzgar y sancionar a</w:t>
      </w:r>
      <w:r w:rsidRPr="00613504">
        <w:rPr>
          <w:lang w:val="es-ES_tradnl"/>
        </w:rPr>
        <w:t xml:space="preserve"> los autores de violaciones de derechos </w:t>
      </w:r>
      <w:proofErr w:type="gramStart"/>
      <w:r w:rsidRPr="00613504">
        <w:rPr>
          <w:lang w:val="es-ES_tradnl"/>
        </w:rPr>
        <w:t>humanos</w:t>
      </w:r>
      <w:proofErr w:type="gramEnd"/>
      <w:r w:rsidRPr="00613504">
        <w:rPr>
          <w:lang w:val="es-ES_tradnl"/>
        </w:rPr>
        <w:t xml:space="preserve"> sino que el procesamiento de los responsables corresponde siempre a la </w:t>
      </w:r>
      <w:r>
        <w:rPr>
          <w:lang w:val="es-ES_tradnl"/>
        </w:rPr>
        <w:t>justicia ordinaria o común</w:t>
      </w:r>
      <w:r w:rsidRPr="00613504">
        <w:rPr>
          <w:lang w:val="es-ES_tradnl"/>
        </w:rPr>
        <w:t xml:space="preserve">. </w:t>
      </w:r>
      <w:r>
        <w:rPr>
          <w:lang w:val="es-ES_tradnl"/>
        </w:rPr>
        <w:t>[…]</w:t>
      </w:r>
      <w:r w:rsidRPr="00613504">
        <w:rPr>
          <w:lang w:val="es-ES_tradnl"/>
        </w:rPr>
        <w:t>Por otra parte, la Corte reiteradamente ha afirmado que los estándares o parámetros sobre las limitaciones que debe observar la jurisdicci</w:t>
      </w:r>
      <w:r>
        <w:rPr>
          <w:lang w:val="es-ES_tradnl"/>
        </w:rPr>
        <w:t>ón militar son los siguientes</w:t>
      </w:r>
      <w:r w:rsidRPr="00613504">
        <w:rPr>
          <w:lang w:val="es-ES_tradnl"/>
        </w:rPr>
        <w:t>: a) no es el fuero competente para investigar y, en su caso, juzgar y sancionar a los autores de todas las vi</w:t>
      </w:r>
      <w:r>
        <w:rPr>
          <w:lang w:val="es-ES_tradnl"/>
        </w:rPr>
        <w:t>olaciones de derechos humanos</w:t>
      </w:r>
      <w:r w:rsidRPr="00613504">
        <w:rPr>
          <w:lang w:val="es-ES_tradnl"/>
        </w:rPr>
        <w:t>; b) sólo puede juzgar a</w:t>
      </w:r>
      <w:r>
        <w:rPr>
          <w:lang w:val="es-ES_tradnl"/>
        </w:rPr>
        <w:t xml:space="preserve"> militares en servicio activo</w:t>
      </w:r>
      <w:r w:rsidRPr="00613504">
        <w:rPr>
          <w:lang w:val="es-ES_tradnl"/>
        </w:rPr>
        <w:t>, y c) sólo puede juzgar la comisión de delitos o faltas (cometidos por militares activos) que atenten, por su propia naturaleza, contra bienes jurídi</w:t>
      </w:r>
      <w:r>
        <w:rPr>
          <w:lang w:val="es-ES_tradnl"/>
        </w:rPr>
        <w:t>cos propios del orden militar”</w:t>
      </w:r>
      <w:r w:rsidRPr="00613504">
        <w:rPr>
          <w:lang w:val="es-ES_tradnl"/>
        </w:rPr>
        <w:t>.</w:t>
      </w:r>
    </w:p>
  </w:footnote>
  <w:footnote w:id="17">
    <w:p w14:paraId="13D855C8" w14:textId="2FF0224E" w:rsidR="00B540DA" w:rsidRPr="00267C20" w:rsidRDefault="00B540DA" w:rsidP="00C842F3">
      <w:pPr>
        <w:pStyle w:val="Textonotapie"/>
        <w:rPr>
          <w:lang w:val="es-AR"/>
        </w:rPr>
      </w:pPr>
      <w:r w:rsidRPr="00267C20">
        <w:rPr>
          <w:rStyle w:val="Refdenotaalpie"/>
        </w:rPr>
        <w:footnoteRef/>
      </w:r>
      <w:r w:rsidRPr="00267C20">
        <w:rPr>
          <w:szCs w:val="16"/>
          <w:lang w:val="es-CR"/>
        </w:rPr>
        <w:tab/>
      </w:r>
      <w:r w:rsidRPr="00267C20">
        <w:rPr>
          <w:i/>
          <w:szCs w:val="16"/>
          <w:lang w:val="es-CR"/>
        </w:rPr>
        <w:t xml:space="preserve">Cfr. Caso Castillo </w:t>
      </w:r>
      <w:proofErr w:type="spellStart"/>
      <w:r w:rsidRPr="00267C20">
        <w:rPr>
          <w:i/>
          <w:szCs w:val="16"/>
          <w:lang w:val="es-CR"/>
        </w:rPr>
        <w:t>Petruzzi</w:t>
      </w:r>
      <w:proofErr w:type="spellEnd"/>
      <w:r w:rsidRPr="00267C20">
        <w:rPr>
          <w:i/>
          <w:szCs w:val="16"/>
          <w:lang w:val="es-CR"/>
        </w:rPr>
        <w:t xml:space="preserve"> y otros Vs. Perú, supra </w:t>
      </w:r>
      <w:r w:rsidRPr="00267C20">
        <w:rPr>
          <w:szCs w:val="16"/>
          <w:lang w:val="es-CR"/>
        </w:rPr>
        <w:t>nota 16</w:t>
      </w:r>
      <w:r w:rsidRPr="00267C20">
        <w:rPr>
          <w:i/>
          <w:szCs w:val="16"/>
          <w:lang w:val="es-CR"/>
        </w:rPr>
        <w:t>,</w:t>
      </w:r>
      <w:r w:rsidRPr="00267C20">
        <w:rPr>
          <w:szCs w:val="16"/>
          <w:lang w:val="es-CR"/>
        </w:rPr>
        <w:t xml:space="preserve"> Considerando 3, y </w:t>
      </w:r>
      <w:r w:rsidRPr="00267C20">
        <w:rPr>
          <w:i/>
          <w:szCs w:val="16"/>
          <w:lang w:val="es-CR"/>
        </w:rPr>
        <w:t xml:space="preserve">Caso </w:t>
      </w:r>
      <w:r w:rsidR="00444206">
        <w:rPr>
          <w:i/>
          <w:szCs w:val="16"/>
          <w:lang w:val="es-CR"/>
        </w:rPr>
        <w:t xml:space="preserve">Familia Barrios Vs. Venezuela. Supervisión de Cumplimiento de Sentencia. </w:t>
      </w:r>
      <w:r w:rsidR="00444206">
        <w:rPr>
          <w:szCs w:val="16"/>
          <w:lang w:val="es-CR"/>
        </w:rPr>
        <w:t>Resolución de la Corte Interamericana de Derechos Humanos de 18 de noviembre de 2020, Considerando 7.</w:t>
      </w:r>
    </w:p>
  </w:footnote>
  <w:footnote w:id="18">
    <w:p w14:paraId="6D5FA6E8" w14:textId="31D89B0E" w:rsidR="00B540DA" w:rsidRPr="00BF1B2D" w:rsidRDefault="00B540DA" w:rsidP="00C842F3">
      <w:pPr>
        <w:pStyle w:val="Textonotapie"/>
        <w:rPr>
          <w:i/>
          <w:color w:val="000000"/>
          <w:szCs w:val="16"/>
          <w:lang w:val="es-ES"/>
        </w:rPr>
      </w:pPr>
      <w:r w:rsidRPr="00267C20">
        <w:rPr>
          <w:rStyle w:val="Refdenotaalpie"/>
        </w:rPr>
        <w:footnoteRef/>
      </w:r>
      <w:r w:rsidRPr="00267C20">
        <w:rPr>
          <w:szCs w:val="16"/>
          <w:lang w:val="es-AR"/>
        </w:rPr>
        <w:t xml:space="preserve"> </w:t>
      </w:r>
      <w:r w:rsidRPr="00267C20">
        <w:rPr>
          <w:szCs w:val="16"/>
          <w:lang w:val="es-CR"/>
        </w:rPr>
        <w:tab/>
      </w:r>
      <w:r w:rsidRPr="00267C20">
        <w:rPr>
          <w:i/>
          <w:szCs w:val="16"/>
          <w:lang w:val="es-CR"/>
        </w:rPr>
        <w:t>Cfr. Caso Gelman Vs. Uruguay</w:t>
      </w:r>
      <w:r w:rsidRPr="00267C20">
        <w:rPr>
          <w:color w:val="000000"/>
          <w:szCs w:val="16"/>
          <w:lang w:val="es-ES"/>
        </w:rPr>
        <w:t xml:space="preserve">, </w:t>
      </w:r>
      <w:r w:rsidRPr="00267C20">
        <w:rPr>
          <w:i/>
          <w:color w:val="000000"/>
          <w:szCs w:val="16"/>
          <w:lang w:val="es-ES"/>
        </w:rPr>
        <w:t xml:space="preserve">supra </w:t>
      </w:r>
      <w:r w:rsidRPr="00267C20">
        <w:rPr>
          <w:color w:val="000000"/>
          <w:szCs w:val="16"/>
          <w:lang w:val="es-ES"/>
        </w:rPr>
        <w:t xml:space="preserve">nota 17, Considerando 59, y </w:t>
      </w:r>
      <w:r w:rsidR="00444206">
        <w:rPr>
          <w:i/>
          <w:szCs w:val="16"/>
          <w:lang w:val="es-CR"/>
        </w:rPr>
        <w:t xml:space="preserve">Familia Barrios Vs. Venezuela, supra, </w:t>
      </w:r>
      <w:r w:rsidR="00444206">
        <w:rPr>
          <w:szCs w:val="16"/>
          <w:lang w:val="es-CR"/>
        </w:rPr>
        <w:t>Considerando 7.</w:t>
      </w:r>
    </w:p>
  </w:footnote>
  <w:footnote w:id="19">
    <w:p w14:paraId="759F97BD" w14:textId="1EC6E960" w:rsidR="001C0437" w:rsidRPr="00917B6F" w:rsidRDefault="001C0437">
      <w:pPr>
        <w:pStyle w:val="Textonotapie"/>
        <w:rPr>
          <w:lang w:val="es-CR"/>
        </w:rPr>
      </w:pPr>
      <w:r>
        <w:rPr>
          <w:rStyle w:val="Refdenotaalpie"/>
        </w:rPr>
        <w:footnoteRef/>
      </w:r>
      <w:r w:rsidRPr="00650B93">
        <w:rPr>
          <w:lang w:val="es-ES"/>
        </w:rPr>
        <w:t xml:space="preserve"> </w:t>
      </w:r>
      <w:r>
        <w:rPr>
          <w:lang w:val="es-CR"/>
        </w:rPr>
        <w:tab/>
      </w:r>
      <w:r w:rsidRPr="00650B93">
        <w:rPr>
          <w:i/>
          <w:lang w:val="es-ES"/>
        </w:rPr>
        <w:t xml:space="preserve">Cfr. Caso Almonacid Arellano y otros Vs. </w:t>
      </w:r>
      <w:r w:rsidRPr="00217948">
        <w:rPr>
          <w:i/>
          <w:lang w:val="es-CR"/>
        </w:rPr>
        <w:t xml:space="preserve">Chile. </w:t>
      </w:r>
      <w:r w:rsidRPr="00650B93">
        <w:rPr>
          <w:i/>
          <w:lang w:val="es-ES"/>
        </w:rPr>
        <w:t>Excepciones Preliminares, Fondo, Reparaciones y Costas</w:t>
      </w:r>
      <w:r w:rsidRPr="00650B93">
        <w:rPr>
          <w:lang w:val="es-ES"/>
        </w:rPr>
        <w:t xml:space="preserve">. </w:t>
      </w:r>
      <w:r w:rsidRPr="004A22AB">
        <w:rPr>
          <w:lang w:val="es-ES"/>
        </w:rPr>
        <w:t>Sentencia de 26 de septiembre de 200</w:t>
      </w:r>
      <w:r w:rsidR="006A3704" w:rsidRPr="004A22AB">
        <w:rPr>
          <w:lang w:val="es-ES"/>
        </w:rPr>
        <w:t>6. Serie C No. 154, párr. 124,</w:t>
      </w:r>
      <w:r w:rsidRPr="004A22AB">
        <w:rPr>
          <w:lang w:val="es-ES"/>
        </w:rPr>
        <w:t xml:space="preserve"> </w:t>
      </w:r>
      <w:r w:rsidRPr="004A22AB">
        <w:rPr>
          <w:i/>
          <w:lang w:val="es-ES"/>
        </w:rPr>
        <w:t>Caso Barrios Altos y Caso La Cantuta Vs. Perú. Supervisión de Cumplimiento de Sentencia</w:t>
      </w:r>
      <w:r w:rsidRPr="004A22AB">
        <w:rPr>
          <w:lang w:val="es-ES"/>
        </w:rPr>
        <w:t>. Resolución de la Corte Interamericana de Derechos Humanos de 30 d</w:t>
      </w:r>
      <w:r w:rsidR="006A3704" w:rsidRPr="004A22AB">
        <w:rPr>
          <w:lang w:val="es-ES"/>
        </w:rPr>
        <w:t xml:space="preserve">e mayo de 2018, Considerando 65, y </w:t>
      </w:r>
      <w:r w:rsidR="006A3704" w:rsidRPr="00ED5BF6">
        <w:rPr>
          <w:i/>
          <w:lang w:val="es-ES_tradnl"/>
        </w:rPr>
        <w:t xml:space="preserve">Caso Masacres de El Mozote y lugares aledaños Vs. El Salvador. Solicitud de Medidas </w:t>
      </w:r>
      <w:proofErr w:type="spellStart"/>
      <w:r w:rsidR="006A3704" w:rsidRPr="00ED5BF6">
        <w:rPr>
          <w:i/>
          <w:lang w:val="es-ES_tradnl"/>
        </w:rPr>
        <w:t>Provisonales</w:t>
      </w:r>
      <w:proofErr w:type="spellEnd"/>
      <w:r w:rsidR="006A3704" w:rsidRPr="00ED5BF6">
        <w:rPr>
          <w:i/>
          <w:lang w:val="es-ES_tradnl"/>
        </w:rPr>
        <w:t xml:space="preserve"> y Supervisión de Cumplimiento de Sentencia</w:t>
      </w:r>
      <w:r w:rsidR="006A3704">
        <w:rPr>
          <w:lang w:val="es-ES_tradnl"/>
        </w:rPr>
        <w:t xml:space="preserve">. </w:t>
      </w:r>
      <w:r w:rsidR="006A3704" w:rsidRPr="001C0437">
        <w:rPr>
          <w:lang w:val="es-ES_tradnl"/>
        </w:rPr>
        <w:t xml:space="preserve">Resolución de la Corte Interamericana de Derechos Humanos de </w:t>
      </w:r>
      <w:r w:rsidR="006A3704">
        <w:rPr>
          <w:lang w:val="es-ES_tradnl"/>
        </w:rPr>
        <w:t>19 de noviembre de 2020, Considerando 44</w:t>
      </w:r>
      <w:r w:rsidR="006A3704" w:rsidRPr="001C0437">
        <w:rPr>
          <w:lang w:val="es-ES_tradnl"/>
        </w:rPr>
        <w:t>.</w:t>
      </w:r>
    </w:p>
  </w:footnote>
  <w:footnote w:id="20">
    <w:p w14:paraId="57014688" w14:textId="02D666A2" w:rsidR="001C0437" w:rsidRPr="00917B6F" w:rsidRDefault="001C0437">
      <w:pPr>
        <w:pStyle w:val="Textonotapie"/>
        <w:rPr>
          <w:lang w:val="es-CR"/>
        </w:rPr>
      </w:pPr>
      <w:r>
        <w:rPr>
          <w:rStyle w:val="Refdenotaalpie"/>
        </w:rPr>
        <w:footnoteRef/>
      </w:r>
      <w:r w:rsidRPr="004A22AB">
        <w:rPr>
          <w:lang w:val="es-ES"/>
        </w:rPr>
        <w:t xml:space="preserve"> </w:t>
      </w:r>
      <w:r>
        <w:rPr>
          <w:lang w:val="es-CR"/>
        </w:rPr>
        <w:tab/>
      </w:r>
      <w:r w:rsidRPr="00917B6F">
        <w:rPr>
          <w:i/>
          <w:lang w:val="es-ES_tradnl"/>
        </w:rPr>
        <w:t>Cfr. Caso Almonacid Arellano y otros Vs. Chile, supra</w:t>
      </w:r>
      <w:r w:rsidRPr="001C0437">
        <w:rPr>
          <w:lang w:val="es-ES_tradnl"/>
        </w:rPr>
        <w:t xml:space="preserve"> nota </w:t>
      </w:r>
      <w:r w:rsidR="00411155">
        <w:rPr>
          <w:lang w:val="es-ES_tradnl"/>
        </w:rPr>
        <w:t>19</w:t>
      </w:r>
      <w:r w:rsidRPr="001C0437">
        <w:rPr>
          <w:lang w:val="es-ES_tradnl"/>
        </w:rPr>
        <w:t xml:space="preserve">, párr. 124; </w:t>
      </w:r>
      <w:r w:rsidRPr="00917B6F">
        <w:rPr>
          <w:i/>
          <w:lang w:val="es-ES_tradnl"/>
        </w:rPr>
        <w:t>Caso Gelman Vs. Uruguay. Supervisión de cumplimiento de Sentencia</w:t>
      </w:r>
      <w:r w:rsidRPr="001C0437">
        <w:rPr>
          <w:lang w:val="es-ES_tradnl"/>
        </w:rPr>
        <w:t xml:space="preserve">. Resolución de la Corte Interamericana de 20 de marzo de 2013, Considerandos 69 a 73, y </w:t>
      </w:r>
      <w:r w:rsidRPr="00917B6F">
        <w:rPr>
          <w:i/>
          <w:lang w:val="es-ES_tradnl"/>
        </w:rPr>
        <w:t>Caso Masacres de El Mozote y lugares aledaños Vs. El Salvador</w:t>
      </w:r>
      <w:r w:rsidR="006A3704">
        <w:rPr>
          <w:i/>
          <w:lang w:val="es-ES_tradnl"/>
        </w:rPr>
        <w:t xml:space="preserve">, supra </w:t>
      </w:r>
      <w:r w:rsidR="006A3704">
        <w:rPr>
          <w:lang w:val="es-ES_tradnl"/>
        </w:rPr>
        <w:t xml:space="preserve">nota </w:t>
      </w:r>
      <w:r w:rsidR="00411155">
        <w:rPr>
          <w:lang w:val="es-ES_tradnl"/>
        </w:rPr>
        <w:t>19</w:t>
      </w:r>
      <w:r w:rsidR="006A3704">
        <w:rPr>
          <w:lang w:val="es-ES_tradnl"/>
        </w:rPr>
        <w:t>,</w:t>
      </w:r>
      <w:r>
        <w:rPr>
          <w:lang w:val="es-ES_tradnl"/>
        </w:rPr>
        <w:t xml:space="preserve"> Considerando 44</w:t>
      </w:r>
      <w:r w:rsidRPr="001C0437">
        <w:rPr>
          <w:lang w:val="es-ES_tradnl"/>
        </w:rPr>
        <w:t>.</w:t>
      </w:r>
    </w:p>
  </w:footnote>
  <w:footnote w:id="21">
    <w:p w14:paraId="6D762C11" w14:textId="7498FC88" w:rsidR="00B540DA" w:rsidRPr="00D72C5D" w:rsidRDefault="00B540DA">
      <w:pPr>
        <w:pStyle w:val="Textonotapie"/>
        <w:rPr>
          <w:lang w:val="es-MX"/>
        </w:rPr>
      </w:pPr>
      <w:r>
        <w:rPr>
          <w:rStyle w:val="Refdenotaalpie"/>
        </w:rPr>
        <w:footnoteRef/>
      </w:r>
      <w:r w:rsidRPr="00C70116">
        <w:rPr>
          <w:lang w:val="es-ES"/>
        </w:rPr>
        <w:t xml:space="preserve"> </w:t>
      </w:r>
      <w:r>
        <w:rPr>
          <w:lang w:val="es-MX"/>
        </w:rPr>
        <w:tab/>
        <w:t xml:space="preserve">Anexo V al informe estatal de 16 de septiembre de 2019. </w:t>
      </w:r>
    </w:p>
  </w:footnote>
  <w:footnote w:id="22">
    <w:p w14:paraId="4FB2D879" w14:textId="28C00F17" w:rsidR="00B540DA" w:rsidRPr="00D72C5D" w:rsidRDefault="00B540DA">
      <w:pPr>
        <w:pStyle w:val="Textonotapie"/>
        <w:rPr>
          <w:lang w:val="es-MX"/>
        </w:rPr>
      </w:pPr>
      <w:r>
        <w:rPr>
          <w:rStyle w:val="Refdenotaalpie"/>
        </w:rPr>
        <w:footnoteRef/>
      </w:r>
      <w:r w:rsidRPr="00C70116">
        <w:rPr>
          <w:lang w:val="es-ES"/>
        </w:rPr>
        <w:t xml:space="preserve"> </w:t>
      </w:r>
      <w:r>
        <w:rPr>
          <w:lang w:val="es-MX"/>
        </w:rPr>
        <w:tab/>
        <w:t xml:space="preserve">Anexo VI al informe estatal de 16 de septiembre de 2019. </w:t>
      </w:r>
    </w:p>
  </w:footnote>
  <w:footnote w:id="23">
    <w:p w14:paraId="18EFFC5B" w14:textId="718D2B26" w:rsidR="00B540DA" w:rsidRPr="00C13372" w:rsidRDefault="00B540DA">
      <w:pPr>
        <w:pStyle w:val="Textonotapie"/>
        <w:rPr>
          <w:lang w:val="es-CR"/>
        </w:rPr>
      </w:pPr>
      <w:r>
        <w:rPr>
          <w:rStyle w:val="Refdenotaalpie"/>
        </w:rPr>
        <w:footnoteRef/>
      </w:r>
      <w:r w:rsidRPr="00C13372">
        <w:rPr>
          <w:lang w:val="es-CR"/>
        </w:rPr>
        <w:t xml:space="preserve"> </w:t>
      </w:r>
      <w:r>
        <w:rPr>
          <w:lang w:val="es-CR"/>
        </w:rPr>
        <w:tab/>
      </w:r>
      <w:r>
        <w:rPr>
          <w:i/>
          <w:lang w:val="es-CR"/>
        </w:rPr>
        <w:t xml:space="preserve">Cfr. </w:t>
      </w:r>
      <w:r>
        <w:rPr>
          <w:lang w:val="es-CR"/>
        </w:rPr>
        <w:t xml:space="preserve">Informe estatal de 16 de septiembre de 2019. </w:t>
      </w:r>
    </w:p>
  </w:footnote>
  <w:footnote w:id="24">
    <w:p w14:paraId="6C51C141" w14:textId="18FC8ABF" w:rsidR="00B540DA" w:rsidRPr="002C1044" w:rsidRDefault="00B540DA">
      <w:pPr>
        <w:pStyle w:val="Textonotapie"/>
        <w:rPr>
          <w:lang w:val="es-CR"/>
        </w:rPr>
      </w:pPr>
      <w:r>
        <w:rPr>
          <w:rStyle w:val="Refdenotaalpie"/>
        </w:rPr>
        <w:footnoteRef/>
      </w:r>
      <w:r w:rsidRPr="002C1044">
        <w:rPr>
          <w:lang w:val="es-CR"/>
        </w:rPr>
        <w:t xml:space="preserve"> </w:t>
      </w:r>
      <w:r>
        <w:rPr>
          <w:lang w:val="es-CR"/>
        </w:rPr>
        <w:tab/>
      </w:r>
      <w:r>
        <w:rPr>
          <w:i/>
          <w:lang w:val="es-CR"/>
        </w:rPr>
        <w:t xml:space="preserve">Cfr. </w:t>
      </w:r>
      <w:r>
        <w:rPr>
          <w:lang w:val="es-CR"/>
        </w:rPr>
        <w:t xml:space="preserve">Escrito de observaciones de los representantes de 11 de noviembre de 2019. </w:t>
      </w:r>
    </w:p>
  </w:footnote>
  <w:footnote w:id="25">
    <w:p w14:paraId="5F81A7FD" w14:textId="7145E812" w:rsidR="00B540DA" w:rsidRPr="00D72C5D" w:rsidRDefault="00B540DA">
      <w:pPr>
        <w:pStyle w:val="Textonotapie"/>
        <w:rPr>
          <w:lang w:val="es-MX"/>
        </w:rPr>
      </w:pPr>
      <w:r>
        <w:rPr>
          <w:rStyle w:val="Refdenotaalpie"/>
        </w:rPr>
        <w:footnoteRef/>
      </w:r>
      <w:r w:rsidRPr="00C70116">
        <w:rPr>
          <w:lang w:val="es-ES"/>
        </w:rPr>
        <w:t xml:space="preserve"> </w:t>
      </w:r>
      <w:r>
        <w:rPr>
          <w:lang w:val="es-MX"/>
        </w:rPr>
        <w:tab/>
      </w:r>
      <w:r>
        <w:rPr>
          <w:i/>
          <w:lang w:val="es-MX"/>
        </w:rPr>
        <w:t>Cfr.</w:t>
      </w:r>
      <w:r>
        <w:rPr>
          <w:lang w:val="es-MX"/>
        </w:rPr>
        <w:t xml:space="preserve"> </w:t>
      </w:r>
      <w:r w:rsidRPr="00C909A0">
        <w:rPr>
          <w:i/>
          <w:lang w:val="es-CO"/>
        </w:rPr>
        <w:t xml:space="preserve">Caso </w:t>
      </w:r>
      <w:r>
        <w:rPr>
          <w:i/>
          <w:lang w:val="es-CO"/>
        </w:rPr>
        <w:t>Herzog y otros</w:t>
      </w:r>
      <w:r w:rsidRPr="00C909A0">
        <w:rPr>
          <w:i/>
          <w:lang w:val="es-CO"/>
        </w:rPr>
        <w:t xml:space="preserve"> Vs. Brasil.</w:t>
      </w:r>
      <w:r>
        <w:rPr>
          <w:i/>
          <w:lang w:val="es-CO"/>
        </w:rPr>
        <w:t xml:space="preserve"> Excepciones Preliminares, Fondo, Reparaciones y Costas, supra </w:t>
      </w:r>
      <w:r>
        <w:rPr>
          <w:lang w:val="es-CO"/>
        </w:rPr>
        <w:t xml:space="preserve">nota 1, </w:t>
      </w:r>
      <w:proofErr w:type="spellStart"/>
      <w:r>
        <w:rPr>
          <w:lang w:val="es-CO"/>
        </w:rPr>
        <w:t>párrs</w:t>
      </w:r>
      <w:proofErr w:type="spellEnd"/>
      <w:r>
        <w:rPr>
          <w:lang w:val="es-CO"/>
        </w:rPr>
        <w:t xml:space="preserve">. 373 a 376. </w:t>
      </w:r>
    </w:p>
  </w:footnote>
  <w:footnote w:id="26">
    <w:p w14:paraId="490BEA8D" w14:textId="4497A9AC" w:rsidR="00B540DA" w:rsidRPr="00817A3A" w:rsidRDefault="00B540DA">
      <w:pPr>
        <w:pStyle w:val="Textonotapie"/>
        <w:rPr>
          <w:lang w:val="es-CR"/>
        </w:rPr>
      </w:pPr>
      <w:r>
        <w:rPr>
          <w:rStyle w:val="Refdenotaalpie"/>
        </w:rPr>
        <w:footnoteRef/>
      </w:r>
      <w:r w:rsidRPr="00817A3A">
        <w:rPr>
          <w:lang w:val="es-CR"/>
        </w:rPr>
        <w:t xml:space="preserve"> </w:t>
      </w:r>
      <w:r>
        <w:rPr>
          <w:lang w:val="es-CR"/>
        </w:rPr>
        <w:tab/>
      </w:r>
      <w:r>
        <w:rPr>
          <w:i/>
          <w:lang w:val="es-CR"/>
        </w:rPr>
        <w:t xml:space="preserve">Cfr. </w:t>
      </w:r>
      <w:r>
        <w:rPr>
          <w:lang w:val="es-CR"/>
        </w:rPr>
        <w:t>Escrito de observaciones de los representantes de 11 de noviembre de 2019.</w:t>
      </w:r>
    </w:p>
  </w:footnote>
  <w:footnote w:id="27">
    <w:p w14:paraId="511F5F71" w14:textId="731DE40A" w:rsidR="00B540DA" w:rsidRPr="00D72C5D" w:rsidRDefault="00B540DA">
      <w:pPr>
        <w:pStyle w:val="Textonotapie"/>
        <w:rPr>
          <w:lang w:val="es-MX"/>
        </w:rPr>
      </w:pPr>
      <w:r>
        <w:rPr>
          <w:rStyle w:val="Refdenotaalpie"/>
        </w:rPr>
        <w:footnoteRef/>
      </w:r>
      <w:r w:rsidRPr="00590341">
        <w:rPr>
          <w:lang w:val="es-ES"/>
        </w:rPr>
        <w:t xml:space="preserve"> </w:t>
      </w:r>
      <w:r>
        <w:rPr>
          <w:lang w:val="es-MX"/>
        </w:rPr>
        <w:tab/>
        <w:t xml:space="preserve">Asimismo, dispuso que </w:t>
      </w:r>
      <w:r w:rsidRPr="00590341">
        <w:rPr>
          <w:lang w:val="es-ES"/>
        </w:rPr>
        <w:t>Brasil de</w:t>
      </w:r>
      <w:r w:rsidR="000C0777">
        <w:rPr>
          <w:lang w:val="es-ES"/>
        </w:rPr>
        <w:t>b</w:t>
      </w:r>
      <w:r w:rsidRPr="00590341">
        <w:rPr>
          <w:lang w:val="es-ES"/>
        </w:rPr>
        <w:t>ía informar de forma inmediata a esta Corte una vez que proceda a realizar cada una de las publicaciones dispuestas, independientemente del plazo de un año para presentar su primer informe dispuesto en el punto resolutivo 1</w:t>
      </w:r>
      <w:r w:rsidR="00E773A5">
        <w:rPr>
          <w:lang w:val="es-ES"/>
        </w:rPr>
        <w:t>3</w:t>
      </w:r>
      <w:r w:rsidRPr="00590341">
        <w:rPr>
          <w:lang w:val="es-ES"/>
        </w:rPr>
        <w:t xml:space="preserve"> de la Sentencia, y que debía presentar prueba de todos los posts semanales en redes sociales ordenados.</w:t>
      </w:r>
    </w:p>
  </w:footnote>
  <w:footnote w:id="28">
    <w:p w14:paraId="665CFE43" w14:textId="74414EF8" w:rsidR="00B540DA" w:rsidRPr="00AF33D9" w:rsidRDefault="00B540DA" w:rsidP="00AF33D9">
      <w:pPr>
        <w:pStyle w:val="Textonotapie"/>
        <w:rPr>
          <w:lang w:val="es-CR"/>
        </w:rPr>
      </w:pPr>
      <w:r>
        <w:rPr>
          <w:rStyle w:val="Refdenotaalpie"/>
        </w:rPr>
        <w:footnoteRef/>
      </w:r>
      <w:r w:rsidRPr="00AF33D9">
        <w:rPr>
          <w:lang w:val="es-CR"/>
        </w:rPr>
        <w:t xml:space="preserve"> </w:t>
      </w:r>
      <w:r>
        <w:rPr>
          <w:lang w:val="es-MX"/>
        </w:rPr>
        <w:tab/>
        <w:t xml:space="preserve">En su informe de 16 de septiembre de 2019, el Estado indicó que el resumen de la Sentencia se podía consultar en el enlace </w:t>
      </w:r>
      <w:hyperlink r:id="rId2" w:history="1">
        <w:r w:rsidRPr="00875EFA">
          <w:rPr>
            <w:rStyle w:val="Hipervnculo"/>
            <w:color w:val="4472C4" w:themeColor="accent1"/>
            <w:sz w:val="16"/>
            <w:szCs w:val="24"/>
            <w:u w:val="single"/>
            <w:lang w:val="es-CR"/>
          </w:rPr>
          <w:t>https://www.mdh.qov.br/navegue-por-temas/atuacao-internacional/editais-2018-1/Resumo_Caso_Herzog.pdf/view</w:t>
        </w:r>
      </w:hyperlink>
      <w:r>
        <w:rPr>
          <w:lang w:val="es-CR"/>
        </w:rPr>
        <w:t xml:space="preserve">. Asimismo, el 16 de octubre de 2019, informó que el texto íntegro de la Sentencia se encontraba disponible en el enlace </w:t>
      </w:r>
      <w:hyperlink r:id="rId3" w:history="1">
        <w:r w:rsidRPr="00EC1643">
          <w:rPr>
            <w:rStyle w:val="Hipervnculo"/>
            <w:sz w:val="16"/>
            <w:szCs w:val="24"/>
            <w:lang w:val="es-CR"/>
          </w:rPr>
          <w:t>https://www.mdh.gov.br/navegue-por-temas/atuacao-internacional/editais-2018-1/Sentena_Caso Herzog.pdf</w:t>
        </w:r>
      </w:hyperlink>
      <w:r>
        <w:rPr>
          <w:color w:val="4472C4" w:themeColor="accent1"/>
          <w:u w:val="single"/>
          <w:lang w:val="es-CR"/>
        </w:rPr>
        <w:t>.</w:t>
      </w:r>
      <w:r>
        <w:rPr>
          <w:lang w:val="es-CR"/>
        </w:rPr>
        <w:t xml:space="preserve"> </w:t>
      </w:r>
      <w:r w:rsidRPr="009E76B5">
        <w:rPr>
          <w:i/>
          <w:lang w:val="es-CR"/>
        </w:rPr>
        <w:t>Cfr</w:t>
      </w:r>
      <w:r>
        <w:rPr>
          <w:lang w:val="es-CR"/>
        </w:rPr>
        <w:t xml:space="preserve">. Informes estatales de 16 de septiembre de 2019 y 16 de octubre de 2019. </w:t>
      </w:r>
      <w:r w:rsidRPr="00590341">
        <w:rPr>
          <w:lang w:val="es-ES"/>
        </w:rPr>
        <w:t>La última vez que dichas páginas fueron visitadas (18 de marzo de 2021), se pudo constatar que arrojaban un error. No obstante, esta Corte nota que la Sentencia y su resumen se encuentran disponibles en el siguiente enlace:</w:t>
      </w:r>
      <w:r>
        <w:rPr>
          <w:lang w:val="es-CR"/>
        </w:rPr>
        <w:t xml:space="preserve"> </w:t>
      </w:r>
      <w:hyperlink r:id="rId4" w:history="1">
        <w:r w:rsidRPr="00AF33D9">
          <w:rPr>
            <w:rStyle w:val="Hipervnculo"/>
            <w:color w:val="4472C4" w:themeColor="accent1"/>
            <w:sz w:val="16"/>
            <w:szCs w:val="24"/>
            <w:u w:val="single"/>
            <w:lang w:val="es-CR"/>
          </w:rPr>
          <w:t>https://www.gov.br/mdh/pt-br/navegue-por-temas/atuacao-internacional/sentencas-da-corte-interamericana</w:t>
        </w:r>
      </w:hyperlink>
      <w:r>
        <w:rPr>
          <w:lang w:val="es-MX"/>
        </w:rPr>
        <w:t xml:space="preserve"> (visitado por última vez el 18 de marzo de 2021). </w:t>
      </w:r>
      <w:r w:rsidRPr="00590341">
        <w:rPr>
          <w:lang w:val="es-ES"/>
        </w:rPr>
        <w:t>Sin perjuicio de esto último, se recuerda que no le debe corresponder a este Tribunal dicha tarea, sino que es el Estado el que tiene la responsabilidad de indicar los enlaces y aportar los comprobantes correspondientes.</w:t>
      </w:r>
    </w:p>
  </w:footnote>
  <w:footnote w:id="29">
    <w:p w14:paraId="36DDAA6D" w14:textId="6347C7D4" w:rsidR="00B540DA" w:rsidRPr="009C2B61" w:rsidRDefault="00B540DA">
      <w:pPr>
        <w:pStyle w:val="Textonotapie"/>
        <w:rPr>
          <w:lang w:val="es-CR"/>
        </w:rPr>
      </w:pPr>
      <w:r>
        <w:rPr>
          <w:rStyle w:val="Refdenotaalpie"/>
        </w:rPr>
        <w:footnoteRef/>
      </w:r>
      <w:r w:rsidRPr="009C2B61">
        <w:rPr>
          <w:lang w:val="es-CR"/>
        </w:rPr>
        <w:t xml:space="preserve"> </w:t>
      </w:r>
      <w:r>
        <w:rPr>
          <w:lang w:val="es-CR"/>
        </w:rPr>
        <w:tab/>
        <w:t xml:space="preserve">El Estado remitió capturas de pantalla de las publicaciones realizadas en Facebook y Twitter entre julio de 2018 y julio de 2019 (anexo 7 al informe estatal de 16 de septiembre de 2019). </w:t>
      </w:r>
    </w:p>
  </w:footnote>
  <w:footnote w:id="30">
    <w:p w14:paraId="0C65044C" w14:textId="617E3B93" w:rsidR="00B540DA" w:rsidRPr="00ED10AA" w:rsidRDefault="00B540DA">
      <w:pPr>
        <w:pStyle w:val="Textonotapie"/>
        <w:rPr>
          <w:lang w:val="es-MX"/>
        </w:rPr>
      </w:pPr>
      <w:r>
        <w:rPr>
          <w:rStyle w:val="Refdenotaalpie"/>
        </w:rPr>
        <w:footnoteRef/>
      </w:r>
      <w:r w:rsidRPr="00ED10AA">
        <w:rPr>
          <w:lang w:val="es-CR"/>
        </w:rPr>
        <w:t xml:space="preserve"> </w:t>
      </w:r>
      <w:r>
        <w:rPr>
          <w:lang w:val="es-MX"/>
        </w:rPr>
        <w:tab/>
        <w:t xml:space="preserve">En el párrafo 392 de la Sentencia se fijó la cantidad </w:t>
      </w:r>
      <w:r w:rsidRPr="00ED10AA">
        <w:rPr>
          <w:lang w:val="es-ES_tradnl"/>
        </w:rPr>
        <w:t>de US$20.000,00 (veinte mil dólares de los Estados Unidos de América), por concepto de daño emergente</w:t>
      </w:r>
      <w:r>
        <w:rPr>
          <w:lang w:val="es-ES_tradnl"/>
        </w:rPr>
        <w:t>.</w:t>
      </w:r>
    </w:p>
  </w:footnote>
  <w:footnote w:id="31">
    <w:p w14:paraId="6E75A91B" w14:textId="355DE3CD" w:rsidR="00B540DA" w:rsidRPr="00ED10AA" w:rsidRDefault="00B540DA">
      <w:pPr>
        <w:pStyle w:val="Textonotapie"/>
        <w:rPr>
          <w:lang w:val="es-MX"/>
        </w:rPr>
      </w:pPr>
      <w:r>
        <w:rPr>
          <w:rStyle w:val="Refdenotaalpie"/>
        </w:rPr>
        <w:footnoteRef/>
      </w:r>
      <w:r w:rsidRPr="00ED10AA">
        <w:rPr>
          <w:lang w:val="es-CR"/>
        </w:rPr>
        <w:t xml:space="preserve"> </w:t>
      </w:r>
      <w:r>
        <w:rPr>
          <w:lang w:val="es-MX"/>
        </w:rPr>
        <w:tab/>
        <w:t xml:space="preserve">En el párrafo 397 de la Sentencia se fijó la cantidad </w:t>
      </w:r>
      <w:r w:rsidRPr="00ED10AA">
        <w:rPr>
          <w:lang w:val="es-ES_tradnl"/>
        </w:rPr>
        <w:t>de</w:t>
      </w:r>
      <w:r>
        <w:rPr>
          <w:lang w:val="es-ES_tradnl"/>
        </w:rPr>
        <w:t xml:space="preserve"> </w:t>
      </w:r>
      <w:r w:rsidRPr="00ED10AA">
        <w:rPr>
          <w:lang w:val="es-ES_tradnl"/>
        </w:rPr>
        <w:t>US$ 40.000,00 (cuarenta mil dólares de los Estados Unidos de América) para cada uno, por concepto de daño inmaterial</w:t>
      </w:r>
      <w:r>
        <w:rPr>
          <w:lang w:val="es-ES_tradnl"/>
        </w:rPr>
        <w:t xml:space="preserve">. </w:t>
      </w:r>
    </w:p>
  </w:footnote>
  <w:footnote w:id="32">
    <w:p w14:paraId="04476D91" w14:textId="47C42948" w:rsidR="00B540DA" w:rsidRPr="00ED10AA" w:rsidRDefault="00B540DA">
      <w:pPr>
        <w:pStyle w:val="Textonotapie"/>
        <w:rPr>
          <w:lang w:val="es-MX"/>
        </w:rPr>
      </w:pPr>
      <w:r>
        <w:rPr>
          <w:rStyle w:val="Refdenotaalpie"/>
        </w:rPr>
        <w:footnoteRef/>
      </w:r>
      <w:r w:rsidRPr="00ED10AA">
        <w:rPr>
          <w:lang w:val="es-CR"/>
        </w:rPr>
        <w:t xml:space="preserve"> </w:t>
      </w:r>
      <w:r>
        <w:rPr>
          <w:lang w:val="es-MX"/>
        </w:rPr>
        <w:tab/>
        <w:t xml:space="preserve">En el párrafo 403 de la Sentencia se fijó la cantidad de </w:t>
      </w:r>
      <w:r w:rsidRPr="00ED10AA">
        <w:rPr>
          <w:lang w:val="es-ES_tradnl"/>
        </w:rPr>
        <w:t xml:space="preserve">US$ 25.000,00 (veinte y cinco mil dólares de los Estados Unidos de América) a </w:t>
      </w:r>
      <w:r>
        <w:rPr>
          <w:lang w:val="es-ES_tradnl"/>
        </w:rPr>
        <w:t xml:space="preserve">favor de </w:t>
      </w:r>
      <w:r w:rsidRPr="00ED10AA">
        <w:rPr>
          <w:lang w:val="es-ES_tradnl"/>
        </w:rPr>
        <w:t>CEJIL por concepto de costas y gastos.</w:t>
      </w:r>
    </w:p>
  </w:footnote>
  <w:footnote w:id="33">
    <w:p w14:paraId="2879DA32" w14:textId="18E6A3A3" w:rsidR="00B540DA" w:rsidRPr="006B27CA" w:rsidRDefault="00B540DA">
      <w:pPr>
        <w:pStyle w:val="Textonotapie"/>
        <w:rPr>
          <w:lang w:val="es-CR"/>
        </w:rPr>
      </w:pPr>
      <w:r>
        <w:rPr>
          <w:rStyle w:val="Refdenotaalpie"/>
        </w:rPr>
        <w:footnoteRef/>
      </w:r>
      <w:r w:rsidRPr="006B27CA">
        <w:rPr>
          <w:lang w:val="es-CR"/>
        </w:rPr>
        <w:t xml:space="preserve"> </w:t>
      </w:r>
      <w:r>
        <w:rPr>
          <w:lang w:val="es-CR"/>
        </w:rPr>
        <w:tab/>
      </w:r>
      <w:r>
        <w:rPr>
          <w:i/>
          <w:lang w:val="es-CR"/>
        </w:rPr>
        <w:t xml:space="preserve">Cfr. </w:t>
      </w:r>
      <w:r>
        <w:rPr>
          <w:lang w:val="es-CR"/>
        </w:rPr>
        <w:t xml:space="preserve">Orden Bancaria N° 2019OB800089 a favor del Centro por la Justicia y el Derecho Internacional (anexo 9 al informe estatal de 16 de septiembre de 2019). </w:t>
      </w:r>
    </w:p>
  </w:footnote>
  <w:footnote w:id="34">
    <w:p w14:paraId="4F78372D" w14:textId="56DE8B40" w:rsidR="00B540DA" w:rsidRPr="006B27CA" w:rsidRDefault="00B540DA">
      <w:pPr>
        <w:pStyle w:val="Textonotapie"/>
        <w:rPr>
          <w:lang w:val="es-CR"/>
        </w:rPr>
      </w:pPr>
      <w:r>
        <w:rPr>
          <w:rStyle w:val="Refdenotaalpie"/>
        </w:rPr>
        <w:footnoteRef/>
      </w:r>
      <w:r w:rsidRPr="006B27CA">
        <w:rPr>
          <w:lang w:val="es-CR"/>
        </w:rPr>
        <w:t xml:space="preserve"> </w:t>
      </w:r>
      <w:r>
        <w:rPr>
          <w:lang w:val="es-CR"/>
        </w:rPr>
        <w:tab/>
        <w:t xml:space="preserve">Confirmaron la recepción del </w:t>
      </w:r>
      <w:proofErr w:type="gramStart"/>
      <w:r>
        <w:rPr>
          <w:lang w:val="es-CR"/>
        </w:rPr>
        <w:t>montos ordenado</w:t>
      </w:r>
      <w:proofErr w:type="gramEnd"/>
      <w:r>
        <w:rPr>
          <w:lang w:val="es-CR"/>
        </w:rPr>
        <w:t xml:space="preserve"> en la Sentencia en concepto de costas y gastos. </w:t>
      </w:r>
      <w:r>
        <w:rPr>
          <w:i/>
          <w:lang w:val="es-CR"/>
        </w:rPr>
        <w:t xml:space="preserve">Cfr. </w:t>
      </w:r>
      <w:r>
        <w:rPr>
          <w:lang w:val="es-CR"/>
        </w:rPr>
        <w:t>Escrito de observaciones de los representantes de 11 de noviembre de 2019.</w:t>
      </w:r>
    </w:p>
  </w:footnote>
  <w:footnote w:id="35">
    <w:p w14:paraId="357EF5FA" w14:textId="69764B74" w:rsidR="00B540DA" w:rsidRPr="00C611AA" w:rsidRDefault="00B540DA">
      <w:pPr>
        <w:pStyle w:val="Textonotapie"/>
        <w:rPr>
          <w:lang w:val="es-MX"/>
        </w:rPr>
      </w:pPr>
      <w:r>
        <w:rPr>
          <w:rStyle w:val="Refdenotaalpie"/>
        </w:rPr>
        <w:footnoteRef/>
      </w:r>
      <w:r w:rsidRPr="00C611AA">
        <w:rPr>
          <w:lang w:val="es-CR"/>
        </w:rPr>
        <w:t xml:space="preserve"> </w:t>
      </w:r>
      <w:r>
        <w:rPr>
          <w:lang w:val="es-MX"/>
        </w:rPr>
        <w:tab/>
      </w:r>
      <w:r w:rsidRPr="00C611AA">
        <w:rPr>
          <w:lang w:val="es-CR"/>
        </w:rPr>
        <w:t xml:space="preserve">El Fondo de Asistencia Legal de Víctimas de la Corte Interamericana no cuenta con recursos del presupuesto ordinario de la OEA. Hasta la fecha los fondos han provenido de proyectos de cooperación firmados por el Tribunal con Noruega y Dinamarca, y del aporte voluntario realizado por Colombia. Al respecto ver: Informe Anual de la Corte Interamericana de Derechos Humanos de </w:t>
      </w:r>
      <w:r>
        <w:rPr>
          <w:lang w:val="es-CR"/>
        </w:rPr>
        <w:t>2019</w:t>
      </w:r>
      <w:r w:rsidRPr="00C611AA">
        <w:rPr>
          <w:lang w:val="es-CR"/>
        </w:rPr>
        <w:t xml:space="preserve">, págs. </w:t>
      </w:r>
      <w:r>
        <w:rPr>
          <w:lang w:val="es-CR"/>
        </w:rPr>
        <w:t>160</w:t>
      </w:r>
      <w:r w:rsidRPr="00C611AA">
        <w:rPr>
          <w:lang w:val="es-CR"/>
        </w:rPr>
        <w:t xml:space="preserve"> a </w:t>
      </w:r>
      <w:r>
        <w:rPr>
          <w:lang w:val="es-CR"/>
        </w:rPr>
        <w:t>169</w:t>
      </w:r>
      <w:r w:rsidRPr="00C611AA">
        <w:rPr>
          <w:lang w:val="es-CR"/>
        </w:rPr>
        <w:t xml:space="preserve">, disponible en: </w:t>
      </w:r>
      <w:hyperlink r:id="rId5" w:history="1">
        <w:r w:rsidRPr="00A24AAF">
          <w:rPr>
            <w:rStyle w:val="Hipervnculo"/>
            <w:sz w:val="16"/>
            <w:szCs w:val="24"/>
            <w:lang w:val="es-CR"/>
          </w:rPr>
          <w:t>http://www.corteidh.or.cr/tablas/informe2019/espanol.pdf</w:t>
        </w:r>
      </w:hyperlink>
      <w:r>
        <w:rPr>
          <w:lang w:val="es-MX"/>
        </w:rPr>
        <w:t xml:space="preserve"> </w:t>
      </w:r>
    </w:p>
  </w:footnote>
  <w:footnote w:id="36">
    <w:p w14:paraId="21BEBBF8" w14:textId="0CCD4EBA" w:rsidR="00B540DA" w:rsidRPr="002D50F5" w:rsidRDefault="00B540DA">
      <w:pPr>
        <w:pStyle w:val="Textonotapie"/>
        <w:rPr>
          <w:lang w:val="es-CR"/>
        </w:rPr>
      </w:pPr>
      <w:r>
        <w:rPr>
          <w:rStyle w:val="Refdenotaalpie"/>
        </w:rPr>
        <w:footnoteRef/>
      </w:r>
      <w:r w:rsidRPr="00C611AA">
        <w:rPr>
          <w:lang w:val="es-CR"/>
        </w:rPr>
        <w:t xml:space="preserve"> </w:t>
      </w:r>
      <w:r>
        <w:rPr>
          <w:lang w:val="es-MX"/>
        </w:rPr>
        <w:tab/>
      </w:r>
      <w:r w:rsidRPr="00C611AA">
        <w:rPr>
          <w:i/>
          <w:lang w:val="es-CR"/>
        </w:rPr>
        <w:t xml:space="preserve">Cfr. Caso Duque Vs. Colombia. Supervisión de Cumplimiento de Sentencia. </w:t>
      </w:r>
      <w:r w:rsidRPr="00C611AA">
        <w:rPr>
          <w:lang w:val="es-CR"/>
        </w:rPr>
        <w:t>Resolución de la Corte Interamericana de Derechos Humanos de 22 de nov</w:t>
      </w:r>
      <w:r>
        <w:rPr>
          <w:lang w:val="es-CR"/>
        </w:rPr>
        <w:t xml:space="preserve">iembre de 2018, Considerando 24, y </w:t>
      </w:r>
      <w:r w:rsidRPr="002D50F5">
        <w:rPr>
          <w:i/>
          <w:lang w:val="es-CR"/>
        </w:rPr>
        <w:t xml:space="preserve">Caso </w:t>
      </w:r>
      <w:r>
        <w:rPr>
          <w:i/>
          <w:lang w:val="es-CR"/>
        </w:rPr>
        <w:t>Acosta y otros</w:t>
      </w:r>
      <w:r w:rsidRPr="002D50F5">
        <w:rPr>
          <w:i/>
          <w:lang w:val="es-CR"/>
        </w:rPr>
        <w:t xml:space="preserve"> Vs. </w:t>
      </w:r>
      <w:r>
        <w:rPr>
          <w:i/>
          <w:lang w:val="es-CR"/>
        </w:rPr>
        <w:t xml:space="preserve">Nicaragua. Supervisión de Cumplimiento de Sentencia. </w:t>
      </w:r>
      <w:r>
        <w:rPr>
          <w:lang w:val="es-CR"/>
        </w:rPr>
        <w:t xml:space="preserve">Resolución de la Corte Interamericana de Derechos Humanos </w:t>
      </w:r>
      <w:r w:rsidRPr="009C50BE">
        <w:rPr>
          <w:lang w:val="es-CR"/>
        </w:rPr>
        <w:t xml:space="preserve">de </w:t>
      </w:r>
      <w:r w:rsidR="008802DE">
        <w:rPr>
          <w:lang w:val="es-CR"/>
        </w:rPr>
        <w:t>16</w:t>
      </w:r>
      <w:r>
        <w:rPr>
          <w:lang w:val="es-CR"/>
        </w:rPr>
        <w:t xml:space="preserve"> de marzo de 2021, Considerando 22.</w:t>
      </w:r>
    </w:p>
  </w:footnote>
  <w:footnote w:id="37">
    <w:p w14:paraId="5B121ECB" w14:textId="57EB535F" w:rsidR="00E259B9" w:rsidRPr="00E259B9" w:rsidRDefault="00E259B9">
      <w:pPr>
        <w:pStyle w:val="Textonotapie"/>
        <w:rPr>
          <w:lang w:val="es-MX"/>
        </w:rPr>
      </w:pPr>
      <w:r>
        <w:rPr>
          <w:rStyle w:val="Refdenotaalpie"/>
        </w:rPr>
        <w:footnoteRef/>
      </w:r>
      <w:r w:rsidRPr="00917B6F">
        <w:rPr>
          <w:lang w:val="es-CR"/>
        </w:rPr>
        <w:t xml:space="preserve"> </w:t>
      </w:r>
      <w:r>
        <w:rPr>
          <w:lang w:val="es-MX"/>
        </w:rPr>
        <w:tab/>
      </w:r>
      <w:r w:rsidRPr="00E259B9">
        <w:rPr>
          <w:lang w:val="es-ES_tradnl"/>
        </w:rPr>
        <w:t xml:space="preserve">El </w:t>
      </w:r>
      <w:proofErr w:type="spellStart"/>
      <w:r w:rsidRPr="00E259B9">
        <w:rPr>
          <w:lang w:val="es-ES_tradnl"/>
        </w:rPr>
        <w:t>artículo</w:t>
      </w:r>
      <w:proofErr w:type="spellEnd"/>
      <w:r w:rsidRPr="00E259B9">
        <w:rPr>
          <w:lang w:val="es-ES_tradnl"/>
        </w:rPr>
        <w:t xml:space="preserve"> 69.2 establece que “[l]a Corte </w:t>
      </w:r>
      <w:proofErr w:type="spellStart"/>
      <w:r w:rsidRPr="00E259B9">
        <w:rPr>
          <w:lang w:val="es-ES_tradnl"/>
        </w:rPr>
        <w:t>podra</w:t>
      </w:r>
      <w:proofErr w:type="spellEnd"/>
      <w:r w:rsidRPr="00E259B9">
        <w:rPr>
          <w:lang w:val="es-ES_tradnl"/>
        </w:rPr>
        <w:t xml:space="preserve">́ requerir a otras fuentes de </w:t>
      </w:r>
      <w:proofErr w:type="spellStart"/>
      <w:r w:rsidRPr="00E259B9">
        <w:rPr>
          <w:lang w:val="es-ES_tradnl"/>
        </w:rPr>
        <w:t>información</w:t>
      </w:r>
      <w:proofErr w:type="spellEnd"/>
      <w:r w:rsidRPr="00E259B9">
        <w:rPr>
          <w:lang w:val="es-ES_tradnl"/>
        </w:rPr>
        <w:t xml:space="preserve"> datos relevantes sobre el caso, que permitan apreciar el cumplimiento. […]”</w:t>
      </w:r>
      <w:r w:rsidR="008802DE">
        <w:rPr>
          <w:lang w:val="es-ES_tradnl"/>
        </w:rPr>
        <w:t>.</w:t>
      </w:r>
    </w:p>
  </w:footnote>
  <w:footnote w:id="38">
    <w:p w14:paraId="533DDF96" w14:textId="00DFD875" w:rsidR="00BC07F2" w:rsidRPr="00AF33D9" w:rsidRDefault="00BC07F2" w:rsidP="00BC07F2">
      <w:pPr>
        <w:pStyle w:val="Textonotapie"/>
        <w:rPr>
          <w:lang w:val="es-CR"/>
        </w:rPr>
      </w:pPr>
      <w:r>
        <w:rPr>
          <w:rStyle w:val="Refdenotaalpie"/>
        </w:rPr>
        <w:footnoteRef/>
      </w:r>
      <w:r w:rsidRPr="00AF33D9">
        <w:rPr>
          <w:lang w:val="es-CR"/>
        </w:rPr>
        <w:t xml:space="preserve"> </w:t>
      </w:r>
      <w:r>
        <w:rPr>
          <w:lang w:val="es-MX"/>
        </w:rPr>
        <w:tab/>
        <w:t xml:space="preserve">En su informe de 16 de septiembre de 2019, el Estado indicó que el resumen de la Sentencia se podía consultar en el enlace </w:t>
      </w:r>
      <w:hyperlink r:id="rId6" w:history="1">
        <w:r w:rsidRPr="00875EFA">
          <w:rPr>
            <w:rStyle w:val="Hipervnculo"/>
            <w:color w:val="4472C4" w:themeColor="accent1"/>
            <w:sz w:val="16"/>
            <w:szCs w:val="24"/>
            <w:u w:val="single"/>
            <w:lang w:val="es-CR"/>
          </w:rPr>
          <w:t>https://www.mdh.qov.br/navegue-por-temas/atuacao-internacional/editais-2018-1/Resumo_Caso_Herzog.pdf/view</w:t>
        </w:r>
      </w:hyperlink>
      <w:r>
        <w:rPr>
          <w:lang w:val="es-CR"/>
        </w:rPr>
        <w:t xml:space="preserve">. Asimismo, el 16 de octubre de 2019, informó que el texto íntegro de la Sentencia se encontraba disponible en el enlace </w:t>
      </w:r>
      <w:hyperlink r:id="rId7" w:history="1">
        <w:r w:rsidRPr="00E93A0A">
          <w:rPr>
            <w:rStyle w:val="Hipervnculo"/>
            <w:sz w:val="16"/>
            <w:szCs w:val="24"/>
            <w:u w:val="single"/>
            <w:lang w:val="es-CR"/>
          </w:rPr>
          <w:t>https://www.mdh.gov.br/navegue-por-temas/atuacao-internacional/editais-2018-1/Sentena_Caso Herzog.pdf</w:t>
        </w:r>
      </w:hyperlink>
      <w:r>
        <w:rPr>
          <w:color w:val="4472C4" w:themeColor="accent1"/>
          <w:u w:val="single"/>
          <w:lang w:val="es-CR"/>
        </w:rPr>
        <w:t>.</w:t>
      </w:r>
      <w:r>
        <w:rPr>
          <w:lang w:val="es-CR"/>
        </w:rPr>
        <w:t xml:space="preserve"> </w:t>
      </w:r>
      <w:r w:rsidRPr="009E76B5">
        <w:rPr>
          <w:i/>
          <w:lang w:val="es-CR"/>
        </w:rPr>
        <w:t>Cfr</w:t>
      </w:r>
      <w:r>
        <w:rPr>
          <w:lang w:val="es-CR"/>
        </w:rPr>
        <w:t xml:space="preserve">. Informes estatales de 16 de septiembre de 2019 y 16 de octubre de 2019. </w:t>
      </w:r>
      <w:r w:rsidRPr="00590341">
        <w:rPr>
          <w:lang w:val="es-ES"/>
        </w:rPr>
        <w:t>La última vez que dichas páginas fueron visitadas (18 de marzo de 2021), se pudo constatar que arrojaban un error. No obstante, esta Corte nota que la Sentencia y su resumen se encuentran disponibles en el siguiente enlace:</w:t>
      </w:r>
      <w:r>
        <w:rPr>
          <w:lang w:val="es-CR"/>
        </w:rPr>
        <w:t xml:space="preserve"> </w:t>
      </w:r>
      <w:hyperlink w:history="1"/>
      <w:r>
        <w:rPr>
          <w:lang w:val="es-MX"/>
        </w:rPr>
        <w:t xml:space="preserve"> (visitado por última vez el 18 de marzo de 2021). </w:t>
      </w:r>
      <w:r w:rsidRPr="00590341">
        <w:rPr>
          <w:lang w:val="es-ES"/>
        </w:rPr>
        <w:t>Sin perjuicio de esto último, se recuerda que no le debe corresponder a este Tribunal dicha tarea, sino que es el Estado el que tiene la responsabilidad de indicar los enlaces y aportar los comprobantes correspondientes.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AB095A"/>
    <w:multiLevelType w:val="hybridMultilevel"/>
    <w:tmpl w:val="AE7EBBCA"/>
    <w:lvl w:ilvl="0" w:tplc="3938730A">
      <w:start w:val="1"/>
      <w:numFmt w:val="decimal"/>
      <w:lvlText w:val="%1."/>
      <w:lvlJc w:val="left"/>
      <w:pPr>
        <w:ind w:left="360" w:hanging="360"/>
      </w:pPr>
      <w:rPr>
        <w:rFonts w:ascii="Verdana" w:hAnsi="Verdana" w:hint="default"/>
        <w:b w:val="0"/>
        <w:i w:val="0"/>
        <w:sz w:val="20"/>
      </w:rPr>
    </w:lvl>
    <w:lvl w:ilvl="1" w:tplc="140A0017">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46B2D65"/>
    <w:multiLevelType w:val="hybridMultilevel"/>
    <w:tmpl w:val="DDFEF0EA"/>
    <w:lvl w:ilvl="0" w:tplc="A860FCFE">
      <w:start w:val="1"/>
      <w:numFmt w:val="decimal"/>
      <w:lvlText w:val="%1."/>
      <w:lvlJc w:val="left"/>
      <w:pPr>
        <w:ind w:left="630" w:hanging="360"/>
      </w:pPr>
      <w:rPr>
        <w:rFonts w:ascii="Verdana" w:hAnsi="Verdana" w:hint="default"/>
        <w:b w:val="0"/>
        <w:sz w:val="20"/>
        <w:szCs w:val="20"/>
      </w:rPr>
    </w:lvl>
    <w:lvl w:ilvl="1" w:tplc="140A0019">
      <w:start w:val="1"/>
      <w:numFmt w:val="lowerLetter"/>
      <w:lvlText w:val="%2."/>
      <w:lvlJc w:val="left"/>
      <w:pPr>
        <w:ind w:left="1440" w:hanging="360"/>
      </w:pPr>
    </w:lvl>
    <w:lvl w:ilvl="2" w:tplc="DAF440E0">
      <w:start w:val="1"/>
      <w:numFmt w:val="lowerRoman"/>
      <w:lvlText w:val="(%3)"/>
      <w:lvlJc w:val="left"/>
      <w:pPr>
        <w:ind w:left="2700" w:hanging="720"/>
      </w:pPr>
      <w:rPr>
        <w:rFonts w:hint="default"/>
      </w:r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18BB6E50"/>
    <w:multiLevelType w:val="multilevel"/>
    <w:tmpl w:val="04090023"/>
    <w:lvl w:ilvl="0">
      <w:start w:val="1"/>
      <w:numFmt w:val="upperRoman"/>
      <w:pStyle w:val="Ttulo1"/>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 w15:restartNumberingAfterBreak="0">
    <w:nsid w:val="22FE1456"/>
    <w:multiLevelType w:val="hybridMultilevel"/>
    <w:tmpl w:val="961651E4"/>
    <w:lvl w:ilvl="0" w:tplc="093481D6">
      <w:start w:val="1"/>
      <w:numFmt w:val="decimal"/>
      <w:lvlText w:val="%1."/>
      <w:lvlJc w:val="left"/>
      <w:pPr>
        <w:ind w:left="360" w:hanging="360"/>
      </w:pPr>
      <w:rPr>
        <w:rFonts w:ascii="Verdana" w:hAnsi="Verdana" w:hint="default"/>
        <w:b w:val="0"/>
        <w:i w:val="0"/>
        <w:sz w:val="20"/>
      </w:rPr>
    </w:lvl>
    <w:lvl w:ilvl="1" w:tplc="140A0017">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255B44F3"/>
    <w:multiLevelType w:val="hybridMultilevel"/>
    <w:tmpl w:val="A4364800"/>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2C4D4584"/>
    <w:multiLevelType w:val="hybridMultilevel"/>
    <w:tmpl w:val="AE7EBBCA"/>
    <w:lvl w:ilvl="0" w:tplc="3938730A">
      <w:start w:val="1"/>
      <w:numFmt w:val="decimal"/>
      <w:lvlText w:val="%1."/>
      <w:lvlJc w:val="left"/>
      <w:pPr>
        <w:ind w:left="360" w:hanging="360"/>
      </w:pPr>
      <w:rPr>
        <w:rFonts w:ascii="Verdana" w:hAnsi="Verdana" w:hint="default"/>
        <w:b w:val="0"/>
        <w:i w:val="0"/>
        <w:sz w:val="20"/>
      </w:rPr>
    </w:lvl>
    <w:lvl w:ilvl="1" w:tplc="140A0017">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2FE81BFF"/>
    <w:multiLevelType w:val="hybridMultilevel"/>
    <w:tmpl w:val="8482F76C"/>
    <w:lvl w:ilvl="0" w:tplc="140A0017">
      <w:start w:val="1"/>
      <w:numFmt w:val="lowerLetter"/>
      <w:lvlText w:val="%1)"/>
      <w:lvlJc w:val="left"/>
      <w:pPr>
        <w:ind w:left="360" w:hanging="360"/>
      </w:pPr>
    </w:lvl>
    <w:lvl w:ilvl="1" w:tplc="43D244F2">
      <w:start w:val="1"/>
      <w:numFmt w:val="lowerRoman"/>
      <w:lvlText w:val="%2)"/>
      <w:lvlJc w:val="left"/>
      <w:pPr>
        <w:ind w:left="1080" w:hanging="360"/>
      </w:pPr>
      <w:rPr>
        <w:rFonts w:hint="default"/>
      </w:rPr>
    </w:lvl>
    <w:lvl w:ilvl="2" w:tplc="140A001B">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7" w15:restartNumberingAfterBreak="0">
    <w:nsid w:val="3B2E1D3E"/>
    <w:multiLevelType w:val="hybridMultilevel"/>
    <w:tmpl w:val="DFFA1DFC"/>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4CDC5875"/>
    <w:multiLevelType w:val="hybridMultilevel"/>
    <w:tmpl w:val="90745DD2"/>
    <w:lvl w:ilvl="0" w:tplc="140A0015">
      <w:start w:val="1"/>
      <w:numFmt w:val="upperLetter"/>
      <w:lvlText w:val="%1."/>
      <w:lvlJc w:val="left"/>
      <w:pPr>
        <w:ind w:left="1440" w:hanging="360"/>
      </w:p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9" w15:restartNumberingAfterBreak="0">
    <w:nsid w:val="5819782D"/>
    <w:multiLevelType w:val="hybridMultilevel"/>
    <w:tmpl w:val="EAD23B52"/>
    <w:lvl w:ilvl="0" w:tplc="B37AF7BC">
      <w:start w:val="1"/>
      <w:numFmt w:val="decimal"/>
      <w:pStyle w:val="Textonotaalfinal"/>
      <w:lvlText w:val="%1."/>
      <w:lvlJc w:val="left"/>
      <w:pPr>
        <w:ind w:left="1350" w:hanging="720"/>
      </w:pPr>
      <w:rPr>
        <w:rFonts w:ascii="Verdana" w:hAnsi="Verdana" w:cs="Times New Roman" w:hint="default"/>
        <w:b w:val="0"/>
        <w:i w:val="0"/>
        <w:strike w:val="0"/>
        <w:color w:val="auto"/>
        <w:sz w:val="20"/>
        <w:szCs w:val="20"/>
      </w:rPr>
    </w:lvl>
    <w:lvl w:ilvl="1" w:tplc="080A0019">
      <w:start w:val="1"/>
      <w:numFmt w:val="lowerLetter"/>
      <w:lvlText w:val="%2."/>
      <w:lvlJc w:val="left"/>
      <w:pPr>
        <w:ind w:left="1080" w:hanging="360"/>
      </w:pPr>
      <w:rPr>
        <w:rFonts w:cs="Times New Roman"/>
      </w:rPr>
    </w:lvl>
    <w:lvl w:ilvl="2" w:tplc="080A001B" w:tentative="1">
      <w:start w:val="1"/>
      <w:numFmt w:val="lowerRoman"/>
      <w:lvlText w:val="%3."/>
      <w:lvlJc w:val="right"/>
      <w:pPr>
        <w:ind w:left="1800" w:hanging="180"/>
      </w:pPr>
      <w:rPr>
        <w:rFonts w:cs="Times New Roman"/>
      </w:rPr>
    </w:lvl>
    <w:lvl w:ilvl="3" w:tplc="080A000F" w:tentative="1">
      <w:start w:val="1"/>
      <w:numFmt w:val="decimal"/>
      <w:lvlText w:val="%4."/>
      <w:lvlJc w:val="left"/>
      <w:pPr>
        <w:ind w:left="2520" w:hanging="360"/>
      </w:pPr>
      <w:rPr>
        <w:rFonts w:cs="Times New Roman"/>
      </w:rPr>
    </w:lvl>
    <w:lvl w:ilvl="4" w:tplc="080A0019" w:tentative="1">
      <w:start w:val="1"/>
      <w:numFmt w:val="lowerLetter"/>
      <w:lvlText w:val="%5."/>
      <w:lvlJc w:val="left"/>
      <w:pPr>
        <w:ind w:left="3240" w:hanging="360"/>
      </w:pPr>
      <w:rPr>
        <w:rFonts w:cs="Times New Roman"/>
      </w:rPr>
    </w:lvl>
    <w:lvl w:ilvl="5" w:tplc="080A001B" w:tentative="1">
      <w:start w:val="1"/>
      <w:numFmt w:val="lowerRoman"/>
      <w:lvlText w:val="%6."/>
      <w:lvlJc w:val="right"/>
      <w:pPr>
        <w:ind w:left="3960" w:hanging="180"/>
      </w:pPr>
      <w:rPr>
        <w:rFonts w:cs="Times New Roman"/>
      </w:rPr>
    </w:lvl>
    <w:lvl w:ilvl="6" w:tplc="080A000F" w:tentative="1">
      <w:start w:val="1"/>
      <w:numFmt w:val="decimal"/>
      <w:lvlText w:val="%7."/>
      <w:lvlJc w:val="left"/>
      <w:pPr>
        <w:ind w:left="4680" w:hanging="360"/>
      </w:pPr>
      <w:rPr>
        <w:rFonts w:cs="Times New Roman"/>
      </w:rPr>
    </w:lvl>
    <w:lvl w:ilvl="7" w:tplc="080A0019" w:tentative="1">
      <w:start w:val="1"/>
      <w:numFmt w:val="lowerLetter"/>
      <w:lvlText w:val="%8."/>
      <w:lvlJc w:val="left"/>
      <w:pPr>
        <w:ind w:left="5400" w:hanging="360"/>
      </w:pPr>
      <w:rPr>
        <w:rFonts w:cs="Times New Roman"/>
      </w:rPr>
    </w:lvl>
    <w:lvl w:ilvl="8" w:tplc="080A001B" w:tentative="1">
      <w:start w:val="1"/>
      <w:numFmt w:val="lowerRoman"/>
      <w:lvlText w:val="%9."/>
      <w:lvlJc w:val="right"/>
      <w:pPr>
        <w:ind w:left="6120" w:hanging="180"/>
      </w:pPr>
      <w:rPr>
        <w:rFonts w:cs="Times New Roman"/>
      </w:rPr>
    </w:lvl>
  </w:abstractNum>
  <w:abstractNum w:abstractNumId="10" w15:restartNumberingAfterBreak="0">
    <w:nsid w:val="72FE391B"/>
    <w:multiLevelType w:val="hybridMultilevel"/>
    <w:tmpl w:val="2304ABB0"/>
    <w:lvl w:ilvl="0" w:tplc="140A0017">
      <w:start w:val="1"/>
      <w:numFmt w:val="lowerLetter"/>
      <w:lvlText w:val="%1)"/>
      <w:lvlJc w:val="left"/>
      <w:pPr>
        <w:ind w:left="360" w:hanging="360"/>
      </w:pPr>
      <w:rPr>
        <w:rFonts w:hint="default"/>
        <w:b w:val="0"/>
        <w:i w:val="0"/>
        <w:sz w:val="20"/>
      </w:rPr>
    </w:lvl>
    <w:lvl w:ilvl="1" w:tplc="140A0017">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771530D4"/>
    <w:multiLevelType w:val="hybridMultilevel"/>
    <w:tmpl w:val="F0AA5E38"/>
    <w:lvl w:ilvl="0" w:tplc="3938730A">
      <w:start w:val="1"/>
      <w:numFmt w:val="decimal"/>
      <w:lvlText w:val="%1."/>
      <w:lvlJc w:val="left"/>
      <w:pPr>
        <w:ind w:left="360" w:hanging="360"/>
      </w:pPr>
      <w:rPr>
        <w:rFonts w:ascii="Verdana" w:hAnsi="Verdana" w:hint="default"/>
        <w:b w:val="0"/>
        <w:i w:val="0"/>
        <w:sz w:val="20"/>
      </w:rPr>
    </w:lvl>
    <w:lvl w:ilvl="1" w:tplc="140A0015">
      <w:start w:val="1"/>
      <w:numFmt w:val="upperLetter"/>
      <w:lvlText w:val="%2."/>
      <w:lvlJc w:val="left"/>
      <w:pPr>
        <w:ind w:left="1440" w:hanging="360"/>
      </w:pPr>
      <w:rPr>
        <w:rFonts w:hint="default"/>
        <w:b/>
      </w:rPr>
    </w:lvl>
    <w:lvl w:ilvl="2" w:tplc="08C85A28">
      <w:start w:val="1"/>
      <w:numFmt w:val="lowerLetter"/>
      <w:lvlText w:val="%3."/>
      <w:lvlJc w:val="left"/>
      <w:pPr>
        <w:ind w:left="2340" w:hanging="360"/>
      </w:pPr>
      <w:rPr>
        <w:rFonts w:hint="default"/>
      </w:r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7ED033C3"/>
    <w:multiLevelType w:val="hybridMultilevel"/>
    <w:tmpl w:val="FEE40A28"/>
    <w:lvl w:ilvl="0" w:tplc="140A0019">
      <w:start w:val="1"/>
      <w:numFmt w:val="lowerLetter"/>
      <w:lvlText w:val="%1."/>
      <w:lvlJc w:val="left"/>
      <w:pPr>
        <w:ind w:left="1080" w:hanging="360"/>
      </w:p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num w:numId="1">
    <w:abstractNumId w:val="9"/>
  </w:num>
  <w:num w:numId="2">
    <w:abstractNumId w:val="11"/>
  </w:num>
  <w:num w:numId="3">
    <w:abstractNumId w:val="5"/>
  </w:num>
  <w:num w:numId="4">
    <w:abstractNumId w:val="2"/>
  </w:num>
  <w:num w:numId="5">
    <w:abstractNumId w:val="6"/>
  </w:num>
  <w:num w:numId="6">
    <w:abstractNumId w:val="4"/>
  </w:num>
  <w:num w:numId="7">
    <w:abstractNumId w:val="7"/>
  </w:num>
  <w:num w:numId="8">
    <w:abstractNumId w:val="0"/>
  </w:num>
  <w:num w:numId="9">
    <w:abstractNumId w:val="3"/>
  </w:num>
  <w:num w:numId="10">
    <w:abstractNumId w:val="1"/>
  </w:num>
  <w:num w:numId="11">
    <w:abstractNumId w:val="12"/>
  </w:num>
  <w:num w:numId="12">
    <w:abstractNumId w:val="2"/>
  </w:num>
  <w:num w:numId="13">
    <w:abstractNumId w:val="2"/>
  </w:num>
  <w:num w:numId="14">
    <w:abstractNumId w:val="2"/>
  </w:num>
  <w:num w:numId="15">
    <w:abstractNumId w:val="2"/>
  </w:num>
  <w:num w:numId="16">
    <w:abstractNumId w:val="2"/>
  </w:num>
  <w:num w:numId="17">
    <w:abstractNumId w:val="10"/>
  </w:num>
  <w:num w:numId="18">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activeWritingStyle w:appName="MSWord" w:lang="es-CO" w:vendorID="64" w:dllVersion="6" w:nlCheck="1" w:checkStyle="0"/>
  <w:activeWritingStyle w:appName="MSWord" w:lang="es-ES_tradnl" w:vendorID="64" w:dllVersion="6" w:nlCheck="1" w:checkStyle="0"/>
  <w:activeWritingStyle w:appName="MSWord" w:lang="es-CR" w:vendorID="64" w:dllVersion="6" w:nlCheck="1" w:checkStyle="0"/>
  <w:activeWritingStyle w:appName="MSWord" w:lang="es-MX" w:vendorID="64" w:dllVersion="6" w:nlCheck="1" w:checkStyle="0"/>
  <w:activeWritingStyle w:appName="MSWord" w:lang="es-ES" w:vendorID="64" w:dllVersion="6" w:nlCheck="1" w:checkStyle="0"/>
  <w:activeWritingStyle w:appName="MSWord" w:lang="es-AR" w:vendorID="64" w:dllVersion="6" w:nlCheck="1" w:checkStyle="0"/>
  <w:activeWritingStyle w:appName="MSWord" w:lang="en-US" w:vendorID="64" w:dllVersion="6" w:nlCheck="1" w:checkStyle="0"/>
  <w:activeWritingStyle w:appName="MSWord" w:lang="es-CO" w:vendorID="64" w:dllVersion="0" w:nlCheck="1" w:checkStyle="0"/>
  <w:activeWritingStyle w:appName="MSWord" w:lang="es-ES_tradnl" w:vendorID="64" w:dllVersion="0" w:nlCheck="1" w:checkStyle="0"/>
  <w:activeWritingStyle w:appName="MSWord" w:lang="es-MX" w:vendorID="64" w:dllVersion="0" w:nlCheck="1" w:checkStyle="0"/>
  <w:activeWritingStyle w:appName="MSWord" w:lang="es-CR" w:vendorID="64" w:dllVersion="0" w:nlCheck="1" w:checkStyle="0"/>
  <w:activeWritingStyle w:appName="MSWord" w:lang="es-ES" w:vendorID="64" w:dllVersion="0" w:nlCheck="1" w:checkStyle="0"/>
  <w:activeWritingStyle w:appName="MSWord" w:lang="pt-BR" w:vendorID="64" w:dllVersion="0" w:nlCheck="1" w:checkStyle="0"/>
  <w:proofState w:spelling="clean" w:grammar="clean"/>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1858"/>
    <w:rsid w:val="000000C2"/>
    <w:rsid w:val="0000303A"/>
    <w:rsid w:val="00003484"/>
    <w:rsid w:val="00004D1D"/>
    <w:rsid w:val="00006430"/>
    <w:rsid w:val="000103BE"/>
    <w:rsid w:val="00010DCD"/>
    <w:rsid w:val="00010E95"/>
    <w:rsid w:val="000110EB"/>
    <w:rsid w:val="00011ED6"/>
    <w:rsid w:val="00012E0C"/>
    <w:rsid w:val="00013935"/>
    <w:rsid w:val="00013D88"/>
    <w:rsid w:val="0001409C"/>
    <w:rsid w:val="0001584F"/>
    <w:rsid w:val="00016C98"/>
    <w:rsid w:val="00017825"/>
    <w:rsid w:val="00017B9F"/>
    <w:rsid w:val="000203BE"/>
    <w:rsid w:val="0002098E"/>
    <w:rsid w:val="000217EC"/>
    <w:rsid w:val="0002275E"/>
    <w:rsid w:val="000230C7"/>
    <w:rsid w:val="000234BA"/>
    <w:rsid w:val="000238FA"/>
    <w:rsid w:val="000249A2"/>
    <w:rsid w:val="00024F2C"/>
    <w:rsid w:val="00025121"/>
    <w:rsid w:val="0002514B"/>
    <w:rsid w:val="000255A4"/>
    <w:rsid w:val="0002614B"/>
    <w:rsid w:val="00026350"/>
    <w:rsid w:val="00026555"/>
    <w:rsid w:val="00026DC1"/>
    <w:rsid w:val="000273AB"/>
    <w:rsid w:val="00027F1A"/>
    <w:rsid w:val="00031668"/>
    <w:rsid w:val="000322F1"/>
    <w:rsid w:val="00033477"/>
    <w:rsid w:val="000343DD"/>
    <w:rsid w:val="00034627"/>
    <w:rsid w:val="000352C3"/>
    <w:rsid w:val="000363B3"/>
    <w:rsid w:val="000366EF"/>
    <w:rsid w:val="0003689D"/>
    <w:rsid w:val="000371F9"/>
    <w:rsid w:val="00037F28"/>
    <w:rsid w:val="00040698"/>
    <w:rsid w:val="00041CED"/>
    <w:rsid w:val="000421C5"/>
    <w:rsid w:val="000443D8"/>
    <w:rsid w:val="00046A59"/>
    <w:rsid w:val="00046C1C"/>
    <w:rsid w:val="00050436"/>
    <w:rsid w:val="0005199C"/>
    <w:rsid w:val="0005199E"/>
    <w:rsid w:val="00052035"/>
    <w:rsid w:val="000523F2"/>
    <w:rsid w:val="00053335"/>
    <w:rsid w:val="00053478"/>
    <w:rsid w:val="00055C9A"/>
    <w:rsid w:val="00056C5E"/>
    <w:rsid w:val="00057037"/>
    <w:rsid w:val="000625E8"/>
    <w:rsid w:val="00062D6F"/>
    <w:rsid w:val="00063954"/>
    <w:rsid w:val="000639C1"/>
    <w:rsid w:val="000640FA"/>
    <w:rsid w:val="0006433F"/>
    <w:rsid w:val="00064858"/>
    <w:rsid w:val="0006513B"/>
    <w:rsid w:val="000655F7"/>
    <w:rsid w:val="000666AF"/>
    <w:rsid w:val="00066DF8"/>
    <w:rsid w:val="0006714B"/>
    <w:rsid w:val="000704B6"/>
    <w:rsid w:val="000705E8"/>
    <w:rsid w:val="000708C5"/>
    <w:rsid w:val="00070D82"/>
    <w:rsid w:val="000713D8"/>
    <w:rsid w:val="0007219A"/>
    <w:rsid w:val="000725FD"/>
    <w:rsid w:val="000739E6"/>
    <w:rsid w:val="00073AAF"/>
    <w:rsid w:val="000756FD"/>
    <w:rsid w:val="00075952"/>
    <w:rsid w:val="00075C4A"/>
    <w:rsid w:val="000769CA"/>
    <w:rsid w:val="0007746C"/>
    <w:rsid w:val="000809C1"/>
    <w:rsid w:val="00080C1D"/>
    <w:rsid w:val="00080F74"/>
    <w:rsid w:val="00081064"/>
    <w:rsid w:val="00081D20"/>
    <w:rsid w:val="00081D83"/>
    <w:rsid w:val="00081F33"/>
    <w:rsid w:val="00082BFE"/>
    <w:rsid w:val="00082EC8"/>
    <w:rsid w:val="00083684"/>
    <w:rsid w:val="00083E33"/>
    <w:rsid w:val="0008503F"/>
    <w:rsid w:val="000858DA"/>
    <w:rsid w:val="00086093"/>
    <w:rsid w:val="000873B5"/>
    <w:rsid w:val="00090464"/>
    <w:rsid w:val="000905B4"/>
    <w:rsid w:val="0009082C"/>
    <w:rsid w:val="00091496"/>
    <w:rsid w:val="0009242C"/>
    <w:rsid w:val="00092EA5"/>
    <w:rsid w:val="000933CC"/>
    <w:rsid w:val="00093CA9"/>
    <w:rsid w:val="00094079"/>
    <w:rsid w:val="0009465F"/>
    <w:rsid w:val="00094C59"/>
    <w:rsid w:val="0009584B"/>
    <w:rsid w:val="0009598C"/>
    <w:rsid w:val="00095BAB"/>
    <w:rsid w:val="000962F2"/>
    <w:rsid w:val="000970B3"/>
    <w:rsid w:val="000975B5"/>
    <w:rsid w:val="0009771F"/>
    <w:rsid w:val="00097783"/>
    <w:rsid w:val="000A0204"/>
    <w:rsid w:val="000A1773"/>
    <w:rsid w:val="000A1C19"/>
    <w:rsid w:val="000A319E"/>
    <w:rsid w:val="000A5C5B"/>
    <w:rsid w:val="000A5CB9"/>
    <w:rsid w:val="000A604C"/>
    <w:rsid w:val="000A6256"/>
    <w:rsid w:val="000A761F"/>
    <w:rsid w:val="000A7ACB"/>
    <w:rsid w:val="000B0732"/>
    <w:rsid w:val="000B1BCB"/>
    <w:rsid w:val="000B254B"/>
    <w:rsid w:val="000B31F0"/>
    <w:rsid w:val="000B3434"/>
    <w:rsid w:val="000B361C"/>
    <w:rsid w:val="000B45B8"/>
    <w:rsid w:val="000B5026"/>
    <w:rsid w:val="000B5732"/>
    <w:rsid w:val="000B5AAC"/>
    <w:rsid w:val="000B5CA3"/>
    <w:rsid w:val="000B6989"/>
    <w:rsid w:val="000B7ECC"/>
    <w:rsid w:val="000C0777"/>
    <w:rsid w:val="000C1484"/>
    <w:rsid w:val="000C34D3"/>
    <w:rsid w:val="000C36CD"/>
    <w:rsid w:val="000C3E70"/>
    <w:rsid w:val="000C45B2"/>
    <w:rsid w:val="000C4C20"/>
    <w:rsid w:val="000C5555"/>
    <w:rsid w:val="000C5828"/>
    <w:rsid w:val="000C58D2"/>
    <w:rsid w:val="000D03EF"/>
    <w:rsid w:val="000D07FC"/>
    <w:rsid w:val="000D081C"/>
    <w:rsid w:val="000D0F2D"/>
    <w:rsid w:val="000D1EDA"/>
    <w:rsid w:val="000D1EFE"/>
    <w:rsid w:val="000D24F4"/>
    <w:rsid w:val="000D2609"/>
    <w:rsid w:val="000D2748"/>
    <w:rsid w:val="000D2804"/>
    <w:rsid w:val="000D3208"/>
    <w:rsid w:val="000D6316"/>
    <w:rsid w:val="000D6655"/>
    <w:rsid w:val="000D69F1"/>
    <w:rsid w:val="000D75DB"/>
    <w:rsid w:val="000D77B5"/>
    <w:rsid w:val="000E0104"/>
    <w:rsid w:val="000E1351"/>
    <w:rsid w:val="000E1E3C"/>
    <w:rsid w:val="000E1F9E"/>
    <w:rsid w:val="000E3930"/>
    <w:rsid w:val="000E4351"/>
    <w:rsid w:val="000E5AAD"/>
    <w:rsid w:val="000E6B05"/>
    <w:rsid w:val="000E719A"/>
    <w:rsid w:val="000F665D"/>
    <w:rsid w:val="000F7AD8"/>
    <w:rsid w:val="000F7CF8"/>
    <w:rsid w:val="001001E8"/>
    <w:rsid w:val="0010028C"/>
    <w:rsid w:val="00100535"/>
    <w:rsid w:val="00100EA5"/>
    <w:rsid w:val="001010E8"/>
    <w:rsid w:val="00101E94"/>
    <w:rsid w:val="00102002"/>
    <w:rsid w:val="00103960"/>
    <w:rsid w:val="00105A53"/>
    <w:rsid w:val="00105A95"/>
    <w:rsid w:val="00106B39"/>
    <w:rsid w:val="00106C8D"/>
    <w:rsid w:val="00106DBD"/>
    <w:rsid w:val="00107959"/>
    <w:rsid w:val="00110C32"/>
    <w:rsid w:val="0011119B"/>
    <w:rsid w:val="00111EEC"/>
    <w:rsid w:val="00112776"/>
    <w:rsid w:val="00112BCC"/>
    <w:rsid w:val="00112FD2"/>
    <w:rsid w:val="0011313F"/>
    <w:rsid w:val="00113AB6"/>
    <w:rsid w:val="00113B80"/>
    <w:rsid w:val="00114110"/>
    <w:rsid w:val="00114AE6"/>
    <w:rsid w:val="001151FA"/>
    <w:rsid w:val="0011572E"/>
    <w:rsid w:val="001161B0"/>
    <w:rsid w:val="00117D60"/>
    <w:rsid w:val="00120DEA"/>
    <w:rsid w:val="00121C55"/>
    <w:rsid w:val="00122020"/>
    <w:rsid w:val="00123775"/>
    <w:rsid w:val="001259D6"/>
    <w:rsid w:val="00126E94"/>
    <w:rsid w:val="00127375"/>
    <w:rsid w:val="001275E8"/>
    <w:rsid w:val="00127C8C"/>
    <w:rsid w:val="00130029"/>
    <w:rsid w:val="0013023E"/>
    <w:rsid w:val="0013027E"/>
    <w:rsid w:val="00130B3C"/>
    <w:rsid w:val="001314DD"/>
    <w:rsid w:val="001320E1"/>
    <w:rsid w:val="00132450"/>
    <w:rsid w:val="00132F93"/>
    <w:rsid w:val="00133F23"/>
    <w:rsid w:val="00134A18"/>
    <w:rsid w:val="00134ADD"/>
    <w:rsid w:val="00136A8A"/>
    <w:rsid w:val="00137288"/>
    <w:rsid w:val="0014034D"/>
    <w:rsid w:val="00140988"/>
    <w:rsid w:val="00142760"/>
    <w:rsid w:val="001428D1"/>
    <w:rsid w:val="00142ABA"/>
    <w:rsid w:val="00144F4C"/>
    <w:rsid w:val="00145CDA"/>
    <w:rsid w:val="001476DE"/>
    <w:rsid w:val="001478E2"/>
    <w:rsid w:val="00151621"/>
    <w:rsid w:val="00152008"/>
    <w:rsid w:val="001520FD"/>
    <w:rsid w:val="00152521"/>
    <w:rsid w:val="00152DB6"/>
    <w:rsid w:val="001534B3"/>
    <w:rsid w:val="00153814"/>
    <w:rsid w:val="0015413A"/>
    <w:rsid w:val="00154991"/>
    <w:rsid w:val="00155410"/>
    <w:rsid w:val="00155688"/>
    <w:rsid w:val="00156543"/>
    <w:rsid w:val="00157AEA"/>
    <w:rsid w:val="001607A6"/>
    <w:rsid w:val="00160A29"/>
    <w:rsid w:val="00161452"/>
    <w:rsid w:val="00162412"/>
    <w:rsid w:val="00165209"/>
    <w:rsid w:val="00165875"/>
    <w:rsid w:val="00166552"/>
    <w:rsid w:val="00166CAE"/>
    <w:rsid w:val="00167227"/>
    <w:rsid w:val="00167A2F"/>
    <w:rsid w:val="00167C2C"/>
    <w:rsid w:val="00170264"/>
    <w:rsid w:val="001715E8"/>
    <w:rsid w:val="0017225E"/>
    <w:rsid w:val="0017242F"/>
    <w:rsid w:val="00172C05"/>
    <w:rsid w:val="00173A3F"/>
    <w:rsid w:val="00174B93"/>
    <w:rsid w:val="00175719"/>
    <w:rsid w:val="0017592A"/>
    <w:rsid w:val="00176DB3"/>
    <w:rsid w:val="00176E8E"/>
    <w:rsid w:val="00177592"/>
    <w:rsid w:val="00177909"/>
    <w:rsid w:val="001804A1"/>
    <w:rsid w:val="00180654"/>
    <w:rsid w:val="00180CB5"/>
    <w:rsid w:val="001811F3"/>
    <w:rsid w:val="001812EE"/>
    <w:rsid w:val="00181FCE"/>
    <w:rsid w:val="001820D5"/>
    <w:rsid w:val="00183149"/>
    <w:rsid w:val="00184AE8"/>
    <w:rsid w:val="0018529C"/>
    <w:rsid w:val="00185C90"/>
    <w:rsid w:val="001861B0"/>
    <w:rsid w:val="00186B3B"/>
    <w:rsid w:val="001908F8"/>
    <w:rsid w:val="0019140A"/>
    <w:rsid w:val="001914FF"/>
    <w:rsid w:val="00193AD3"/>
    <w:rsid w:val="00193B57"/>
    <w:rsid w:val="001962FF"/>
    <w:rsid w:val="001970E0"/>
    <w:rsid w:val="00197B0B"/>
    <w:rsid w:val="00197C8B"/>
    <w:rsid w:val="001A04A2"/>
    <w:rsid w:val="001A1D13"/>
    <w:rsid w:val="001A2073"/>
    <w:rsid w:val="001A2129"/>
    <w:rsid w:val="001A260B"/>
    <w:rsid w:val="001A2A41"/>
    <w:rsid w:val="001A35C8"/>
    <w:rsid w:val="001A3B30"/>
    <w:rsid w:val="001A5F35"/>
    <w:rsid w:val="001A6953"/>
    <w:rsid w:val="001A6E9F"/>
    <w:rsid w:val="001A7065"/>
    <w:rsid w:val="001A762A"/>
    <w:rsid w:val="001B0025"/>
    <w:rsid w:val="001B0739"/>
    <w:rsid w:val="001B17DC"/>
    <w:rsid w:val="001B1ADA"/>
    <w:rsid w:val="001B1B5E"/>
    <w:rsid w:val="001B2CED"/>
    <w:rsid w:val="001B2E5D"/>
    <w:rsid w:val="001B3371"/>
    <w:rsid w:val="001B3D77"/>
    <w:rsid w:val="001B51C8"/>
    <w:rsid w:val="001B5950"/>
    <w:rsid w:val="001B5FA8"/>
    <w:rsid w:val="001B60F6"/>
    <w:rsid w:val="001B7677"/>
    <w:rsid w:val="001B79D6"/>
    <w:rsid w:val="001C002C"/>
    <w:rsid w:val="001C0437"/>
    <w:rsid w:val="001C1BC7"/>
    <w:rsid w:val="001C28F2"/>
    <w:rsid w:val="001C3560"/>
    <w:rsid w:val="001C3C4C"/>
    <w:rsid w:val="001C4211"/>
    <w:rsid w:val="001C4B79"/>
    <w:rsid w:val="001C5CD2"/>
    <w:rsid w:val="001C640D"/>
    <w:rsid w:val="001C672F"/>
    <w:rsid w:val="001C76F2"/>
    <w:rsid w:val="001C7E1C"/>
    <w:rsid w:val="001D075F"/>
    <w:rsid w:val="001D080F"/>
    <w:rsid w:val="001D1A5C"/>
    <w:rsid w:val="001D26A7"/>
    <w:rsid w:val="001D312E"/>
    <w:rsid w:val="001D357F"/>
    <w:rsid w:val="001D4DBD"/>
    <w:rsid w:val="001D4E2A"/>
    <w:rsid w:val="001D516F"/>
    <w:rsid w:val="001D65BB"/>
    <w:rsid w:val="001D68E9"/>
    <w:rsid w:val="001D7478"/>
    <w:rsid w:val="001D758F"/>
    <w:rsid w:val="001D7749"/>
    <w:rsid w:val="001D7CB5"/>
    <w:rsid w:val="001D7E9D"/>
    <w:rsid w:val="001E09D0"/>
    <w:rsid w:val="001E17E7"/>
    <w:rsid w:val="001E2099"/>
    <w:rsid w:val="001E34D4"/>
    <w:rsid w:val="001E50CA"/>
    <w:rsid w:val="001E5DE9"/>
    <w:rsid w:val="001E60C3"/>
    <w:rsid w:val="001E68FF"/>
    <w:rsid w:val="001E6DD2"/>
    <w:rsid w:val="001E7B7C"/>
    <w:rsid w:val="001E7D99"/>
    <w:rsid w:val="001E7DE0"/>
    <w:rsid w:val="001F116F"/>
    <w:rsid w:val="001F17DF"/>
    <w:rsid w:val="001F1D8E"/>
    <w:rsid w:val="001F214A"/>
    <w:rsid w:val="001F2E66"/>
    <w:rsid w:val="001F3319"/>
    <w:rsid w:val="001F35A3"/>
    <w:rsid w:val="001F382F"/>
    <w:rsid w:val="001F41D5"/>
    <w:rsid w:val="001F50D7"/>
    <w:rsid w:val="001F6194"/>
    <w:rsid w:val="001F6A2B"/>
    <w:rsid w:val="001F7CBD"/>
    <w:rsid w:val="00200308"/>
    <w:rsid w:val="002004A1"/>
    <w:rsid w:val="00200ABC"/>
    <w:rsid w:val="00200EC9"/>
    <w:rsid w:val="002018E1"/>
    <w:rsid w:val="00201E1D"/>
    <w:rsid w:val="00202E93"/>
    <w:rsid w:val="00203916"/>
    <w:rsid w:val="00203C23"/>
    <w:rsid w:val="002043DE"/>
    <w:rsid w:val="00204DC3"/>
    <w:rsid w:val="0020504C"/>
    <w:rsid w:val="00205C1A"/>
    <w:rsid w:val="00206F29"/>
    <w:rsid w:val="00207556"/>
    <w:rsid w:val="00210318"/>
    <w:rsid w:val="0021042F"/>
    <w:rsid w:val="0021111B"/>
    <w:rsid w:val="00211FAB"/>
    <w:rsid w:val="002125A8"/>
    <w:rsid w:val="002129BC"/>
    <w:rsid w:val="0021321C"/>
    <w:rsid w:val="0021352E"/>
    <w:rsid w:val="00215EC6"/>
    <w:rsid w:val="00216633"/>
    <w:rsid w:val="00216665"/>
    <w:rsid w:val="00216AAE"/>
    <w:rsid w:val="002176FF"/>
    <w:rsid w:val="00217948"/>
    <w:rsid w:val="002202F5"/>
    <w:rsid w:val="00220EE1"/>
    <w:rsid w:val="00221757"/>
    <w:rsid w:val="002219A4"/>
    <w:rsid w:val="00222237"/>
    <w:rsid w:val="00222718"/>
    <w:rsid w:val="00222C5B"/>
    <w:rsid w:val="00222CCA"/>
    <w:rsid w:val="0022315B"/>
    <w:rsid w:val="00225652"/>
    <w:rsid w:val="0022668C"/>
    <w:rsid w:val="00227115"/>
    <w:rsid w:val="002276FD"/>
    <w:rsid w:val="00227722"/>
    <w:rsid w:val="00227911"/>
    <w:rsid w:val="00227FB2"/>
    <w:rsid w:val="002313CD"/>
    <w:rsid w:val="002316BB"/>
    <w:rsid w:val="00232215"/>
    <w:rsid w:val="002323B9"/>
    <w:rsid w:val="00232ACD"/>
    <w:rsid w:val="00232C9B"/>
    <w:rsid w:val="00233C0E"/>
    <w:rsid w:val="002341E5"/>
    <w:rsid w:val="002343F0"/>
    <w:rsid w:val="002345DB"/>
    <w:rsid w:val="002347F2"/>
    <w:rsid w:val="00234E68"/>
    <w:rsid w:val="0023592D"/>
    <w:rsid w:val="00235AAC"/>
    <w:rsid w:val="00236CDC"/>
    <w:rsid w:val="00236F94"/>
    <w:rsid w:val="0023793B"/>
    <w:rsid w:val="00240499"/>
    <w:rsid w:val="00240644"/>
    <w:rsid w:val="00240DF1"/>
    <w:rsid w:val="00241829"/>
    <w:rsid w:val="0024342A"/>
    <w:rsid w:val="00243A2B"/>
    <w:rsid w:val="00243DF3"/>
    <w:rsid w:val="00244655"/>
    <w:rsid w:val="00245426"/>
    <w:rsid w:val="00245BF0"/>
    <w:rsid w:val="00246288"/>
    <w:rsid w:val="00246F23"/>
    <w:rsid w:val="00247847"/>
    <w:rsid w:val="002500CB"/>
    <w:rsid w:val="002501B8"/>
    <w:rsid w:val="00250E6E"/>
    <w:rsid w:val="00251113"/>
    <w:rsid w:val="00251A90"/>
    <w:rsid w:val="00252401"/>
    <w:rsid w:val="00253390"/>
    <w:rsid w:val="00253F78"/>
    <w:rsid w:val="00254AF8"/>
    <w:rsid w:val="00255565"/>
    <w:rsid w:val="00255A78"/>
    <w:rsid w:val="00255BE4"/>
    <w:rsid w:val="00255DB7"/>
    <w:rsid w:val="00256772"/>
    <w:rsid w:val="002614F3"/>
    <w:rsid w:val="002615DE"/>
    <w:rsid w:val="00261869"/>
    <w:rsid w:val="00262FF2"/>
    <w:rsid w:val="0026371A"/>
    <w:rsid w:val="00263A67"/>
    <w:rsid w:val="00263D15"/>
    <w:rsid w:val="00265322"/>
    <w:rsid w:val="0026548B"/>
    <w:rsid w:val="00265542"/>
    <w:rsid w:val="00265C56"/>
    <w:rsid w:val="00266409"/>
    <w:rsid w:val="00266902"/>
    <w:rsid w:val="002671AD"/>
    <w:rsid w:val="00267954"/>
    <w:rsid w:val="002700CD"/>
    <w:rsid w:val="00271F16"/>
    <w:rsid w:val="00273C18"/>
    <w:rsid w:val="0027462F"/>
    <w:rsid w:val="002753E0"/>
    <w:rsid w:val="00275BFE"/>
    <w:rsid w:val="00277719"/>
    <w:rsid w:val="0027776E"/>
    <w:rsid w:val="00277B45"/>
    <w:rsid w:val="00280630"/>
    <w:rsid w:val="00281222"/>
    <w:rsid w:val="002824FB"/>
    <w:rsid w:val="00282BD2"/>
    <w:rsid w:val="00282F6B"/>
    <w:rsid w:val="0028334C"/>
    <w:rsid w:val="00283B03"/>
    <w:rsid w:val="00283C4C"/>
    <w:rsid w:val="00283DA2"/>
    <w:rsid w:val="00284688"/>
    <w:rsid w:val="00287012"/>
    <w:rsid w:val="00287E87"/>
    <w:rsid w:val="002914FE"/>
    <w:rsid w:val="00291716"/>
    <w:rsid w:val="0029239C"/>
    <w:rsid w:val="00292641"/>
    <w:rsid w:val="00292954"/>
    <w:rsid w:val="00294C0C"/>
    <w:rsid w:val="00295EC7"/>
    <w:rsid w:val="00295F82"/>
    <w:rsid w:val="00296583"/>
    <w:rsid w:val="00297596"/>
    <w:rsid w:val="002A15B7"/>
    <w:rsid w:val="002A1E77"/>
    <w:rsid w:val="002A1EE3"/>
    <w:rsid w:val="002A20A3"/>
    <w:rsid w:val="002A2301"/>
    <w:rsid w:val="002A2BDE"/>
    <w:rsid w:val="002A449E"/>
    <w:rsid w:val="002A46EF"/>
    <w:rsid w:val="002A6168"/>
    <w:rsid w:val="002A6416"/>
    <w:rsid w:val="002A6849"/>
    <w:rsid w:val="002A6DE3"/>
    <w:rsid w:val="002A7057"/>
    <w:rsid w:val="002A726B"/>
    <w:rsid w:val="002B1521"/>
    <w:rsid w:val="002B1FF5"/>
    <w:rsid w:val="002B2552"/>
    <w:rsid w:val="002B2BDD"/>
    <w:rsid w:val="002B3B79"/>
    <w:rsid w:val="002B435A"/>
    <w:rsid w:val="002B47BC"/>
    <w:rsid w:val="002B4AE5"/>
    <w:rsid w:val="002B4B82"/>
    <w:rsid w:val="002B4D70"/>
    <w:rsid w:val="002B6B30"/>
    <w:rsid w:val="002B7704"/>
    <w:rsid w:val="002B7717"/>
    <w:rsid w:val="002B7F9D"/>
    <w:rsid w:val="002C02DA"/>
    <w:rsid w:val="002C0415"/>
    <w:rsid w:val="002C04AD"/>
    <w:rsid w:val="002C1044"/>
    <w:rsid w:val="002C1C80"/>
    <w:rsid w:val="002C21D8"/>
    <w:rsid w:val="002C30E5"/>
    <w:rsid w:val="002C3381"/>
    <w:rsid w:val="002C6465"/>
    <w:rsid w:val="002D0000"/>
    <w:rsid w:val="002D19B9"/>
    <w:rsid w:val="002D2ED8"/>
    <w:rsid w:val="002D3079"/>
    <w:rsid w:val="002D40E5"/>
    <w:rsid w:val="002D50F5"/>
    <w:rsid w:val="002D5565"/>
    <w:rsid w:val="002D56BF"/>
    <w:rsid w:val="002D6024"/>
    <w:rsid w:val="002D6AEF"/>
    <w:rsid w:val="002E00C9"/>
    <w:rsid w:val="002E0105"/>
    <w:rsid w:val="002E0F14"/>
    <w:rsid w:val="002E11CB"/>
    <w:rsid w:val="002E16A4"/>
    <w:rsid w:val="002E2061"/>
    <w:rsid w:val="002E349F"/>
    <w:rsid w:val="002E3CA3"/>
    <w:rsid w:val="002E3EA4"/>
    <w:rsid w:val="002E41C5"/>
    <w:rsid w:val="002E42B9"/>
    <w:rsid w:val="002E46D2"/>
    <w:rsid w:val="002E56C2"/>
    <w:rsid w:val="002E6700"/>
    <w:rsid w:val="002E6A34"/>
    <w:rsid w:val="002E7466"/>
    <w:rsid w:val="002E7553"/>
    <w:rsid w:val="002E75A1"/>
    <w:rsid w:val="002F390F"/>
    <w:rsid w:val="002F42A4"/>
    <w:rsid w:val="002F44F1"/>
    <w:rsid w:val="002F5B12"/>
    <w:rsid w:val="002F612F"/>
    <w:rsid w:val="002F6911"/>
    <w:rsid w:val="002F7091"/>
    <w:rsid w:val="00300B9F"/>
    <w:rsid w:val="00300CFC"/>
    <w:rsid w:val="00301739"/>
    <w:rsid w:val="00301BEA"/>
    <w:rsid w:val="00302E41"/>
    <w:rsid w:val="003031F6"/>
    <w:rsid w:val="00303809"/>
    <w:rsid w:val="003042B8"/>
    <w:rsid w:val="00304E73"/>
    <w:rsid w:val="003053A9"/>
    <w:rsid w:val="003054B4"/>
    <w:rsid w:val="00305A0D"/>
    <w:rsid w:val="0030631A"/>
    <w:rsid w:val="0031001D"/>
    <w:rsid w:val="00310439"/>
    <w:rsid w:val="0031117A"/>
    <w:rsid w:val="00311E82"/>
    <w:rsid w:val="00312B40"/>
    <w:rsid w:val="0031347E"/>
    <w:rsid w:val="003134CB"/>
    <w:rsid w:val="00314278"/>
    <w:rsid w:val="00314880"/>
    <w:rsid w:val="003161B4"/>
    <w:rsid w:val="003173C9"/>
    <w:rsid w:val="00317F3A"/>
    <w:rsid w:val="003200D3"/>
    <w:rsid w:val="00320192"/>
    <w:rsid w:val="003207DF"/>
    <w:rsid w:val="00321114"/>
    <w:rsid w:val="003213E7"/>
    <w:rsid w:val="00322560"/>
    <w:rsid w:val="0032299A"/>
    <w:rsid w:val="003235D6"/>
    <w:rsid w:val="00323C84"/>
    <w:rsid w:val="00323DE2"/>
    <w:rsid w:val="003248FC"/>
    <w:rsid w:val="00325C33"/>
    <w:rsid w:val="00326300"/>
    <w:rsid w:val="00326C34"/>
    <w:rsid w:val="00326E94"/>
    <w:rsid w:val="00327D80"/>
    <w:rsid w:val="003313AB"/>
    <w:rsid w:val="00331416"/>
    <w:rsid w:val="00331EFF"/>
    <w:rsid w:val="00331F2D"/>
    <w:rsid w:val="0033221B"/>
    <w:rsid w:val="003326CC"/>
    <w:rsid w:val="003327B8"/>
    <w:rsid w:val="00332EAD"/>
    <w:rsid w:val="00332F81"/>
    <w:rsid w:val="00333953"/>
    <w:rsid w:val="00335159"/>
    <w:rsid w:val="00337E71"/>
    <w:rsid w:val="00340ABD"/>
    <w:rsid w:val="00340AC2"/>
    <w:rsid w:val="00340AE5"/>
    <w:rsid w:val="0034143B"/>
    <w:rsid w:val="00341539"/>
    <w:rsid w:val="00341AEC"/>
    <w:rsid w:val="0034223C"/>
    <w:rsid w:val="003432CE"/>
    <w:rsid w:val="003439EE"/>
    <w:rsid w:val="00343D67"/>
    <w:rsid w:val="0034480D"/>
    <w:rsid w:val="00344AD8"/>
    <w:rsid w:val="00347136"/>
    <w:rsid w:val="00352E7B"/>
    <w:rsid w:val="00352EED"/>
    <w:rsid w:val="00354D0F"/>
    <w:rsid w:val="00355646"/>
    <w:rsid w:val="00355D83"/>
    <w:rsid w:val="00356C5C"/>
    <w:rsid w:val="003574BB"/>
    <w:rsid w:val="003575EB"/>
    <w:rsid w:val="003604E2"/>
    <w:rsid w:val="00361B01"/>
    <w:rsid w:val="00362354"/>
    <w:rsid w:val="00362DDA"/>
    <w:rsid w:val="003632F3"/>
    <w:rsid w:val="003633F3"/>
    <w:rsid w:val="0036585E"/>
    <w:rsid w:val="00365DE4"/>
    <w:rsid w:val="00366381"/>
    <w:rsid w:val="00366601"/>
    <w:rsid w:val="00366C61"/>
    <w:rsid w:val="003704F3"/>
    <w:rsid w:val="0037100D"/>
    <w:rsid w:val="0037119C"/>
    <w:rsid w:val="00374055"/>
    <w:rsid w:val="00374695"/>
    <w:rsid w:val="00374BE2"/>
    <w:rsid w:val="00375293"/>
    <w:rsid w:val="003762E8"/>
    <w:rsid w:val="003768D3"/>
    <w:rsid w:val="00376AAD"/>
    <w:rsid w:val="0038064B"/>
    <w:rsid w:val="00382437"/>
    <w:rsid w:val="00382BBE"/>
    <w:rsid w:val="00383A4B"/>
    <w:rsid w:val="0038418F"/>
    <w:rsid w:val="00384359"/>
    <w:rsid w:val="0038458F"/>
    <w:rsid w:val="00384A0C"/>
    <w:rsid w:val="003855C3"/>
    <w:rsid w:val="00386127"/>
    <w:rsid w:val="00386535"/>
    <w:rsid w:val="00386ADF"/>
    <w:rsid w:val="0038719F"/>
    <w:rsid w:val="0038749C"/>
    <w:rsid w:val="00390153"/>
    <w:rsid w:val="003906E3"/>
    <w:rsid w:val="00390E99"/>
    <w:rsid w:val="0039111F"/>
    <w:rsid w:val="003936B7"/>
    <w:rsid w:val="00395583"/>
    <w:rsid w:val="003956DE"/>
    <w:rsid w:val="003964DD"/>
    <w:rsid w:val="0039778E"/>
    <w:rsid w:val="003A0309"/>
    <w:rsid w:val="003A0845"/>
    <w:rsid w:val="003A14B0"/>
    <w:rsid w:val="003A1EBE"/>
    <w:rsid w:val="003A3755"/>
    <w:rsid w:val="003A3772"/>
    <w:rsid w:val="003A3D5B"/>
    <w:rsid w:val="003A3F4B"/>
    <w:rsid w:val="003A40DB"/>
    <w:rsid w:val="003A41F4"/>
    <w:rsid w:val="003A554A"/>
    <w:rsid w:val="003A6A93"/>
    <w:rsid w:val="003A6CD2"/>
    <w:rsid w:val="003A6F36"/>
    <w:rsid w:val="003A7C00"/>
    <w:rsid w:val="003B09B8"/>
    <w:rsid w:val="003B1393"/>
    <w:rsid w:val="003B1C37"/>
    <w:rsid w:val="003B275A"/>
    <w:rsid w:val="003B2AC0"/>
    <w:rsid w:val="003B3326"/>
    <w:rsid w:val="003B53E2"/>
    <w:rsid w:val="003B6214"/>
    <w:rsid w:val="003B7782"/>
    <w:rsid w:val="003B7981"/>
    <w:rsid w:val="003C0576"/>
    <w:rsid w:val="003C0F11"/>
    <w:rsid w:val="003C1905"/>
    <w:rsid w:val="003C3584"/>
    <w:rsid w:val="003C3631"/>
    <w:rsid w:val="003C36DE"/>
    <w:rsid w:val="003C3DC0"/>
    <w:rsid w:val="003C3E38"/>
    <w:rsid w:val="003C4197"/>
    <w:rsid w:val="003C4E03"/>
    <w:rsid w:val="003C5A6F"/>
    <w:rsid w:val="003C634F"/>
    <w:rsid w:val="003C6620"/>
    <w:rsid w:val="003C794A"/>
    <w:rsid w:val="003C7AA5"/>
    <w:rsid w:val="003D068E"/>
    <w:rsid w:val="003D08F7"/>
    <w:rsid w:val="003D0BF8"/>
    <w:rsid w:val="003D0DE7"/>
    <w:rsid w:val="003D0F00"/>
    <w:rsid w:val="003D265B"/>
    <w:rsid w:val="003D28B7"/>
    <w:rsid w:val="003D4287"/>
    <w:rsid w:val="003D45AD"/>
    <w:rsid w:val="003D4ED6"/>
    <w:rsid w:val="003D52BE"/>
    <w:rsid w:val="003D5DEF"/>
    <w:rsid w:val="003D6D8B"/>
    <w:rsid w:val="003D71C3"/>
    <w:rsid w:val="003D79EE"/>
    <w:rsid w:val="003E1511"/>
    <w:rsid w:val="003E1E85"/>
    <w:rsid w:val="003E355F"/>
    <w:rsid w:val="003E4237"/>
    <w:rsid w:val="003E526F"/>
    <w:rsid w:val="003E5310"/>
    <w:rsid w:val="003E7D50"/>
    <w:rsid w:val="003F0138"/>
    <w:rsid w:val="003F013C"/>
    <w:rsid w:val="003F0B18"/>
    <w:rsid w:val="003F1D01"/>
    <w:rsid w:val="003F1D37"/>
    <w:rsid w:val="003F1DD0"/>
    <w:rsid w:val="003F23C7"/>
    <w:rsid w:val="003F2D1B"/>
    <w:rsid w:val="003F30F4"/>
    <w:rsid w:val="003F3922"/>
    <w:rsid w:val="003F448B"/>
    <w:rsid w:val="003F4AE3"/>
    <w:rsid w:val="003F5A2F"/>
    <w:rsid w:val="003F5B30"/>
    <w:rsid w:val="003F63F0"/>
    <w:rsid w:val="004003DB"/>
    <w:rsid w:val="004007AF"/>
    <w:rsid w:val="00400808"/>
    <w:rsid w:val="00401521"/>
    <w:rsid w:val="00401EA8"/>
    <w:rsid w:val="00403158"/>
    <w:rsid w:val="00404B65"/>
    <w:rsid w:val="004053DD"/>
    <w:rsid w:val="00405461"/>
    <w:rsid w:val="00406087"/>
    <w:rsid w:val="004064A6"/>
    <w:rsid w:val="00407997"/>
    <w:rsid w:val="004106FA"/>
    <w:rsid w:val="004107E6"/>
    <w:rsid w:val="0041085D"/>
    <w:rsid w:val="004108F3"/>
    <w:rsid w:val="00410F49"/>
    <w:rsid w:val="00411155"/>
    <w:rsid w:val="00411337"/>
    <w:rsid w:val="00411788"/>
    <w:rsid w:val="00412BC2"/>
    <w:rsid w:val="0041544C"/>
    <w:rsid w:val="00416BC2"/>
    <w:rsid w:val="004172CB"/>
    <w:rsid w:val="004173A9"/>
    <w:rsid w:val="004175E4"/>
    <w:rsid w:val="004202BF"/>
    <w:rsid w:val="004205AB"/>
    <w:rsid w:val="00422792"/>
    <w:rsid w:val="00422E06"/>
    <w:rsid w:val="00423BF0"/>
    <w:rsid w:val="00424205"/>
    <w:rsid w:val="0042428B"/>
    <w:rsid w:val="00424889"/>
    <w:rsid w:val="004250AC"/>
    <w:rsid w:val="004266FD"/>
    <w:rsid w:val="0043025D"/>
    <w:rsid w:val="004304D5"/>
    <w:rsid w:val="00430D73"/>
    <w:rsid w:val="00431C0A"/>
    <w:rsid w:val="004322A7"/>
    <w:rsid w:val="00432ED6"/>
    <w:rsid w:val="0043348C"/>
    <w:rsid w:val="0043388E"/>
    <w:rsid w:val="00434AA3"/>
    <w:rsid w:val="00434FCE"/>
    <w:rsid w:val="00435224"/>
    <w:rsid w:val="00436596"/>
    <w:rsid w:val="00436CB7"/>
    <w:rsid w:val="0043724B"/>
    <w:rsid w:val="004404FA"/>
    <w:rsid w:val="00440981"/>
    <w:rsid w:val="00440A24"/>
    <w:rsid w:val="00443ABA"/>
    <w:rsid w:val="004441F7"/>
    <w:rsid w:val="00444206"/>
    <w:rsid w:val="0044432D"/>
    <w:rsid w:val="0044455C"/>
    <w:rsid w:val="004463E4"/>
    <w:rsid w:val="00446623"/>
    <w:rsid w:val="004468B4"/>
    <w:rsid w:val="00447A4F"/>
    <w:rsid w:val="00450830"/>
    <w:rsid w:val="00450AD2"/>
    <w:rsid w:val="00451143"/>
    <w:rsid w:val="00451AE0"/>
    <w:rsid w:val="00451B69"/>
    <w:rsid w:val="00452347"/>
    <w:rsid w:val="00452BDF"/>
    <w:rsid w:val="00453336"/>
    <w:rsid w:val="0045356E"/>
    <w:rsid w:val="00453C46"/>
    <w:rsid w:val="004545E0"/>
    <w:rsid w:val="0045477D"/>
    <w:rsid w:val="00454A76"/>
    <w:rsid w:val="00454FD4"/>
    <w:rsid w:val="004555EB"/>
    <w:rsid w:val="0045577B"/>
    <w:rsid w:val="00455DA2"/>
    <w:rsid w:val="004562FF"/>
    <w:rsid w:val="00457428"/>
    <w:rsid w:val="00461394"/>
    <w:rsid w:val="0046551E"/>
    <w:rsid w:val="00467792"/>
    <w:rsid w:val="00467EEC"/>
    <w:rsid w:val="0047073E"/>
    <w:rsid w:val="004709BF"/>
    <w:rsid w:val="00471291"/>
    <w:rsid w:val="00471CB2"/>
    <w:rsid w:val="00471FBE"/>
    <w:rsid w:val="004721BA"/>
    <w:rsid w:val="004724B2"/>
    <w:rsid w:val="00472907"/>
    <w:rsid w:val="00473B8A"/>
    <w:rsid w:val="00474557"/>
    <w:rsid w:val="00475213"/>
    <w:rsid w:val="004768BA"/>
    <w:rsid w:val="004803D1"/>
    <w:rsid w:val="004804F2"/>
    <w:rsid w:val="00480C3B"/>
    <w:rsid w:val="00481582"/>
    <w:rsid w:val="00481D01"/>
    <w:rsid w:val="00481FB2"/>
    <w:rsid w:val="00482243"/>
    <w:rsid w:val="004825CB"/>
    <w:rsid w:val="00482852"/>
    <w:rsid w:val="004841CB"/>
    <w:rsid w:val="00484493"/>
    <w:rsid w:val="00484B4C"/>
    <w:rsid w:val="004872AB"/>
    <w:rsid w:val="00487877"/>
    <w:rsid w:val="0049008F"/>
    <w:rsid w:val="00490EAE"/>
    <w:rsid w:val="004916A2"/>
    <w:rsid w:val="00491718"/>
    <w:rsid w:val="00491CC4"/>
    <w:rsid w:val="00491D6A"/>
    <w:rsid w:val="00492127"/>
    <w:rsid w:val="00492913"/>
    <w:rsid w:val="00492AA4"/>
    <w:rsid w:val="00492AAA"/>
    <w:rsid w:val="00493D69"/>
    <w:rsid w:val="004957BA"/>
    <w:rsid w:val="0049622D"/>
    <w:rsid w:val="004964F9"/>
    <w:rsid w:val="00496D47"/>
    <w:rsid w:val="00497247"/>
    <w:rsid w:val="0049785C"/>
    <w:rsid w:val="004A09FA"/>
    <w:rsid w:val="004A1224"/>
    <w:rsid w:val="004A22AB"/>
    <w:rsid w:val="004A298B"/>
    <w:rsid w:val="004A2B8D"/>
    <w:rsid w:val="004A452C"/>
    <w:rsid w:val="004A564F"/>
    <w:rsid w:val="004A5657"/>
    <w:rsid w:val="004A6F4F"/>
    <w:rsid w:val="004A7254"/>
    <w:rsid w:val="004B17DB"/>
    <w:rsid w:val="004B1B2A"/>
    <w:rsid w:val="004B1E71"/>
    <w:rsid w:val="004B29FE"/>
    <w:rsid w:val="004B2AE5"/>
    <w:rsid w:val="004B32F0"/>
    <w:rsid w:val="004B3372"/>
    <w:rsid w:val="004B46B2"/>
    <w:rsid w:val="004B4DF3"/>
    <w:rsid w:val="004B502F"/>
    <w:rsid w:val="004B5402"/>
    <w:rsid w:val="004B5428"/>
    <w:rsid w:val="004B7356"/>
    <w:rsid w:val="004B753A"/>
    <w:rsid w:val="004C0600"/>
    <w:rsid w:val="004C10AC"/>
    <w:rsid w:val="004C13B0"/>
    <w:rsid w:val="004C1447"/>
    <w:rsid w:val="004C16D6"/>
    <w:rsid w:val="004C1BF8"/>
    <w:rsid w:val="004C2057"/>
    <w:rsid w:val="004C2424"/>
    <w:rsid w:val="004C25C1"/>
    <w:rsid w:val="004C2949"/>
    <w:rsid w:val="004C31AD"/>
    <w:rsid w:val="004C34DF"/>
    <w:rsid w:val="004C3A3E"/>
    <w:rsid w:val="004C4F73"/>
    <w:rsid w:val="004C5505"/>
    <w:rsid w:val="004C5E74"/>
    <w:rsid w:val="004C6177"/>
    <w:rsid w:val="004C648D"/>
    <w:rsid w:val="004C6883"/>
    <w:rsid w:val="004C6E69"/>
    <w:rsid w:val="004C7DA8"/>
    <w:rsid w:val="004D0190"/>
    <w:rsid w:val="004D068E"/>
    <w:rsid w:val="004D1C12"/>
    <w:rsid w:val="004D2173"/>
    <w:rsid w:val="004D274C"/>
    <w:rsid w:val="004D2C67"/>
    <w:rsid w:val="004D350D"/>
    <w:rsid w:val="004D3A63"/>
    <w:rsid w:val="004D41A6"/>
    <w:rsid w:val="004D5D39"/>
    <w:rsid w:val="004D5ED8"/>
    <w:rsid w:val="004D732E"/>
    <w:rsid w:val="004D7830"/>
    <w:rsid w:val="004E038B"/>
    <w:rsid w:val="004E03C5"/>
    <w:rsid w:val="004E0B5D"/>
    <w:rsid w:val="004E0CAA"/>
    <w:rsid w:val="004E1507"/>
    <w:rsid w:val="004E3BA0"/>
    <w:rsid w:val="004E46DF"/>
    <w:rsid w:val="004E61BE"/>
    <w:rsid w:val="004E667A"/>
    <w:rsid w:val="004E6D4C"/>
    <w:rsid w:val="004E6EB0"/>
    <w:rsid w:val="004E7727"/>
    <w:rsid w:val="004E7C80"/>
    <w:rsid w:val="004F0015"/>
    <w:rsid w:val="004F007F"/>
    <w:rsid w:val="004F03DF"/>
    <w:rsid w:val="004F0BB0"/>
    <w:rsid w:val="004F1C49"/>
    <w:rsid w:val="004F22B9"/>
    <w:rsid w:val="004F389C"/>
    <w:rsid w:val="004F3C40"/>
    <w:rsid w:val="004F4EBE"/>
    <w:rsid w:val="004F506F"/>
    <w:rsid w:val="004F533B"/>
    <w:rsid w:val="004F5472"/>
    <w:rsid w:val="004F5DF3"/>
    <w:rsid w:val="004F5F88"/>
    <w:rsid w:val="004F6226"/>
    <w:rsid w:val="004F6C31"/>
    <w:rsid w:val="004F6F37"/>
    <w:rsid w:val="004F7362"/>
    <w:rsid w:val="004F7FE1"/>
    <w:rsid w:val="00500DB8"/>
    <w:rsid w:val="00501580"/>
    <w:rsid w:val="00501756"/>
    <w:rsid w:val="00501C60"/>
    <w:rsid w:val="00502118"/>
    <w:rsid w:val="00502B9E"/>
    <w:rsid w:val="00502D98"/>
    <w:rsid w:val="0050359B"/>
    <w:rsid w:val="00503A0C"/>
    <w:rsid w:val="005044C8"/>
    <w:rsid w:val="00504598"/>
    <w:rsid w:val="005047C8"/>
    <w:rsid w:val="00504DB6"/>
    <w:rsid w:val="00504E9C"/>
    <w:rsid w:val="00504EC8"/>
    <w:rsid w:val="00504FFB"/>
    <w:rsid w:val="005056D7"/>
    <w:rsid w:val="00506415"/>
    <w:rsid w:val="00507858"/>
    <w:rsid w:val="005102C0"/>
    <w:rsid w:val="0051042E"/>
    <w:rsid w:val="00510E43"/>
    <w:rsid w:val="00511689"/>
    <w:rsid w:val="00511D05"/>
    <w:rsid w:val="005124FF"/>
    <w:rsid w:val="00512B4C"/>
    <w:rsid w:val="00513FC0"/>
    <w:rsid w:val="00514136"/>
    <w:rsid w:val="005143C8"/>
    <w:rsid w:val="00514D8B"/>
    <w:rsid w:val="005160C5"/>
    <w:rsid w:val="005164D0"/>
    <w:rsid w:val="0051665C"/>
    <w:rsid w:val="005201B5"/>
    <w:rsid w:val="00521923"/>
    <w:rsid w:val="00525F89"/>
    <w:rsid w:val="0052782F"/>
    <w:rsid w:val="005279D3"/>
    <w:rsid w:val="00527DC2"/>
    <w:rsid w:val="005309B3"/>
    <w:rsid w:val="005314A2"/>
    <w:rsid w:val="00532110"/>
    <w:rsid w:val="005321C0"/>
    <w:rsid w:val="00532340"/>
    <w:rsid w:val="005329BC"/>
    <w:rsid w:val="00534173"/>
    <w:rsid w:val="00536DFE"/>
    <w:rsid w:val="00537101"/>
    <w:rsid w:val="00537202"/>
    <w:rsid w:val="0054029A"/>
    <w:rsid w:val="0054082F"/>
    <w:rsid w:val="0054209F"/>
    <w:rsid w:val="005422BA"/>
    <w:rsid w:val="0054234E"/>
    <w:rsid w:val="0054252A"/>
    <w:rsid w:val="00542B22"/>
    <w:rsid w:val="00542BE2"/>
    <w:rsid w:val="00543607"/>
    <w:rsid w:val="00543EA8"/>
    <w:rsid w:val="00544B1D"/>
    <w:rsid w:val="005455B3"/>
    <w:rsid w:val="005464E6"/>
    <w:rsid w:val="00546FBE"/>
    <w:rsid w:val="005473E3"/>
    <w:rsid w:val="00547F06"/>
    <w:rsid w:val="005503CA"/>
    <w:rsid w:val="005505AB"/>
    <w:rsid w:val="005508D0"/>
    <w:rsid w:val="00550CF0"/>
    <w:rsid w:val="00551097"/>
    <w:rsid w:val="00551609"/>
    <w:rsid w:val="00551FD7"/>
    <w:rsid w:val="0055218F"/>
    <w:rsid w:val="00553B54"/>
    <w:rsid w:val="00553CEF"/>
    <w:rsid w:val="005540DD"/>
    <w:rsid w:val="005551F4"/>
    <w:rsid w:val="00555ACB"/>
    <w:rsid w:val="00556143"/>
    <w:rsid w:val="00556995"/>
    <w:rsid w:val="00556E37"/>
    <w:rsid w:val="00556EB6"/>
    <w:rsid w:val="00562A96"/>
    <w:rsid w:val="00564982"/>
    <w:rsid w:val="00564E74"/>
    <w:rsid w:val="0056503F"/>
    <w:rsid w:val="0056531F"/>
    <w:rsid w:val="005653A2"/>
    <w:rsid w:val="0056624D"/>
    <w:rsid w:val="005665D5"/>
    <w:rsid w:val="00566BC3"/>
    <w:rsid w:val="005671E2"/>
    <w:rsid w:val="00567488"/>
    <w:rsid w:val="0057009B"/>
    <w:rsid w:val="00570552"/>
    <w:rsid w:val="00570BA1"/>
    <w:rsid w:val="00570C74"/>
    <w:rsid w:val="00570D44"/>
    <w:rsid w:val="0057169E"/>
    <w:rsid w:val="00571F26"/>
    <w:rsid w:val="00571FF7"/>
    <w:rsid w:val="0057219C"/>
    <w:rsid w:val="0057268F"/>
    <w:rsid w:val="0057390F"/>
    <w:rsid w:val="00574F90"/>
    <w:rsid w:val="0057623A"/>
    <w:rsid w:val="00577C8F"/>
    <w:rsid w:val="005806A7"/>
    <w:rsid w:val="005810FC"/>
    <w:rsid w:val="0058125C"/>
    <w:rsid w:val="005817EE"/>
    <w:rsid w:val="0058238A"/>
    <w:rsid w:val="005835AA"/>
    <w:rsid w:val="00583DCB"/>
    <w:rsid w:val="005844CE"/>
    <w:rsid w:val="00584741"/>
    <w:rsid w:val="00584F1E"/>
    <w:rsid w:val="005855AB"/>
    <w:rsid w:val="005857C2"/>
    <w:rsid w:val="00590341"/>
    <w:rsid w:val="00594CBB"/>
    <w:rsid w:val="005951D8"/>
    <w:rsid w:val="00595454"/>
    <w:rsid w:val="00595472"/>
    <w:rsid w:val="005958DD"/>
    <w:rsid w:val="005963DD"/>
    <w:rsid w:val="005965C9"/>
    <w:rsid w:val="00596A82"/>
    <w:rsid w:val="00596FAF"/>
    <w:rsid w:val="00597387"/>
    <w:rsid w:val="005976FF"/>
    <w:rsid w:val="00597991"/>
    <w:rsid w:val="005979F7"/>
    <w:rsid w:val="005A066C"/>
    <w:rsid w:val="005A126E"/>
    <w:rsid w:val="005A181B"/>
    <w:rsid w:val="005A1BC9"/>
    <w:rsid w:val="005A2A01"/>
    <w:rsid w:val="005A2D88"/>
    <w:rsid w:val="005A3EB3"/>
    <w:rsid w:val="005A50AB"/>
    <w:rsid w:val="005A5F17"/>
    <w:rsid w:val="005A77EC"/>
    <w:rsid w:val="005A7D9F"/>
    <w:rsid w:val="005B04B5"/>
    <w:rsid w:val="005B0ABC"/>
    <w:rsid w:val="005B0ECD"/>
    <w:rsid w:val="005B1689"/>
    <w:rsid w:val="005B1D94"/>
    <w:rsid w:val="005B2A56"/>
    <w:rsid w:val="005B375C"/>
    <w:rsid w:val="005B37A6"/>
    <w:rsid w:val="005B57C5"/>
    <w:rsid w:val="005B6E06"/>
    <w:rsid w:val="005B7D79"/>
    <w:rsid w:val="005C0CB8"/>
    <w:rsid w:val="005C1DD2"/>
    <w:rsid w:val="005C24A9"/>
    <w:rsid w:val="005C2C0A"/>
    <w:rsid w:val="005C59C0"/>
    <w:rsid w:val="005C5F13"/>
    <w:rsid w:val="005C676B"/>
    <w:rsid w:val="005D00A1"/>
    <w:rsid w:val="005D01FB"/>
    <w:rsid w:val="005D08FA"/>
    <w:rsid w:val="005D0DA5"/>
    <w:rsid w:val="005D0FBC"/>
    <w:rsid w:val="005D14F5"/>
    <w:rsid w:val="005D1814"/>
    <w:rsid w:val="005D1DB9"/>
    <w:rsid w:val="005D296A"/>
    <w:rsid w:val="005D2C3C"/>
    <w:rsid w:val="005D351F"/>
    <w:rsid w:val="005D3ABA"/>
    <w:rsid w:val="005D4A36"/>
    <w:rsid w:val="005D57A5"/>
    <w:rsid w:val="005D5DD8"/>
    <w:rsid w:val="005D6BB4"/>
    <w:rsid w:val="005D7368"/>
    <w:rsid w:val="005D7B70"/>
    <w:rsid w:val="005D7E67"/>
    <w:rsid w:val="005E01D0"/>
    <w:rsid w:val="005E0394"/>
    <w:rsid w:val="005E0404"/>
    <w:rsid w:val="005E0D96"/>
    <w:rsid w:val="005E0EE3"/>
    <w:rsid w:val="005E1188"/>
    <w:rsid w:val="005E143B"/>
    <w:rsid w:val="005E1756"/>
    <w:rsid w:val="005E1E0B"/>
    <w:rsid w:val="005E2F8A"/>
    <w:rsid w:val="005E5044"/>
    <w:rsid w:val="005E5D6A"/>
    <w:rsid w:val="005E60F6"/>
    <w:rsid w:val="005E63E2"/>
    <w:rsid w:val="005F1F07"/>
    <w:rsid w:val="005F2774"/>
    <w:rsid w:val="005F2AB0"/>
    <w:rsid w:val="005F2F89"/>
    <w:rsid w:val="005F3AB8"/>
    <w:rsid w:val="005F401D"/>
    <w:rsid w:val="005F4640"/>
    <w:rsid w:val="005F4F45"/>
    <w:rsid w:val="005F52DB"/>
    <w:rsid w:val="005F5741"/>
    <w:rsid w:val="005F64EF"/>
    <w:rsid w:val="005F697D"/>
    <w:rsid w:val="005F737B"/>
    <w:rsid w:val="005F7E8C"/>
    <w:rsid w:val="0060055B"/>
    <w:rsid w:val="00600C41"/>
    <w:rsid w:val="00600D2B"/>
    <w:rsid w:val="006011A3"/>
    <w:rsid w:val="006035F3"/>
    <w:rsid w:val="0060371D"/>
    <w:rsid w:val="00604AA5"/>
    <w:rsid w:val="00605301"/>
    <w:rsid w:val="006056A1"/>
    <w:rsid w:val="00605A78"/>
    <w:rsid w:val="00605E70"/>
    <w:rsid w:val="0060670D"/>
    <w:rsid w:val="00606889"/>
    <w:rsid w:val="00610146"/>
    <w:rsid w:val="00610C4B"/>
    <w:rsid w:val="00611539"/>
    <w:rsid w:val="00612107"/>
    <w:rsid w:val="00613181"/>
    <w:rsid w:val="00613504"/>
    <w:rsid w:val="006141B1"/>
    <w:rsid w:val="006160A1"/>
    <w:rsid w:val="006166D4"/>
    <w:rsid w:val="006169F6"/>
    <w:rsid w:val="00616F4B"/>
    <w:rsid w:val="00617C6A"/>
    <w:rsid w:val="006203C1"/>
    <w:rsid w:val="00620716"/>
    <w:rsid w:val="00621B48"/>
    <w:rsid w:val="00622061"/>
    <w:rsid w:val="006223AC"/>
    <w:rsid w:val="00623C73"/>
    <w:rsid w:val="00624F48"/>
    <w:rsid w:val="00625F04"/>
    <w:rsid w:val="00625FD0"/>
    <w:rsid w:val="006260DC"/>
    <w:rsid w:val="006261AE"/>
    <w:rsid w:val="00626653"/>
    <w:rsid w:val="00626942"/>
    <w:rsid w:val="00627013"/>
    <w:rsid w:val="0062719F"/>
    <w:rsid w:val="0062726E"/>
    <w:rsid w:val="00630508"/>
    <w:rsid w:val="00630BAF"/>
    <w:rsid w:val="00630D8B"/>
    <w:rsid w:val="00630EAD"/>
    <w:rsid w:val="00632C23"/>
    <w:rsid w:val="00633B0D"/>
    <w:rsid w:val="00633C10"/>
    <w:rsid w:val="00633EBC"/>
    <w:rsid w:val="0063463F"/>
    <w:rsid w:val="0063490B"/>
    <w:rsid w:val="006349E6"/>
    <w:rsid w:val="0063577C"/>
    <w:rsid w:val="00635CE7"/>
    <w:rsid w:val="006365BA"/>
    <w:rsid w:val="00637B23"/>
    <w:rsid w:val="00637CF1"/>
    <w:rsid w:val="00640411"/>
    <w:rsid w:val="006405EB"/>
    <w:rsid w:val="00640910"/>
    <w:rsid w:val="006413A5"/>
    <w:rsid w:val="00642C16"/>
    <w:rsid w:val="0064300B"/>
    <w:rsid w:val="00644981"/>
    <w:rsid w:val="00644C4D"/>
    <w:rsid w:val="00645EE2"/>
    <w:rsid w:val="006460ED"/>
    <w:rsid w:val="00647465"/>
    <w:rsid w:val="00647D3F"/>
    <w:rsid w:val="00650111"/>
    <w:rsid w:val="006501DD"/>
    <w:rsid w:val="00650383"/>
    <w:rsid w:val="0065067B"/>
    <w:rsid w:val="00650B93"/>
    <w:rsid w:val="00651452"/>
    <w:rsid w:val="006516C7"/>
    <w:rsid w:val="00652112"/>
    <w:rsid w:val="00652490"/>
    <w:rsid w:val="00652A2F"/>
    <w:rsid w:val="00652C23"/>
    <w:rsid w:val="006531E6"/>
    <w:rsid w:val="00653612"/>
    <w:rsid w:val="006552DB"/>
    <w:rsid w:val="00655428"/>
    <w:rsid w:val="00655780"/>
    <w:rsid w:val="00655D86"/>
    <w:rsid w:val="0065779C"/>
    <w:rsid w:val="00657DB4"/>
    <w:rsid w:val="006600A5"/>
    <w:rsid w:val="006602F3"/>
    <w:rsid w:val="0066050E"/>
    <w:rsid w:val="00660DD6"/>
    <w:rsid w:val="00661283"/>
    <w:rsid w:val="00661894"/>
    <w:rsid w:val="00661E37"/>
    <w:rsid w:val="006632A8"/>
    <w:rsid w:val="006645C4"/>
    <w:rsid w:val="006648BD"/>
    <w:rsid w:val="00664B07"/>
    <w:rsid w:val="006652F2"/>
    <w:rsid w:val="0066547F"/>
    <w:rsid w:val="006656F4"/>
    <w:rsid w:val="00665740"/>
    <w:rsid w:val="00666948"/>
    <w:rsid w:val="00667B5B"/>
    <w:rsid w:val="0067048A"/>
    <w:rsid w:val="00670AA1"/>
    <w:rsid w:val="00671F05"/>
    <w:rsid w:val="006742D0"/>
    <w:rsid w:val="00675FC1"/>
    <w:rsid w:val="0067783E"/>
    <w:rsid w:val="0068079F"/>
    <w:rsid w:val="00680E5F"/>
    <w:rsid w:val="00684356"/>
    <w:rsid w:val="00684787"/>
    <w:rsid w:val="006848D9"/>
    <w:rsid w:val="006853B0"/>
    <w:rsid w:val="0068541B"/>
    <w:rsid w:val="006854A4"/>
    <w:rsid w:val="00685799"/>
    <w:rsid w:val="0068585B"/>
    <w:rsid w:val="00685BF1"/>
    <w:rsid w:val="006863C5"/>
    <w:rsid w:val="006868AF"/>
    <w:rsid w:val="00686B1D"/>
    <w:rsid w:val="00686F8E"/>
    <w:rsid w:val="00687041"/>
    <w:rsid w:val="00690254"/>
    <w:rsid w:val="006903B4"/>
    <w:rsid w:val="00690946"/>
    <w:rsid w:val="00691354"/>
    <w:rsid w:val="00691AEB"/>
    <w:rsid w:val="00692CB7"/>
    <w:rsid w:val="00694F81"/>
    <w:rsid w:val="00697D15"/>
    <w:rsid w:val="006A0549"/>
    <w:rsid w:val="006A09D1"/>
    <w:rsid w:val="006A1228"/>
    <w:rsid w:val="006A15BE"/>
    <w:rsid w:val="006A2099"/>
    <w:rsid w:val="006A22AD"/>
    <w:rsid w:val="006A2465"/>
    <w:rsid w:val="006A256E"/>
    <w:rsid w:val="006A3704"/>
    <w:rsid w:val="006A3A39"/>
    <w:rsid w:val="006A4711"/>
    <w:rsid w:val="006A5329"/>
    <w:rsid w:val="006A5544"/>
    <w:rsid w:val="006A5C47"/>
    <w:rsid w:val="006A67E4"/>
    <w:rsid w:val="006A73BF"/>
    <w:rsid w:val="006B00AC"/>
    <w:rsid w:val="006B04C8"/>
    <w:rsid w:val="006B0AFF"/>
    <w:rsid w:val="006B1067"/>
    <w:rsid w:val="006B1445"/>
    <w:rsid w:val="006B1AB5"/>
    <w:rsid w:val="006B1B3F"/>
    <w:rsid w:val="006B2337"/>
    <w:rsid w:val="006B27CA"/>
    <w:rsid w:val="006B351D"/>
    <w:rsid w:val="006B36B2"/>
    <w:rsid w:val="006B4066"/>
    <w:rsid w:val="006B52B6"/>
    <w:rsid w:val="006B534D"/>
    <w:rsid w:val="006B5887"/>
    <w:rsid w:val="006B6066"/>
    <w:rsid w:val="006B6AEB"/>
    <w:rsid w:val="006B7918"/>
    <w:rsid w:val="006B7C13"/>
    <w:rsid w:val="006B7C3A"/>
    <w:rsid w:val="006C080E"/>
    <w:rsid w:val="006C0B07"/>
    <w:rsid w:val="006C26FF"/>
    <w:rsid w:val="006C33D6"/>
    <w:rsid w:val="006C4540"/>
    <w:rsid w:val="006C5ECC"/>
    <w:rsid w:val="006C6ABE"/>
    <w:rsid w:val="006C777D"/>
    <w:rsid w:val="006D00F8"/>
    <w:rsid w:val="006D1ACA"/>
    <w:rsid w:val="006D228D"/>
    <w:rsid w:val="006D3649"/>
    <w:rsid w:val="006D44B1"/>
    <w:rsid w:val="006D4968"/>
    <w:rsid w:val="006D4C77"/>
    <w:rsid w:val="006D6234"/>
    <w:rsid w:val="006D6291"/>
    <w:rsid w:val="006D67CF"/>
    <w:rsid w:val="006D6BAF"/>
    <w:rsid w:val="006D6F66"/>
    <w:rsid w:val="006D74CB"/>
    <w:rsid w:val="006D7AEA"/>
    <w:rsid w:val="006E1239"/>
    <w:rsid w:val="006E24F9"/>
    <w:rsid w:val="006E25CC"/>
    <w:rsid w:val="006E285A"/>
    <w:rsid w:val="006E48EE"/>
    <w:rsid w:val="006E6149"/>
    <w:rsid w:val="006E698E"/>
    <w:rsid w:val="006E7020"/>
    <w:rsid w:val="006E7367"/>
    <w:rsid w:val="006E7ACA"/>
    <w:rsid w:val="006E7C49"/>
    <w:rsid w:val="006F29B0"/>
    <w:rsid w:val="006F2EE9"/>
    <w:rsid w:val="006F3062"/>
    <w:rsid w:val="006F4649"/>
    <w:rsid w:val="006F46D3"/>
    <w:rsid w:val="006F52E1"/>
    <w:rsid w:val="006F597A"/>
    <w:rsid w:val="006F6FA2"/>
    <w:rsid w:val="006F7C6C"/>
    <w:rsid w:val="0070002A"/>
    <w:rsid w:val="0070008C"/>
    <w:rsid w:val="007001BC"/>
    <w:rsid w:val="007004E3"/>
    <w:rsid w:val="0070106E"/>
    <w:rsid w:val="00701127"/>
    <w:rsid w:val="00701333"/>
    <w:rsid w:val="00701880"/>
    <w:rsid w:val="00701D6D"/>
    <w:rsid w:val="0070317E"/>
    <w:rsid w:val="0070369A"/>
    <w:rsid w:val="007038AD"/>
    <w:rsid w:val="00703ABF"/>
    <w:rsid w:val="007045D9"/>
    <w:rsid w:val="00704B7B"/>
    <w:rsid w:val="0070582C"/>
    <w:rsid w:val="00705A70"/>
    <w:rsid w:val="00706753"/>
    <w:rsid w:val="00706B9C"/>
    <w:rsid w:val="007074BB"/>
    <w:rsid w:val="00707A58"/>
    <w:rsid w:val="00710265"/>
    <w:rsid w:val="0071029F"/>
    <w:rsid w:val="00710433"/>
    <w:rsid w:val="007123A8"/>
    <w:rsid w:val="00712C54"/>
    <w:rsid w:val="0071370C"/>
    <w:rsid w:val="0071377A"/>
    <w:rsid w:val="0071422C"/>
    <w:rsid w:val="007149F1"/>
    <w:rsid w:val="00715AD9"/>
    <w:rsid w:val="00715B50"/>
    <w:rsid w:val="00721D5D"/>
    <w:rsid w:val="00721E5D"/>
    <w:rsid w:val="007225E1"/>
    <w:rsid w:val="00723287"/>
    <w:rsid w:val="00724168"/>
    <w:rsid w:val="00724999"/>
    <w:rsid w:val="00725064"/>
    <w:rsid w:val="0072545B"/>
    <w:rsid w:val="00726585"/>
    <w:rsid w:val="007271DF"/>
    <w:rsid w:val="00727341"/>
    <w:rsid w:val="00727CFB"/>
    <w:rsid w:val="00730C64"/>
    <w:rsid w:val="00731914"/>
    <w:rsid w:val="00732978"/>
    <w:rsid w:val="00732C74"/>
    <w:rsid w:val="00732C83"/>
    <w:rsid w:val="00733691"/>
    <w:rsid w:val="007336E1"/>
    <w:rsid w:val="00733DEA"/>
    <w:rsid w:val="0073405A"/>
    <w:rsid w:val="00734AAD"/>
    <w:rsid w:val="0073530B"/>
    <w:rsid w:val="00735438"/>
    <w:rsid w:val="00735542"/>
    <w:rsid w:val="007373D0"/>
    <w:rsid w:val="00737536"/>
    <w:rsid w:val="0073767D"/>
    <w:rsid w:val="007408C1"/>
    <w:rsid w:val="00740932"/>
    <w:rsid w:val="007413AF"/>
    <w:rsid w:val="007415BB"/>
    <w:rsid w:val="00743163"/>
    <w:rsid w:val="0074322D"/>
    <w:rsid w:val="0074336C"/>
    <w:rsid w:val="00743798"/>
    <w:rsid w:val="00743815"/>
    <w:rsid w:val="00743E64"/>
    <w:rsid w:val="007440C6"/>
    <w:rsid w:val="007457AA"/>
    <w:rsid w:val="00745FE7"/>
    <w:rsid w:val="007463B0"/>
    <w:rsid w:val="0074768E"/>
    <w:rsid w:val="00747E8C"/>
    <w:rsid w:val="00747F29"/>
    <w:rsid w:val="007501D0"/>
    <w:rsid w:val="00750418"/>
    <w:rsid w:val="00751176"/>
    <w:rsid w:val="00751514"/>
    <w:rsid w:val="00751CE4"/>
    <w:rsid w:val="0075212B"/>
    <w:rsid w:val="00752318"/>
    <w:rsid w:val="00752440"/>
    <w:rsid w:val="0075276F"/>
    <w:rsid w:val="00752CAC"/>
    <w:rsid w:val="007530DC"/>
    <w:rsid w:val="00754316"/>
    <w:rsid w:val="00754AE7"/>
    <w:rsid w:val="00754F76"/>
    <w:rsid w:val="007554F5"/>
    <w:rsid w:val="00755AD4"/>
    <w:rsid w:val="00756319"/>
    <w:rsid w:val="0075716B"/>
    <w:rsid w:val="007576D1"/>
    <w:rsid w:val="00760FAB"/>
    <w:rsid w:val="00761082"/>
    <w:rsid w:val="007627A0"/>
    <w:rsid w:val="00762959"/>
    <w:rsid w:val="007634D4"/>
    <w:rsid w:val="00764DC3"/>
    <w:rsid w:val="00764F78"/>
    <w:rsid w:val="007658B6"/>
    <w:rsid w:val="00765F05"/>
    <w:rsid w:val="0076651C"/>
    <w:rsid w:val="00766CA9"/>
    <w:rsid w:val="007673E3"/>
    <w:rsid w:val="007674D7"/>
    <w:rsid w:val="00767709"/>
    <w:rsid w:val="007700E9"/>
    <w:rsid w:val="00770BCB"/>
    <w:rsid w:val="00771044"/>
    <w:rsid w:val="00771078"/>
    <w:rsid w:val="0077173F"/>
    <w:rsid w:val="00772380"/>
    <w:rsid w:val="00772606"/>
    <w:rsid w:val="0077354F"/>
    <w:rsid w:val="0077490F"/>
    <w:rsid w:val="007751D7"/>
    <w:rsid w:val="0077559D"/>
    <w:rsid w:val="00775776"/>
    <w:rsid w:val="00775D47"/>
    <w:rsid w:val="00776375"/>
    <w:rsid w:val="007772B2"/>
    <w:rsid w:val="00777462"/>
    <w:rsid w:val="00777CE9"/>
    <w:rsid w:val="00777F74"/>
    <w:rsid w:val="00780308"/>
    <w:rsid w:val="007816F3"/>
    <w:rsid w:val="00781C31"/>
    <w:rsid w:val="00781F33"/>
    <w:rsid w:val="007844B7"/>
    <w:rsid w:val="00784FFD"/>
    <w:rsid w:val="007851E7"/>
    <w:rsid w:val="0078585E"/>
    <w:rsid w:val="00785B96"/>
    <w:rsid w:val="00787086"/>
    <w:rsid w:val="00787212"/>
    <w:rsid w:val="0078735A"/>
    <w:rsid w:val="00787CFA"/>
    <w:rsid w:val="007902B7"/>
    <w:rsid w:val="00790627"/>
    <w:rsid w:val="00790759"/>
    <w:rsid w:val="00790AAE"/>
    <w:rsid w:val="00790F6B"/>
    <w:rsid w:val="007913DE"/>
    <w:rsid w:val="00791437"/>
    <w:rsid w:val="00791AD4"/>
    <w:rsid w:val="0079265B"/>
    <w:rsid w:val="007931A6"/>
    <w:rsid w:val="0079344D"/>
    <w:rsid w:val="00795200"/>
    <w:rsid w:val="00795275"/>
    <w:rsid w:val="00797097"/>
    <w:rsid w:val="007A05B6"/>
    <w:rsid w:val="007A09ED"/>
    <w:rsid w:val="007A0E5A"/>
    <w:rsid w:val="007A2BAF"/>
    <w:rsid w:val="007A501D"/>
    <w:rsid w:val="007A514D"/>
    <w:rsid w:val="007A5414"/>
    <w:rsid w:val="007A5D10"/>
    <w:rsid w:val="007A650A"/>
    <w:rsid w:val="007A6FF0"/>
    <w:rsid w:val="007A7FBA"/>
    <w:rsid w:val="007B0A0B"/>
    <w:rsid w:val="007B1339"/>
    <w:rsid w:val="007B14F7"/>
    <w:rsid w:val="007B15D0"/>
    <w:rsid w:val="007B22EF"/>
    <w:rsid w:val="007B2462"/>
    <w:rsid w:val="007B2B9B"/>
    <w:rsid w:val="007B3272"/>
    <w:rsid w:val="007B5938"/>
    <w:rsid w:val="007B6EF1"/>
    <w:rsid w:val="007B71FD"/>
    <w:rsid w:val="007B7231"/>
    <w:rsid w:val="007B7E14"/>
    <w:rsid w:val="007C0529"/>
    <w:rsid w:val="007C1C17"/>
    <w:rsid w:val="007C2074"/>
    <w:rsid w:val="007C21D7"/>
    <w:rsid w:val="007C2828"/>
    <w:rsid w:val="007C2982"/>
    <w:rsid w:val="007C34FB"/>
    <w:rsid w:val="007C45A9"/>
    <w:rsid w:val="007C4FC2"/>
    <w:rsid w:val="007C5270"/>
    <w:rsid w:val="007C61D7"/>
    <w:rsid w:val="007C6B28"/>
    <w:rsid w:val="007C7AD9"/>
    <w:rsid w:val="007D021D"/>
    <w:rsid w:val="007D068F"/>
    <w:rsid w:val="007D0A6F"/>
    <w:rsid w:val="007D0E29"/>
    <w:rsid w:val="007D0F3E"/>
    <w:rsid w:val="007D1E63"/>
    <w:rsid w:val="007D2078"/>
    <w:rsid w:val="007D231A"/>
    <w:rsid w:val="007D6EBB"/>
    <w:rsid w:val="007D73A2"/>
    <w:rsid w:val="007D79BD"/>
    <w:rsid w:val="007D7A4E"/>
    <w:rsid w:val="007D7B9B"/>
    <w:rsid w:val="007E2054"/>
    <w:rsid w:val="007E2A19"/>
    <w:rsid w:val="007E2B23"/>
    <w:rsid w:val="007E3A1D"/>
    <w:rsid w:val="007E483F"/>
    <w:rsid w:val="007E4BC6"/>
    <w:rsid w:val="007E50DA"/>
    <w:rsid w:val="007E52AB"/>
    <w:rsid w:val="007E5A21"/>
    <w:rsid w:val="007E6B78"/>
    <w:rsid w:val="007E7BC6"/>
    <w:rsid w:val="007F19D6"/>
    <w:rsid w:val="007F2BC9"/>
    <w:rsid w:val="007F36AF"/>
    <w:rsid w:val="007F6075"/>
    <w:rsid w:val="0080188F"/>
    <w:rsid w:val="00801918"/>
    <w:rsid w:val="00801BB2"/>
    <w:rsid w:val="00801FE7"/>
    <w:rsid w:val="008027D7"/>
    <w:rsid w:val="0080535D"/>
    <w:rsid w:val="00805E7A"/>
    <w:rsid w:val="00806374"/>
    <w:rsid w:val="008068CB"/>
    <w:rsid w:val="00806CA3"/>
    <w:rsid w:val="008075B4"/>
    <w:rsid w:val="00807AB0"/>
    <w:rsid w:val="00807BC4"/>
    <w:rsid w:val="00807C64"/>
    <w:rsid w:val="00811078"/>
    <w:rsid w:val="008110CC"/>
    <w:rsid w:val="00811AA8"/>
    <w:rsid w:val="008122E6"/>
    <w:rsid w:val="008123F4"/>
    <w:rsid w:val="00812FF2"/>
    <w:rsid w:val="008138B5"/>
    <w:rsid w:val="00813BA9"/>
    <w:rsid w:val="00813F0C"/>
    <w:rsid w:val="008152BA"/>
    <w:rsid w:val="00815AE9"/>
    <w:rsid w:val="00815E94"/>
    <w:rsid w:val="008167CB"/>
    <w:rsid w:val="00817126"/>
    <w:rsid w:val="008173FB"/>
    <w:rsid w:val="00817634"/>
    <w:rsid w:val="00817A3A"/>
    <w:rsid w:val="00820CEE"/>
    <w:rsid w:val="008210A5"/>
    <w:rsid w:val="00821356"/>
    <w:rsid w:val="00821493"/>
    <w:rsid w:val="00821686"/>
    <w:rsid w:val="0082190D"/>
    <w:rsid w:val="00821BAD"/>
    <w:rsid w:val="00823A21"/>
    <w:rsid w:val="00823A54"/>
    <w:rsid w:val="00824D58"/>
    <w:rsid w:val="00825281"/>
    <w:rsid w:val="00826239"/>
    <w:rsid w:val="00826311"/>
    <w:rsid w:val="008278E0"/>
    <w:rsid w:val="00827B95"/>
    <w:rsid w:val="008321E9"/>
    <w:rsid w:val="00832E3E"/>
    <w:rsid w:val="00833F37"/>
    <w:rsid w:val="0083461F"/>
    <w:rsid w:val="00835482"/>
    <w:rsid w:val="00835749"/>
    <w:rsid w:val="00836BE3"/>
    <w:rsid w:val="00837B03"/>
    <w:rsid w:val="008401F0"/>
    <w:rsid w:val="00843E05"/>
    <w:rsid w:val="00845607"/>
    <w:rsid w:val="00846441"/>
    <w:rsid w:val="00846C82"/>
    <w:rsid w:val="008506C4"/>
    <w:rsid w:val="0085175D"/>
    <w:rsid w:val="00851A07"/>
    <w:rsid w:val="008522CC"/>
    <w:rsid w:val="00853357"/>
    <w:rsid w:val="0085385F"/>
    <w:rsid w:val="00854096"/>
    <w:rsid w:val="008553AA"/>
    <w:rsid w:val="008555F2"/>
    <w:rsid w:val="00855C08"/>
    <w:rsid w:val="00856F4C"/>
    <w:rsid w:val="00860780"/>
    <w:rsid w:val="00860D30"/>
    <w:rsid w:val="00860F82"/>
    <w:rsid w:val="008618B7"/>
    <w:rsid w:val="0086192D"/>
    <w:rsid w:val="00863038"/>
    <w:rsid w:val="0086384B"/>
    <w:rsid w:val="00863F02"/>
    <w:rsid w:val="008649B9"/>
    <w:rsid w:val="00864B62"/>
    <w:rsid w:val="00865190"/>
    <w:rsid w:val="00865580"/>
    <w:rsid w:val="0086608A"/>
    <w:rsid w:val="008679C6"/>
    <w:rsid w:val="008708D8"/>
    <w:rsid w:val="00870C3B"/>
    <w:rsid w:val="0087170A"/>
    <w:rsid w:val="0087483A"/>
    <w:rsid w:val="008748DE"/>
    <w:rsid w:val="008751D9"/>
    <w:rsid w:val="008758B7"/>
    <w:rsid w:val="00875EFA"/>
    <w:rsid w:val="0087611D"/>
    <w:rsid w:val="008761D4"/>
    <w:rsid w:val="008771C6"/>
    <w:rsid w:val="008802DE"/>
    <w:rsid w:val="00880D3A"/>
    <w:rsid w:val="00880F20"/>
    <w:rsid w:val="00882927"/>
    <w:rsid w:val="00882F61"/>
    <w:rsid w:val="0088339F"/>
    <w:rsid w:val="00883E29"/>
    <w:rsid w:val="00884146"/>
    <w:rsid w:val="00884D9A"/>
    <w:rsid w:val="008870DE"/>
    <w:rsid w:val="00887BB9"/>
    <w:rsid w:val="0089004B"/>
    <w:rsid w:val="00890384"/>
    <w:rsid w:val="0089053D"/>
    <w:rsid w:val="00891423"/>
    <w:rsid w:val="00891CA3"/>
    <w:rsid w:val="00892BC4"/>
    <w:rsid w:val="00892D03"/>
    <w:rsid w:val="00893975"/>
    <w:rsid w:val="008A0B5B"/>
    <w:rsid w:val="008A13B0"/>
    <w:rsid w:val="008A3498"/>
    <w:rsid w:val="008A4825"/>
    <w:rsid w:val="008A5038"/>
    <w:rsid w:val="008A5BAE"/>
    <w:rsid w:val="008A69C4"/>
    <w:rsid w:val="008A7091"/>
    <w:rsid w:val="008A7398"/>
    <w:rsid w:val="008A7471"/>
    <w:rsid w:val="008B0342"/>
    <w:rsid w:val="008B191B"/>
    <w:rsid w:val="008B2970"/>
    <w:rsid w:val="008B2B3E"/>
    <w:rsid w:val="008B3C17"/>
    <w:rsid w:val="008B410E"/>
    <w:rsid w:val="008B4D91"/>
    <w:rsid w:val="008B53FD"/>
    <w:rsid w:val="008B5866"/>
    <w:rsid w:val="008B5EC7"/>
    <w:rsid w:val="008B672B"/>
    <w:rsid w:val="008B76EE"/>
    <w:rsid w:val="008B7B56"/>
    <w:rsid w:val="008B7D7A"/>
    <w:rsid w:val="008C300E"/>
    <w:rsid w:val="008C360C"/>
    <w:rsid w:val="008C5969"/>
    <w:rsid w:val="008C5AEB"/>
    <w:rsid w:val="008C5B05"/>
    <w:rsid w:val="008C5C65"/>
    <w:rsid w:val="008C5F0E"/>
    <w:rsid w:val="008C7F52"/>
    <w:rsid w:val="008D064D"/>
    <w:rsid w:val="008D065A"/>
    <w:rsid w:val="008D2EB0"/>
    <w:rsid w:val="008D304C"/>
    <w:rsid w:val="008D4498"/>
    <w:rsid w:val="008D4A7A"/>
    <w:rsid w:val="008D4D3D"/>
    <w:rsid w:val="008D51DA"/>
    <w:rsid w:val="008D5B14"/>
    <w:rsid w:val="008D7567"/>
    <w:rsid w:val="008D7B6B"/>
    <w:rsid w:val="008D7F0D"/>
    <w:rsid w:val="008E0670"/>
    <w:rsid w:val="008E1B83"/>
    <w:rsid w:val="008E2215"/>
    <w:rsid w:val="008E2BBD"/>
    <w:rsid w:val="008E2C7A"/>
    <w:rsid w:val="008E34D6"/>
    <w:rsid w:val="008E39E0"/>
    <w:rsid w:val="008E4A1A"/>
    <w:rsid w:val="008E5E00"/>
    <w:rsid w:val="008E6D14"/>
    <w:rsid w:val="008E7328"/>
    <w:rsid w:val="008F0045"/>
    <w:rsid w:val="008F0B56"/>
    <w:rsid w:val="008F0BB7"/>
    <w:rsid w:val="008F17A6"/>
    <w:rsid w:val="008F2836"/>
    <w:rsid w:val="008F3E9A"/>
    <w:rsid w:val="008F4616"/>
    <w:rsid w:val="008F4BD9"/>
    <w:rsid w:val="008F58CD"/>
    <w:rsid w:val="008F69C2"/>
    <w:rsid w:val="008F6BB4"/>
    <w:rsid w:val="008F6CFD"/>
    <w:rsid w:val="008F71C0"/>
    <w:rsid w:val="00900393"/>
    <w:rsid w:val="009003FA"/>
    <w:rsid w:val="00900F55"/>
    <w:rsid w:val="00900FBF"/>
    <w:rsid w:val="00902260"/>
    <w:rsid w:val="009023AB"/>
    <w:rsid w:val="00902A80"/>
    <w:rsid w:val="0090393F"/>
    <w:rsid w:val="009048F9"/>
    <w:rsid w:val="00904DB2"/>
    <w:rsid w:val="00905393"/>
    <w:rsid w:val="00906ED7"/>
    <w:rsid w:val="00907E24"/>
    <w:rsid w:val="00907FE6"/>
    <w:rsid w:val="0091007A"/>
    <w:rsid w:val="009111F1"/>
    <w:rsid w:val="0091219D"/>
    <w:rsid w:val="00913842"/>
    <w:rsid w:val="00913C3A"/>
    <w:rsid w:val="0091486B"/>
    <w:rsid w:val="0091495E"/>
    <w:rsid w:val="00914A9B"/>
    <w:rsid w:val="00914ECD"/>
    <w:rsid w:val="00915528"/>
    <w:rsid w:val="00915D29"/>
    <w:rsid w:val="00915D2E"/>
    <w:rsid w:val="00916F05"/>
    <w:rsid w:val="00917B6F"/>
    <w:rsid w:val="00917E45"/>
    <w:rsid w:val="00920A35"/>
    <w:rsid w:val="00920C27"/>
    <w:rsid w:val="009211C0"/>
    <w:rsid w:val="009217A4"/>
    <w:rsid w:val="00922020"/>
    <w:rsid w:val="00922597"/>
    <w:rsid w:val="009229F5"/>
    <w:rsid w:val="00923999"/>
    <w:rsid w:val="00923B2D"/>
    <w:rsid w:val="00923D02"/>
    <w:rsid w:val="00924042"/>
    <w:rsid w:val="0092527F"/>
    <w:rsid w:val="009268DE"/>
    <w:rsid w:val="009270AF"/>
    <w:rsid w:val="00930DF2"/>
    <w:rsid w:val="00931013"/>
    <w:rsid w:val="0093238C"/>
    <w:rsid w:val="00932863"/>
    <w:rsid w:val="00933E20"/>
    <w:rsid w:val="009349AB"/>
    <w:rsid w:val="0093502A"/>
    <w:rsid w:val="00935389"/>
    <w:rsid w:val="00935600"/>
    <w:rsid w:val="00935966"/>
    <w:rsid w:val="0093636B"/>
    <w:rsid w:val="00936AC1"/>
    <w:rsid w:val="009402C6"/>
    <w:rsid w:val="009406DE"/>
    <w:rsid w:val="00940A96"/>
    <w:rsid w:val="009412A6"/>
    <w:rsid w:val="0094264B"/>
    <w:rsid w:val="009426B2"/>
    <w:rsid w:val="009435A7"/>
    <w:rsid w:val="00943EC4"/>
    <w:rsid w:val="00944E79"/>
    <w:rsid w:val="009455B8"/>
    <w:rsid w:val="00945AFA"/>
    <w:rsid w:val="00947DFA"/>
    <w:rsid w:val="009506F3"/>
    <w:rsid w:val="00950B89"/>
    <w:rsid w:val="00951496"/>
    <w:rsid w:val="009514A6"/>
    <w:rsid w:val="00951562"/>
    <w:rsid w:val="009516FD"/>
    <w:rsid w:val="0095174B"/>
    <w:rsid w:val="0095183F"/>
    <w:rsid w:val="00951999"/>
    <w:rsid w:val="0095273B"/>
    <w:rsid w:val="009531D6"/>
    <w:rsid w:val="00953B4D"/>
    <w:rsid w:val="00953DD3"/>
    <w:rsid w:val="00954710"/>
    <w:rsid w:val="00954F18"/>
    <w:rsid w:val="00955137"/>
    <w:rsid w:val="00955635"/>
    <w:rsid w:val="00960BE5"/>
    <w:rsid w:val="009610B7"/>
    <w:rsid w:val="00961136"/>
    <w:rsid w:val="009622F5"/>
    <w:rsid w:val="00962319"/>
    <w:rsid w:val="0096576D"/>
    <w:rsid w:val="00965924"/>
    <w:rsid w:val="009659EE"/>
    <w:rsid w:val="00967087"/>
    <w:rsid w:val="00967111"/>
    <w:rsid w:val="00967286"/>
    <w:rsid w:val="009673FE"/>
    <w:rsid w:val="00967D7D"/>
    <w:rsid w:val="00970918"/>
    <w:rsid w:val="00971BA7"/>
    <w:rsid w:val="009721D2"/>
    <w:rsid w:val="00973604"/>
    <w:rsid w:val="009738A1"/>
    <w:rsid w:val="00973DBF"/>
    <w:rsid w:val="00973E32"/>
    <w:rsid w:val="00974994"/>
    <w:rsid w:val="00974B14"/>
    <w:rsid w:val="00974C54"/>
    <w:rsid w:val="00975F49"/>
    <w:rsid w:val="00975F88"/>
    <w:rsid w:val="009779E6"/>
    <w:rsid w:val="00981B40"/>
    <w:rsid w:val="00981E94"/>
    <w:rsid w:val="00981FDD"/>
    <w:rsid w:val="009826D4"/>
    <w:rsid w:val="00982D7A"/>
    <w:rsid w:val="00983087"/>
    <w:rsid w:val="00983E49"/>
    <w:rsid w:val="0098443A"/>
    <w:rsid w:val="00984A97"/>
    <w:rsid w:val="00984C88"/>
    <w:rsid w:val="0098555E"/>
    <w:rsid w:val="00985656"/>
    <w:rsid w:val="00985D88"/>
    <w:rsid w:val="009860FD"/>
    <w:rsid w:val="00986102"/>
    <w:rsid w:val="009869A7"/>
    <w:rsid w:val="00990613"/>
    <w:rsid w:val="00990AC1"/>
    <w:rsid w:val="009911B8"/>
    <w:rsid w:val="009911E3"/>
    <w:rsid w:val="009912C5"/>
    <w:rsid w:val="00991D95"/>
    <w:rsid w:val="009923DE"/>
    <w:rsid w:val="00992770"/>
    <w:rsid w:val="00992F9B"/>
    <w:rsid w:val="00993320"/>
    <w:rsid w:val="009936C6"/>
    <w:rsid w:val="009944F8"/>
    <w:rsid w:val="0099546F"/>
    <w:rsid w:val="009957C7"/>
    <w:rsid w:val="009959F7"/>
    <w:rsid w:val="00997A62"/>
    <w:rsid w:val="009A07BC"/>
    <w:rsid w:val="009A147B"/>
    <w:rsid w:val="009A1556"/>
    <w:rsid w:val="009A198A"/>
    <w:rsid w:val="009A1F7F"/>
    <w:rsid w:val="009A3127"/>
    <w:rsid w:val="009A3959"/>
    <w:rsid w:val="009A4128"/>
    <w:rsid w:val="009A4CDC"/>
    <w:rsid w:val="009A4F5D"/>
    <w:rsid w:val="009A63F4"/>
    <w:rsid w:val="009A727A"/>
    <w:rsid w:val="009A7BDE"/>
    <w:rsid w:val="009B01C5"/>
    <w:rsid w:val="009B0A90"/>
    <w:rsid w:val="009B0B5E"/>
    <w:rsid w:val="009B0D17"/>
    <w:rsid w:val="009B118C"/>
    <w:rsid w:val="009B16F0"/>
    <w:rsid w:val="009B23AD"/>
    <w:rsid w:val="009B300F"/>
    <w:rsid w:val="009B314C"/>
    <w:rsid w:val="009B3DC9"/>
    <w:rsid w:val="009B415A"/>
    <w:rsid w:val="009B4216"/>
    <w:rsid w:val="009B4395"/>
    <w:rsid w:val="009B4961"/>
    <w:rsid w:val="009B4BFC"/>
    <w:rsid w:val="009B5834"/>
    <w:rsid w:val="009B585E"/>
    <w:rsid w:val="009C2B61"/>
    <w:rsid w:val="009C2CE5"/>
    <w:rsid w:val="009C365E"/>
    <w:rsid w:val="009C4F23"/>
    <w:rsid w:val="009C50BE"/>
    <w:rsid w:val="009C6457"/>
    <w:rsid w:val="009C6EF4"/>
    <w:rsid w:val="009C7DD8"/>
    <w:rsid w:val="009D009C"/>
    <w:rsid w:val="009D0AEC"/>
    <w:rsid w:val="009D0D35"/>
    <w:rsid w:val="009D16CF"/>
    <w:rsid w:val="009D1808"/>
    <w:rsid w:val="009D1BF7"/>
    <w:rsid w:val="009D220E"/>
    <w:rsid w:val="009D3252"/>
    <w:rsid w:val="009D36C3"/>
    <w:rsid w:val="009D39FA"/>
    <w:rsid w:val="009D5898"/>
    <w:rsid w:val="009D6903"/>
    <w:rsid w:val="009D7232"/>
    <w:rsid w:val="009D74A8"/>
    <w:rsid w:val="009D7A79"/>
    <w:rsid w:val="009D7C24"/>
    <w:rsid w:val="009E07B0"/>
    <w:rsid w:val="009E08FF"/>
    <w:rsid w:val="009E4883"/>
    <w:rsid w:val="009E5A70"/>
    <w:rsid w:val="009E60DC"/>
    <w:rsid w:val="009E6F3A"/>
    <w:rsid w:val="009E76B5"/>
    <w:rsid w:val="009F02CF"/>
    <w:rsid w:val="009F1B41"/>
    <w:rsid w:val="009F1C14"/>
    <w:rsid w:val="009F21A8"/>
    <w:rsid w:val="009F2942"/>
    <w:rsid w:val="009F3F77"/>
    <w:rsid w:val="009F40B8"/>
    <w:rsid w:val="009F44A2"/>
    <w:rsid w:val="009F4A52"/>
    <w:rsid w:val="009F5EF7"/>
    <w:rsid w:val="009F717D"/>
    <w:rsid w:val="009F77DB"/>
    <w:rsid w:val="009F7C23"/>
    <w:rsid w:val="00A004FA"/>
    <w:rsid w:val="00A0108A"/>
    <w:rsid w:val="00A01A1F"/>
    <w:rsid w:val="00A01DE1"/>
    <w:rsid w:val="00A035AC"/>
    <w:rsid w:val="00A035D6"/>
    <w:rsid w:val="00A05AEB"/>
    <w:rsid w:val="00A060F5"/>
    <w:rsid w:val="00A06253"/>
    <w:rsid w:val="00A06C51"/>
    <w:rsid w:val="00A073AE"/>
    <w:rsid w:val="00A10699"/>
    <w:rsid w:val="00A10D38"/>
    <w:rsid w:val="00A10DB3"/>
    <w:rsid w:val="00A10FE6"/>
    <w:rsid w:val="00A111DF"/>
    <w:rsid w:val="00A12542"/>
    <w:rsid w:val="00A13332"/>
    <w:rsid w:val="00A13A5F"/>
    <w:rsid w:val="00A149BD"/>
    <w:rsid w:val="00A153F7"/>
    <w:rsid w:val="00A15716"/>
    <w:rsid w:val="00A15BCB"/>
    <w:rsid w:val="00A15CCF"/>
    <w:rsid w:val="00A15D48"/>
    <w:rsid w:val="00A164B5"/>
    <w:rsid w:val="00A1659D"/>
    <w:rsid w:val="00A16A46"/>
    <w:rsid w:val="00A16B04"/>
    <w:rsid w:val="00A1707B"/>
    <w:rsid w:val="00A1755C"/>
    <w:rsid w:val="00A17622"/>
    <w:rsid w:val="00A17769"/>
    <w:rsid w:val="00A20CF2"/>
    <w:rsid w:val="00A21E5C"/>
    <w:rsid w:val="00A2218B"/>
    <w:rsid w:val="00A22E89"/>
    <w:rsid w:val="00A2387D"/>
    <w:rsid w:val="00A23C8C"/>
    <w:rsid w:val="00A23C97"/>
    <w:rsid w:val="00A23D49"/>
    <w:rsid w:val="00A24EEF"/>
    <w:rsid w:val="00A250C0"/>
    <w:rsid w:val="00A2590A"/>
    <w:rsid w:val="00A25CC1"/>
    <w:rsid w:val="00A25DD9"/>
    <w:rsid w:val="00A27392"/>
    <w:rsid w:val="00A3001D"/>
    <w:rsid w:val="00A30C22"/>
    <w:rsid w:val="00A30C3A"/>
    <w:rsid w:val="00A31711"/>
    <w:rsid w:val="00A32FD4"/>
    <w:rsid w:val="00A33315"/>
    <w:rsid w:val="00A33681"/>
    <w:rsid w:val="00A33DF4"/>
    <w:rsid w:val="00A35297"/>
    <w:rsid w:val="00A3594B"/>
    <w:rsid w:val="00A36365"/>
    <w:rsid w:val="00A36CC1"/>
    <w:rsid w:val="00A37162"/>
    <w:rsid w:val="00A4173D"/>
    <w:rsid w:val="00A426E5"/>
    <w:rsid w:val="00A42C70"/>
    <w:rsid w:val="00A44709"/>
    <w:rsid w:val="00A44915"/>
    <w:rsid w:val="00A45E9F"/>
    <w:rsid w:val="00A50828"/>
    <w:rsid w:val="00A50C35"/>
    <w:rsid w:val="00A51CC4"/>
    <w:rsid w:val="00A52300"/>
    <w:rsid w:val="00A52750"/>
    <w:rsid w:val="00A536AE"/>
    <w:rsid w:val="00A538C0"/>
    <w:rsid w:val="00A538C5"/>
    <w:rsid w:val="00A5410F"/>
    <w:rsid w:val="00A542E0"/>
    <w:rsid w:val="00A54629"/>
    <w:rsid w:val="00A54682"/>
    <w:rsid w:val="00A551A4"/>
    <w:rsid w:val="00A56019"/>
    <w:rsid w:val="00A563E6"/>
    <w:rsid w:val="00A56D1C"/>
    <w:rsid w:val="00A6025A"/>
    <w:rsid w:val="00A60290"/>
    <w:rsid w:val="00A608E7"/>
    <w:rsid w:val="00A60AF1"/>
    <w:rsid w:val="00A60C51"/>
    <w:rsid w:val="00A60EC3"/>
    <w:rsid w:val="00A61232"/>
    <w:rsid w:val="00A61642"/>
    <w:rsid w:val="00A6179E"/>
    <w:rsid w:val="00A61DCA"/>
    <w:rsid w:val="00A63BA1"/>
    <w:rsid w:val="00A63D83"/>
    <w:rsid w:val="00A65098"/>
    <w:rsid w:val="00A66C50"/>
    <w:rsid w:val="00A67091"/>
    <w:rsid w:val="00A71202"/>
    <w:rsid w:val="00A7158A"/>
    <w:rsid w:val="00A73AFB"/>
    <w:rsid w:val="00A748CB"/>
    <w:rsid w:val="00A748D3"/>
    <w:rsid w:val="00A7608A"/>
    <w:rsid w:val="00A7682C"/>
    <w:rsid w:val="00A77271"/>
    <w:rsid w:val="00A77370"/>
    <w:rsid w:val="00A80295"/>
    <w:rsid w:val="00A80536"/>
    <w:rsid w:val="00A80EE6"/>
    <w:rsid w:val="00A81DED"/>
    <w:rsid w:val="00A826E8"/>
    <w:rsid w:val="00A829B3"/>
    <w:rsid w:val="00A82FE6"/>
    <w:rsid w:val="00A83B6B"/>
    <w:rsid w:val="00A84068"/>
    <w:rsid w:val="00A84589"/>
    <w:rsid w:val="00A85436"/>
    <w:rsid w:val="00A85EBA"/>
    <w:rsid w:val="00A861E6"/>
    <w:rsid w:val="00A86C89"/>
    <w:rsid w:val="00A87074"/>
    <w:rsid w:val="00A87262"/>
    <w:rsid w:val="00A90D70"/>
    <w:rsid w:val="00A92753"/>
    <w:rsid w:val="00A92DC1"/>
    <w:rsid w:val="00A935B7"/>
    <w:rsid w:val="00A93998"/>
    <w:rsid w:val="00A93AD8"/>
    <w:rsid w:val="00A93E32"/>
    <w:rsid w:val="00A940D5"/>
    <w:rsid w:val="00A9499A"/>
    <w:rsid w:val="00A95C13"/>
    <w:rsid w:val="00A96111"/>
    <w:rsid w:val="00A967F3"/>
    <w:rsid w:val="00A96817"/>
    <w:rsid w:val="00A973E7"/>
    <w:rsid w:val="00A9763D"/>
    <w:rsid w:val="00AA0028"/>
    <w:rsid w:val="00AA1765"/>
    <w:rsid w:val="00AA1791"/>
    <w:rsid w:val="00AA2A31"/>
    <w:rsid w:val="00AA331C"/>
    <w:rsid w:val="00AA384C"/>
    <w:rsid w:val="00AA4EE6"/>
    <w:rsid w:val="00AA6939"/>
    <w:rsid w:val="00AA7C00"/>
    <w:rsid w:val="00AA7CF6"/>
    <w:rsid w:val="00AB1E14"/>
    <w:rsid w:val="00AB279F"/>
    <w:rsid w:val="00AB2DEC"/>
    <w:rsid w:val="00AB31C2"/>
    <w:rsid w:val="00AB33B4"/>
    <w:rsid w:val="00AB3976"/>
    <w:rsid w:val="00AB41AC"/>
    <w:rsid w:val="00AB4534"/>
    <w:rsid w:val="00AB46C8"/>
    <w:rsid w:val="00AB5123"/>
    <w:rsid w:val="00AB53AD"/>
    <w:rsid w:val="00AB5E50"/>
    <w:rsid w:val="00AB72F7"/>
    <w:rsid w:val="00AC001F"/>
    <w:rsid w:val="00AC15A6"/>
    <w:rsid w:val="00AC23F0"/>
    <w:rsid w:val="00AC289F"/>
    <w:rsid w:val="00AC305A"/>
    <w:rsid w:val="00AC307D"/>
    <w:rsid w:val="00AC33CD"/>
    <w:rsid w:val="00AC54AE"/>
    <w:rsid w:val="00AC5645"/>
    <w:rsid w:val="00AC6E1E"/>
    <w:rsid w:val="00AC7536"/>
    <w:rsid w:val="00AC76E1"/>
    <w:rsid w:val="00AC78EB"/>
    <w:rsid w:val="00AD05E9"/>
    <w:rsid w:val="00AD07BF"/>
    <w:rsid w:val="00AD0F88"/>
    <w:rsid w:val="00AD1FF5"/>
    <w:rsid w:val="00AD2556"/>
    <w:rsid w:val="00AD2702"/>
    <w:rsid w:val="00AD3F61"/>
    <w:rsid w:val="00AD42DC"/>
    <w:rsid w:val="00AD546A"/>
    <w:rsid w:val="00AD717B"/>
    <w:rsid w:val="00AD7FCD"/>
    <w:rsid w:val="00AE159E"/>
    <w:rsid w:val="00AE173E"/>
    <w:rsid w:val="00AE1A32"/>
    <w:rsid w:val="00AE1AE0"/>
    <w:rsid w:val="00AE2BD3"/>
    <w:rsid w:val="00AE312E"/>
    <w:rsid w:val="00AE3446"/>
    <w:rsid w:val="00AE4511"/>
    <w:rsid w:val="00AE4B2A"/>
    <w:rsid w:val="00AE4DB8"/>
    <w:rsid w:val="00AE5DF4"/>
    <w:rsid w:val="00AE6A4A"/>
    <w:rsid w:val="00AE6C51"/>
    <w:rsid w:val="00AE74F2"/>
    <w:rsid w:val="00AE7D85"/>
    <w:rsid w:val="00AF10FA"/>
    <w:rsid w:val="00AF1828"/>
    <w:rsid w:val="00AF1973"/>
    <w:rsid w:val="00AF2A6E"/>
    <w:rsid w:val="00AF33D9"/>
    <w:rsid w:val="00AF3846"/>
    <w:rsid w:val="00AF390E"/>
    <w:rsid w:val="00AF3A60"/>
    <w:rsid w:val="00AF4C17"/>
    <w:rsid w:val="00AF5FE4"/>
    <w:rsid w:val="00AF71D0"/>
    <w:rsid w:val="00AF790F"/>
    <w:rsid w:val="00B00240"/>
    <w:rsid w:val="00B00849"/>
    <w:rsid w:val="00B016F0"/>
    <w:rsid w:val="00B01CAF"/>
    <w:rsid w:val="00B01D11"/>
    <w:rsid w:val="00B01D7D"/>
    <w:rsid w:val="00B02938"/>
    <w:rsid w:val="00B037F3"/>
    <w:rsid w:val="00B0395D"/>
    <w:rsid w:val="00B03A75"/>
    <w:rsid w:val="00B052A9"/>
    <w:rsid w:val="00B061AA"/>
    <w:rsid w:val="00B06626"/>
    <w:rsid w:val="00B0704E"/>
    <w:rsid w:val="00B10D5C"/>
    <w:rsid w:val="00B11284"/>
    <w:rsid w:val="00B12029"/>
    <w:rsid w:val="00B122E8"/>
    <w:rsid w:val="00B123B5"/>
    <w:rsid w:val="00B13308"/>
    <w:rsid w:val="00B1359D"/>
    <w:rsid w:val="00B1434E"/>
    <w:rsid w:val="00B14B65"/>
    <w:rsid w:val="00B14E51"/>
    <w:rsid w:val="00B1533E"/>
    <w:rsid w:val="00B1671B"/>
    <w:rsid w:val="00B16A1F"/>
    <w:rsid w:val="00B16B60"/>
    <w:rsid w:val="00B17584"/>
    <w:rsid w:val="00B178F7"/>
    <w:rsid w:val="00B2013F"/>
    <w:rsid w:val="00B206B4"/>
    <w:rsid w:val="00B2096F"/>
    <w:rsid w:val="00B2127A"/>
    <w:rsid w:val="00B21A1B"/>
    <w:rsid w:val="00B222C2"/>
    <w:rsid w:val="00B2272B"/>
    <w:rsid w:val="00B22761"/>
    <w:rsid w:val="00B248D4"/>
    <w:rsid w:val="00B25E35"/>
    <w:rsid w:val="00B27F35"/>
    <w:rsid w:val="00B30275"/>
    <w:rsid w:val="00B3065C"/>
    <w:rsid w:val="00B33251"/>
    <w:rsid w:val="00B33CE3"/>
    <w:rsid w:val="00B34B66"/>
    <w:rsid w:val="00B34D50"/>
    <w:rsid w:val="00B3508E"/>
    <w:rsid w:val="00B35905"/>
    <w:rsid w:val="00B368FE"/>
    <w:rsid w:val="00B36A92"/>
    <w:rsid w:val="00B37BE9"/>
    <w:rsid w:val="00B40FC7"/>
    <w:rsid w:val="00B424C5"/>
    <w:rsid w:val="00B429D3"/>
    <w:rsid w:val="00B43293"/>
    <w:rsid w:val="00B44394"/>
    <w:rsid w:val="00B444D1"/>
    <w:rsid w:val="00B44822"/>
    <w:rsid w:val="00B448C7"/>
    <w:rsid w:val="00B45683"/>
    <w:rsid w:val="00B51BD1"/>
    <w:rsid w:val="00B51FCA"/>
    <w:rsid w:val="00B522FA"/>
    <w:rsid w:val="00B52786"/>
    <w:rsid w:val="00B5283C"/>
    <w:rsid w:val="00B540DA"/>
    <w:rsid w:val="00B566CD"/>
    <w:rsid w:val="00B57198"/>
    <w:rsid w:val="00B576DA"/>
    <w:rsid w:val="00B579BC"/>
    <w:rsid w:val="00B606A1"/>
    <w:rsid w:val="00B611E3"/>
    <w:rsid w:val="00B612CB"/>
    <w:rsid w:val="00B6226C"/>
    <w:rsid w:val="00B62787"/>
    <w:rsid w:val="00B62AE3"/>
    <w:rsid w:val="00B63508"/>
    <w:rsid w:val="00B64364"/>
    <w:rsid w:val="00B65412"/>
    <w:rsid w:val="00B65877"/>
    <w:rsid w:val="00B663A6"/>
    <w:rsid w:val="00B666BC"/>
    <w:rsid w:val="00B67018"/>
    <w:rsid w:val="00B6711B"/>
    <w:rsid w:val="00B67381"/>
    <w:rsid w:val="00B673FE"/>
    <w:rsid w:val="00B70141"/>
    <w:rsid w:val="00B7037A"/>
    <w:rsid w:val="00B713C2"/>
    <w:rsid w:val="00B73F3A"/>
    <w:rsid w:val="00B7413C"/>
    <w:rsid w:val="00B75106"/>
    <w:rsid w:val="00B7511D"/>
    <w:rsid w:val="00B75E4F"/>
    <w:rsid w:val="00B83F4D"/>
    <w:rsid w:val="00B84086"/>
    <w:rsid w:val="00B851E3"/>
    <w:rsid w:val="00B854CE"/>
    <w:rsid w:val="00B85592"/>
    <w:rsid w:val="00B85D7E"/>
    <w:rsid w:val="00B86FB6"/>
    <w:rsid w:val="00B87FB3"/>
    <w:rsid w:val="00B90FBC"/>
    <w:rsid w:val="00B94AC2"/>
    <w:rsid w:val="00B96129"/>
    <w:rsid w:val="00B979DE"/>
    <w:rsid w:val="00B97C96"/>
    <w:rsid w:val="00B97CD3"/>
    <w:rsid w:val="00BA0475"/>
    <w:rsid w:val="00BA0667"/>
    <w:rsid w:val="00BA071B"/>
    <w:rsid w:val="00BA1659"/>
    <w:rsid w:val="00BA24CC"/>
    <w:rsid w:val="00BA2DF5"/>
    <w:rsid w:val="00BA4018"/>
    <w:rsid w:val="00BA7016"/>
    <w:rsid w:val="00BB0122"/>
    <w:rsid w:val="00BB227C"/>
    <w:rsid w:val="00BB4531"/>
    <w:rsid w:val="00BB5014"/>
    <w:rsid w:val="00BB619A"/>
    <w:rsid w:val="00BB6FE9"/>
    <w:rsid w:val="00BB7219"/>
    <w:rsid w:val="00BB745F"/>
    <w:rsid w:val="00BB75DF"/>
    <w:rsid w:val="00BB7DAC"/>
    <w:rsid w:val="00BC07AD"/>
    <w:rsid w:val="00BC07F2"/>
    <w:rsid w:val="00BC128D"/>
    <w:rsid w:val="00BC1EA4"/>
    <w:rsid w:val="00BC266F"/>
    <w:rsid w:val="00BC2673"/>
    <w:rsid w:val="00BC3CA2"/>
    <w:rsid w:val="00BC3D0D"/>
    <w:rsid w:val="00BC430B"/>
    <w:rsid w:val="00BC4601"/>
    <w:rsid w:val="00BC4D77"/>
    <w:rsid w:val="00BC5032"/>
    <w:rsid w:val="00BC6739"/>
    <w:rsid w:val="00BC677A"/>
    <w:rsid w:val="00BD45A7"/>
    <w:rsid w:val="00BD5309"/>
    <w:rsid w:val="00BD68A6"/>
    <w:rsid w:val="00BD7F9F"/>
    <w:rsid w:val="00BE0BA4"/>
    <w:rsid w:val="00BE0D1C"/>
    <w:rsid w:val="00BE15F8"/>
    <w:rsid w:val="00BE1623"/>
    <w:rsid w:val="00BE212B"/>
    <w:rsid w:val="00BE2493"/>
    <w:rsid w:val="00BE258B"/>
    <w:rsid w:val="00BE3AA4"/>
    <w:rsid w:val="00BE4953"/>
    <w:rsid w:val="00BE5D4B"/>
    <w:rsid w:val="00BE6346"/>
    <w:rsid w:val="00BE6AFC"/>
    <w:rsid w:val="00BE6DD1"/>
    <w:rsid w:val="00BE7334"/>
    <w:rsid w:val="00BF1A01"/>
    <w:rsid w:val="00BF1A16"/>
    <w:rsid w:val="00BF1E9B"/>
    <w:rsid w:val="00BF351F"/>
    <w:rsid w:val="00BF385D"/>
    <w:rsid w:val="00BF5916"/>
    <w:rsid w:val="00BF5FB1"/>
    <w:rsid w:val="00BF78C4"/>
    <w:rsid w:val="00BF7C70"/>
    <w:rsid w:val="00C00000"/>
    <w:rsid w:val="00C015AD"/>
    <w:rsid w:val="00C016B3"/>
    <w:rsid w:val="00C0173D"/>
    <w:rsid w:val="00C0262E"/>
    <w:rsid w:val="00C02C99"/>
    <w:rsid w:val="00C035E6"/>
    <w:rsid w:val="00C0648B"/>
    <w:rsid w:val="00C06B1A"/>
    <w:rsid w:val="00C073E9"/>
    <w:rsid w:val="00C07874"/>
    <w:rsid w:val="00C07F44"/>
    <w:rsid w:val="00C10501"/>
    <w:rsid w:val="00C11A3E"/>
    <w:rsid w:val="00C12832"/>
    <w:rsid w:val="00C13372"/>
    <w:rsid w:val="00C13CB1"/>
    <w:rsid w:val="00C144CE"/>
    <w:rsid w:val="00C1462D"/>
    <w:rsid w:val="00C157FD"/>
    <w:rsid w:val="00C15F16"/>
    <w:rsid w:val="00C162BF"/>
    <w:rsid w:val="00C17C9C"/>
    <w:rsid w:val="00C17E78"/>
    <w:rsid w:val="00C17F0D"/>
    <w:rsid w:val="00C216ED"/>
    <w:rsid w:val="00C21FE5"/>
    <w:rsid w:val="00C22F44"/>
    <w:rsid w:val="00C2367B"/>
    <w:rsid w:val="00C2392E"/>
    <w:rsid w:val="00C23F07"/>
    <w:rsid w:val="00C241CF"/>
    <w:rsid w:val="00C254CF"/>
    <w:rsid w:val="00C25930"/>
    <w:rsid w:val="00C25A5D"/>
    <w:rsid w:val="00C26783"/>
    <w:rsid w:val="00C306C3"/>
    <w:rsid w:val="00C309C0"/>
    <w:rsid w:val="00C31CE8"/>
    <w:rsid w:val="00C324AD"/>
    <w:rsid w:val="00C32BEE"/>
    <w:rsid w:val="00C34396"/>
    <w:rsid w:val="00C35ECE"/>
    <w:rsid w:val="00C36898"/>
    <w:rsid w:val="00C371D6"/>
    <w:rsid w:val="00C37833"/>
    <w:rsid w:val="00C37C47"/>
    <w:rsid w:val="00C4025B"/>
    <w:rsid w:val="00C41E5D"/>
    <w:rsid w:val="00C41F0B"/>
    <w:rsid w:val="00C421D8"/>
    <w:rsid w:val="00C440BC"/>
    <w:rsid w:val="00C44211"/>
    <w:rsid w:val="00C4453B"/>
    <w:rsid w:val="00C460D4"/>
    <w:rsid w:val="00C46F84"/>
    <w:rsid w:val="00C47EAA"/>
    <w:rsid w:val="00C50A42"/>
    <w:rsid w:val="00C51D8E"/>
    <w:rsid w:val="00C5281A"/>
    <w:rsid w:val="00C53737"/>
    <w:rsid w:val="00C538E8"/>
    <w:rsid w:val="00C54A70"/>
    <w:rsid w:val="00C54DC1"/>
    <w:rsid w:val="00C559AE"/>
    <w:rsid w:val="00C564AB"/>
    <w:rsid w:val="00C60FE8"/>
    <w:rsid w:val="00C61194"/>
    <w:rsid w:val="00C611AA"/>
    <w:rsid w:val="00C61463"/>
    <w:rsid w:val="00C63898"/>
    <w:rsid w:val="00C63F23"/>
    <w:rsid w:val="00C64AF3"/>
    <w:rsid w:val="00C65D80"/>
    <w:rsid w:val="00C6681C"/>
    <w:rsid w:val="00C66B45"/>
    <w:rsid w:val="00C67120"/>
    <w:rsid w:val="00C67746"/>
    <w:rsid w:val="00C70116"/>
    <w:rsid w:val="00C7090D"/>
    <w:rsid w:val="00C70943"/>
    <w:rsid w:val="00C7272F"/>
    <w:rsid w:val="00C735FC"/>
    <w:rsid w:val="00C73EEE"/>
    <w:rsid w:val="00C74CEF"/>
    <w:rsid w:val="00C754D3"/>
    <w:rsid w:val="00C756B1"/>
    <w:rsid w:val="00C75809"/>
    <w:rsid w:val="00C7621D"/>
    <w:rsid w:val="00C7666D"/>
    <w:rsid w:val="00C76A58"/>
    <w:rsid w:val="00C773A5"/>
    <w:rsid w:val="00C80FF7"/>
    <w:rsid w:val="00C81485"/>
    <w:rsid w:val="00C81DDA"/>
    <w:rsid w:val="00C81E06"/>
    <w:rsid w:val="00C83714"/>
    <w:rsid w:val="00C842F3"/>
    <w:rsid w:val="00C84314"/>
    <w:rsid w:val="00C8465A"/>
    <w:rsid w:val="00C84E45"/>
    <w:rsid w:val="00C85958"/>
    <w:rsid w:val="00C869CA"/>
    <w:rsid w:val="00C86AD6"/>
    <w:rsid w:val="00C86D24"/>
    <w:rsid w:val="00C8726A"/>
    <w:rsid w:val="00C87440"/>
    <w:rsid w:val="00C87564"/>
    <w:rsid w:val="00C87701"/>
    <w:rsid w:val="00C8779D"/>
    <w:rsid w:val="00C87880"/>
    <w:rsid w:val="00C87B07"/>
    <w:rsid w:val="00C909A0"/>
    <w:rsid w:val="00C93274"/>
    <w:rsid w:val="00C932CC"/>
    <w:rsid w:val="00C93BB5"/>
    <w:rsid w:val="00C94277"/>
    <w:rsid w:val="00C9440E"/>
    <w:rsid w:val="00C957FA"/>
    <w:rsid w:val="00C96A80"/>
    <w:rsid w:val="00C970A4"/>
    <w:rsid w:val="00C97A31"/>
    <w:rsid w:val="00CA0553"/>
    <w:rsid w:val="00CA131A"/>
    <w:rsid w:val="00CA1548"/>
    <w:rsid w:val="00CA177F"/>
    <w:rsid w:val="00CA1CF0"/>
    <w:rsid w:val="00CA24C8"/>
    <w:rsid w:val="00CA3421"/>
    <w:rsid w:val="00CA380A"/>
    <w:rsid w:val="00CA38A0"/>
    <w:rsid w:val="00CA4177"/>
    <w:rsid w:val="00CA41E1"/>
    <w:rsid w:val="00CA4CBC"/>
    <w:rsid w:val="00CA537E"/>
    <w:rsid w:val="00CA5818"/>
    <w:rsid w:val="00CA69D2"/>
    <w:rsid w:val="00CB0150"/>
    <w:rsid w:val="00CB04CE"/>
    <w:rsid w:val="00CB2606"/>
    <w:rsid w:val="00CB338A"/>
    <w:rsid w:val="00CB3C14"/>
    <w:rsid w:val="00CB4CED"/>
    <w:rsid w:val="00CB54DF"/>
    <w:rsid w:val="00CB5999"/>
    <w:rsid w:val="00CB6E85"/>
    <w:rsid w:val="00CB7517"/>
    <w:rsid w:val="00CB7BC1"/>
    <w:rsid w:val="00CC0FA0"/>
    <w:rsid w:val="00CC17A2"/>
    <w:rsid w:val="00CC22EA"/>
    <w:rsid w:val="00CC288A"/>
    <w:rsid w:val="00CC35AC"/>
    <w:rsid w:val="00CC3AC7"/>
    <w:rsid w:val="00CD02B5"/>
    <w:rsid w:val="00CD078F"/>
    <w:rsid w:val="00CD0C09"/>
    <w:rsid w:val="00CD1554"/>
    <w:rsid w:val="00CD21FA"/>
    <w:rsid w:val="00CD44C1"/>
    <w:rsid w:val="00CD4672"/>
    <w:rsid w:val="00CD5218"/>
    <w:rsid w:val="00CD64AA"/>
    <w:rsid w:val="00CD6575"/>
    <w:rsid w:val="00CD7655"/>
    <w:rsid w:val="00CD7DA5"/>
    <w:rsid w:val="00CD7E3C"/>
    <w:rsid w:val="00CE0090"/>
    <w:rsid w:val="00CE22D9"/>
    <w:rsid w:val="00CE28EF"/>
    <w:rsid w:val="00CE31B1"/>
    <w:rsid w:val="00CE44E1"/>
    <w:rsid w:val="00CE467B"/>
    <w:rsid w:val="00CE4D95"/>
    <w:rsid w:val="00CE4FF0"/>
    <w:rsid w:val="00CE5813"/>
    <w:rsid w:val="00CE5ACB"/>
    <w:rsid w:val="00CE5C73"/>
    <w:rsid w:val="00CE6018"/>
    <w:rsid w:val="00CE601F"/>
    <w:rsid w:val="00CE609F"/>
    <w:rsid w:val="00CE6B4F"/>
    <w:rsid w:val="00CE6E99"/>
    <w:rsid w:val="00CE727D"/>
    <w:rsid w:val="00CE78DF"/>
    <w:rsid w:val="00CE7AB5"/>
    <w:rsid w:val="00CE7FE9"/>
    <w:rsid w:val="00CF091F"/>
    <w:rsid w:val="00CF0D35"/>
    <w:rsid w:val="00CF16B3"/>
    <w:rsid w:val="00CF2EAC"/>
    <w:rsid w:val="00CF5AA4"/>
    <w:rsid w:val="00CF6360"/>
    <w:rsid w:val="00CF6D4B"/>
    <w:rsid w:val="00CF6DF0"/>
    <w:rsid w:val="00D00160"/>
    <w:rsid w:val="00D0240D"/>
    <w:rsid w:val="00D03DC6"/>
    <w:rsid w:val="00D04423"/>
    <w:rsid w:val="00D046C9"/>
    <w:rsid w:val="00D0643F"/>
    <w:rsid w:val="00D0659D"/>
    <w:rsid w:val="00D06E16"/>
    <w:rsid w:val="00D06EA5"/>
    <w:rsid w:val="00D07BA1"/>
    <w:rsid w:val="00D1054F"/>
    <w:rsid w:val="00D1197E"/>
    <w:rsid w:val="00D1274A"/>
    <w:rsid w:val="00D12F7B"/>
    <w:rsid w:val="00D13D33"/>
    <w:rsid w:val="00D13E7B"/>
    <w:rsid w:val="00D13EFE"/>
    <w:rsid w:val="00D14578"/>
    <w:rsid w:val="00D14A9F"/>
    <w:rsid w:val="00D14DD4"/>
    <w:rsid w:val="00D14FB0"/>
    <w:rsid w:val="00D153D6"/>
    <w:rsid w:val="00D169A3"/>
    <w:rsid w:val="00D16B02"/>
    <w:rsid w:val="00D203C3"/>
    <w:rsid w:val="00D21045"/>
    <w:rsid w:val="00D21926"/>
    <w:rsid w:val="00D22374"/>
    <w:rsid w:val="00D22A65"/>
    <w:rsid w:val="00D23118"/>
    <w:rsid w:val="00D25A51"/>
    <w:rsid w:val="00D33572"/>
    <w:rsid w:val="00D358FD"/>
    <w:rsid w:val="00D3595C"/>
    <w:rsid w:val="00D35E49"/>
    <w:rsid w:val="00D36860"/>
    <w:rsid w:val="00D36D8C"/>
    <w:rsid w:val="00D37589"/>
    <w:rsid w:val="00D40715"/>
    <w:rsid w:val="00D4078C"/>
    <w:rsid w:val="00D40B92"/>
    <w:rsid w:val="00D417E8"/>
    <w:rsid w:val="00D41B3A"/>
    <w:rsid w:val="00D42C14"/>
    <w:rsid w:val="00D42C15"/>
    <w:rsid w:val="00D42C6D"/>
    <w:rsid w:val="00D4383D"/>
    <w:rsid w:val="00D4464B"/>
    <w:rsid w:val="00D44B20"/>
    <w:rsid w:val="00D44B43"/>
    <w:rsid w:val="00D463A3"/>
    <w:rsid w:val="00D4735C"/>
    <w:rsid w:val="00D47971"/>
    <w:rsid w:val="00D50EBE"/>
    <w:rsid w:val="00D524F3"/>
    <w:rsid w:val="00D533E6"/>
    <w:rsid w:val="00D5354C"/>
    <w:rsid w:val="00D548E0"/>
    <w:rsid w:val="00D55328"/>
    <w:rsid w:val="00D553DB"/>
    <w:rsid w:val="00D55DD6"/>
    <w:rsid w:val="00D57167"/>
    <w:rsid w:val="00D578C4"/>
    <w:rsid w:val="00D632B8"/>
    <w:rsid w:val="00D63992"/>
    <w:rsid w:val="00D66777"/>
    <w:rsid w:val="00D6729A"/>
    <w:rsid w:val="00D70FC7"/>
    <w:rsid w:val="00D71159"/>
    <w:rsid w:val="00D71858"/>
    <w:rsid w:val="00D72117"/>
    <w:rsid w:val="00D72C5D"/>
    <w:rsid w:val="00D7576A"/>
    <w:rsid w:val="00D75D1A"/>
    <w:rsid w:val="00D7673B"/>
    <w:rsid w:val="00D76CDF"/>
    <w:rsid w:val="00D772F1"/>
    <w:rsid w:val="00D77DD6"/>
    <w:rsid w:val="00D77F22"/>
    <w:rsid w:val="00D805DC"/>
    <w:rsid w:val="00D80BE6"/>
    <w:rsid w:val="00D810A7"/>
    <w:rsid w:val="00D82C6C"/>
    <w:rsid w:val="00D840A5"/>
    <w:rsid w:val="00D85670"/>
    <w:rsid w:val="00D85A0E"/>
    <w:rsid w:val="00D86119"/>
    <w:rsid w:val="00D8694A"/>
    <w:rsid w:val="00D86C03"/>
    <w:rsid w:val="00D87A6C"/>
    <w:rsid w:val="00D901A7"/>
    <w:rsid w:val="00D926AD"/>
    <w:rsid w:val="00D9280D"/>
    <w:rsid w:val="00D9423A"/>
    <w:rsid w:val="00D94313"/>
    <w:rsid w:val="00D943E9"/>
    <w:rsid w:val="00D94880"/>
    <w:rsid w:val="00D952D2"/>
    <w:rsid w:val="00D9587F"/>
    <w:rsid w:val="00D97A79"/>
    <w:rsid w:val="00DA03AD"/>
    <w:rsid w:val="00DA20D3"/>
    <w:rsid w:val="00DA2299"/>
    <w:rsid w:val="00DA26FB"/>
    <w:rsid w:val="00DA278E"/>
    <w:rsid w:val="00DA2DD6"/>
    <w:rsid w:val="00DA42F6"/>
    <w:rsid w:val="00DA561C"/>
    <w:rsid w:val="00DA6C3B"/>
    <w:rsid w:val="00DA7F00"/>
    <w:rsid w:val="00DB03FA"/>
    <w:rsid w:val="00DB0418"/>
    <w:rsid w:val="00DB0B31"/>
    <w:rsid w:val="00DB14AB"/>
    <w:rsid w:val="00DB1969"/>
    <w:rsid w:val="00DB3359"/>
    <w:rsid w:val="00DB44E1"/>
    <w:rsid w:val="00DB4647"/>
    <w:rsid w:val="00DB5825"/>
    <w:rsid w:val="00DB5B49"/>
    <w:rsid w:val="00DB5B99"/>
    <w:rsid w:val="00DB67D4"/>
    <w:rsid w:val="00DB6988"/>
    <w:rsid w:val="00DB73AE"/>
    <w:rsid w:val="00DC01C1"/>
    <w:rsid w:val="00DC0496"/>
    <w:rsid w:val="00DC086B"/>
    <w:rsid w:val="00DC1162"/>
    <w:rsid w:val="00DC12A5"/>
    <w:rsid w:val="00DC2290"/>
    <w:rsid w:val="00DC2B5E"/>
    <w:rsid w:val="00DC36F7"/>
    <w:rsid w:val="00DC3AAC"/>
    <w:rsid w:val="00DC3DC3"/>
    <w:rsid w:val="00DC404A"/>
    <w:rsid w:val="00DC5519"/>
    <w:rsid w:val="00DC6A39"/>
    <w:rsid w:val="00DC70E8"/>
    <w:rsid w:val="00DD0F35"/>
    <w:rsid w:val="00DD202E"/>
    <w:rsid w:val="00DD2076"/>
    <w:rsid w:val="00DD2F65"/>
    <w:rsid w:val="00DD3506"/>
    <w:rsid w:val="00DD3A87"/>
    <w:rsid w:val="00DD3E20"/>
    <w:rsid w:val="00DD6BE2"/>
    <w:rsid w:val="00DD71C7"/>
    <w:rsid w:val="00DD75F2"/>
    <w:rsid w:val="00DE0471"/>
    <w:rsid w:val="00DE06E1"/>
    <w:rsid w:val="00DE0DE0"/>
    <w:rsid w:val="00DE22E1"/>
    <w:rsid w:val="00DE2AD5"/>
    <w:rsid w:val="00DE2FBD"/>
    <w:rsid w:val="00DE30DA"/>
    <w:rsid w:val="00DE35C9"/>
    <w:rsid w:val="00DE3867"/>
    <w:rsid w:val="00DE3CBC"/>
    <w:rsid w:val="00DE3DB0"/>
    <w:rsid w:val="00DE4690"/>
    <w:rsid w:val="00DE503C"/>
    <w:rsid w:val="00DE55A0"/>
    <w:rsid w:val="00DE5657"/>
    <w:rsid w:val="00DE5F2D"/>
    <w:rsid w:val="00DE6683"/>
    <w:rsid w:val="00DE68EB"/>
    <w:rsid w:val="00DF1410"/>
    <w:rsid w:val="00DF1ED1"/>
    <w:rsid w:val="00DF1F12"/>
    <w:rsid w:val="00DF1FAE"/>
    <w:rsid w:val="00DF1FFA"/>
    <w:rsid w:val="00DF2177"/>
    <w:rsid w:val="00DF45A8"/>
    <w:rsid w:val="00DF4675"/>
    <w:rsid w:val="00DF68A9"/>
    <w:rsid w:val="00DF6D8B"/>
    <w:rsid w:val="00DF7249"/>
    <w:rsid w:val="00E00557"/>
    <w:rsid w:val="00E00A70"/>
    <w:rsid w:val="00E013BB"/>
    <w:rsid w:val="00E02E7E"/>
    <w:rsid w:val="00E0309B"/>
    <w:rsid w:val="00E03C5A"/>
    <w:rsid w:val="00E04060"/>
    <w:rsid w:val="00E04A37"/>
    <w:rsid w:val="00E06A7B"/>
    <w:rsid w:val="00E111F0"/>
    <w:rsid w:val="00E11623"/>
    <w:rsid w:val="00E11E4B"/>
    <w:rsid w:val="00E144BC"/>
    <w:rsid w:val="00E14614"/>
    <w:rsid w:val="00E14BF1"/>
    <w:rsid w:val="00E15B1B"/>
    <w:rsid w:val="00E1636A"/>
    <w:rsid w:val="00E16A93"/>
    <w:rsid w:val="00E21271"/>
    <w:rsid w:val="00E2320B"/>
    <w:rsid w:val="00E2382A"/>
    <w:rsid w:val="00E23B12"/>
    <w:rsid w:val="00E24284"/>
    <w:rsid w:val="00E25845"/>
    <w:rsid w:val="00E259B9"/>
    <w:rsid w:val="00E27D19"/>
    <w:rsid w:val="00E27EDA"/>
    <w:rsid w:val="00E31394"/>
    <w:rsid w:val="00E31CE5"/>
    <w:rsid w:val="00E31F38"/>
    <w:rsid w:val="00E330AB"/>
    <w:rsid w:val="00E3348E"/>
    <w:rsid w:val="00E33BDF"/>
    <w:rsid w:val="00E34447"/>
    <w:rsid w:val="00E3455D"/>
    <w:rsid w:val="00E34E7D"/>
    <w:rsid w:val="00E357CC"/>
    <w:rsid w:val="00E36F59"/>
    <w:rsid w:val="00E373CB"/>
    <w:rsid w:val="00E402D4"/>
    <w:rsid w:val="00E40789"/>
    <w:rsid w:val="00E40A12"/>
    <w:rsid w:val="00E40E6B"/>
    <w:rsid w:val="00E41151"/>
    <w:rsid w:val="00E41E45"/>
    <w:rsid w:val="00E41F51"/>
    <w:rsid w:val="00E42A28"/>
    <w:rsid w:val="00E43219"/>
    <w:rsid w:val="00E436AC"/>
    <w:rsid w:val="00E43C2A"/>
    <w:rsid w:val="00E45165"/>
    <w:rsid w:val="00E45944"/>
    <w:rsid w:val="00E46643"/>
    <w:rsid w:val="00E46F0F"/>
    <w:rsid w:val="00E4767B"/>
    <w:rsid w:val="00E515A0"/>
    <w:rsid w:val="00E51DEA"/>
    <w:rsid w:val="00E5271C"/>
    <w:rsid w:val="00E5466B"/>
    <w:rsid w:val="00E54839"/>
    <w:rsid w:val="00E54AD5"/>
    <w:rsid w:val="00E55903"/>
    <w:rsid w:val="00E55AE2"/>
    <w:rsid w:val="00E55F0E"/>
    <w:rsid w:val="00E5789C"/>
    <w:rsid w:val="00E57EBD"/>
    <w:rsid w:val="00E60A9A"/>
    <w:rsid w:val="00E610AE"/>
    <w:rsid w:val="00E613AD"/>
    <w:rsid w:val="00E61507"/>
    <w:rsid w:val="00E61DE9"/>
    <w:rsid w:val="00E630A9"/>
    <w:rsid w:val="00E63D19"/>
    <w:rsid w:val="00E64179"/>
    <w:rsid w:val="00E6444F"/>
    <w:rsid w:val="00E66260"/>
    <w:rsid w:val="00E66531"/>
    <w:rsid w:val="00E67C9E"/>
    <w:rsid w:val="00E70D0B"/>
    <w:rsid w:val="00E719A2"/>
    <w:rsid w:val="00E72D4A"/>
    <w:rsid w:val="00E73D11"/>
    <w:rsid w:val="00E74032"/>
    <w:rsid w:val="00E7430D"/>
    <w:rsid w:val="00E74679"/>
    <w:rsid w:val="00E75B82"/>
    <w:rsid w:val="00E760FD"/>
    <w:rsid w:val="00E770F8"/>
    <w:rsid w:val="00E773A5"/>
    <w:rsid w:val="00E773C5"/>
    <w:rsid w:val="00E7797A"/>
    <w:rsid w:val="00E77DFC"/>
    <w:rsid w:val="00E80678"/>
    <w:rsid w:val="00E809C0"/>
    <w:rsid w:val="00E814C1"/>
    <w:rsid w:val="00E81C3B"/>
    <w:rsid w:val="00E8268A"/>
    <w:rsid w:val="00E82F63"/>
    <w:rsid w:val="00E833D6"/>
    <w:rsid w:val="00E8457A"/>
    <w:rsid w:val="00E84946"/>
    <w:rsid w:val="00E863D7"/>
    <w:rsid w:val="00E91477"/>
    <w:rsid w:val="00E91B6E"/>
    <w:rsid w:val="00E92121"/>
    <w:rsid w:val="00E92215"/>
    <w:rsid w:val="00E928AF"/>
    <w:rsid w:val="00E92995"/>
    <w:rsid w:val="00E931B9"/>
    <w:rsid w:val="00E93418"/>
    <w:rsid w:val="00E93A0A"/>
    <w:rsid w:val="00E93A8C"/>
    <w:rsid w:val="00E93B2E"/>
    <w:rsid w:val="00E93E5B"/>
    <w:rsid w:val="00E9449C"/>
    <w:rsid w:val="00E952E8"/>
    <w:rsid w:val="00E95BC9"/>
    <w:rsid w:val="00E95D0A"/>
    <w:rsid w:val="00E95EE2"/>
    <w:rsid w:val="00E95FAC"/>
    <w:rsid w:val="00E96068"/>
    <w:rsid w:val="00E96ABA"/>
    <w:rsid w:val="00E96CF8"/>
    <w:rsid w:val="00E97639"/>
    <w:rsid w:val="00EA1713"/>
    <w:rsid w:val="00EA1A99"/>
    <w:rsid w:val="00EA21F1"/>
    <w:rsid w:val="00EA34AC"/>
    <w:rsid w:val="00EA37D2"/>
    <w:rsid w:val="00EA4838"/>
    <w:rsid w:val="00EA4BE1"/>
    <w:rsid w:val="00EA4E76"/>
    <w:rsid w:val="00EA5482"/>
    <w:rsid w:val="00EA5793"/>
    <w:rsid w:val="00EA669D"/>
    <w:rsid w:val="00EA70E1"/>
    <w:rsid w:val="00EA76E3"/>
    <w:rsid w:val="00EB21DF"/>
    <w:rsid w:val="00EB298C"/>
    <w:rsid w:val="00EB39C4"/>
    <w:rsid w:val="00EB446B"/>
    <w:rsid w:val="00EB5975"/>
    <w:rsid w:val="00EB5A06"/>
    <w:rsid w:val="00EB5DBB"/>
    <w:rsid w:val="00EB623C"/>
    <w:rsid w:val="00EB7223"/>
    <w:rsid w:val="00EB7E7D"/>
    <w:rsid w:val="00EB7EE2"/>
    <w:rsid w:val="00EC03C9"/>
    <w:rsid w:val="00EC046F"/>
    <w:rsid w:val="00EC095E"/>
    <w:rsid w:val="00EC1BAB"/>
    <w:rsid w:val="00EC22F4"/>
    <w:rsid w:val="00EC3A63"/>
    <w:rsid w:val="00EC4135"/>
    <w:rsid w:val="00EC498A"/>
    <w:rsid w:val="00EC5CF0"/>
    <w:rsid w:val="00EC5ECF"/>
    <w:rsid w:val="00EC660E"/>
    <w:rsid w:val="00EC687A"/>
    <w:rsid w:val="00EC69AF"/>
    <w:rsid w:val="00EC73D2"/>
    <w:rsid w:val="00EC77A6"/>
    <w:rsid w:val="00EC7F10"/>
    <w:rsid w:val="00ED0967"/>
    <w:rsid w:val="00ED0F19"/>
    <w:rsid w:val="00ED0FBF"/>
    <w:rsid w:val="00ED10AA"/>
    <w:rsid w:val="00ED175F"/>
    <w:rsid w:val="00ED2AD7"/>
    <w:rsid w:val="00ED3A58"/>
    <w:rsid w:val="00ED3B3F"/>
    <w:rsid w:val="00ED3E8C"/>
    <w:rsid w:val="00ED4E41"/>
    <w:rsid w:val="00ED5A22"/>
    <w:rsid w:val="00ED6E55"/>
    <w:rsid w:val="00ED7A55"/>
    <w:rsid w:val="00EE0277"/>
    <w:rsid w:val="00EE0E94"/>
    <w:rsid w:val="00EE10C4"/>
    <w:rsid w:val="00EE28E1"/>
    <w:rsid w:val="00EE38AA"/>
    <w:rsid w:val="00EE4436"/>
    <w:rsid w:val="00EE4926"/>
    <w:rsid w:val="00EE4DBB"/>
    <w:rsid w:val="00EE523C"/>
    <w:rsid w:val="00EE5FB9"/>
    <w:rsid w:val="00EE68EC"/>
    <w:rsid w:val="00EE6C06"/>
    <w:rsid w:val="00EE6F0E"/>
    <w:rsid w:val="00EE7094"/>
    <w:rsid w:val="00EE7638"/>
    <w:rsid w:val="00EE7806"/>
    <w:rsid w:val="00EE7879"/>
    <w:rsid w:val="00EE7F4D"/>
    <w:rsid w:val="00EF3A4D"/>
    <w:rsid w:val="00EF4210"/>
    <w:rsid w:val="00EF4D45"/>
    <w:rsid w:val="00EF5647"/>
    <w:rsid w:val="00EF6112"/>
    <w:rsid w:val="00EF620C"/>
    <w:rsid w:val="00EF621E"/>
    <w:rsid w:val="00EF63A7"/>
    <w:rsid w:val="00F01AC5"/>
    <w:rsid w:val="00F01AEF"/>
    <w:rsid w:val="00F02BAD"/>
    <w:rsid w:val="00F0380D"/>
    <w:rsid w:val="00F03B1A"/>
    <w:rsid w:val="00F0400F"/>
    <w:rsid w:val="00F0447E"/>
    <w:rsid w:val="00F0493A"/>
    <w:rsid w:val="00F05B7A"/>
    <w:rsid w:val="00F061FB"/>
    <w:rsid w:val="00F078C3"/>
    <w:rsid w:val="00F118F4"/>
    <w:rsid w:val="00F12656"/>
    <w:rsid w:val="00F144C1"/>
    <w:rsid w:val="00F1457C"/>
    <w:rsid w:val="00F15A33"/>
    <w:rsid w:val="00F15F0A"/>
    <w:rsid w:val="00F164EE"/>
    <w:rsid w:val="00F16E7D"/>
    <w:rsid w:val="00F20183"/>
    <w:rsid w:val="00F21117"/>
    <w:rsid w:val="00F21395"/>
    <w:rsid w:val="00F21AE0"/>
    <w:rsid w:val="00F221CE"/>
    <w:rsid w:val="00F2244E"/>
    <w:rsid w:val="00F2477B"/>
    <w:rsid w:val="00F25097"/>
    <w:rsid w:val="00F2649F"/>
    <w:rsid w:val="00F26BA2"/>
    <w:rsid w:val="00F2724B"/>
    <w:rsid w:val="00F305A9"/>
    <w:rsid w:val="00F31DB7"/>
    <w:rsid w:val="00F33BC0"/>
    <w:rsid w:val="00F35666"/>
    <w:rsid w:val="00F35BF8"/>
    <w:rsid w:val="00F35E32"/>
    <w:rsid w:val="00F368F0"/>
    <w:rsid w:val="00F36929"/>
    <w:rsid w:val="00F36994"/>
    <w:rsid w:val="00F37E31"/>
    <w:rsid w:val="00F40EA8"/>
    <w:rsid w:val="00F415FA"/>
    <w:rsid w:val="00F418E6"/>
    <w:rsid w:val="00F41A89"/>
    <w:rsid w:val="00F426F3"/>
    <w:rsid w:val="00F431DE"/>
    <w:rsid w:val="00F43C87"/>
    <w:rsid w:val="00F4472A"/>
    <w:rsid w:val="00F448E4"/>
    <w:rsid w:val="00F46068"/>
    <w:rsid w:val="00F47244"/>
    <w:rsid w:val="00F4791E"/>
    <w:rsid w:val="00F47D17"/>
    <w:rsid w:val="00F47D37"/>
    <w:rsid w:val="00F47ED6"/>
    <w:rsid w:val="00F50771"/>
    <w:rsid w:val="00F516C7"/>
    <w:rsid w:val="00F51E58"/>
    <w:rsid w:val="00F52369"/>
    <w:rsid w:val="00F5242E"/>
    <w:rsid w:val="00F54316"/>
    <w:rsid w:val="00F54405"/>
    <w:rsid w:val="00F55420"/>
    <w:rsid w:val="00F56A33"/>
    <w:rsid w:val="00F56B32"/>
    <w:rsid w:val="00F56C60"/>
    <w:rsid w:val="00F5728B"/>
    <w:rsid w:val="00F57420"/>
    <w:rsid w:val="00F576FC"/>
    <w:rsid w:val="00F615B0"/>
    <w:rsid w:val="00F61786"/>
    <w:rsid w:val="00F61DAC"/>
    <w:rsid w:val="00F626F7"/>
    <w:rsid w:val="00F63B35"/>
    <w:rsid w:val="00F63E46"/>
    <w:rsid w:val="00F65394"/>
    <w:rsid w:val="00F654F7"/>
    <w:rsid w:val="00F65EA4"/>
    <w:rsid w:val="00F65EED"/>
    <w:rsid w:val="00F66152"/>
    <w:rsid w:val="00F666CD"/>
    <w:rsid w:val="00F66CB9"/>
    <w:rsid w:val="00F66F83"/>
    <w:rsid w:val="00F671B8"/>
    <w:rsid w:val="00F6741D"/>
    <w:rsid w:val="00F70937"/>
    <w:rsid w:val="00F70C24"/>
    <w:rsid w:val="00F71008"/>
    <w:rsid w:val="00F722F2"/>
    <w:rsid w:val="00F72551"/>
    <w:rsid w:val="00F72EC4"/>
    <w:rsid w:val="00F73286"/>
    <w:rsid w:val="00F753C4"/>
    <w:rsid w:val="00F75832"/>
    <w:rsid w:val="00F75A5B"/>
    <w:rsid w:val="00F76043"/>
    <w:rsid w:val="00F76CDB"/>
    <w:rsid w:val="00F77EE8"/>
    <w:rsid w:val="00F803C0"/>
    <w:rsid w:val="00F82576"/>
    <w:rsid w:val="00F82820"/>
    <w:rsid w:val="00F8399D"/>
    <w:rsid w:val="00F84017"/>
    <w:rsid w:val="00F84082"/>
    <w:rsid w:val="00F84F28"/>
    <w:rsid w:val="00F8770F"/>
    <w:rsid w:val="00F87753"/>
    <w:rsid w:val="00F87A6F"/>
    <w:rsid w:val="00F87C94"/>
    <w:rsid w:val="00F87D41"/>
    <w:rsid w:val="00F87F8F"/>
    <w:rsid w:val="00F90261"/>
    <w:rsid w:val="00F903C3"/>
    <w:rsid w:val="00F9042A"/>
    <w:rsid w:val="00F9154F"/>
    <w:rsid w:val="00F92577"/>
    <w:rsid w:val="00F93D59"/>
    <w:rsid w:val="00F94C80"/>
    <w:rsid w:val="00F95AF0"/>
    <w:rsid w:val="00F96347"/>
    <w:rsid w:val="00F97FB7"/>
    <w:rsid w:val="00FA2089"/>
    <w:rsid w:val="00FA290C"/>
    <w:rsid w:val="00FA3092"/>
    <w:rsid w:val="00FA3308"/>
    <w:rsid w:val="00FA353E"/>
    <w:rsid w:val="00FA3931"/>
    <w:rsid w:val="00FA475A"/>
    <w:rsid w:val="00FA4E40"/>
    <w:rsid w:val="00FA53A9"/>
    <w:rsid w:val="00FA58B1"/>
    <w:rsid w:val="00FA59B6"/>
    <w:rsid w:val="00FA5C91"/>
    <w:rsid w:val="00FA604F"/>
    <w:rsid w:val="00FA606A"/>
    <w:rsid w:val="00FA7ADC"/>
    <w:rsid w:val="00FB006C"/>
    <w:rsid w:val="00FB08E9"/>
    <w:rsid w:val="00FB1014"/>
    <w:rsid w:val="00FB2073"/>
    <w:rsid w:val="00FB39B5"/>
    <w:rsid w:val="00FB497D"/>
    <w:rsid w:val="00FB4CE0"/>
    <w:rsid w:val="00FB5108"/>
    <w:rsid w:val="00FB55CC"/>
    <w:rsid w:val="00FB5748"/>
    <w:rsid w:val="00FB5926"/>
    <w:rsid w:val="00FB5B76"/>
    <w:rsid w:val="00FB6152"/>
    <w:rsid w:val="00FB62B4"/>
    <w:rsid w:val="00FB634F"/>
    <w:rsid w:val="00FB690D"/>
    <w:rsid w:val="00FB6A20"/>
    <w:rsid w:val="00FB6D11"/>
    <w:rsid w:val="00FB71F4"/>
    <w:rsid w:val="00FC0718"/>
    <w:rsid w:val="00FC21E4"/>
    <w:rsid w:val="00FC333B"/>
    <w:rsid w:val="00FC367D"/>
    <w:rsid w:val="00FC3A44"/>
    <w:rsid w:val="00FC3A51"/>
    <w:rsid w:val="00FC3AF0"/>
    <w:rsid w:val="00FC536B"/>
    <w:rsid w:val="00FC73ED"/>
    <w:rsid w:val="00FD0254"/>
    <w:rsid w:val="00FD0648"/>
    <w:rsid w:val="00FD201A"/>
    <w:rsid w:val="00FD6D8A"/>
    <w:rsid w:val="00FD7AF0"/>
    <w:rsid w:val="00FE014A"/>
    <w:rsid w:val="00FE08CE"/>
    <w:rsid w:val="00FE0DC4"/>
    <w:rsid w:val="00FE377A"/>
    <w:rsid w:val="00FE3AE5"/>
    <w:rsid w:val="00FE419D"/>
    <w:rsid w:val="00FE563E"/>
    <w:rsid w:val="00FE6375"/>
    <w:rsid w:val="00FE64F4"/>
    <w:rsid w:val="00FE68A7"/>
    <w:rsid w:val="00FE69DC"/>
    <w:rsid w:val="00FE6DB4"/>
    <w:rsid w:val="00FE76D0"/>
    <w:rsid w:val="00FE7FE6"/>
    <w:rsid w:val="00FF0335"/>
    <w:rsid w:val="00FF0DE5"/>
    <w:rsid w:val="00FF102C"/>
    <w:rsid w:val="00FF1F99"/>
    <w:rsid w:val="00FF2FF9"/>
    <w:rsid w:val="00FF437A"/>
    <w:rsid w:val="00FF4A3C"/>
    <w:rsid w:val="00FF5FF5"/>
    <w:rsid w:val="00FF6163"/>
    <w:rsid w:val="00FF68ED"/>
    <w:rsid w:val="00FF6CDA"/>
    <w:rsid w:val="00FF7C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CCBD9F3"/>
  <w15:docId w15:val="{9AF2DA95-4CB6-46A0-B4C5-427632AE2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1858"/>
    <w:rPr>
      <w:rFonts w:ascii="Times" w:eastAsia="Times" w:hAnsi="Times"/>
      <w:lang w:val="es-ES_tradnl"/>
    </w:rPr>
  </w:style>
  <w:style w:type="paragraph" w:styleId="Ttulo1">
    <w:name w:val="heading 1"/>
    <w:basedOn w:val="Normal"/>
    <w:next w:val="Normal"/>
    <w:link w:val="Ttulo1Car"/>
    <w:uiPriority w:val="9"/>
    <w:qFormat/>
    <w:rsid w:val="00801FE7"/>
    <w:pPr>
      <w:keepNext/>
      <w:numPr>
        <w:numId w:val="4"/>
      </w:numPr>
      <w:spacing w:before="240" w:after="60"/>
      <w:outlineLvl w:val="0"/>
    </w:pPr>
    <w:rPr>
      <w:rFonts w:ascii="Cambria" w:eastAsia="Times New Roman" w:hAnsi="Cambria"/>
      <w:b/>
      <w:bCs/>
      <w:kern w:val="32"/>
      <w:sz w:val="32"/>
      <w:szCs w:val="32"/>
    </w:rPr>
  </w:style>
  <w:style w:type="paragraph" w:styleId="Ttulo2">
    <w:name w:val="heading 2"/>
    <w:basedOn w:val="Normal"/>
    <w:next w:val="Normal"/>
    <w:link w:val="Ttulo2Car"/>
    <w:uiPriority w:val="9"/>
    <w:unhideWhenUsed/>
    <w:qFormat/>
    <w:rsid w:val="003F23C7"/>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FA Fu?notente,C,ft"/>
    <w:basedOn w:val="Normal"/>
    <w:link w:val="TextonotapieCar"/>
    <w:qFormat/>
    <w:rsid w:val="00D71858"/>
    <w:pPr>
      <w:jc w:val="both"/>
    </w:pPr>
    <w:rPr>
      <w:rFonts w:ascii="Verdana" w:hAnsi="Verdana"/>
      <w:sz w:val="16"/>
      <w:lang w:val="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C Car"/>
    <w:link w:val="Textonotapie"/>
    <w:qFormat/>
    <w:rsid w:val="00D71858"/>
    <w:rPr>
      <w:rFonts w:ascii="Verdana" w:eastAsia="Times" w:hAnsi="Verdana" w:cs="Times New Roman"/>
      <w:sz w:val="16"/>
      <w:szCs w:val="20"/>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link w:val="4GChar"/>
    <w:uiPriority w:val="99"/>
    <w:qFormat/>
    <w:rsid w:val="00D71858"/>
    <w:rPr>
      <w:vertAlign w:val="superscript"/>
    </w:rPr>
  </w:style>
  <w:style w:type="paragraph" w:customStyle="1" w:styleId="ColorfulList-Accent11">
    <w:name w:val="Colorful List - Accent 11"/>
    <w:aliases w:val="Footnote,Párrafo de lista1"/>
    <w:basedOn w:val="Normal"/>
    <w:link w:val="ColorfulList-Accent1Char"/>
    <w:uiPriority w:val="34"/>
    <w:qFormat/>
    <w:rsid w:val="00D71858"/>
    <w:pPr>
      <w:ind w:left="720"/>
      <w:contextualSpacing/>
    </w:pPr>
  </w:style>
  <w:style w:type="character" w:customStyle="1" w:styleId="ColorfulList-Accent1Char">
    <w:name w:val="Colorful List - Accent 1 Char"/>
    <w:aliases w:val="Footnote Char,Párrafo de lista1 Char"/>
    <w:link w:val="ColorfulList-Accent11"/>
    <w:uiPriority w:val="34"/>
    <w:rsid w:val="00D71858"/>
    <w:rPr>
      <w:rFonts w:ascii="Times" w:eastAsia="Times" w:hAnsi="Times" w:cs="Times New Roman"/>
      <w:sz w:val="24"/>
      <w:szCs w:val="20"/>
      <w:lang w:val="es-ES_tradnl"/>
    </w:rPr>
  </w:style>
  <w:style w:type="character" w:customStyle="1" w:styleId="apple-style-span">
    <w:name w:val="apple-style-span"/>
    <w:basedOn w:val="Fuentedeprrafopredeter"/>
    <w:rsid w:val="00D71858"/>
  </w:style>
  <w:style w:type="paragraph" w:styleId="Piedepgina">
    <w:name w:val="footer"/>
    <w:basedOn w:val="Normal"/>
    <w:link w:val="PiedepginaCar"/>
    <w:uiPriority w:val="99"/>
    <w:unhideWhenUsed/>
    <w:rsid w:val="00D71858"/>
    <w:pPr>
      <w:tabs>
        <w:tab w:val="center" w:pos="4680"/>
        <w:tab w:val="right" w:pos="9360"/>
      </w:tabs>
    </w:pPr>
  </w:style>
  <w:style w:type="character" w:customStyle="1" w:styleId="PiedepginaCar">
    <w:name w:val="Pie de página Car"/>
    <w:link w:val="Piedepgina"/>
    <w:uiPriority w:val="99"/>
    <w:rsid w:val="00D71858"/>
    <w:rPr>
      <w:rFonts w:ascii="Times" w:eastAsia="Times" w:hAnsi="Times" w:cs="Times New Roman"/>
      <w:sz w:val="24"/>
      <w:szCs w:val="20"/>
      <w:lang w:val="es-ES_tradnl"/>
    </w:rPr>
  </w:style>
  <w:style w:type="character" w:styleId="Refdecomentario">
    <w:name w:val="annotation reference"/>
    <w:unhideWhenUsed/>
    <w:rsid w:val="00D71858"/>
    <w:rPr>
      <w:sz w:val="16"/>
      <w:szCs w:val="16"/>
    </w:rPr>
  </w:style>
  <w:style w:type="paragraph" w:styleId="Textocomentario">
    <w:name w:val="annotation text"/>
    <w:basedOn w:val="Normal"/>
    <w:link w:val="TextocomentarioCar"/>
    <w:unhideWhenUsed/>
    <w:rsid w:val="00D71858"/>
    <w:rPr>
      <w:sz w:val="20"/>
    </w:rPr>
  </w:style>
  <w:style w:type="character" w:customStyle="1" w:styleId="TextocomentarioCar">
    <w:name w:val="Texto comentario Car"/>
    <w:link w:val="Textocomentario"/>
    <w:rsid w:val="00D71858"/>
    <w:rPr>
      <w:rFonts w:ascii="Times" w:eastAsia="Times" w:hAnsi="Times" w:cs="Times New Roman"/>
      <w:sz w:val="20"/>
      <w:szCs w:val="20"/>
      <w:lang w:val="es-ES_tradnl"/>
    </w:rPr>
  </w:style>
  <w:style w:type="paragraph" w:styleId="Textoindependiente">
    <w:name w:val="Body Text"/>
    <w:basedOn w:val="Normal"/>
    <w:link w:val="TextoindependienteCar"/>
    <w:uiPriority w:val="99"/>
    <w:semiHidden/>
    <w:unhideWhenUsed/>
    <w:rsid w:val="00D71858"/>
    <w:pPr>
      <w:spacing w:after="120"/>
    </w:pPr>
  </w:style>
  <w:style w:type="character" w:customStyle="1" w:styleId="TextoindependienteCar">
    <w:name w:val="Texto independiente Car"/>
    <w:link w:val="Textoindependiente"/>
    <w:uiPriority w:val="99"/>
    <w:semiHidden/>
    <w:rsid w:val="00D71858"/>
    <w:rPr>
      <w:rFonts w:ascii="Times" w:eastAsia="Times" w:hAnsi="Times" w:cs="Times New Roman"/>
      <w:sz w:val="24"/>
      <w:szCs w:val="20"/>
      <w:lang w:val="es-ES_tradnl"/>
    </w:rPr>
  </w:style>
  <w:style w:type="paragraph" w:styleId="Textodeglobo">
    <w:name w:val="Balloon Text"/>
    <w:basedOn w:val="Normal"/>
    <w:link w:val="TextodegloboCar"/>
    <w:uiPriority w:val="99"/>
    <w:semiHidden/>
    <w:unhideWhenUsed/>
    <w:rsid w:val="00D71858"/>
    <w:rPr>
      <w:rFonts w:ascii="Tahoma" w:hAnsi="Tahoma" w:cs="Tahoma"/>
      <w:sz w:val="16"/>
      <w:szCs w:val="16"/>
    </w:rPr>
  </w:style>
  <w:style w:type="character" w:customStyle="1" w:styleId="TextodegloboCar">
    <w:name w:val="Texto de globo Car"/>
    <w:link w:val="Textodeglobo"/>
    <w:uiPriority w:val="99"/>
    <w:semiHidden/>
    <w:rsid w:val="00D71858"/>
    <w:rPr>
      <w:rFonts w:ascii="Tahoma" w:eastAsia="Times" w:hAnsi="Tahoma" w:cs="Tahoma"/>
      <w:sz w:val="16"/>
      <w:szCs w:val="16"/>
      <w:lang w:val="es-ES_tradnl"/>
    </w:rPr>
  </w:style>
  <w:style w:type="paragraph" w:styleId="Textonotaalfinal">
    <w:name w:val="endnote text"/>
    <w:basedOn w:val="Normal"/>
    <w:link w:val="TextonotaalfinalCar"/>
    <w:rsid w:val="006A5544"/>
    <w:pPr>
      <w:widowControl w:val="0"/>
      <w:numPr>
        <w:numId w:val="1"/>
      </w:numPr>
      <w:tabs>
        <w:tab w:val="left" w:pos="720"/>
        <w:tab w:val="left" w:pos="1440"/>
        <w:tab w:val="left" w:pos="2160"/>
        <w:tab w:val="left" w:pos="2880"/>
        <w:tab w:val="left" w:pos="3600"/>
        <w:tab w:val="left" w:pos="4320"/>
        <w:tab w:val="left" w:pos="5760"/>
        <w:tab w:val="left" w:pos="6480"/>
        <w:tab w:val="left" w:pos="7200"/>
        <w:tab w:val="left" w:pos="7920"/>
      </w:tabs>
      <w:jc w:val="both"/>
    </w:pPr>
    <w:rPr>
      <w:rFonts w:ascii="CG Times" w:eastAsia="MS Mincho" w:hAnsi="CG Times"/>
      <w:sz w:val="22"/>
      <w:lang w:eastAsia="es-PE"/>
    </w:rPr>
  </w:style>
  <w:style w:type="character" w:customStyle="1" w:styleId="TextonotaalfinalCar">
    <w:name w:val="Texto nota al final Car"/>
    <w:link w:val="Textonotaalfinal"/>
    <w:rsid w:val="006A5544"/>
    <w:rPr>
      <w:rFonts w:ascii="CG Times" w:eastAsia="MS Mincho" w:hAnsi="CG Times"/>
      <w:sz w:val="22"/>
      <w:lang w:val="es-ES_tradnl" w:eastAsia="es-PE"/>
    </w:rPr>
  </w:style>
  <w:style w:type="paragraph" w:styleId="Asuntodelcomentario">
    <w:name w:val="annotation subject"/>
    <w:basedOn w:val="Textocomentario"/>
    <w:next w:val="Textocomentario"/>
    <w:link w:val="AsuntodelcomentarioCar"/>
    <w:uiPriority w:val="99"/>
    <w:semiHidden/>
    <w:unhideWhenUsed/>
    <w:rsid w:val="00113B80"/>
    <w:rPr>
      <w:b/>
      <w:bCs/>
    </w:rPr>
  </w:style>
  <w:style w:type="character" w:customStyle="1" w:styleId="AsuntodelcomentarioCar">
    <w:name w:val="Asunto del comentario Car"/>
    <w:link w:val="Asuntodelcomentario"/>
    <w:uiPriority w:val="99"/>
    <w:semiHidden/>
    <w:rsid w:val="00113B80"/>
    <w:rPr>
      <w:rFonts w:ascii="Times" w:eastAsia="Times" w:hAnsi="Times" w:cs="Times New Roman"/>
      <w:b/>
      <w:bCs/>
      <w:sz w:val="20"/>
      <w:szCs w:val="20"/>
      <w:lang w:val="es-ES_tradnl"/>
    </w:rPr>
  </w:style>
  <w:style w:type="character" w:styleId="Hipervnculo">
    <w:name w:val="Hyperlink"/>
    <w:uiPriority w:val="99"/>
    <w:unhideWhenUsed/>
    <w:rsid w:val="00AD3F61"/>
    <w:rPr>
      <w:strike w:val="0"/>
      <w:dstrike w:val="0"/>
      <w:color w:val="5383A9"/>
      <w:sz w:val="15"/>
      <w:szCs w:val="15"/>
      <w:u w:val="none"/>
      <w:effect w:val="none"/>
    </w:rPr>
  </w:style>
  <w:style w:type="paragraph" w:customStyle="1" w:styleId="Default">
    <w:name w:val="Default"/>
    <w:rsid w:val="00923D02"/>
    <w:pPr>
      <w:autoSpaceDE w:val="0"/>
      <w:autoSpaceDN w:val="0"/>
      <w:adjustRightInd w:val="0"/>
    </w:pPr>
    <w:rPr>
      <w:rFonts w:ascii="Verdana" w:hAnsi="Verdana" w:cs="Verdana"/>
      <w:color w:val="000000"/>
      <w:lang w:val="es-CR"/>
    </w:rPr>
  </w:style>
  <w:style w:type="paragraph" w:customStyle="1" w:styleId="Textoindependiente2">
    <w:name w:val="Texto independiente2"/>
    <w:basedOn w:val="Normal"/>
    <w:rsid w:val="00500DB8"/>
    <w:pPr>
      <w:widowControl w:val="0"/>
      <w:jc w:val="both"/>
    </w:pPr>
    <w:rPr>
      <w:rFonts w:ascii="New York" w:eastAsia="Times New Roman" w:hAnsi="New York"/>
    </w:rPr>
  </w:style>
  <w:style w:type="character" w:styleId="Nmerodelnea">
    <w:name w:val="line number"/>
    <w:uiPriority w:val="99"/>
    <w:unhideWhenUsed/>
    <w:rsid w:val="0062726E"/>
    <w:rPr>
      <w:rFonts w:ascii="Verdana" w:hAnsi="Verdana"/>
      <w:sz w:val="18"/>
    </w:rPr>
  </w:style>
  <w:style w:type="paragraph" w:styleId="Encabezado">
    <w:name w:val="header"/>
    <w:basedOn w:val="Normal"/>
    <w:link w:val="EncabezadoCar"/>
    <w:uiPriority w:val="99"/>
    <w:unhideWhenUsed/>
    <w:rsid w:val="000905B4"/>
    <w:pPr>
      <w:tabs>
        <w:tab w:val="center" w:pos="4419"/>
        <w:tab w:val="right" w:pos="8838"/>
      </w:tabs>
    </w:pPr>
  </w:style>
  <w:style w:type="character" w:customStyle="1" w:styleId="EncabezadoCar">
    <w:name w:val="Encabezado Car"/>
    <w:link w:val="Encabezado"/>
    <w:uiPriority w:val="99"/>
    <w:rsid w:val="000905B4"/>
    <w:rPr>
      <w:rFonts w:ascii="Times" w:eastAsia="Times" w:hAnsi="Times" w:cs="Times New Roman"/>
      <w:sz w:val="24"/>
      <w:szCs w:val="20"/>
      <w:lang w:val="es-ES_tradnl"/>
    </w:rPr>
  </w:style>
  <w:style w:type="character" w:styleId="Textoennegrita">
    <w:name w:val="Strong"/>
    <w:aliases w:val="Heading 2.1"/>
    <w:uiPriority w:val="22"/>
    <w:qFormat/>
    <w:rsid w:val="004803D1"/>
    <w:rPr>
      <w:b/>
      <w:bCs/>
    </w:rPr>
  </w:style>
  <w:style w:type="paragraph" w:styleId="TDC1">
    <w:name w:val="toc 1"/>
    <w:basedOn w:val="Normal"/>
    <w:next w:val="Normal"/>
    <w:autoRedefine/>
    <w:uiPriority w:val="39"/>
    <w:unhideWhenUsed/>
    <w:qFormat/>
    <w:rsid w:val="005B7D79"/>
    <w:pPr>
      <w:tabs>
        <w:tab w:val="left" w:pos="709"/>
        <w:tab w:val="left" w:pos="7513"/>
      </w:tabs>
      <w:spacing w:after="100" w:line="276" w:lineRule="auto"/>
      <w:ind w:left="284" w:right="1138"/>
      <w:jc w:val="both"/>
    </w:pPr>
    <w:rPr>
      <w:rFonts w:ascii="Verdana" w:eastAsia="Calibri" w:hAnsi="Verdana"/>
      <w:b/>
      <w:i/>
      <w:noProof/>
      <w:sz w:val="16"/>
      <w:szCs w:val="16"/>
      <w:lang w:val="es-CO"/>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qFormat/>
    <w:rsid w:val="006F52E1"/>
    <w:pPr>
      <w:jc w:val="both"/>
    </w:pPr>
    <w:rPr>
      <w:rFonts w:ascii="Calibri" w:eastAsia="Calibri" w:hAnsi="Calibri"/>
      <w:sz w:val="20"/>
      <w:vertAlign w:val="superscript"/>
      <w:lang w:val="en-US"/>
    </w:rPr>
  </w:style>
  <w:style w:type="character" w:styleId="Hipervnculovisitado">
    <w:name w:val="FollowedHyperlink"/>
    <w:uiPriority w:val="99"/>
    <w:semiHidden/>
    <w:unhideWhenUsed/>
    <w:rsid w:val="00653612"/>
    <w:rPr>
      <w:color w:val="800080"/>
      <w:u w:val="single"/>
    </w:rPr>
  </w:style>
  <w:style w:type="paragraph" w:customStyle="1" w:styleId="ColorfulShading-Accent11">
    <w:name w:val="Colorful Shading - Accent 11"/>
    <w:hidden/>
    <w:uiPriority w:val="99"/>
    <w:semiHidden/>
    <w:rsid w:val="007E483F"/>
    <w:rPr>
      <w:rFonts w:ascii="Times" w:eastAsia="Times" w:hAnsi="Times"/>
      <w:lang w:val="es-ES_tradnl"/>
    </w:rPr>
  </w:style>
  <w:style w:type="character" w:customStyle="1" w:styleId="Ttulo1Car">
    <w:name w:val="Título 1 Car"/>
    <w:link w:val="Ttulo1"/>
    <w:uiPriority w:val="9"/>
    <w:rsid w:val="00801FE7"/>
    <w:rPr>
      <w:rFonts w:ascii="Cambria" w:eastAsia="Times New Roman" w:hAnsi="Cambria"/>
      <w:b/>
      <w:bCs/>
      <w:kern w:val="32"/>
      <w:sz w:val="32"/>
      <w:szCs w:val="32"/>
      <w:lang w:val="es-ES_tradnl"/>
    </w:rPr>
  </w:style>
  <w:style w:type="paragraph" w:styleId="NormalWeb">
    <w:name w:val="Normal (Web)"/>
    <w:basedOn w:val="Normal"/>
    <w:uiPriority w:val="99"/>
    <w:unhideWhenUsed/>
    <w:rsid w:val="000E1F9E"/>
    <w:pPr>
      <w:spacing w:before="100" w:beforeAutospacing="1" w:after="100" w:afterAutospacing="1"/>
    </w:pPr>
    <w:rPr>
      <w:rFonts w:eastAsia="Calibri"/>
      <w:sz w:val="20"/>
      <w:lang w:val="en-US"/>
    </w:rPr>
  </w:style>
  <w:style w:type="paragraph" w:styleId="Prrafodelista">
    <w:name w:val="List Paragraph"/>
    <w:aliases w:val="Cuadrícula clara - Énfasis 31,List Paragraph1,List Paragraph2,Lista vistosa - Énfasis 11,Subtle Emphasis1,Footnote1"/>
    <w:basedOn w:val="Normal"/>
    <w:link w:val="PrrafodelistaCar"/>
    <w:uiPriority w:val="34"/>
    <w:qFormat/>
    <w:rsid w:val="0021111B"/>
    <w:pPr>
      <w:spacing w:after="200" w:line="276" w:lineRule="auto"/>
      <w:ind w:left="720"/>
      <w:contextualSpacing/>
    </w:pPr>
    <w:rPr>
      <w:rFonts w:ascii="Calibri" w:eastAsia="Calibri" w:hAnsi="Calibri"/>
      <w:sz w:val="22"/>
      <w:szCs w:val="22"/>
      <w:lang w:val="en-US"/>
    </w:rPr>
  </w:style>
  <w:style w:type="paragraph" w:customStyle="1" w:styleId="p1">
    <w:name w:val="p1"/>
    <w:basedOn w:val="Normal"/>
    <w:rsid w:val="00BF351F"/>
    <w:rPr>
      <w:rFonts w:ascii="Helvetica" w:eastAsia="Calibri" w:hAnsi="Helvetica"/>
      <w:sz w:val="18"/>
      <w:szCs w:val="18"/>
      <w:lang w:val="en-US"/>
    </w:rPr>
  </w:style>
  <w:style w:type="character" w:customStyle="1" w:styleId="s1">
    <w:name w:val="s1"/>
    <w:basedOn w:val="Fuentedeprrafopredeter"/>
    <w:rsid w:val="008A13B0"/>
    <w:rPr>
      <w:rFonts w:ascii="Helvetica" w:hAnsi="Helvetica" w:hint="default"/>
      <w:sz w:val="12"/>
      <w:szCs w:val="12"/>
    </w:rPr>
  </w:style>
  <w:style w:type="paragraph" w:customStyle="1" w:styleId="p2">
    <w:name w:val="p2"/>
    <w:basedOn w:val="Normal"/>
    <w:rsid w:val="00481582"/>
    <w:rPr>
      <w:rFonts w:ascii="Helvetica" w:eastAsia="Calibri" w:hAnsi="Helvetica"/>
      <w:sz w:val="15"/>
      <w:szCs w:val="15"/>
      <w:lang w:val="en-US"/>
    </w:rPr>
  </w:style>
  <w:style w:type="character" w:styleId="Refdenotaalfinal">
    <w:name w:val="endnote reference"/>
    <w:basedOn w:val="Fuentedeprrafopredeter"/>
    <w:uiPriority w:val="99"/>
    <w:unhideWhenUsed/>
    <w:rsid w:val="007E4BC6"/>
    <w:rPr>
      <w:vertAlign w:val="superscript"/>
    </w:rPr>
  </w:style>
  <w:style w:type="paragraph" w:styleId="HTMLconformatoprevio">
    <w:name w:val="HTML Preformatted"/>
    <w:basedOn w:val="Normal"/>
    <w:link w:val="HTMLconformatoprevioCar"/>
    <w:uiPriority w:val="99"/>
    <w:semiHidden/>
    <w:unhideWhenUsed/>
    <w:rsid w:val="0038418F"/>
    <w:rPr>
      <w:rFonts w:ascii="Consolas" w:hAnsi="Consolas"/>
      <w:sz w:val="20"/>
    </w:rPr>
  </w:style>
  <w:style w:type="character" w:customStyle="1" w:styleId="HTMLconformatoprevioCar">
    <w:name w:val="HTML con formato previo Car"/>
    <w:basedOn w:val="Fuentedeprrafopredeter"/>
    <w:link w:val="HTMLconformatoprevio"/>
    <w:uiPriority w:val="99"/>
    <w:semiHidden/>
    <w:rsid w:val="0038418F"/>
    <w:rPr>
      <w:rFonts w:ascii="Consolas" w:eastAsia="Times" w:hAnsi="Consolas"/>
      <w:lang w:val="es-ES_tradnl"/>
    </w:rPr>
  </w:style>
  <w:style w:type="character" w:styleId="Textodelmarcadordeposicin">
    <w:name w:val="Placeholder Text"/>
    <w:basedOn w:val="Fuentedeprrafopredeter"/>
    <w:uiPriority w:val="99"/>
    <w:semiHidden/>
    <w:rsid w:val="006365BA"/>
    <w:rPr>
      <w:color w:val="808080"/>
    </w:rPr>
  </w:style>
  <w:style w:type="character" w:customStyle="1" w:styleId="s2">
    <w:name w:val="s2"/>
    <w:basedOn w:val="Fuentedeprrafopredeter"/>
    <w:rsid w:val="00FB6152"/>
    <w:rPr>
      <w:rFonts w:ascii="Helvetica" w:hAnsi="Helvetica" w:hint="default"/>
      <w:sz w:val="23"/>
      <w:szCs w:val="23"/>
    </w:rPr>
  </w:style>
  <w:style w:type="character" w:customStyle="1" w:styleId="s3">
    <w:name w:val="s3"/>
    <w:basedOn w:val="Fuentedeprrafopredeter"/>
    <w:rsid w:val="00FB6152"/>
    <w:rPr>
      <w:rFonts w:ascii="Times" w:hAnsi="Times" w:hint="default"/>
      <w:sz w:val="17"/>
      <w:szCs w:val="17"/>
    </w:rPr>
  </w:style>
  <w:style w:type="character" w:customStyle="1" w:styleId="s4">
    <w:name w:val="s4"/>
    <w:basedOn w:val="Fuentedeprrafopredeter"/>
    <w:rsid w:val="00DE5F2D"/>
    <w:rPr>
      <w:rFonts w:ascii="Times" w:hAnsi="Times" w:hint="default"/>
      <w:sz w:val="15"/>
      <w:szCs w:val="15"/>
    </w:rPr>
  </w:style>
  <w:style w:type="character" w:customStyle="1" w:styleId="s5">
    <w:name w:val="s5"/>
    <w:basedOn w:val="Fuentedeprrafopredeter"/>
    <w:rsid w:val="00DE5F2D"/>
    <w:rPr>
      <w:rFonts w:ascii="Times" w:hAnsi="Times" w:hint="default"/>
      <w:sz w:val="16"/>
      <w:szCs w:val="16"/>
    </w:rPr>
  </w:style>
  <w:style w:type="character" w:customStyle="1" w:styleId="s6">
    <w:name w:val="s6"/>
    <w:basedOn w:val="Fuentedeprrafopredeter"/>
    <w:rsid w:val="00DE5F2D"/>
    <w:rPr>
      <w:rFonts w:ascii="Times" w:hAnsi="Times" w:hint="default"/>
      <w:sz w:val="17"/>
      <w:szCs w:val="17"/>
    </w:rPr>
  </w:style>
  <w:style w:type="character" w:customStyle="1" w:styleId="s7">
    <w:name w:val="s7"/>
    <w:basedOn w:val="Fuentedeprrafopredeter"/>
    <w:rsid w:val="00DE5F2D"/>
    <w:rPr>
      <w:rFonts w:ascii="Times" w:hAnsi="Times" w:hint="default"/>
      <w:sz w:val="11"/>
      <w:szCs w:val="11"/>
    </w:rPr>
  </w:style>
  <w:style w:type="character" w:customStyle="1" w:styleId="apple-converted-space">
    <w:name w:val="apple-converted-space"/>
    <w:basedOn w:val="Fuentedeprrafopredeter"/>
    <w:rsid w:val="00DE5F2D"/>
  </w:style>
  <w:style w:type="character" w:customStyle="1" w:styleId="s8">
    <w:name w:val="s8"/>
    <w:basedOn w:val="Fuentedeprrafopredeter"/>
    <w:rsid w:val="00DE5F2D"/>
    <w:rPr>
      <w:rFonts w:ascii="Times" w:hAnsi="Times" w:hint="default"/>
      <w:sz w:val="11"/>
      <w:szCs w:val="11"/>
    </w:rPr>
  </w:style>
  <w:style w:type="character" w:customStyle="1" w:styleId="s9">
    <w:name w:val="s9"/>
    <w:basedOn w:val="Fuentedeprrafopredeter"/>
    <w:rsid w:val="00DE5F2D"/>
    <w:rPr>
      <w:rFonts w:ascii="Times" w:hAnsi="Times" w:hint="default"/>
      <w:sz w:val="16"/>
      <w:szCs w:val="16"/>
    </w:rPr>
  </w:style>
  <w:style w:type="paragraph" w:styleId="Revisin">
    <w:name w:val="Revision"/>
    <w:hidden/>
    <w:uiPriority w:val="99"/>
    <w:semiHidden/>
    <w:rsid w:val="00A80536"/>
    <w:rPr>
      <w:rFonts w:ascii="Times" w:eastAsia="Times" w:hAnsi="Times"/>
      <w:lang w:val="es-ES_tradnl"/>
    </w:rPr>
  </w:style>
  <w:style w:type="character" w:customStyle="1" w:styleId="PrrafodelistaCar">
    <w:name w:val="Párrafo de lista Car"/>
    <w:aliases w:val="Cuadrícula clara - Énfasis 31 Car,List Paragraph1 Car,List Paragraph2 Car,Lista vistosa - Énfasis 11 Car,Subtle Emphasis1 Car,Footnote1 Car"/>
    <w:link w:val="Prrafodelista"/>
    <w:uiPriority w:val="34"/>
    <w:locked/>
    <w:rsid w:val="00CE5813"/>
    <w:rPr>
      <w:sz w:val="22"/>
      <w:szCs w:val="22"/>
    </w:rPr>
  </w:style>
  <w:style w:type="character" w:customStyle="1" w:styleId="Ttulo2Car">
    <w:name w:val="Título 2 Car"/>
    <w:basedOn w:val="Fuentedeprrafopredeter"/>
    <w:link w:val="Ttulo2"/>
    <w:uiPriority w:val="9"/>
    <w:rsid w:val="003F23C7"/>
    <w:rPr>
      <w:rFonts w:asciiTheme="majorHAnsi" w:eastAsiaTheme="majorEastAsia" w:hAnsiTheme="majorHAnsi" w:cstheme="majorBidi"/>
      <w:color w:val="2F5496" w:themeColor="accent1" w:themeShade="BF"/>
      <w:sz w:val="26"/>
      <w:szCs w:val="26"/>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16940">
      <w:bodyDiv w:val="1"/>
      <w:marLeft w:val="0"/>
      <w:marRight w:val="0"/>
      <w:marTop w:val="0"/>
      <w:marBottom w:val="0"/>
      <w:divBdr>
        <w:top w:val="none" w:sz="0" w:space="0" w:color="auto"/>
        <w:left w:val="none" w:sz="0" w:space="0" w:color="auto"/>
        <w:bottom w:val="none" w:sz="0" w:space="0" w:color="auto"/>
        <w:right w:val="none" w:sz="0" w:space="0" w:color="auto"/>
      </w:divBdr>
      <w:divsChild>
        <w:div w:id="1318846771">
          <w:marLeft w:val="0"/>
          <w:marRight w:val="0"/>
          <w:marTop w:val="0"/>
          <w:marBottom w:val="0"/>
          <w:divBdr>
            <w:top w:val="none" w:sz="0" w:space="0" w:color="auto"/>
            <w:left w:val="none" w:sz="0" w:space="0" w:color="auto"/>
            <w:bottom w:val="none" w:sz="0" w:space="0" w:color="auto"/>
            <w:right w:val="none" w:sz="0" w:space="0" w:color="auto"/>
          </w:divBdr>
          <w:divsChild>
            <w:div w:id="1015886143">
              <w:marLeft w:val="0"/>
              <w:marRight w:val="0"/>
              <w:marTop w:val="0"/>
              <w:marBottom w:val="0"/>
              <w:divBdr>
                <w:top w:val="none" w:sz="0" w:space="0" w:color="auto"/>
                <w:left w:val="none" w:sz="0" w:space="0" w:color="auto"/>
                <w:bottom w:val="none" w:sz="0" w:space="0" w:color="auto"/>
                <w:right w:val="none" w:sz="0" w:space="0" w:color="auto"/>
              </w:divBdr>
              <w:divsChild>
                <w:div w:id="1278760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79965">
      <w:bodyDiv w:val="1"/>
      <w:marLeft w:val="0"/>
      <w:marRight w:val="0"/>
      <w:marTop w:val="0"/>
      <w:marBottom w:val="0"/>
      <w:divBdr>
        <w:top w:val="none" w:sz="0" w:space="0" w:color="auto"/>
        <w:left w:val="none" w:sz="0" w:space="0" w:color="auto"/>
        <w:bottom w:val="none" w:sz="0" w:space="0" w:color="auto"/>
        <w:right w:val="none" w:sz="0" w:space="0" w:color="auto"/>
      </w:divBdr>
      <w:divsChild>
        <w:div w:id="541986136">
          <w:marLeft w:val="0"/>
          <w:marRight w:val="0"/>
          <w:marTop w:val="0"/>
          <w:marBottom w:val="0"/>
          <w:divBdr>
            <w:top w:val="none" w:sz="0" w:space="0" w:color="auto"/>
            <w:left w:val="none" w:sz="0" w:space="0" w:color="auto"/>
            <w:bottom w:val="none" w:sz="0" w:space="0" w:color="auto"/>
            <w:right w:val="none" w:sz="0" w:space="0" w:color="auto"/>
          </w:divBdr>
          <w:divsChild>
            <w:div w:id="1850481416">
              <w:marLeft w:val="0"/>
              <w:marRight w:val="0"/>
              <w:marTop w:val="0"/>
              <w:marBottom w:val="0"/>
              <w:divBdr>
                <w:top w:val="none" w:sz="0" w:space="0" w:color="auto"/>
                <w:left w:val="none" w:sz="0" w:space="0" w:color="auto"/>
                <w:bottom w:val="none" w:sz="0" w:space="0" w:color="auto"/>
                <w:right w:val="none" w:sz="0" w:space="0" w:color="auto"/>
              </w:divBdr>
              <w:divsChild>
                <w:div w:id="16776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5627">
      <w:bodyDiv w:val="1"/>
      <w:marLeft w:val="0"/>
      <w:marRight w:val="0"/>
      <w:marTop w:val="0"/>
      <w:marBottom w:val="0"/>
      <w:divBdr>
        <w:top w:val="none" w:sz="0" w:space="0" w:color="auto"/>
        <w:left w:val="none" w:sz="0" w:space="0" w:color="auto"/>
        <w:bottom w:val="none" w:sz="0" w:space="0" w:color="auto"/>
        <w:right w:val="none" w:sz="0" w:space="0" w:color="auto"/>
      </w:divBdr>
    </w:div>
    <w:div w:id="15422906">
      <w:bodyDiv w:val="1"/>
      <w:marLeft w:val="0"/>
      <w:marRight w:val="0"/>
      <w:marTop w:val="0"/>
      <w:marBottom w:val="0"/>
      <w:divBdr>
        <w:top w:val="none" w:sz="0" w:space="0" w:color="auto"/>
        <w:left w:val="none" w:sz="0" w:space="0" w:color="auto"/>
        <w:bottom w:val="none" w:sz="0" w:space="0" w:color="auto"/>
        <w:right w:val="none" w:sz="0" w:space="0" w:color="auto"/>
      </w:divBdr>
    </w:div>
    <w:div w:id="28577641">
      <w:bodyDiv w:val="1"/>
      <w:marLeft w:val="0"/>
      <w:marRight w:val="0"/>
      <w:marTop w:val="0"/>
      <w:marBottom w:val="0"/>
      <w:divBdr>
        <w:top w:val="none" w:sz="0" w:space="0" w:color="auto"/>
        <w:left w:val="none" w:sz="0" w:space="0" w:color="auto"/>
        <w:bottom w:val="none" w:sz="0" w:space="0" w:color="auto"/>
        <w:right w:val="none" w:sz="0" w:space="0" w:color="auto"/>
      </w:divBdr>
      <w:divsChild>
        <w:div w:id="1898321685">
          <w:marLeft w:val="0"/>
          <w:marRight w:val="0"/>
          <w:marTop w:val="0"/>
          <w:marBottom w:val="0"/>
          <w:divBdr>
            <w:top w:val="none" w:sz="0" w:space="0" w:color="auto"/>
            <w:left w:val="none" w:sz="0" w:space="0" w:color="auto"/>
            <w:bottom w:val="none" w:sz="0" w:space="0" w:color="auto"/>
            <w:right w:val="none" w:sz="0" w:space="0" w:color="auto"/>
          </w:divBdr>
          <w:divsChild>
            <w:div w:id="60058374">
              <w:marLeft w:val="0"/>
              <w:marRight w:val="0"/>
              <w:marTop w:val="0"/>
              <w:marBottom w:val="0"/>
              <w:divBdr>
                <w:top w:val="none" w:sz="0" w:space="0" w:color="auto"/>
                <w:left w:val="none" w:sz="0" w:space="0" w:color="auto"/>
                <w:bottom w:val="none" w:sz="0" w:space="0" w:color="auto"/>
                <w:right w:val="none" w:sz="0" w:space="0" w:color="auto"/>
              </w:divBdr>
              <w:divsChild>
                <w:div w:id="1653557974">
                  <w:marLeft w:val="0"/>
                  <w:marRight w:val="0"/>
                  <w:marTop w:val="0"/>
                  <w:marBottom w:val="0"/>
                  <w:divBdr>
                    <w:top w:val="none" w:sz="0" w:space="0" w:color="auto"/>
                    <w:left w:val="none" w:sz="0" w:space="0" w:color="auto"/>
                    <w:bottom w:val="none" w:sz="0" w:space="0" w:color="auto"/>
                    <w:right w:val="none" w:sz="0" w:space="0" w:color="auto"/>
                  </w:divBdr>
                </w:div>
              </w:divsChild>
            </w:div>
            <w:div w:id="580406050">
              <w:marLeft w:val="0"/>
              <w:marRight w:val="0"/>
              <w:marTop w:val="0"/>
              <w:marBottom w:val="0"/>
              <w:divBdr>
                <w:top w:val="none" w:sz="0" w:space="0" w:color="auto"/>
                <w:left w:val="none" w:sz="0" w:space="0" w:color="auto"/>
                <w:bottom w:val="none" w:sz="0" w:space="0" w:color="auto"/>
                <w:right w:val="none" w:sz="0" w:space="0" w:color="auto"/>
              </w:divBdr>
              <w:divsChild>
                <w:div w:id="1109936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61582">
      <w:bodyDiv w:val="1"/>
      <w:marLeft w:val="0"/>
      <w:marRight w:val="0"/>
      <w:marTop w:val="0"/>
      <w:marBottom w:val="0"/>
      <w:divBdr>
        <w:top w:val="none" w:sz="0" w:space="0" w:color="auto"/>
        <w:left w:val="none" w:sz="0" w:space="0" w:color="auto"/>
        <w:bottom w:val="none" w:sz="0" w:space="0" w:color="auto"/>
        <w:right w:val="none" w:sz="0" w:space="0" w:color="auto"/>
      </w:divBdr>
    </w:div>
    <w:div w:id="39869316">
      <w:bodyDiv w:val="1"/>
      <w:marLeft w:val="0"/>
      <w:marRight w:val="0"/>
      <w:marTop w:val="0"/>
      <w:marBottom w:val="0"/>
      <w:divBdr>
        <w:top w:val="none" w:sz="0" w:space="0" w:color="auto"/>
        <w:left w:val="none" w:sz="0" w:space="0" w:color="auto"/>
        <w:bottom w:val="none" w:sz="0" w:space="0" w:color="auto"/>
        <w:right w:val="none" w:sz="0" w:space="0" w:color="auto"/>
      </w:divBdr>
    </w:div>
    <w:div w:id="41832523">
      <w:bodyDiv w:val="1"/>
      <w:marLeft w:val="0"/>
      <w:marRight w:val="0"/>
      <w:marTop w:val="0"/>
      <w:marBottom w:val="0"/>
      <w:divBdr>
        <w:top w:val="none" w:sz="0" w:space="0" w:color="auto"/>
        <w:left w:val="none" w:sz="0" w:space="0" w:color="auto"/>
        <w:bottom w:val="none" w:sz="0" w:space="0" w:color="auto"/>
        <w:right w:val="none" w:sz="0" w:space="0" w:color="auto"/>
      </w:divBdr>
    </w:div>
    <w:div w:id="51782627">
      <w:bodyDiv w:val="1"/>
      <w:marLeft w:val="0"/>
      <w:marRight w:val="0"/>
      <w:marTop w:val="0"/>
      <w:marBottom w:val="0"/>
      <w:divBdr>
        <w:top w:val="none" w:sz="0" w:space="0" w:color="auto"/>
        <w:left w:val="none" w:sz="0" w:space="0" w:color="auto"/>
        <w:bottom w:val="none" w:sz="0" w:space="0" w:color="auto"/>
        <w:right w:val="none" w:sz="0" w:space="0" w:color="auto"/>
      </w:divBdr>
    </w:div>
    <w:div w:id="52852412">
      <w:bodyDiv w:val="1"/>
      <w:marLeft w:val="0"/>
      <w:marRight w:val="0"/>
      <w:marTop w:val="0"/>
      <w:marBottom w:val="0"/>
      <w:divBdr>
        <w:top w:val="none" w:sz="0" w:space="0" w:color="auto"/>
        <w:left w:val="none" w:sz="0" w:space="0" w:color="auto"/>
        <w:bottom w:val="none" w:sz="0" w:space="0" w:color="auto"/>
        <w:right w:val="none" w:sz="0" w:space="0" w:color="auto"/>
      </w:divBdr>
      <w:divsChild>
        <w:div w:id="983893716">
          <w:marLeft w:val="0"/>
          <w:marRight w:val="0"/>
          <w:marTop w:val="0"/>
          <w:marBottom w:val="0"/>
          <w:divBdr>
            <w:top w:val="none" w:sz="0" w:space="0" w:color="auto"/>
            <w:left w:val="none" w:sz="0" w:space="0" w:color="auto"/>
            <w:bottom w:val="none" w:sz="0" w:space="0" w:color="auto"/>
            <w:right w:val="none" w:sz="0" w:space="0" w:color="auto"/>
          </w:divBdr>
          <w:divsChild>
            <w:div w:id="106778017">
              <w:marLeft w:val="0"/>
              <w:marRight w:val="0"/>
              <w:marTop w:val="0"/>
              <w:marBottom w:val="0"/>
              <w:divBdr>
                <w:top w:val="none" w:sz="0" w:space="0" w:color="auto"/>
                <w:left w:val="none" w:sz="0" w:space="0" w:color="auto"/>
                <w:bottom w:val="none" w:sz="0" w:space="0" w:color="auto"/>
                <w:right w:val="none" w:sz="0" w:space="0" w:color="auto"/>
              </w:divBdr>
              <w:divsChild>
                <w:div w:id="39085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209471">
      <w:bodyDiv w:val="1"/>
      <w:marLeft w:val="0"/>
      <w:marRight w:val="0"/>
      <w:marTop w:val="0"/>
      <w:marBottom w:val="0"/>
      <w:divBdr>
        <w:top w:val="none" w:sz="0" w:space="0" w:color="auto"/>
        <w:left w:val="none" w:sz="0" w:space="0" w:color="auto"/>
        <w:bottom w:val="none" w:sz="0" w:space="0" w:color="auto"/>
        <w:right w:val="none" w:sz="0" w:space="0" w:color="auto"/>
      </w:divBdr>
    </w:div>
    <w:div w:id="55513918">
      <w:bodyDiv w:val="1"/>
      <w:marLeft w:val="0"/>
      <w:marRight w:val="0"/>
      <w:marTop w:val="0"/>
      <w:marBottom w:val="0"/>
      <w:divBdr>
        <w:top w:val="none" w:sz="0" w:space="0" w:color="auto"/>
        <w:left w:val="none" w:sz="0" w:space="0" w:color="auto"/>
        <w:bottom w:val="none" w:sz="0" w:space="0" w:color="auto"/>
        <w:right w:val="none" w:sz="0" w:space="0" w:color="auto"/>
      </w:divBdr>
      <w:divsChild>
        <w:div w:id="1595895165">
          <w:marLeft w:val="0"/>
          <w:marRight w:val="0"/>
          <w:marTop w:val="0"/>
          <w:marBottom w:val="0"/>
          <w:divBdr>
            <w:top w:val="none" w:sz="0" w:space="0" w:color="auto"/>
            <w:left w:val="none" w:sz="0" w:space="0" w:color="auto"/>
            <w:bottom w:val="none" w:sz="0" w:space="0" w:color="auto"/>
            <w:right w:val="none" w:sz="0" w:space="0" w:color="auto"/>
          </w:divBdr>
          <w:divsChild>
            <w:div w:id="1905945276">
              <w:marLeft w:val="0"/>
              <w:marRight w:val="0"/>
              <w:marTop w:val="0"/>
              <w:marBottom w:val="0"/>
              <w:divBdr>
                <w:top w:val="none" w:sz="0" w:space="0" w:color="auto"/>
                <w:left w:val="none" w:sz="0" w:space="0" w:color="auto"/>
                <w:bottom w:val="none" w:sz="0" w:space="0" w:color="auto"/>
                <w:right w:val="none" w:sz="0" w:space="0" w:color="auto"/>
              </w:divBdr>
              <w:divsChild>
                <w:div w:id="55073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00210">
      <w:bodyDiv w:val="1"/>
      <w:marLeft w:val="0"/>
      <w:marRight w:val="0"/>
      <w:marTop w:val="0"/>
      <w:marBottom w:val="0"/>
      <w:divBdr>
        <w:top w:val="none" w:sz="0" w:space="0" w:color="auto"/>
        <w:left w:val="none" w:sz="0" w:space="0" w:color="auto"/>
        <w:bottom w:val="none" w:sz="0" w:space="0" w:color="auto"/>
        <w:right w:val="none" w:sz="0" w:space="0" w:color="auto"/>
      </w:divBdr>
    </w:div>
    <w:div w:id="75370953">
      <w:bodyDiv w:val="1"/>
      <w:marLeft w:val="0"/>
      <w:marRight w:val="0"/>
      <w:marTop w:val="0"/>
      <w:marBottom w:val="0"/>
      <w:divBdr>
        <w:top w:val="none" w:sz="0" w:space="0" w:color="auto"/>
        <w:left w:val="none" w:sz="0" w:space="0" w:color="auto"/>
        <w:bottom w:val="none" w:sz="0" w:space="0" w:color="auto"/>
        <w:right w:val="none" w:sz="0" w:space="0" w:color="auto"/>
      </w:divBdr>
    </w:div>
    <w:div w:id="85809730">
      <w:bodyDiv w:val="1"/>
      <w:marLeft w:val="0"/>
      <w:marRight w:val="0"/>
      <w:marTop w:val="0"/>
      <w:marBottom w:val="0"/>
      <w:divBdr>
        <w:top w:val="none" w:sz="0" w:space="0" w:color="auto"/>
        <w:left w:val="none" w:sz="0" w:space="0" w:color="auto"/>
        <w:bottom w:val="none" w:sz="0" w:space="0" w:color="auto"/>
        <w:right w:val="none" w:sz="0" w:space="0" w:color="auto"/>
      </w:divBdr>
      <w:divsChild>
        <w:div w:id="1493721879">
          <w:marLeft w:val="0"/>
          <w:marRight w:val="0"/>
          <w:marTop w:val="0"/>
          <w:marBottom w:val="0"/>
          <w:divBdr>
            <w:top w:val="none" w:sz="0" w:space="0" w:color="auto"/>
            <w:left w:val="none" w:sz="0" w:space="0" w:color="auto"/>
            <w:bottom w:val="none" w:sz="0" w:space="0" w:color="auto"/>
            <w:right w:val="none" w:sz="0" w:space="0" w:color="auto"/>
          </w:divBdr>
          <w:divsChild>
            <w:div w:id="751047730">
              <w:marLeft w:val="0"/>
              <w:marRight w:val="0"/>
              <w:marTop w:val="0"/>
              <w:marBottom w:val="0"/>
              <w:divBdr>
                <w:top w:val="none" w:sz="0" w:space="0" w:color="auto"/>
                <w:left w:val="none" w:sz="0" w:space="0" w:color="auto"/>
                <w:bottom w:val="none" w:sz="0" w:space="0" w:color="auto"/>
                <w:right w:val="none" w:sz="0" w:space="0" w:color="auto"/>
              </w:divBdr>
              <w:divsChild>
                <w:div w:id="1850023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76190">
      <w:bodyDiv w:val="1"/>
      <w:marLeft w:val="0"/>
      <w:marRight w:val="0"/>
      <w:marTop w:val="0"/>
      <w:marBottom w:val="0"/>
      <w:divBdr>
        <w:top w:val="none" w:sz="0" w:space="0" w:color="auto"/>
        <w:left w:val="none" w:sz="0" w:space="0" w:color="auto"/>
        <w:bottom w:val="none" w:sz="0" w:space="0" w:color="auto"/>
        <w:right w:val="none" w:sz="0" w:space="0" w:color="auto"/>
      </w:divBdr>
    </w:div>
    <w:div w:id="96953274">
      <w:bodyDiv w:val="1"/>
      <w:marLeft w:val="0"/>
      <w:marRight w:val="0"/>
      <w:marTop w:val="0"/>
      <w:marBottom w:val="0"/>
      <w:divBdr>
        <w:top w:val="none" w:sz="0" w:space="0" w:color="auto"/>
        <w:left w:val="none" w:sz="0" w:space="0" w:color="auto"/>
        <w:bottom w:val="none" w:sz="0" w:space="0" w:color="auto"/>
        <w:right w:val="none" w:sz="0" w:space="0" w:color="auto"/>
      </w:divBdr>
    </w:div>
    <w:div w:id="98566773">
      <w:bodyDiv w:val="1"/>
      <w:marLeft w:val="0"/>
      <w:marRight w:val="0"/>
      <w:marTop w:val="0"/>
      <w:marBottom w:val="0"/>
      <w:divBdr>
        <w:top w:val="none" w:sz="0" w:space="0" w:color="auto"/>
        <w:left w:val="none" w:sz="0" w:space="0" w:color="auto"/>
        <w:bottom w:val="none" w:sz="0" w:space="0" w:color="auto"/>
        <w:right w:val="none" w:sz="0" w:space="0" w:color="auto"/>
      </w:divBdr>
      <w:divsChild>
        <w:div w:id="1943998936">
          <w:marLeft w:val="0"/>
          <w:marRight w:val="0"/>
          <w:marTop w:val="0"/>
          <w:marBottom w:val="0"/>
          <w:divBdr>
            <w:top w:val="none" w:sz="0" w:space="0" w:color="auto"/>
            <w:left w:val="none" w:sz="0" w:space="0" w:color="auto"/>
            <w:bottom w:val="none" w:sz="0" w:space="0" w:color="auto"/>
            <w:right w:val="none" w:sz="0" w:space="0" w:color="auto"/>
          </w:divBdr>
          <w:divsChild>
            <w:div w:id="617492336">
              <w:marLeft w:val="0"/>
              <w:marRight w:val="0"/>
              <w:marTop w:val="0"/>
              <w:marBottom w:val="0"/>
              <w:divBdr>
                <w:top w:val="none" w:sz="0" w:space="0" w:color="auto"/>
                <w:left w:val="none" w:sz="0" w:space="0" w:color="auto"/>
                <w:bottom w:val="none" w:sz="0" w:space="0" w:color="auto"/>
                <w:right w:val="none" w:sz="0" w:space="0" w:color="auto"/>
              </w:divBdr>
              <w:divsChild>
                <w:div w:id="168940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689488">
      <w:bodyDiv w:val="1"/>
      <w:marLeft w:val="0"/>
      <w:marRight w:val="0"/>
      <w:marTop w:val="0"/>
      <w:marBottom w:val="0"/>
      <w:divBdr>
        <w:top w:val="none" w:sz="0" w:space="0" w:color="auto"/>
        <w:left w:val="none" w:sz="0" w:space="0" w:color="auto"/>
        <w:bottom w:val="none" w:sz="0" w:space="0" w:color="auto"/>
        <w:right w:val="none" w:sz="0" w:space="0" w:color="auto"/>
      </w:divBdr>
    </w:div>
    <w:div w:id="107748858">
      <w:bodyDiv w:val="1"/>
      <w:marLeft w:val="0"/>
      <w:marRight w:val="0"/>
      <w:marTop w:val="0"/>
      <w:marBottom w:val="0"/>
      <w:divBdr>
        <w:top w:val="none" w:sz="0" w:space="0" w:color="auto"/>
        <w:left w:val="none" w:sz="0" w:space="0" w:color="auto"/>
        <w:bottom w:val="none" w:sz="0" w:space="0" w:color="auto"/>
        <w:right w:val="none" w:sz="0" w:space="0" w:color="auto"/>
      </w:divBdr>
      <w:divsChild>
        <w:div w:id="1312252865">
          <w:marLeft w:val="0"/>
          <w:marRight w:val="0"/>
          <w:marTop w:val="0"/>
          <w:marBottom w:val="0"/>
          <w:divBdr>
            <w:top w:val="none" w:sz="0" w:space="0" w:color="auto"/>
            <w:left w:val="none" w:sz="0" w:space="0" w:color="auto"/>
            <w:bottom w:val="none" w:sz="0" w:space="0" w:color="auto"/>
            <w:right w:val="none" w:sz="0" w:space="0" w:color="auto"/>
          </w:divBdr>
          <w:divsChild>
            <w:div w:id="1495683346">
              <w:marLeft w:val="0"/>
              <w:marRight w:val="0"/>
              <w:marTop w:val="0"/>
              <w:marBottom w:val="0"/>
              <w:divBdr>
                <w:top w:val="none" w:sz="0" w:space="0" w:color="auto"/>
                <w:left w:val="none" w:sz="0" w:space="0" w:color="auto"/>
                <w:bottom w:val="none" w:sz="0" w:space="0" w:color="auto"/>
                <w:right w:val="none" w:sz="0" w:space="0" w:color="auto"/>
              </w:divBdr>
              <w:divsChild>
                <w:div w:id="233005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755518">
      <w:bodyDiv w:val="1"/>
      <w:marLeft w:val="0"/>
      <w:marRight w:val="0"/>
      <w:marTop w:val="0"/>
      <w:marBottom w:val="0"/>
      <w:divBdr>
        <w:top w:val="none" w:sz="0" w:space="0" w:color="auto"/>
        <w:left w:val="none" w:sz="0" w:space="0" w:color="auto"/>
        <w:bottom w:val="none" w:sz="0" w:space="0" w:color="auto"/>
        <w:right w:val="none" w:sz="0" w:space="0" w:color="auto"/>
      </w:divBdr>
    </w:div>
    <w:div w:id="118692187">
      <w:bodyDiv w:val="1"/>
      <w:marLeft w:val="0"/>
      <w:marRight w:val="0"/>
      <w:marTop w:val="0"/>
      <w:marBottom w:val="0"/>
      <w:divBdr>
        <w:top w:val="none" w:sz="0" w:space="0" w:color="auto"/>
        <w:left w:val="none" w:sz="0" w:space="0" w:color="auto"/>
        <w:bottom w:val="none" w:sz="0" w:space="0" w:color="auto"/>
        <w:right w:val="none" w:sz="0" w:space="0" w:color="auto"/>
      </w:divBdr>
    </w:div>
    <w:div w:id="130444789">
      <w:bodyDiv w:val="1"/>
      <w:marLeft w:val="0"/>
      <w:marRight w:val="0"/>
      <w:marTop w:val="0"/>
      <w:marBottom w:val="0"/>
      <w:divBdr>
        <w:top w:val="none" w:sz="0" w:space="0" w:color="auto"/>
        <w:left w:val="none" w:sz="0" w:space="0" w:color="auto"/>
        <w:bottom w:val="none" w:sz="0" w:space="0" w:color="auto"/>
        <w:right w:val="none" w:sz="0" w:space="0" w:color="auto"/>
      </w:divBdr>
      <w:divsChild>
        <w:div w:id="1256479090">
          <w:marLeft w:val="0"/>
          <w:marRight w:val="0"/>
          <w:marTop w:val="0"/>
          <w:marBottom w:val="0"/>
          <w:divBdr>
            <w:top w:val="none" w:sz="0" w:space="0" w:color="auto"/>
            <w:left w:val="none" w:sz="0" w:space="0" w:color="auto"/>
            <w:bottom w:val="none" w:sz="0" w:space="0" w:color="auto"/>
            <w:right w:val="none" w:sz="0" w:space="0" w:color="auto"/>
          </w:divBdr>
          <w:divsChild>
            <w:div w:id="1226795364">
              <w:marLeft w:val="0"/>
              <w:marRight w:val="0"/>
              <w:marTop w:val="0"/>
              <w:marBottom w:val="0"/>
              <w:divBdr>
                <w:top w:val="none" w:sz="0" w:space="0" w:color="auto"/>
                <w:left w:val="none" w:sz="0" w:space="0" w:color="auto"/>
                <w:bottom w:val="none" w:sz="0" w:space="0" w:color="auto"/>
                <w:right w:val="none" w:sz="0" w:space="0" w:color="auto"/>
              </w:divBdr>
              <w:divsChild>
                <w:div w:id="39937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61700">
      <w:bodyDiv w:val="1"/>
      <w:marLeft w:val="0"/>
      <w:marRight w:val="0"/>
      <w:marTop w:val="0"/>
      <w:marBottom w:val="0"/>
      <w:divBdr>
        <w:top w:val="none" w:sz="0" w:space="0" w:color="auto"/>
        <w:left w:val="none" w:sz="0" w:space="0" w:color="auto"/>
        <w:bottom w:val="none" w:sz="0" w:space="0" w:color="auto"/>
        <w:right w:val="none" w:sz="0" w:space="0" w:color="auto"/>
      </w:divBdr>
    </w:div>
    <w:div w:id="133375725">
      <w:bodyDiv w:val="1"/>
      <w:marLeft w:val="0"/>
      <w:marRight w:val="0"/>
      <w:marTop w:val="0"/>
      <w:marBottom w:val="0"/>
      <w:divBdr>
        <w:top w:val="none" w:sz="0" w:space="0" w:color="auto"/>
        <w:left w:val="none" w:sz="0" w:space="0" w:color="auto"/>
        <w:bottom w:val="none" w:sz="0" w:space="0" w:color="auto"/>
        <w:right w:val="none" w:sz="0" w:space="0" w:color="auto"/>
      </w:divBdr>
    </w:div>
    <w:div w:id="144931209">
      <w:bodyDiv w:val="1"/>
      <w:marLeft w:val="0"/>
      <w:marRight w:val="0"/>
      <w:marTop w:val="0"/>
      <w:marBottom w:val="0"/>
      <w:divBdr>
        <w:top w:val="none" w:sz="0" w:space="0" w:color="auto"/>
        <w:left w:val="none" w:sz="0" w:space="0" w:color="auto"/>
        <w:bottom w:val="none" w:sz="0" w:space="0" w:color="auto"/>
        <w:right w:val="none" w:sz="0" w:space="0" w:color="auto"/>
      </w:divBdr>
    </w:div>
    <w:div w:id="149754992">
      <w:bodyDiv w:val="1"/>
      <w:marLeft w:val="0"/>
      <w:marRight w:val="0"/>
      <w:marTop w:val="0"/>
      <w:marBottom w:val="0"/>
      <w:divBdr>
        <w:top w:val="none" w:sz="0" w:space="0" w:color="auto"/>
        <w:left w:val="none" w:sz="0" w:space="0" w:color="auto"/>
        <w:bottom w:val="none" w:sz="0" w:space="0" w:color="auto"/>
        <w:right w:val="none" w:sz="0" w:space="0" w:color="auto"/>
      </w:divBdr>
      <w:divsChild>
        <w:div w:id="850414431">
          <w:marLeft w:val="0"/>
          <w:marRight w:val="0"/>
          <w:marTop w:val="0"/>
          <w:marBottom w:val="0"/>
          <w:divBdr>
            <w:top w:val="none" w:sz="0" w:space="0" w:color="auto"/>
            <w:left w:val="none" w:sz="0" w:space="0" w:color="auto"/>
            <w:bottom w:val="none" w:sz="0" w:space="0" w:color="auto"/>
            <w:right w:val="none" w:sz="0" w:space="0" w:color="auto"/>
          </w:divBdr>
          <w:divsChild>
            <w:div w:id="1155681327">
              <w:marLeft w:val="0"/>
              <w:marRight w:val="0"/>
              <w:marTop w:val="0"/>
              <w:marBottom w:val="0"/>
              <w:divBdr>
                <w:top w:val="none" w:sz="0" w:space="0" w:color="auto"/>
                <w:left w:val="none" w:sz="0" w:space="0" w:color="auto"/>
                <w:bottom w:val="none" w:sz="0" w:space="0" w:color="auto"/>
                <w:right w:val="none" w:sz="0" w:space="0" w:color="auto"/>
              </w:divBdr>
              <w:divsChild>
                <w:div w:id="92288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29415">
      <w:bodyDiv w:val="1"/>
      <w:marLeft w:val="0"/>
      <w:marRight w:val="0"/>
      <w:marTop w:val="0"/>
      <w:marBottom w:val="0"/>
      <w:divBdr>
        <w:top w:val="none" w:sz="0" w:space="0" w:color="auto"/>
        <w:left w:val="none" w:sz="0" w:space="0" w:color="auto"/>
        <w:bottom w:val="none" w:sz="0" w:space="0" w:color="auto"/>
        <w:right w:val="none" w:sz="0" w:space="0" w:color="auto"/>
      </w:divBdr>
    </w:div>
    <w:div w:id="156727456">
      <w:bodyDiv w:val="1"/>
      <w:marLeft w:val="0"/>
      <w:marRight w:val="0"/>
      <w:marTop w:val="0"/>
      <w:marBottom w:val="0"/>
      <w:divBdr>
        <w:top w:val="none" w:sz="0" w:space="0" w:color="auto"/>
        <w:left w:val="none" w:sz="0" w:space="0" w:color="auto"/>
        <w:bottom w:val="none" w:sz="0" w:space="0" w:color="auto"/>
        <w:right w:val="none" w:sz="0" w:space="0" w:color="auto"/>
      </w:divBdr>
    </w:div>
    <w:div w:id="157113244">
      <w:bodyDiv w:val="1"/>
      <w:marLeft w:val="0"/>
      <w:marRight w:val="0"/>
      <w:marTop w:val="0"/>
      <w:marBottom w:val="0"/>
      <w:divBdr>
        <w:top w:val="none" w:sz="0" w:space="0" w:color="auto"/>
        <w:left w:val="none" w:sz="0" w:space="0" w:color="auto"/>
        <w:bottom w:val="none" w:sz="0" w:space="0" w:color="auto"/>
        <w:right w:val="none" w:sz="0" w:space="0" w:color="auto"/>
      </w:divBdr>
      <w:divsChild>
        <w:div w:id="1456409034">
          <w:marLeft w:val="0"/>
          <w:marRight w:val="0"/>
          <w:marTop w:val="0"/>
          <w:marBottom w:val="0"/>
          <w:divBdr>
            <w:top w:val="none" w:sz="0" w:space="0" w:color="auto"/>
            <w:left w:val="none" w:sz="0" w:space="0" w:color="auto"/>
            <w:bottom w:val="none" w:sz="0" w:space="0" w:color="auto"/>
            <w:right w:val="none" w:sz="0" w:space="0" w:color="auto"/>
          </w:divBdr>
          <w:divsChild>
            <w:div w:id="170679795">
              <w:marLeft w:val="0"/>
              <w:marRight w:val="0"/>
              <w:marTop w:val="0"/>
              <w:marBottom w:val="0"/>
              <w:divBdr>
                <w:top w:val="none" w:sz="0" w:space="0" w:color="auto"/>
                <w:left w:val="none" w:sz="0" w:space="0" w:color="auto"/>
                <w:bottom w:val="none" w:sz="0" w:space="0" w:color="auto"/>
                <w:right w:val="none" w:sz="0" w:space="0" w:color="auto"/>
              </w:divBdr>
              <w:divsChild>
                <w:div w:id="896864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54452">
      <w:bodyDiv w:val="1"/>
      <w:marLeft w:val="0"/>
      <w:marRight w:val="0"/>
      <w:marTop w:val="0"/>
      <w:marBottom w:val="0"/>
      <w:divBdr>
        <w:top w:val="none" w:sz="0" w:space="0" w:color="auto"/>
        <w:left w:val="none" w:sz="0" w:space="0" w:color="auto"/>
        <w:bottom w:val="none" w:sz="0" w:space="0" w:color="auto"/>
        <w:right w:val="none" w:sz="0" w:space="0" w:color="auto"/>
      </w:divBdr>
      <w:divsChild>
        <w:div w:id="545415639">
          <w:marLeft w:val="0"/>
          <w:marRight w:val="0"/>
          <w:marTop w:val="0"/>
          <w:marBottom w:val="0"/>
          <w:divBdr>
            <w:top w:val="none" w:sz="0" w:space="0" w:color="auto"/>
            <w:left w:val="none" w:sz="0" w:space="0" w:color="auto"/>
            <w:bottom w:val="none" w:sz="0" w:space="0" w:color="auto"/>
            <w:right w:val="none" w:sz="0" w:space="0" w:color="auto"/>
          </w:divBdr>
          <w:divsChild>
            <w:div w:id="674116496">
              <w:marLeft w:val="0"/>
              <w:marRight w:val="0"/>
              <w:marTop w:val="0"/>
              <w:marBottom w:val="0"/>
              <w:divBdr>
                <w:top w:val="none" w:sz="0" w:space="0" w:color="auto"/>
                <w:left w:val="none" w:sz="0" w:space="0" w:color="auto"/>
                <w:bottom w:val="none" w:sz="0" w:space="0" w:color="auto"/>
                <w:right w:val="none" w:sz="0" w:space="0" w:color="auto"/>
              </w:divBdr>
              <w:divsChild>
                <w:div w:id="1929734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614424">
      <w:bodyDiv w:val="1"/>
      <w:marLeft w:val="0"/>
      <w:marRight w:val="0"/>
      <w:marTop w:val="0"/>
      <w:marBottom w:val="0"/>
      <w:divBdr>
        <w:top w:val="none" w:sz="0" w:space="0" w:color="auto"/>
        <w:left w:val="none" w:sz="0" w:space="0" w:color="auto"/>
        <w:bottom w:val="none" w:sz="0" w:space="0" w:color="auto"/>
        <w:right w:val="none" w:sz="0" w:space="0" w:color="auto"/>
      </w:divBdr>
      <w:divsChild>
        <w:div w:id="2136824098">
          <w:marLeft w:val="0"/>
          <w:marRight w:val="0"/>
          <w:marTop w:val="0"/>
          <w:marBottom w:val="0"/>
          <w:divBdr>
            <w:top w:val="none" w:sz="0" w:space="0" w:color="auto"/>
            <w:left w:val="none" w:sz="0" w:space="0" w:color="auto"/>
            <w:bottom w:val="none" w:sz="0" w:space="0" w:color="auto"/>
            <w:right w:val="none" w:sz="0" w:space="0" w:color="auto"/>
          </w:divBdr>
          <w:divsChild>
            <w:div w:id="88431943">
              <w:marLeft w:val="0"/>
              <w:marRight w:val="0"/>
              <w:marTop w:val="0"/>
              <w:marBottom w:val="0"/>
              <w:divBdr>
                <w:top w:val="none" w:sz="0" w:space="0" w:color="auto"/>
                <w:left w:val="none" w:sz="0" w:space="0" w:color="auto"/>
                <w:bottom w:val="none" w:sz="0" w:space="0" w:color="auto"/>
                <w:right w:val="none" w:sz="0" w:space="0" w:color="auto"/>
              </w:divBdr>
              <w:divsChild>
                <w:div w:id="1940673702">
                  <w:marLeft w:val="0"/>
                  <w:marRight w:val="0"/>
                  <w:marTop w:val="0"/>
                  <w:marBottom w:val="0"/>
                  <w:divBdr>
                    <w:top w:val="none" w:sz="0" w:space="0" w:color="auto"/>
                    <w:left w:val="none" w:sz="0" w:space="0" w:color="auto"/>
                    <w:bottom w:val="none" w:sz="0" w:space="0" w:color="auto"/>
                    <w:right w:val="none" w:sz="0" w:space="0" w:color="auto"/>
                  </w:divBdr>
                </w:div>
              </w:divsChild>
            </w:div>
            <w:div w:id="2112780159">
              <w:marLeft w:val="0"/>
              <w:marRight w:val="0"/>
              <w:marTop w:val="0"/>
              <w:marBottom w:val="0"/>
              <w:divBdr>
                <w:top w:val="none" w:sz="0" w:space="0" w:color="auto"/>
                <w:left w:val="none" w:sz="0" w:space="0" w:color="auto"/>
                <w:bottom w:val="none" w:sz="0" w:space="0" w:color="auto"/>
                <w:right w:val="none" w:sz="0" w:space="0" w:color="auto"/>
              </w:divBdr>
              <w:divsChild>
                <w:div w:id="1796438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741549">
      <w:bodyDiv w:val="1"/>
      <w:marLeft w:val="0"/>
      <w:marRight w:val="0"/>
      <w:marTop w:val="0"/>
      <w:marBottom w:val="0"/>
      <w:divBdr>
        <w:top w:val="none" w:sz="0" w:space="0" w:color="auto"/>
        <w:left w:val="none" w:sz="0" w:space="0" w:color="auto"/>
        <w:bottom w:val="none" w:sz="0" w:space="0" w:color="auto"/>
        <w:right w:val="none" w:sz="0" w:space="0" w:color="auto"/>
      </w:divBdr>
    </w:div>
    <w:div w:id="180358116">
      <w:bodyDiv w:val="1"/>
      <w:marLeft w:val="0"/>
      <w:marRight w:val="0"/>
      <w:marTop w:val="0"/>
      <w:marBottom w:val="0"/>
      <w:divBdr>
        <w:top w:val="none" w:sz="0" w:space="0" w:color="auto"/>
        <w:left w:val="none" w:sz="0" w:space="0" w:color="auto"/>
        <w:bottom w:val="none" w:sz="0" w:space="0" w:color="auto"/>
        <w:right w:val="none" w:sz="0" w:space="0" w:color="auto"/>
      </w:divBdr>
      <w:divsChild>
        <w:div w:id="78872191">
          <w:marLeft w:val="0"/>
          <w:marRight w:val="0"/>
          <w:marTop w:val="0"/>
          <w:marBottom w:val="0"/>
          <w:divBdr>
            <w:top w:val="none" w:sz="0" w:space="0" w:color="auto"/>
            <w:left w:val="none" w:sz="0" w:space="0" w:color="auto"/>
            <w:bottom w:val="none" w:sz="0" w:space="0" w:color="auto"/>
            <w:right w:val="none" w:sz="0" w:space="0" w:color="auto"/>
          </w:divBdr>
          <w:divsChild>
            <w:div w:id="55781842">
              <w:marLeft w:val="0"/>
              <w:marRight w:val="0"/>
              <w:marTop w:val="0"/>
              <w:marBottom w:val="0"/>
              <w:divBdr>
                <w:top w:val="none" w:sz="0" w:space="0" w:color="auto"/>
                <w:left w:val="none" w:sz="0" w:space="0" w:color="auto"/>
                <w:bottom w:val="none" w:sz="0" w:space="0" w:color="auto"/>
                <w:right w:val="none" w:sz="0" w:space="0" w:color="auto"/>
              </w:divBdr>
              <w:divsChild>
                <w:div w:id="1813712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947971">
      <w:bodyDiv w:val="1"/>
      <w:marLeft w:val="0"/>
      <w:marRight w:val="0"/>
      <w:marTop w:val="0"/>
      <w:marBottom w:val="0"/>
      <w:divBdr>
        <w:top w:val="none" w:sz="0" w:space="0" w:color="auto"/>
        <w:left w:val="none" w:sz="0" w:space="0" w:color="auto"/>
        <w:bottom w:val="none" w:sz="0" w:space="0" w:color="auto"/>
        <w:right w:val="none" w:sz="0" w:space="0" w:color="auto"/>
      </w:divBdr>
      <w:divsChild>
        <w:div w:id="86314249">
          <w:marLeft w:val="0"/>
          <w:marRight w:val="0"/>
          <w:marTop w:val="0"/>
          <w:marBottom w:val="0"/>
          <w:divBdr>
            <w:top w:val="none" w:sz="0" w:space="0" w:color="auto"/>
            <w:left w:val="none" w:sz="0" w:space="0" w:color="auto"/>
            <w:bottom w:val="none" w:sz="0" w:space="0" w:color="auto"/>
            <w:right w:val="none" w:sz="0" w:space="0" w:color="auto"/>
          </w:divBdr>
          <w:divsChild>
            <w:div w:id="1595363631">
              <w:marLeft w:val="0"/>
              <w:marRight w:val="0"/>
              <w:marTop w:val="0"/>
              <w:marBottom w:val="0"/>
              <w:divBdr>
                <w:top w:val="none" w:sz="0" w:space="0" w:color="auto"/>
                <w:left w:val="none" w:sz="0" w:space="0" w:color="auto"/>
                <w:bottom w:val="none" w:sz="0" w:space="0" w:color="auto"/>
                <w:right w:val="none" w:sz="0" w:space="0" w:color="auto"/>
              </w:divBdr>
              <w:divsChild>
                <w:div w:id="578756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21988">
      <w:bodyDiv w:val="1"/>
      <w:marLeft w:val="0"/>
      <w:marRight w:val="0"/>
      <w:marTop w:val="0"/>
      <w:marBottom w:val="0"/>
      <w:divBdr>
        <w:top w:val="none" w:sz="0" w:space="0" w:color="auto"/>
        <w:left w:val="none" w:sz="0" w:space="0" w:color="auto"/>
        <w:bottom w:val="none" w:sz="0" w:space="0" w:color="auto"/>
        <w:right w:val="none" w:sz="0" w:space="0" w:color="auto"/>
      </w:divBdr>
    </w:div>
    <w:div w:id="188766022">
      <w:bodyDiv w:val="1"/>
      <w:marLeft w:val="0"/>
      <w:marRight w:val="0"/>
      <w:marTop w:val="0"/>
      <w:marBottom w:val="0"/>
      <w:divBdr>
        <w:top w:val="none" w:sz="0" w:space="0" w:color="auto"/>
        <w:left w:val="none" w:sz="0" w:space="0" w:color="auto"/>
        <w:bottom w:val="none" w:sz="0" w:space="0" w:color="auto"/>
        <w:right w:val="none" w:sz="0" w:space="0" w:color="auto"/>
      </w:divBdr>
    </w:div>
    <w:div w:id="190074211">
      <w:bodyDiv w:val="1"/>
      <w:marLeft w:val="0"/>
      <w:marRight w:val="0"/>
      <w:marTop w:val="0"/>
      <w:marBottom w:val="0"/>
      <w:divBdr>
        <w:top w:val="none" w:sz="0" w:space="0" w:color="auto"/>
        <w:left w:val="none" w:sz="0" w:space="0" w:color="auto"/>
        <w:bottom w:val="none" w:sz="0" w:space="0" w:color="auto"/>
        <w:right w:val="none" w:sz="0" w:space="0" w:color="auto"/>
      </w:divBdr>
    </w:div>
    <w:div w:id="194343474">
      <w:bodyDiv w:val="1"/>
      <w:marLeft w:val="0"/>
      <w:marRight w:val="0"/>
      <w:marTop w:val="0"/>
      <w:marBottom w:val="0"/>
      <w:divBdr>
        <w:top w:val="none" w:sz="0" w:space="0" w:color="auto"/>
        <w:left w:val="none" w:sz="0" w:space="0" w:color="auto"/>
        <w:bottom w:val="none" w:sz="0" w:space="0" w:color="auto"/>
        <w:right w:val="none" w:sz="0" w:space="0" w:color="auto"/>
      </w:divBdr>
      <w:divsChild>
        <w:div w:id="474761235">
          <w:marLeft w:val="0"/>
          <w:marRight w:val="0"/>
          <w:marTop w:val="0"/>
          <w:marBottom w:val="0"/>
          <w:divBdr>
            <w:top w:val="none" w:sz="0" w:space="0" w:color="auto"/>
            <w:left w:val="none" w:sz="0" w:space="0" w:color="auto"/>
            <w:bottom w:val="none" w:sz="0" w:space="0" w:color="auto"/>
            <w:right w:val="none" w:sz="0" w:space="0" w:color="auto"/>
          </w:divBdr>
          <w:divsChild>
            <w:div w:id="2024897071">
              <w:marLeft w:val="0"/>
              <w:marRight w:val="0"/>
              <w:marTop w:val="0"/>
              <w:marBottom w:val="0"/>
              <w:divBdr>
                <w:top w:val="none" w:sz="0" w:space="0" w:color="auto"/>
                <w:left w:val="none" w:sz="0" w:space="0" w:color="auto"/>
                <w:bottom w:val="none" w:sz="0" w:space="0" w:color="auto"/>
                <w:right w:val="none" w:sz="0" w:space="0" w:color="auto"/>
              </w:divBdr>
              <w:divsChild>
                <w:div w:id="774786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18293">
      <w:bodyDiv w:val="1"/>
      <w:marLeft w:val="0"/>
      <w:marRight w:val="0"/>
      <w:marTop w:val="0"/>
      <w:marBottom w:val="0"/>
      <w:divBdr>
        <w:top w:val="none" w:sz="0" w:space="0" w:color="auto"/>
        <w:left w:val="none" w:sz="0" w:space="0" w:color="auto"/>
        <w:bottom w:val="none" w:sz="0" w:space="0" w:color="auto"/>
        <w:right w:val="none" w:sz="0" w:space="0" w:color="auto"/>
      </w:divBdr>
      <w:divsChild>
        <w:div w:id="2009868935">
          <w:marLeft w:val="0"/>
          <w:marRight w:val="0"/>
          <w:marTop w:val="0"/>
          <w:marBottom w:val="0"/>
          <w:divBdr>
            <w:top w:val="none" w:sz="0" w:space="0" w:color="auto"/>
            <w:left w:val="none" w:sz="0" w:space="0" w:color="auto"/>
            <w:bottom w:val="none" w:sz="0" w:space="0" w:color="auto"/>
            <w:right w:val="none" w:sz="0" w:space="0" w:color="auto"/>
          </w:divBdr>
          <w:divsChild>
            <w:div w:id="18165743">
              <w:marLeft w:val="0"/>
              <w:marRight w:val="0"/>
              <w:marTop w:val="0"/>
              <w:marBottom w:val="0"/>
              <w:divBdr>
                <w:top w:val="none" w:sz="0" w:space="0" w:color="auto"/>
                <w:left w:val="none" w:sz="0" w:space="0" w:color="auto"/>
                <w:bottom w:val="none" w:sz="0" w:space="0" w:color="auto"/>
                <w:right w:val="none" w:sz="0" w:space="0" w:color="auto"/>
              </w:divBdr>
              <w:divsChild>
                <w:div w:id="1357851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134606">
      <w:bodyDiv w:val="1"/>
      <w:marLeft w:val="0"/>
      <w:marRight w:val="0"/>
      <w:marTop w:val="0"/>
      <w:marBottom w:val="0"/>
      <w:divBdr>
        <w:top w:val="none" w:sz="0" w:space="0" w:color="auto"/>
        <w:left w:val="none" w:sz="0" w:space="0" w:color="auto"/>
        <w:bottom w:val="none" w:sz="0" w:space="0" w:color="auto"/>
        <w:right w:val="none" w:sz="0" w:space="0" w:color="auto"/>
      </w:divBdr>
      <w:divsChild>
        <w:div w:id="611325950">
          <w:marLeft w:val="0"/>
          <w:marRight w:val="0"/>
          <w:marTop w:val="0"/>
          <w:marBottom w:val="0"/>
          <w:divBdr>
            <w:top w:val="none" w:sz="0" w:space="0" w:color="auto"/>
            <w:left w:val="none" w:sz="0" w:space="0" w:color="auto"/>
            <w:bottom w:val="none" w:sz="0" w:space="0" w:color="auto"/>
            <w:right w:val="none" w:sz="0" w:space="0" w:color="auto"/>
          </w:divBdr>
          <w:divsChild>
            <w:div w:id="595208839">
              <w:marLeft w:val="0"/>
              <w:marRight w:val="0"/>
              <w:marTop w:val="0"/>
              <w:marBottom w:val="0"/>
              <w:divBdr>
                <w:top w:val="none" w:sz="0" w:space="0" w:color="auto"/>
                <w:left w:val="none" w:sz="0" w:space="0" w:color="auto"/>
                <w:bottom w:val="none" w:sz="0" w:space="0" w:color="auto"/>
                <w:right w:val="none" w:sz="0" w:space="0" w:color="auto"/>
              </w:divBdr>
              <w:divsChild>
                <w:div w:id="1160006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288731">
      <w:bodyDiv w:val="1"/>
      <w:marLeft w:val="0"/>
      <w:marRight w:val="0"/>
      <w:marTop w:val="0"/>
      <w:marBottom w:val="0"/>
      <w:divBdr>
        <w:top w:val="none" w:sz="0" w:space="0" w:color="auto"/>
        <w:left w:val="none" w:sz="0" w:space="0" w:color="auto"/>
        <w:bottom w:val="none" w:sz="0" w:space="0" w:color="auto"/>
        <w:right w:val="none" w:sz="0" w:space="0" w:color="auto"/>
      </w:divBdr>
    </w:div>
    <w:div w:id="204752453">
      <w:bodyDiv w:val="1"/>
      <w:marLeft w:val="0"/>
      <w:marRight w:val="0"/>
      <w:marTop w:val="0"/>
      <w:marBottom w:val="0"/>
      <w:divBdr>
        <w:top w:val="none" w:sz="0" w:space="0" w:color="auto"/>
        <w:left w:val="none" w:sz="0" w:space="0" w:color="auto"/>
        <w:bottom w:val="none" w:sz="0" w:space="0" w:color="auto"/>
        <w:right w:val="none" w:sz="0" w:space="0" w:color="auto"/>
      </w:divBdr>
      <w:divsChild>
        <w:div w:id="1361131050">
          <w:marLeft w:val="0"/>
          <w:marRight w:val="0"/>
          <w:marTop w:val="0"/>
          <w:marBottom w:val="0"/>
          <w:divBdr>
            <w:top w:val="none" w:sz="0" w:space="0" w:color="auto"/>
            <w:left w:val="none" w:sz="0" w:space="0" w:color="auto"/>
            <w:bottom w:val="none" w:sz="0" w:space="0" w:color="auto"/>
            <w:right w:val="none" w:sz="0" w:space="0" w:color="auto"/>
          </w:divBdr>
          <w:divsChild>
            <w:div w:id="1184127468">
              <w:marLeft w:val="0"/>
              <w:marRight w:val="0"/>
              <w:marTop w:val="0"/>
              <w:marBottom w:val="0"/>
              <w:divBdr>
                <w:top w:val="none" w:sz="0" w:space="0" w:color="auto"/>
                <w:left w:val="none" w:sz="0" w:space="0" w:color="auto"/>
                <w:bottom w:val="none" w:sz="0" w:space="0" w:color="auto"/>
                <w:right w:val="none" w:sz="0" w:space="0" w:color="auto"/>
              </w:divBdr>
              <w:divsChild>
                <w:div w:id="1966693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948764">
      <w:bodyDiv w:val="1"/>
      <w:marLeft w:val="0"/>
      <w:marRight w:val="0"/>
      <w:marTop w:val="0"/>
      <w:marBottom w:val="0"/>
      <w:divBdr>
        <w:top w:val="none" w:sz="0" w:space="0" w:color="auto"/>
        <w:left w:val="none" w:sz="0" w:space="0" w:color="auto"/>
        <w:bottom w:val="none" w:sz="0" w:space="0" w:color="auto"/>
        <w:right w:val="none" w:sz="0" w:space="0" w:color="auto"/>
      </w:divBdr>
    </w:div>
    <w:div w:id="211624128">
      <w:bodyDiv w:val="1"/>
      <w:marLeft w:val="0"/>
      <w:marRight w:val="0"/>
      <w:marTop w:val="0"/>
      <w:marBottom w:val="0"/>
      <w:divBdr>
        <w:top w:val="none" w:sz="0" w:space="0" w:color="auto"/>
        <w:left w:val="none" w:sz="0" w:space="0" w:color="auto"/>
        <w:bottom w:val="none" w:sz="0" w:space="0" w:color="auto"/>
        <w:right w:val="none" w:sz="0" w:space="0" w:color="auto"/>
      </w:divBdr>
      <w:divsChild>
        <w:div w:id="1976182874">
          <w:marLeft w:val="0"/>
          <w:marRight w:val="0"/>
          <w:marTop w:val="0"/>
          <w:marBottom w:val="0"/>
          <w:divBdr>
            <w:top w:val="none" w:sz="0" w:space="0" w:color="auto"/>
            <w:left w:val="none" w:sz="0" w:space="0" w:color="auto"/>
            <w:bottom w:val="none" w:sz="0" w:space="0" w:color="auto"/>
            <w:right w:val="none" w:sz="0" w:space="0" w:color="auto"/>
          </w:divBdr>
          <w:divsChild>
            <w:div w:id="1376926994">
              <w:marLeft w:val="0"/>
              <w:marRight w:val="0"/>
              <w:marTop w:val="0"/>
              <w:marBottom w:val="0"/>
              <w:divBdr>
                <w:top w:val="none" w:sz="0" w:space="0" w:color="auto"/>
                <w:left w:val="none" w:sz="0" w:space="0" w:color="auto"/>
                <w:bottom w:val="none" w:sz="0" w:space="0" w:color="auto"/>
                <w:right w:val="none" w:sz="0" w:space="0" w:color="auto"/>
              </w:divBdr>
              <w:divsChild>
                <w:div w:id="210024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43516">
      <w:bodyDiv w:val="1"/>
      <w:marLeft w:val="0"/>
      <w:marRight w:val="0"/>
      <w:marTop w:val="0"/>
      <w:marBottom w:val="0"/>
      <w:divBdr>
        <w:top w:val="none" w:sz="0" w:space="0" w:color="auto"/>
        <w:left w:val="none" w:sz="0" w:space="0" w:color="auto"/>
        <w:bottom w:val="none" w:sz="0" w:space="0" w:color="auto"/>
        <w:right w:val="none" w:sz="0" w:space="0" w:color="auto"/>
      </w:divBdr>
      <w:divsChild>
        <w:div w:id="515734363">
          <w:marLeft w:val="0"/>
          <w:marRight w:val="0"/>
          <w:marTop w:val="0"/>
          <w:marBottom w:val="0"/>
          <w:divBdr>
            <w:top w:val="none" w:sz="0" w:space="0" w:color="auto"/>
            <w:left w:val="none" w:sz="0" w:space="0" w:color="auto"/>
            <w:bottom w:val="none" w:sz="0" w:space="0" w:color="auto"/>
            <w:right w:val="none" w:sz="0" w:space="0" w:color="auto"/>
          </w:divBdr>
          <w:divsChild>
            <w:div w:id="1934240124">
              <w:marLeft w:val="0"/>
              <w:marRight w:val="0"/>
              <w:marTop w:val="0"/>
              <w:marBottom w:val="0"/>
              <w:divBdr>
                <w:top w:val="none" w:sz="0" w:space="0" w:color="auto"/>
                <w:left w:val="none" w:sz="0" w:space="0" w:color="auto"/>
                <w:bottom w:val="none" w:sz="0" w:space="0" w:color="auto"/>
                <w:right w:val="none" w:sz="0" w:space="0" w:color="auto"/>
              </w:divBdr>
              <w:divsChild>
                <w:div w:id="42541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900325">
      <w:bodyDiv w:val="1"/>
      <w:marLeft w:val="0"/>
      <w:marRight w:val="0"/>
      <w:marTop w:val="0"/>
      <w:marBottom w:val="0"/>
      <w:divBdr>
        <w:top w:val="none" w:sz="0" w:space="0" w:color="auto"/>
        <w:left w:val="none" w:sz="0" w:space="0" w:color="auto"/>
        <w:bottom w:val="none" w:sz="0" w:space="0" w:color="auto"/>
        <w:right w:val="none" w:sz="0" w:space="0" w:color="auto"/>
      </w:divBdr>
    </w:div>
    <w:div w:id="227688800">
      <w:bodyDiv w:val="1"/>
      <w:marLeft w:val="0"/>
      <w:marRight w:val="0"/>
      <w:marTop w:val="0"/>
      <w:marBottom w:val="0"/>
      <w:divBdr>
        <w:top w:val="none" w:sz="0" w:space="0" w:color="auto"/>
        <w:left w:val="none" w:sz="0" w:space="0" w:color="auto"/>
        <w:bottom w:val="none" w:sz="0" w:space="0" w:color="auto"/>
        <w:right w:val="none" w:sz="0" w:space="0" w:color="auto"/>
      </w:divBdr>
    </w:div>
    <w:div w:id="238173153">
      <w:bodyDiv w:val="1"/>
      <w:marLeft w:val="0"/>
      <w:marRight w:val="0"/>
      <w:marTop w:val="0"/>
      <w:marBottom w:val="0"/>
      <w:divBdr>
        <w:top w:val="none" w:sz="0" w:space="0" w:color="auto"/>
        <w:left w:val="none" w:sz="0" w:space="0" w:color="auto"/>
        <w:bottom w:val="none" w:sz="0" w:space="0" w:color="auto"/>
        <w:right w:val="none" w:sz="0" w:space="0" w:color="auto"/>
      </w:divBdr>
    </w:div>
    <w:div w:id="241574102">
      <w:bodyDiv w:val="1"/>
      <w:marLeft w:val="0"/>
      <w:marRight w:val="0"/>
      <w:marTop w:val="0"/>
      <w:marBottom w:val="0"/>
      <w:divBdr>
        <w:top w:val="none" w:sz="0" w:space="0" w:color="auto"/>
        <w:left w:val="none" w:sz="0" w:space="0" w:color="auto"/>
        <w:bottom w:val="none" w:sz="0" w:space="0" w:color="auto"/>
        <w:right w:val="none" w:sz="0" w:space="0" w:color="auto"/>
      </w:divBdr>
    </w:div>
    <w:div w:id="242109358">
      <w:bodyDiv w:val="1"/>
      <w:marLeft w:val="0"/>
      <w:marRight w:val="0"/>
      <w:marTop w:val="0"/>
      <w:marBottom w:val="0"/>
      <w:divBdr>
        <w:top w:val="none" w:sz="0" w:space="0" w:color="auto"/>
        <w:left w:val="none" w:sz="0" w:space="0" w:color="auto"/>
        <w:bottom w:val="none" w:sz="0" w:space="0" w:color="auto"/>
        <w:right w:val="none" w:sz="0" w:space="0" w:color="auto"/>
      </w:divBdr>
    </w:div>
    <w:div w:id="244731071">
      <w:bodyDiv w:val="1"/>
      <w:marLeft w:val="0"/>
      <w:marRight w:val="0"/>
      <w:marTop w:val="0"/>
      <w:marBottom w:val="0"/>
      <w:divBdr>
        <w:top w:val="none" w:sz="0" w:space="0" w:color="auto"/>
        <w:left w:val="none" w:sz="0" w:space="0" w:color="auto"/>
        <w:bottom w:val="none" w:sz="0" w:space="0" w:color="auto"/>
        <w:right w:val="none" w:sz="0" w:space="0" w:color="auto"/>
      </w:divBdr>
      <w:divsChild>
        <w:div w:id="1857114071">
          <w:marLeft w:val="0"/>
          <w:marRight w:val="0"/>
          <w:marTop w:val="0"/>
          <w:marBottom w:val="0"/>
          <w:divBdr>
            <w:top w:val="none" w:sz="0" w:space="0" w:color="auto"/>
            <w:left w:val="none" w:sz="0" w:space="0" w:color="auto"/>
            <w:bottom w:val="none" w:sz="0" w:space="0" w:color="auto"/>
            <w:right w:val="none" w:sz="0" w:space="0" w:color="auto"/>
          </w:divBdr>
          <w:divsChild>
            <w:div w:id="135028695">
              <w:marLeft w:val="0"/>
              <w:marRight w:val="0"/>
              <w:marTop w:val="0"/>
              <w:marBottom w:val="0"/>
              <w:divBdr>
                <w:top w:val="none" w:sz="0" w:space="0" w:color="auto"/>
                <w:left w:val="none" w:sz="0" w:space="0" w:color="auto"/>
                <w:bottom w:val="none" w:sz="0" w:space="0" w:color="auto"/>
                <w:right w:val="none" w:sz="0" w:space="0" w:color="auto"/>
              </w:divBdr>
              <w:divsChild>
                <w:div w:id="114820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9700259">
      <w:bodyDiv w:val="1"/>
      <w:marLeft w:val="0"/>
      <w:marRight w:val="0"/>
      <w:marTop w:val="0"/>
      <w:marBottom w:val="0"/>
      <w:divBdr>
        <w:top w:val="none" w:sz="0" w:space="0" w:color="auto"/>
        <w:left w:val="none" w:sz="0" w:space="0" w:color="auto"/>
        <w:bottom w:val="none" w:sz="0" w:space="0" w:color="auto"/>
        <w:right w:val="none" w:sz="0" w:space="0" w:color="auto"/>
      </w:divBdr>
    </w:div>
    <w:div w:id="250815337">
      <w:bodyDiv w:val="1"/>
      <w:marLeft w:val="0"/>
      <w:marRight w:val="0"/>
      <w:marTop w:val="0"/>
      <w:marBottom w:val="0"/>
      <w:divBdr>
        <w:top w:val="none" w:sz="0" w:space="0" w:color="auto"/>
        <w:left w:val="none" w:sz="0" w:space="0" w:color="auto"/>
        <w:bottom w:val="none" w:sz="0" w:space="0" w:color="auto"/>
        <w:right w:val="none" w:sz="0" w:space="0" w:color="auto"/>
      </w:divBdr>
    </w:div>
    <w:div w:id="254091971">
      <w:bodyDiv w:val="1"/>
      <w:marLeft w:val="0"/>
      <w:marRight w:val="0"/>
      <w:marTop w:val="0"/>
      <w:marBottom w:val="0"/>
      <w:divBdr>
        <w:top w:val="none" w:sz="0" w:space="0" w:color="auto"/>
        <w:left w:val="none" w:sz="0" w:space="0" w:color="auto"/>
        <w:bottom w:val="none" w:sz="0" w:space="0" w:color="auto"/>
        <w:right w:val="none" w:sz="0" w:space="0" w:color="auto"/>
      </w:divBdr>
      <w:divsChild>
        <w:div w:id="1795098218">
          <w:marLeft w:val="0"/>
          <w:marRight w:val="0"/>
          <w:marTop w:val="0"/>
          <w:marBottom w:val="0"/>
          <w:divBdr>
            <w:top w:val="none" w:sz="0" w:space="0" w:color="auto"/>
            <w:left w:val="none" w:sz="0" w:space="0" w:color="auto"/>
            <w:bottom w:val="none" w:sz="0" w:space="0" w:color="auto"/>
            <w:right w:val="none" w:sz="0" w:space="0" w:color="auto"/>
          </w:divBdr>
          <w:divsChild>
            <w:div w:id="1815291352">
              <w:marLeft w:val="0"/>
              <w:marRight w:val="0"/>
              <w:marTop w:val="0"/>
              <w:marBottom w:val="0"/>
              <w:divBdr>
                <w:top w:val="none" w:sz="0" w:space="0" w:color="auto"/>
                <w:left w:val="none" w:sz="0" w:space="0" w:color="auto"/>
                <w:bottom w:val="none" w:sz="0" w:space="0" w:color="auto"/>
                <w:right w:val="none" w:sz="0" w:space="0" w:color="auto"/>
              </w:divBdr>
              <w:divsChild>
                <w:div w:id="1260989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098816">
      <w:bodyDiv w:val="1"/>
      <w:marLeft w:val="0"/>
      <w:marRight w:val="0"/>
      <w:marTop w:val="0"/>
      <w:marBottom w:val="0"/>
      <w:divBdr>
        <w:top w:val="none" w:sz="0" w:space="0" w:color="auto"/>
        <w:left w:val="none" w:sz="0" w:space="0" w:color="auto"/>
        <w:bottom w:val="none" w:sz="0" w:space="0" w:color="auto"/>
        <w:right w:val="none" w:sz="0" w:space="0" w:color="auto"/>
      </w:divBdr>
      <w:divsChild>
        <w:div w:id="754127213">
          <w:marLeft w:val="0"/>
          <w:marRight w:val="0"/>
          <w:marTop w:val="0"/>
          <w:marBottom w:val="0"/>
          <w:divBdr>
            <w:top w:val="none" w:sz="0" w:space="0" w:color="auto"/>
            <w:left w:val="none" w:sz="0" w:space="0" w:color="auto"/>
            <w:bottom w:val="none" w:sz="0" w:space="0" w:color="auto"/>
            <w:right w:val="none" w:sz="0" w:space="0" w:color="auto"/>
          </w:divBdr>
          <w:divsChild>
            <w:div w:id="994141672">
              <w:marLeft w:val="0"/>
              <w:marRight w:val="0"/>
              <w:marTop w:val="0"/>
              <w:marBottom w:val="0"/>
              <w:divBdr>
                <w:top w:val="none" w:sz="0" w:space="0" w:color="auto"/>
                <w:left w:val="none" w:sz="0" w:space="0" w:color="auto"/>
                <w:bottom w:val="none" w:sz="0" w:space="0" w:color="auto"/>
                <w:right w:val="none" w:sz="0" w:space="0" w:color="auto"/>
              </w:divBdr>
              <w:divsChild>
                <w:div w:id="1118186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175403">
      <w:bodyDiv w:val="1"/>
      <w:marLeft w:val="0"/>
      <w:marRight w:val="0"/>
      <w:marTop w:val="0"/>
      <w:marBottom w:val="0"/>
      <w:divBdr>
        <w:top w:val="none" w:sz="0" w:space="0" w:color="auto"/>
        <w:left w:val="none" w:sz="0" w:space="0" w:color="auto"/>
        <w:bottom w:val="none" w:sz="0" w:space="0" w:color="auto"/>
        <w:right w:val="none" w:sz="0" w:space="0" w:color="auto"/>
      </w:divBdr>
    </w:div>
    <w:div w:id="254442804">
      <w:bodyDiv w:val="1"/>
      <w:marLeft w:val="0"/>
      <w:marRight w:val="0"/>
      <w:marTop w:val="0"/>
      <w:marBottom w:val="0"/>
      <w:divBdr>
        <w:top w:val="none" w:sz="0" w:space="0" w:color="auto"/>
        <w:left w:val="none" w:sz="0" w:space="0" w:color="auto"/>
        <w:bottom w:val="none" w:sz="0" w:space="0" w:color="auto"/>
        <w:right w:val="none" w:sz="0" w:space="0" w:color="auto"/>
      </w:divBdr>
    </w:div>
    <w:div w:id="257953285">
      <w:bodyDiv w:val="1"/>
      <w:marLeft w:val="0"/>
      <w:marRight w:val="0"/>
      <w:marTop w:val="0"/>
      <w:marBottom w:val="0"/>
      <w:divBdr>
        <w:top w:val="none" w:sz="0" w:space="0" w:color="auto"/>
        <w:left w:val="none" w:sz="0" w:space="0" w:color="auto"/>
        <w:bottom w:val="none" w:sz="0" w:space="0" w:color="auto"/>
        <w:right w:val="none" w:sz="0" w:space="0" w:color="auto"/>
      </w:divBdr>
    </w:div>
    <w:div w:id="258105553">
      <w:bodyDiv w:val="1"/>
      <w:marLeft w:val="0"/>
      <w:marRight w:val="0"/>
      <w:marTop w:val="0"/>
      <w:marBottom w:val="0"/>
      <w:divBdr>
        <w:top w:val="none" w:sz="0" w:space="0" w:color="auto"/>
        <w:left w:val="none" w:sz="0" w:space="0" w:color="auto"/>
        <w:bottom w:val="none" w:sz="0" w:space="0" w:color="auto"/>
        <w:right w:val="none" w:sz="0" w:space="0" w:color="auto"/>
      </w:divBdr>
    </w:div>
    <w:div w:id="261570987">
      <w:bodyDiv w:val="1"/>
      <w:marLeft w:val="0"/>
      <w:marRight w:val="0"/>
      <w:marTop w:val="0"/>
      <w:marBottom w:val="0"/>
      <w:divBdr>
        <w:top w:val="none" w:sz="0" w:space="0" w:color="auto"/>
        <w:left w:val="none" w:sz="0" w:space="0" w:color="auto"/>
        <w:bottom w:val="none" w:sz="0" w:space="0" w:color="auto"/>
        <w:right w:val="none" w:sz="0" w:space="0" w:color="auto"/>
      </w:divBdr>
    </w:div>
    <w:div w:id="271935112">
      <w:bodyDiv w:val="1"/>
      <w:marLeft w:val="0"/>
      <w:marRight w:val="0"/>
      <w:marTop w:val="0"/>
      <w:marBottom w:val="0"/>
      <w:divBdr>
        <w:top w:val="none" w:sz="0" w:space="0" w:color="auto"/>
        <w:left w:val="none" w:sz="0" w:space="0" w:color="auto"/>
        <w:bottom w:val="none" w:sz="0" w:space="0" w:color="auto"/>
        <w:right w:val="none" w:sz="0" w:space="0" w:color="auto"/>
      </w:divBdr>
    </w:div>
    <w:div w:id="271981110">
      <w:bodyDiv w:val="1"/>
      <w:marLeft w:val="0"/>
      <w:marRight w:val="0"/>
      <w:marTop w:val="0"/>
      <w:marBottom w:val="0"/>
      <w:divBdr>
        <w:top w:val="none" w:sz="0" w:space="0" w:color="auto"/>
        <w:left w:val="none" w:sz="0" w:space="0" w:color="auto"/>
        <w:bottom w:val="none" w:sz="0" w:space="0" w:color="auto"/>
        <w:right w:val="none" w:sz="0" w:space="0" w:color="auto"/>
      </w:divBdr>
      <w:divsChild>
        <w:div w:id="922295949">
          <w:marLeft w:val="0"/>
          <w:marRight w:val="0"/>
          <w:marTop w:val="0"/>
          <w:marBottom w:val="0"/>
          <w:divBdr>
            <w:top w:val="none" w:sz="0" w:space="0" w:color="auto"/>
            <w:left w:val="none" w:sz="0" w:space="0" w:color="auto"/>
            <w:bottom w:val="none" w:sz="0" w:space="0" w:color="auto"/>
            <w:right w:val="none" w:sz="0" w:space="0" w:color="auto"/>
          </w:divBdr>
          <w:divsChild>
            <w:div w:id="22755537">
              <w:marLeft w:val="0"/>
              <w:marRight w:val="0"/>
              <w:marTop w:val="0"/>
              <w:marBottom w:val="0"/>
              <w:divBdr>
                <w:top w:val="none" w:sz="0" w:space="0" w:color="auto"/>
                <w:left w:val="none" w:sz="0" w:space="0" w:color="auto"/>
                <w:bottom w:val="none" w:sz="0" w:space="0" w:color="auto"/>
                <w:right w:val="none" w:sz="0" w:space="0" w:color="auto"/>
              </w:divBdr>
              <w:divsChild>
                <w:div w:id="279148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939154">
      <w:bodyDiv w:val="1"/>
      <w:marLeft w:val="0"/>
      <w:marRight w:val="0"/>
      <w:marTop w:val="0"/>
      <w:marBottom w:val="0"/>
      <w:divBdr>
        <w:top w:val="none" w:sz="0" w:space="0" w:color="auto"/>
        <w:left w:val="none" w:sz="0" w:space="0" w:color="auto"/>
        <w:bottom w:val="none" w:sz="0" w:space="0" w:color="auto"/>
        <w:right w:val="none" w:sz="0" w:space="0" w:color="auto"/>
      </w:divBdr>
    </w:div>
    <w:div w:id="295726138">
      <w:bodyDiv w:val="1"/>
      <w:marLeft w:val="0"/>
      <w:marRight w:val="0"/>
      <w:marTop w:val="0"/>
      <w:marBottom w:val="0"/>
      <w:divBdr>
        <w:top w:val="none" w:sz="0" w:space="0" w:color="auto"/>
        <w:left w:val="none" w:sz="0" w:space="0" w:color="auto"/>
        <w:bottom w:val="none" w:sz="0" w:space="0" w:color="auto"/>
        <w:right w:val="none" w:sz="0" w:space="0" w:color="auto"/>
      </w:divBdr>
      <w:divsChild>
        <w:div w:id="562182829">
          <w:marLeft w:val="0"/>
          <w:marRight w:val="0"/>
          <w:marTop w:val="0"/>
          <w:marBottom w:val="0"/>
          <w:divBdr>
            <w:top w:val="none" w:sz="0" w:space="0" w:color="auto"/>
            <w:left w:val="none" w:sz="0" w:space="0" w:color="auto"/>
            <w:bottom w:val="none" w:sz="0" w:space="0" w:color="auto"/>
            <w:right w:val="none" w:sz="0" w:space="0" w:color="auto"/>
          </w:divBdr>
          <w:divsChild>
            <w:div w:id="489323076">
              <w:marLeft w:val="0"/>
              <w:marRight w:val="0"/>
              <w:marTop w:val="0"/>
              <w:marBottom w:val="0"/>
              <w:divBdr>
                <w:top w:val="none" w:sz="0" w:space="0" w:color="auto"/>
                <w:left w:val="none" w:sz="0" w:space="0" w:color="auto"/>
                <w:bottom w:val="none" w:sz="0" w:space="0" w:color="auto"/>
                <w:right w:val="none" w:sz="0" w:space="0" w:color="auto"/>
              </w:divBdr>
              <w:divsChild>
                <w:div w:id="1235092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0186008">
      <w:bodyDiv w:val="1"/>
      <w:marLeft w:val="0"/>
      <w:marRight w:val="0"/>
      <w:marTop w:val="0"/>
      <w:marBottom w:val="0"/>
      <w:divBdr>
        <w:top w:val="none" w:sz="0" w:space="0" w:color="auto"/>
        <w:left w:val="none" w:sz="0" w:space="0" w:color="auto"/>
        <w:bottom w:val="none" w:sz="0" w:space="0" w:color="auto"/>
        <w:right w:val="none" w:sz="0" w:space="0" w:color="auto"/>
      </w:divBdr>
      <w:divsChild>
        <w:div w:id="814760705">
          <w:marLeft w:val="0"/>
          <w:marRight w:val="0"/>
          <w:marTop w:val="0"/>
          <w:marBottom w:val="0"/>
          <w:divBdr>
            <w:top w:val="none" w:sz="0" w:space="0" w:color="auto"/>
            <w:left w:val="none" w:sz="0" w:space="0" w:color="auto"/>
            <w:bottom w:val="none" w:sz="0" w:space="0" w:color="auto"/>
            <w:right w:val="none" w:sz="0" w:space="0" w:color="auto"/>
          </w:divBdr>
          <w:divsChild>
            <w:div w:id="973481591">
              <w:marLeft w:val="0"/>
              <w:marRight w:val="0"/>
              <w:marTop w:val="0"/>
              <w:marBottom w:val="0"/>
              <w:divBdr>
                <w:top w:val="none" w:sz="0" w:space="0" w:color="auto"/>
                <w:left w:val="none" w:sz="0" w:space="0" w:color="auto"/>
                <w:bottom w:val="none" w:sz="0" w:space="0" w:color="auto"/>
                <w:right w:val="none" w:sz="0" w:space="0" w:color="auto"/>
              </w:divBdr>
              <w:divsChild>
                <w:div w:id="418722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672841">
      <w:bodyDiv w:val="1"/>
      <w:marLeft w:val="0"/>
      <w:marRight w:val="0"/>
      <w:marTop w:val="0"/>
      <w:marBottom w:val="0"/>
      <w:divBdr>
        <w:top w:val="none" w:sz="0" w:space="0" w:color="auto"/>
        <w:left w:val="none" w:sz="0" w:space="0" w:color="auto"/>
        <w:bottom w:val="none" w:sz="0" w:space="0" w:color="auto"/>
        <w:right w:val="none" w:sz="0" w:space="0" w:color="auto"/>
      </w:divBdr>
      <w:divsChild>
        <w:div w:id="2109570567">
          <w:marLeft w:val="0"/>
          <w:marRight w:val="0"/>
          <w:marTop w:val="0"/>
          <w:marBottom w:val="0"/>
          <w:divBdr>
            <w:top w:val="none" w:sz="0" w:space="0" w:color="auto"/>
            <w:left w:val="none" w:sz="0" w:space="0" w:color="auto"/>
            <w:bottom w:val="none" w:sz="0" w:space="0" w:color="auto"/>
            <w:right w:val="none" w:sz="0" w:space="0" w:color="auto"/>
          </w:divBdr>
          <w:divsChild>
            <w:div w:id="1331979878">
              <w:marLeft w:val="0"/>
              <w:marRight w:val="0"/>
              <w:marTop w:val="0"/>
              <w:marBottom w:val="0"/>
              <w:divBdr>
                <w:top w:val="none" w:sz="0" w:space="0" w:color="auto"/>
                <w:left w:val="none" w:sz="0" w:space="0" w:color="auto"/>
                <w:bottom w:val="none" w:sz="0" w:space="0" w:color="auto"/>
                <w:right w:val="none" w:sz="0" w:space="0" w:color="auto"/>
              </w:divBdr>
              <w:divsChild>
                <w:div w:id="333532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1348396">
      <w:bodyDiv w:val="1"/>
      <w:marLeft w:val="0"/>
      <w:marRight w:val="0"/>
      <w:marTop w:val="0"/>
      <w:marBottom w:val="0"/>
      <w:divBdr>
        <w:top w:val="none" w:sz="0" w:space="0" w:color="auto"/>
        <w:left w:val="none" w:sz="0" w:space="0" w:color="auto"/>
        <w:bottom w:val="none" w:sz="0" w:space="0" w:color="auto"/>
        <w:right w:val="none" w:sz="0" w:space="0" w:color="auto"/>
      </w:divBdr>
      <w:divsChild>
        <w:div w:id="40594693">
          <w:marLeft w:val="0"/>
          <w:marRight w:val="0"/>
          <w:marTop w:val="0"/>
          <w:marBottom w:val="0"/>
          <w:divBdr>
            <w:top w:val="none" w:sz="0" w:space="0" w:color="auto"/>
            <w:left w:val="none" w:sz="0" w:space="0" w:color="auto"/>
            <w:bottom w:val="none" w:sz="0" w:space="0" w:color="auto"/>
            <w:right w:val="none" w:sz="0" w:space="0" w:color="auto"/>
          </w:divBdr>
          <w:divsChild>
            <w:div w:id="384335491">
              <w:marLeft w:val="0"/>
              <w:marRight w:val="0"/>
              <w:marTop w:val="0"/>
              <w:marBottom w:val="0"/>
              <w:divBdr>
                <w:top w:val="none" w:sz="0" w:space="0" w:color="auto"/>
                <w:left w:val="none" w:sz="0" w:space="0" w:color="auto"/>
                <w:bottom w:val="none" w:sz="0" w:space="0" w:color="auto"/>
                <w:right w:val="none" w:sz="0" w:space="0" w:color="auto"/>
              </w:divBdr>
              <w:divsChild>
                <w:div w:id="163593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1102527">
      <w:bodyDiv w:val="1"/>
      <w:marLeft w:val="0"/>
      <w:marRight w:val="0"/>
      <w:marTop w:val="0"/>
      <w:marBottom w:val="0"/>
      <w:divBdr>
        <w:top w:val="none" w:sz="0" w:space="0" w:color="auto"/>
        <w:left w:val="none" w:sz="0" w:space="0" w:color="auto"/>
        <w:bottom w:val="none" w:sz="0" w:space="0" w:color="auto"/>
        <w:right w:val="none" w:sz="0" w:space="0" w:color="auto"/>
      </w:divBdr>
    </w:div>
    <w:div w:id="333188914">
      <w:bodyDiv w:val="1"/>
      <w:marLeft w:val="0"/>
      <w:marRight w:val="0"/>
      <w:marTop w:val="0"/>
      <w:marBottom w:val="0"/>
      <w:divBdr>
        <w:top w:val="none" w:sz="0" w:space="0" w:color="auto"/>
        <w:left w:val="none" w:sz="0" w:space="0" w:color="auto"/>
        <w:bottom w:val="none" w:sz="0" w:space="0" w:color="auto"/>
        <w:right w:val="none" w:sz="0" w:space="0" w:color="auto"/>
      </w:divBdr>
      <w:divsChild>
        <w:div w:id="1573733321">
          <w:marLeft w:val="0"/>
          <w:marRight w:val="0"/>
          <w:marTop w:val="0"/>
          <w:marBottom w:val="0"/>
          <w:divBdr>
            <w:top w:val="none" w:sz="0" w:space="0" w:color="auto"/>
            <w:left w:val="none" w:sz="0" w:space="0" w:color="auto"/>
            <w:bottom w:val="none" w:sz="0" w:space="0" w:color="auto"/>
            <w:right w:val="none" w:sz="0" w:space="0" w:color="auto"/>
          </w:divBdr>
          <w:divsChild>
            <w:div w:id="1780023675">
              <w:marLeft w:val="0"/>
              <w:marRight w:val="0"/>
              <w:marTop w:val="0"/>
              <w:marBottom w:val="0"/>
              <w:divBdr>
                <w:top w:val="none" w:sz="0" w:space="0" w:color="auto"/>
                <w:left w:val="none" w:sz="0" w:space="0" w:color="auto"/>
                <w:bottom w:val="none" w:sz="0" w:space="0" w:color="auto"/>
                <w:right w:val="none" w:sz="0" w:space="0" w:color="auto"/>
              </w:divBdr>
              <w:divsChild>
                <w:div w:id="727192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653752">
      <w:bodyDiv w:val="1"/>
      <w:marLeft w:val="0"/>
      <w:marRight w:val="0"/>
      <w:marTop w:val="0"/>
      <w:marBottom w:val="0"/>
      <w:divBdr>
        <w:top w:val="none" w:sz="0" w:space="0" w:color="auto"/>
        <w:left w:val="none" w:sz="0" w:space="0" w:color="auto"/>
        <w:bottom w:val="none" w:sz="0" w:space="0" w:color="auto"/>
        <w:right w:val="none" w:sz="0" w:space="0" w:color="auto"/>
      </w:divBdr>
    </w:div>
    <w:div w:id="337276870">
      <w:bodyDiv w:val="1"/>
      <w:marLeft w:val="0"/>
      <w:marRight w:val="0"/>
      <w:marTop w:val="0"/>
      <w:marBottom w:val="0"/>
      <w:divBdr>
        <w:top w:val="none" w:sz="0" w:space="0" w:color="auto"/>
        <w:left w:val="none" w:sz="0" w:space="0" w:color="auto"/>
        <w:bottom w:val="none" w:sz="0" w:space="0" w:color="auto"/>
        <w:right w:val="none" w:sz="0" w:space="0" w:color="auto"/>
      </w:divBdr>
      <w:divsChild>
        <w:div w:id="1689985147">
          <w:marLeft w:val="0"/>
          <w:marRight w:val="0"/>
          <w:marTop w:val="0"/>
          <w:marBottom w:val="0"/>
          <w:divBdr>
            <w:top w:val="none" w:sz="0" w:space="0" w:color="auto"/>
            <w:left w:val="none" w:sz="0" w:space="0" w:color="auto"/>
            <w:bottom w:val="none" w:sz="0" w:space="0" w:color="auto"/>
            <w:right w:val="none" w:sz="0" w:space="0" w:color="auto"/>
          </w:divBdr>
          <w:divsChild>
            <w:div w:id="1589734023">
              <w:marLeft w:val="0"/>
              <w:marRight w:val="0"/>
              <w:marTop w:val="0"/>
              <w:marBottom w:val="0"/>
              <w:divBdr>
                <w:top w:val="none" w:sz="0" w:space="0" w:color="auto"/>
                <w:left w:val="none" w:sz="0" w:space="0" w:color="auto"/>
                <w:bottom w:val="none" w:sz="0" w:space="0" w:color="auto"/>
                <w:right w:val="none" w:sz="0" w:space="0" w:color="auto"/>
              </w:divBdr>
              <w:divsChild>
                <w:div w:id="1307124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579035">
      <w:bodyDiv w:val="1"/>
      <w:marLeft w:val="0"/>
      <w:marRight w:val="0"/>
      <w:marTop w:val="0"/>
      <w:marBottom w:val="0"/>
      <w:divBdr>
        <w:top w:val="none" w:sz="0" w:space="0" w:color="auto"/>
        <w:left w:val="none" w:sz="0" w:space="0" w:color="auto"/>
        <w:bottom w:val="none" w:sz="0" w:space="0" w:color="auto"/>
        <w:right w:val="none" w:sz="0" w:space="0" w:color="auto"/>
      </w:divBdr>
      <w:divsChild>
        <w:div w:id="590746185">
          <w:marLeft w:val="0"/>
          <w:marRight w:val="0"/>
          <w:marTop w:val="0"/>
          <w:marBottom w:val="0"/>
          <w:divBdr>
            <w:top w:val="none" w:sz="0" w:space="0" w:color="auto"/>
            <w:left w:val="none" w:sz="0" w:space="0" w:color="auto"/>
            <w:bottom w:val="none" w:sz="0" w:space="0" w:color="auto"/>
            <w:right w:val="none" w:sz="0" w:space="0" w:color="auto"/>
          </w:divBdr>
          <w:divsChild>
            <w:div w:id="1097628775">
              <w:marLeft w:val="0"/>
              <w:marRight w:val="0"/>
              <w:marTop w:val="0"/>
              <w:marBottom w:val="0"/>
              <w:divBdr>
                <w:top w:val="none" w:sz="0" w:space="0" w:color="auto"/>
                <w:left w:val="none" w:sz="0" w:space="0" w:color="auto"/>
                <w:bottom w:val="none" w:sz="0" w:space="0" w:color="auto"/>
                <w:right w:val="none" w:sz="0" w:space="0" w:color="auto"/>
              </w:divBdr>
              <w:divsChild>
                <w:div w:id="148072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4117042">
      <w:bodyDiv w:val="1"/>
      <w:marLeft w:val="0"/>
      <w:marRight w:val="0"/>
      <w:marTop w:val="0"/>
      <w:marBottom w:val="0"/>
      <w:divBdr>
        <w:top w:val="none" w:sz="0" w:space="0" w:color="auto"/>
        <w:left w:val="none" w:sz="0" w:space="0" w:color="auto"/>
        <w:bottom w:val="none" w:sz="0" w:space="0" w:color="auto"/>
        <w:right w:val="none" w:sz="0" w:space="0" w:color="auto"/>
      </w:divBdr>
    </w:div>
    <w:div w:id="356929108">
      <w:bodyDiv w:val="1"/>
      <w:marLeft w:val="0"/>
      <w:marRight w:val="0"/>
      <w:marTop w:val="0"/>
      <w:marBottom w:val="0"/>
      <w:divBdr>
        <w:top w:val="none" w:sz="0" w:space="0" w:color="auto"/>
        <w:left w:val="none" w:sz="0" w:space="0" w:color="auto"/>
        <w:bottom w:val="none" w:sz="0" w:space="0" w:color="auto"/>
        <w:right w:val="none" w:sz="0" w:space="0" w:color="auto"/>
      </w:divBdr>
      <w:divsChild>
        <w:div w:id="1043216829">
          <w:marLeft w:val="0"/>
          <w:marRight w:val="0"/>
          <w:marTop w:val="0"/>
          <w:marBottom w:val="0"/>
          <w:divBdr>
            <w:top w:val="none" w:sz="0" w:space="0" w:color="auto"/>
            <w:left w:val="none" w:sz="0" w:space="0" w:color="auto"/>
            <w:bottom w:val="none" w:sz="0" w:space="0" w:color="auto"/>
            <w:right w:val="none" w:sz="0" w:space="0" w:color="auto"/>
          </w:divBdr>
          <w:divsChild>
            <w:div w:id="1952514440">
              <w:marLeft w:val="0"/>
              <w:marRight w:val="0"/>
              <w:marTop w:val="0"/>
              <w:marBottom w:val="0"/>
              <w:divBdr>
                <w:top w:val="none" w:sz="0" w:space="0" w:color="auto"/>
                <w:left w:val="none" w:sz="0" w:space="0" w:color="auto"/>
                <w:bottom w:val="none" w:sz="0" w:space="0" w:color="auto"/>
                <w:right w:val="none" w:sz="0" w:space="0" w:color="auto"/>
              </w:divBdr>
              <w:divsChild>
                <w:div w:id="1322735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780856">
      <w:bodyDiv w:val="1"/>
      <w:marLeft w:val="0"/>
      <w:marRight w:val="0"/>
      <w:marTop w:val="0"/>
      <w:marBottom w:val="0"/>
      <w:divBdr>
        <w:top w:val="none" w:sz="0" w:space="0" w:color="auto"/>
        <w:left w:val="none" w:sz="0" w:space="0" w:color="auto"/>
        <w:bottom w:val="none" w:sz="0" w:space="0" w:color="auto"/>
        <w:right w:val="none" w:sz="0" w:space="0" w:color="auto"/>
      </w:divBdr>
      <w:divsChild>
        <w:div w:id="484668805">
          <w:marLeft w:val="0"/>
          <w:marRight w:val="0"/>
          <w:marTop w:val="0"/>
          <w:marBottom w:val="0"/>
          <w:divBdr>
            <w:top w:val="none" w:sz="0" w:space="0" w:color="auto"/>
            <w:left w:val="none" w:sz="0" w:space="0" w:color="auto"/>
            <w:bottom w:val="none" w:sz="0" w:space="0" w:color="auto"/>
            <w:right w:val="none" w:sz="0" w:space="0" w:color="auto"/>
          </w:divBdr>
          <w:divsChild>
            <w:div w:id="914247323">
              <w:marLeft w:val="0"/>
              <w:marRight w:val="0"/>
              <w:marTop w:val="0"/>
              <w:marBottom w:val="0"/>
              <w:divBdr>
                <w:top w:val="none" w:sz="0" w:space="0" w:color="auto"/>
                <w:left w:val="none" w:sz="0" w:space="0" w:color="auto"/>
                <w:bottom w:val="none" w:sz="0" w:space="0" w:color="auto"/>
                <w:right w:val="none" w:sz="0" w:space="0" w:color="auto"/>
              </w:divBdr>
              <w:divsChild>
                <w:div w:id="2122454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356914">
      <w:bodyDiv w:val="1"/>
      <w:marLeft w:val="0"/>
      <w:marRight w:val="0"/>
      <w:marTop w:val="0"/>
      <w:marBottom w:val="0"/>
      <w:divBdr>
        <w:top w:val="none" w:sz="0" w:space="0" w:color="auto"/>
        <w:left w:val="none" w:sz="0" w:space="0" w:color="auto"/>
        <w:bottom w:val="none" w:sz="0" w:space="0" w:color="auto"/>
        <w:right w:val="none" w:sz="0" w:space="0" w:color="auto"/>
      </w:divBdr>
      <w:divsChild>
        <w:div w:id="592513836">
          <w:marLeft w:val="0"/>
          <w:marRight w:val="0"/>
          <w:marTop w:val="0"/>
          <w:marBottom w:val="0"/>
          <w:divBdr>
            <w:top w:val="none" w:sz="0" w:space="0" w:color="auto"/>
            <w:left w:val="none" w:sz="0" w:space="0" w:color="auto"/>
            <w:bottom w:val="none" w:sz="0" w:space="0" w:color="auto"/>
            <w:right w:val="none" w:sz="0" w:space="0" w:color="auto"/>
          </w:divBdr>
          <w:divsChild>
            <w:div w:id="621837929">
              <w:marLeft w:val="0"/>
              <w:marRight w:val="0"/>
              <w:marTop w:val="0"/>
              <w:marBottom w:val="0"/>
              <w:divBdr>
                <w:top w:val="none" w:sz="0" w:space="0" w:color="auto"/>
                <w:left w:val="none" w:sz="0" w:space="0" w:color="auto"/>
                <w:bottom w:val="none" w:sz="0" w:space="0" w:color="auto"/>
                <w:right w:val="none" w:sz="0" w:space="0" w:color="auto"/>
              </w:divBdr>
              <w:divsChild>
                <w:div w:id="201097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936436">
      <w:bodyDiv w:val="1"/>
      <w:marLeft w:val="0"/>
      <w:marRight w:val="0"/>
      <w:marTop w:val="0"/>
      <w:marBottom w:val="0"/>
      <w:divBdr>
        <w:top w:val="none" w:sz="0" w:space="0" w:color="auto"/>
        <w:left w:val="none" w:sz="0" w:space="0" w:color="auto"/>
        <w:bottom w:val="none" w:sz="0" w:space="0" w:color="auto"/>
        <w:right w:val="none" w:sz="0" w:space="0" w:color="auto"/>
      </w:divBdr>
      <w:divsChild>
        <w:div w:id="285939043">
          <w:marLeft w:val="0"/>
          <w:marRight w:val="0"/>
          <w:marTop w:val="0"/>
          <w:marBottom w:val="0"/>
          <w:divBdr>
            <w:top w:val="none" w:sz="0" w:space="0" w:color="auto"/>
            <w:left w:val="none" w:sz="0" w:space="0" w:color="auto"/>
            <w:bottom w:val="none" w:sz="0" w:space="0" w:color="auto"/>
            <w:right w:val="none" w:sz="0" w:space="0" w:color="auto"/>
          </w:divBdr>
          <w:divsChild>
            <w:div w:id="933902374">
              <w:marLeft w:val="0"/>
              <w:marRight w:val="0"/>
              <w:marTop w:val="0"/>
              <w:marBottom w:val="0"/>
              <w:divBdr>
                <w:top w:val="none" w:sz="0" w:space="0" w:color="auto"/>
                <w:left w:val="none" w:sz="0" w:space="0" w:color="auto"/>
                <w:bottom w:val="none" w:sz="0" w:space="0" w:color="auto"/>
                <w:right w:val="none" w:sz="0" w:space="0" w:color="auto"/>
              </w:divBdr>
              <w:divsChild>
                <w:div w:id="1493636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492122">
      <w:bodyDiv w:val="1"/>
      <w:marLeft w:val="0"/>
      <w:marRight w:val="0"/>
      <w:marTop w:val="0"/>
      <w:marBottom w:val="0"/>
      <w:divBdr>
        <w:top w:val="none" w:sz="0" w:space="0" w:color="auto"/>
        <w:left w:val="none" w:sz="0" w:space="0" w:color="auto"/>
        <w:bottom w:val="none" w:sz="0" w:space="0" w:color="auto"/>
        <w:right w:val="none" w:sz="0" w:space="0" w:color="auto"/>
      </w:divBdr>
    </w:div>
    <w:div w:id="377703454">
      <w:bodyDiv w:val="1"/>
      <w:marLeft w:val="0"/>
      <w:marRight w:val="0"/>
      <w:marTop w:val="0"/>
      <w:marBottom w:val="0"/>
      <w:divBdr>
        <w:top w:val="none" w:sz="0" w:space="0" w:color="auto"/>
        <w:left w:val="none" w:sz="0" w:space="0" w:color="auto"/>
        <w:bottom w:val="none" w:sz="0" w:space="0" w:color="auto"/>
        <w:right w:val="none" w:sz="0" w:space="0" w:color="auto"/>
      </w:divBdr>
    </w:div>
    <w:div w:id="377975535">
      <w:bodyDiv w:val="1"/>
      <w:marLeft w:val="0"/>
      <w:marRight w:val="0"/>
      <w:marTop w:val="0"/>
      <w:marBottom w:val="0"/>
      <w:divBdr>
        <w:top w:val="none" w:sz="0" w:space="0" w:color="auto"/>
        <w:left w:val="none" w:sz="0" w:space="0" w:color="auto"/>
        <w:bottom w:val="none" w:sz="0" w:space="0" w:color="auto"/>
        <w:right w:val="none" w:sz="0" w:space="0" w:color="auto"/>
      </w:divBdr>
    </w:div>
    <w:div w:id="378943835">
      <w:bodyDiv w:val="1"/>
      <w:marLeft w:val="0"/>
      <w:marRight w:val="0"/>
      <w:marTop w:val="0"/>
      <w:marBottom w:val="0"/>
      <w:divBdr>
        <w:top w:val="none" w:sz="0" w:space="0" w:color="auto"/>
        <w:left w:val="none" w:sz="0" w:space="0" w:color="auto"/>
        <w:bottom w:val="none" w:sz="0" w:space="0" w:color="auto"/>
        <w:right w:val="none" w:sz="0" w:space="0" w:color="auto"/>
      </w:divBdr>
      <w:divsChild>
        <w:div w:id="2026055376">
          <w:marLeft w:val="0"/>
          <w:marRight w:val="0"/>
          <w:marTop w:val="0"/>
          <w:marBottom w:val="0"/>
          <w:divBdr>
            <w:top w:val="none" w:sz="0" w:space="0" w:color="auto"/>
            <w:left w:val="none" w:sz="0" w:space="0" w:color="auto"/>
            <w:bottom w:val="none" w:sz="0" w:space="0" w:color="auto"/>
            <w:right w:val="none" w:sz="0" w:space="0" w:color="auto"/>
          </w:divBdr>
          <w:divsChild>
            <w:div w:id="1217814641">
              <w:marLeft w:val="0"/>
              <w:marRight w:val="0"/>
              <w:marTop w:val="0"/>
              <w:marBottom w:val="0"/>
              <w:divBdr>
                <w:top w:val="none" w:sz="0" w:space="0" w:color="auto"/>
                <w:left w:val="none" w:sz="0" w:space="0" w:color="auto"/>
                <w:bottom w:val="none" w:sz="0" w:space="0" w:color="auto"/>
                <w:right w:val="none" w:sz="0" w:space="0" w:color="auto"/>
              </w:divBdr>
              <w:divsChild>
                <w:div w:id="42657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993379">
      <w:bodyDiv w:val="1"/>
      <w:marLeft w:val="0"/>
      <w:marRight w:val="0"/>
      <w:marTop w:val="0"/>
      <w:marBottom w:val="0"/>
      <w:divBdr>
        <w:top w:val="none" w:sz="0" w:space="0" w:color="auto"/>
        <w:left w:val="none" w:sz="0" w:space="0" w:color="auto"/>
        <w:bottom w:val="none" w:sz="0" w:space="0" w:color="auto"/>
        <w:right w:val="none" w:sz="0" w:space="0" w:color="auto"/>
      </w:divBdr>
      <w:divsChild>
        <w:div w:id="549849760">
          <w:marLeft w:val="0"/>
          <w:marRight w:val="0"/>
          <w:marTop w:val="0"/>
          <w:marBottom w:val="0"/>
          <w:divBdr>
            <w:top w:val="none" w:sz="0" w:space="0" w:color="auto"/>
            <w:left w:val="none" w:sz="0" w:space="0" w:color="auto"/>
            <w:bottom w:val="none" w:sz="0" w:space="0" w:color="auto"/>
            <w:right w:val="none" w:sz="0" w:space="0" w:color="auto"/>
          </w:divBdr>
          <w:divsChild>
            <w:div w:id="1978340901">
              <w:marLeft w:val="0"/>
              <w:marRight w:val="0"/>
              <w:marTop w:val="0"/>
              <w:marBottom w:val="0"/>
              <w:divBdr>
                <w:top w:val="none" w:sz="0" w:space="0" w:color="auto"/>
                <w:left w:val="none" w:sz="0" w:space="0" w:color="auto"/>
                <w:bottom w:val="none" w:sz="0" w:space="0" w:color="auto"/>
                <w:right w:val="none" w:sz="0" w:space="0" w:color="auto"/>
              </w:divBdr>
              <w:divsChild>
                <w:div w:id="36918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3061603">
      <w:bodyDiv w:val="1"/>
      <w:marLeft w:val="0"/>
      <w:marRight w:val="0"/>
      <w:marTop w:val="0"/>
      <w:marBottom w:val="0"/>
      <w:divBdr>
        <w:top w:val="none" w:sz="0" w:space="0" w:color="auto"/>
        <w:left w:val="none" w:sz="0" w:space="0" w:color="auto"/>
        <w:bottom w:val="none" w:sz="0" w:space="0" w:color="auto"/>
        <w:right w:val="none" w:sz="0" w:space="0" w:color="auto"/>
      </w:divBdr>
    </w:div>
    <w:div w:id="418411158">
      <w:bodyDiv w:val="1"/>
      <w:marLeft w:val="0"/>
      <w:marRight w:val="0"/>
      <w:marTop w:val="0"/>
      <w:marBottom w:val="0"/>
      <w:divBdr>
        <w:top w:val="none" w:sz="0" w:space="0" w:color="auto"/>
        <w:left w:val="none" w:sz="0" w:space="0" w:color="auto"/>
        <w:bottom w:val="none" w:sz="0" w:space="0" w:color="auto"/>
        <w:right w:val="none" w:sz="0" w:space="0" w:color="auto"/>
      </w:divBdr>
    </w:div>
    <w:div w:id="420830947">
      <w:bodyDiv w:val="1"/>
      <w:marLeft w:val="0"/>
      <w:marRight w:val="0"/>
      <w:marTop w:val="0"/>
      <w:marBottom w:val="0"/>
      <w:divBdr>
        <w:top w:val="none" w:sz="0" w:space="0" w:color="auto"/>
        <w:left w:val="none" w:sz="0" w:space="0" w:color="auto"/>
        <w:bottom w:val="none" w:sz="0" w:space="0" w:color="auto"/>
        <w:right w:val="none" w:sz="0" w:space="0" w:color="auto"/>
      </w:divBdr>
      <w:divsChild>
        <w:div w:id="1245457628">
          <w:marLeft w:val="0"/>
          <w:marRight w:val="0"/>
          <w:marTop w:val="0"/>
          <w:marBottom w:val="0"/>
          <w:divBdr>
            <w:top w:val="none" w:sz="0" w:space="0" w:color="auto"/>
            <w:left w:val="none" w:sz="0" w:space="0" w:color="auto"/>
            <w:bottom w:val="none" w:sz="0" w:space="0" w:color="auto"/>
            <w:right w:val="none" w:sz="0" w:space="0" w:color="auto"/>
          </w:divBdr>
          <w:divsChild>
            <w:div w:id="1486051062">
              <w:marLeft w:val="0"/>
              <w:marRight w:val="0"/>
              <w:marTop w:val="0"/>
              <w:marBottom w:val="0"/>
              <w:divBdr>
                <w:top w:val="none" w:sz="0" w:space="0" w:color="auto"/>
                <w:left w:val="none" w:sz="0" w:space="0" w:color="auto"/>
                <w:bottom w:val="none" w:sz="0" w:space="0" w:color="auto"/>
                <w:right w:val="none" w:sz="0" w:space="0" w:color="auto"/>
              </w:divBdr>
              <w:divsChild>
                <w:div w:id="923806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410082">
      <w:bodyDiv w:val="1"/>
      <w:marLeft w:val="0"/>
      <w:marRight w:val="0"/>
      <w:marTop w:val="0"/>
      <w:marBottom w:val="0"/>
      <w:divBdr>
        <w:top w:val="none" w:sz="0" w:space="0" w:color="auto"/>
        <w:left w:val="none" w:sz="0" w:space="0" w:color="auto"/>
        <w:bottom w:val="none" w:sz="0" w:space="0" w:color="auto"/>
        <w:right w:val="none" w:sz="0" w:space="0" w:color="auto"/>
      </w:divBdr>
    </w:div>
    <w:div w:id="428815893">
      <w:bodyDiv w:val="1"/>
      <w:marLeft w:val="0"/>
      <w:marRight w:val="0"/>
      <w:marTop w:val="0"/>
      <w:marBottom w:val="0"/>
      <w:divBdr>
        <w:top w:val="none" w:sz="0" w:space="0" w:color="auto"/>
        <w:left w:val="none" w:sz="0" w:space="0" w:color="auto"/>
        <w:bottom w:val="none" w:sz="0" w:space="0" w:color="auto"/>
        <w:right w:val="none" w:sz="0" w:space="0" w:color="auto"/>
      </w:divBdr>
    </w:div>
    <w:div w:id="430127967">
      <w:bodyDiv w:val="1"/>
      <w:marLeft w:val="0"/>
      <w:marRight w:val="0"/>
      <w:marTop w:val="0"/>
      <w:marBottom w:val="0"/>
      <w:divBdr>
        <w:top w:val="none" w:sz="0" w:space="0" w:color="auto"/>
        <w:left w:val="none" w:sz="0" w:space="0" w:color="auto"/>
        <w:bottom w:val="none" w:sz="0" w:space="0" w:color="auto"/>
        <w:right w:val="none" w:sz="0" w:space="0" w:color="auto"/>
      </w:divBdr>
      <w:divsChild>
        <w:div w:id="1596860449">
          <w:marLeft w:val="0"/>
          <w:marRight w:val="0"/>
          <w:marTop w:val="0"/>
          <w:marBottom w:val="0"/>
          <w:divBdr>
            <w:top w:val="none" w:sz="0" w:space="0" w:color="auto"/>
            <w:left w:val="none" w:sz="0" w:space="0" w:color="auto"/>
            <w:bottom w:val="none" w:sz="0" w:space="0" w:color="auto"/>
            <w:right w:val="none" w:sz="0" w:space="0" w:color="auto"/>
          </w:divBdr>
          <w:divsChild>
            <w:div w:id="638535093">
              <w:marLeft w:val="0"/>
              <w:marRight w:val="0"/>
              <w:marTop w:val="0"/>
              <w:marBottom w:val="0"/>
              <w:divBdr>
                <w:top w:val="none" w:sz="0" w:space="0" w:color="auto"/>
                <w:left w:val="none" w:sz="0" w:space="0" w:color="auto"/>
                <w:bottom w:val="none" w:sz="0" w:space="0" w:color="auto"/>
                <w:right w:val="none" w:sz="0" w:space="0" w:color="auto"/>
              </w:divBdr>
              <w:divsChild>
                <w:div w:id="202863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138644">
      <w:bodyDiv w:val="1"/>
      <w:marLeft w:val="0"/>
      <w:marRight w:val="0"/>
      <w:marTop w:val="0"/>
      <w:marBottom w:val="0"/>
      <w:divBdr>
        <w:top w:val="none" w:sz="0" w:space="0" w:color="auto"/>
        <w:left w:val="none" w:sz="0" w:space="0" w:color="auto"/>
        <w:bottom w:val="none" w:sz="0" w:space="0" w:color="auto"/>
        <w:right w:val="none" w:sz="0" w:space="0" w:color="auto"/>
      </w:divBdr>
    </w:div>
    <w:div w:id="452331751">
      <w:bodyDiv w:val="1"/>
      <w:marLeft w:val="0"/>
      <w:marRight w:val="0"/>
      <w:marTop w:val="0"/>
      <w:marBottom w:val="0"/>
      <w:divBdr>
        <w:top w:val="none" w:sz="0" w:space="0" w:color="auto"/>
        <w:left w:val="none" w:sz="0" w:space="0" w:color="auto"/>
        <w:bottom w:val="none" w:sz="0" w:space="0" w:color="auto"/>
        <w:right w:val="none" w:sz="0" w:space="0" w:color="auto"/>
      </w:divBdr>
    </w:div>
    <w:div w:id="454831323">
      <w:bodyDiv w:val="1"/>
      <w:marLeft w:val="0"/>
      <w:marRight w:val="0"/>
      <w:marTop w:val="0"/>
      <w:marBottom w:val="0"/>
      <w:divBdr>
        <w:top w:val="none" w:sz="0" w:space="0" w:color="auto"/>
        <w:left w:val="none" w:sz="0" w:space="0" w:color="auto"/>
        <w:bottom w:val="none" w:sz="0" w:space="0" w:color="auto"/>
        <w:right w:val="none" w:sz="0" w:space="0" w:color="auto"/>
      </w:divBdr>
      <w:divsChild>
        <w:div w:id="1012798076">
          <w:marLeft w:val="0"/>
          <w:marRight w:val="0"/>
          <w:marTop w:val="0"/>
          <w:marBottom w:val="0"/>
          <w:divBdr>
            <w:top w:val="none" w:sz="0" w:space="0" w:color="auto"/>
            <w:left w:val="none" w:sz="0" w:space="0" w:color="auto"/>
            <w:bottom w:val="none" w:sz="0" w:space="0" w:color="auto"/>
            <w:right w:val="none" w:sz="0" w:space="0" w:color="auto"/>
          </w:divBdr>
          <w:divsChild>
            <w:div w:id="1434127736">
              <w:marLeft w:val="0"/>
              <w:marRight w:val="0"/>
              <w:marTop w:val="0"/>
              <w:marBottom w:val="0"/>
              <w:divBdr>
                <w:top w:val="none" w:sz="0" w:space="0" w:color="auto"/>
                <w:left w:val="none" w:sz="0" w:space="0" w:color="auto"/>
                <w:bottom w:val="none" w:sz="0" w:space="0" w:color="auto"/>
                <w:right w:val="none" w:sz="0" w:space="0" w:color="auto"/>
              </w:divBdr>
              <w:divsChild>
                <w:div w:id="206964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8497801">
      <w:bodyDiv w:val="1"/>
      <w:marLeft w:val="0"/>
      <w:marRight w:val="0"/>
      <w:marTop w:val="0"/>
      <w:marBottom w:val="0"/>
      <w:divBdr>
        <w:top w:val="none" w:sz="0" w:space="0" w:color="auto"/>
        <w:left w:val="none" w:sz="0" w:space="0" w:color="auto"/>
        <w:bottom w:val="none" w:sz="0" w:space="0" w:color="auto"/>
        <w:right w:val="none" w:sz="0" w:space="0" w:color="auto"/>
      </w:divBdr>
      <w:divsChild>
        <w:div w:id="431585933">
          <w:marLeft w:val="0"/>
          <w:marRight w:val="0"/>
          <w:marTop w:val="0"/>
          <w:marBottom w:val="0"/>
          <w:divBdr>
            <w:top w:val="none" w:sz="0" w:space="0" w:color="auto"/>
            <w:left w:val="none" w:sz="0" w:space="0" w:color="auto"/>
            <w:bottom w:val="none" w:sz="0" w:space="0" w:color="auto"/>
            <w:right w:val="none" w:sz="0" w:space="0" w:color="auto"/>
          </w:divBdr>
          <w:divsChild>
            <w:div w:id="46956210">
              <w:marLeft w:val="0"/>
              <w:marRight w:val="0"/>
              <w:marTop w:val="0"/>
              <w:marBottom w:val="0"/>
              <w:divBdr>
                <w:top w:val="none" w:sz="0" w:space="0" w:color="auto"/>
                <w:left w:val="none" w:sz="0" w:space="0" w:color="auto"/>
                <w:bottom w:val="none" w:sz="0" w:space="0" w:color="auto"/>
                <w:right w:val="none" w:sz="0" w:space="0" w:color="auto"/>
              </w:divBdr>
              <w:divsChild>
                <w:div w:id="399669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970680">
      <w:bodyDiv w:val="1"/>
      <w:marLeft w:val="0"/>
      <w:marRight w:val="0"/>
      <w:marTop w:val="0"/>
      <w:marBottom w:val="0"/>
      <w:divBdr>
        <w:top w:val="none" w:sz="0" w:space="0" w:color="auto"/>
        <w:left w:val="none" w:sz="0" w:space="0" w:color="auto"/>
        <w:bottom w:val="none" w:sz="0" w:space="0" w:color="auto"/>
        <w:right w:val="none" w:sz="0" w:space="0" w:color="auto"/>
      </w:divBdr>
      <w:divsChild>
        <w:div w:id="1099253332">
          <w:marLeft w:val="0"/>
          <w:marRight w:val="0"/>
          <w:marTop w:val="0"/>
          <w:marBottom w:val="0"/>
          <w:divBdr>
            <w:top w:val="none" w:sz="0" w:space="0" w:color="auto"/>
            <w:left w:val="none" w:sz="0" w:space="0" w:color="auto"/>
            <w:bottom w:val="none" w:sz="0" w:space="0" w:color="auto"/>
            <w:right w:val="none" w:sz="0" w:space="0" w:color="auto"/>
          </w:divBdr>
          <w:divsChild>
            <w:div w:id="1225600055">
              <w:marLeft w:val="0"/>
              <w:marRight w:val="0"/>
              <w:marTop w:val="0"/>
              <w:marBottom w:val="0"/>
              <w:divBdr>
                <w:top w:val="none" w:sz="0" w:space="0" w:color="auto"/>
                <w:left w:val="none" w:sz="0" w:space="0" w:color="auto"/>
                <w:bottom w:val="none" w:sz="0" w:space="0" w:color="auto"/>
                <w:right w:val="none" w:sz="0" w:space="0" w:color="auto"/>
              </w:divBdr>
              <w:divsChild>
                <w:div w:id="349649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642409">
      <w:bodyDiv w:val="1"/>
      <w:marLeft w:val="0"/>
      <w:marRight w:val="0"/>
      <w:marTop w:val="0"/>
      <w:marBottom w:val="0"/>
      <w:divBdr>
        <w:top w:val="none" w:sz="0" w:space="0" w:color="auto"/>
        <w:left w:val="none" w:sz="0" w:space="0" w:color="auto"/>
        <w:bottom w:val="none" w:sz="0" w:space="0" w:color="auto"/>
        <w:right w:val="none" w:sz="0" w:space="0" w:color="auto"/>
      </w:divBdr>
      <w:divsChild>
        <w:div w:id="64575765">
          <w:marLeft w:val="0"/>
          <w:marRight w:val="0"/>
          <w:marTop w:val="0"/>
          <w:marBottom w:val="0"/>
          <w:divBdr>
            <w:top w:val="none" w:sz="0" w:space="0" w:color="auto"/>
            <w:left w:val="none" w:sz="0" w:space="0" w:color="auto"/>
            <w:bottom w:val="none" w:sz="0" w:space="0" w:color="auto"/>
            <w:right w:val="none" w:sz="0" w:space="0" w:color="auto"/>
          </w:divBdr>
          <w:divsChild>
            <w:div w:id="886911019">
              <w:marLeft w:val="0"/>
              <w:marRight w:val="0"/>
              <w:marTop w:val="0"/>
              <w:marBottom w:val="0"/>
              <w:divBdr>
                <w:top w:val="none" w:sz="0" w:space="0" w:color="auto"/>
                <w:left w:val="none" w:sz="0" w:space="0" w:color="auto"/>
                <w:bottom w:val="none" w:sz="0" w:space="0" w:color="auto"/>
                <w:right w:val="none" w:sz="0" w:space="0" w:color="auto"/>
              </w:divBdr>
              <w:divsChild>
                <w:div w:id="10866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069937">
      <w:bodyDiv w:val="1"/>
      <w:marLeft w:val="0"/>
      <w:marRight w:val="0"/>
      <w:marTop w:val="0"/>
      <w:marBottom w:val="0"/>
      <w:divBdr>
        <w:top w:val="none" w:sz="0" w:space="0" w:color="auto"/>
        <w:left w:val="none" w:sz="0" w:space="0" w:color="auto"/>
        <w:bottom w:val="none" w:sz="0" w:space="0" w:color="auto"/>
        <w:right w:val="none" w:sz="0" w:space="0" w:color="auto"/>
      </w:divBdr>
    </w:div>
    <w:div w:id="477889228">
      <w:bodyDiv w:val="1"/>
      <w:marLeft w:val="0"/>
      <w:marRight w:val="0"/>
      <w:marTop w:val="0"/>
      <w:marBottom w:val="0"/>
      <w:divBdr>
        <w:top w:val="none" w:sz="0" w:space="0" w:color="auto"/>
        <w:left w:val="none" w:sz="0" w:space="0" w:color="auto"/>
        <w:bottom w:val="none" w:sz="0" w:space="0" w:color="auto"/>
        <w:right w:val="none" w:sz="0" w:space="0" w:color="auto"/>
      </w:divBdr>
    </w:div>
    <w:div w:id="481704358">
      <w:bodyDiv w:val="1"/>
      <w:marLeft w:val="0"/>
      <w:marRight w:val="0"/>
      <w:marTop w:val="0"/>
      <w:marBottom w:val="0"/>
      <w:divBdr>
        <w:top w:val="none" w:sz="0" w:space="0" w:color="auto"/>
        <w:left w:val="none" w:sz="0" w:space="0" w:color="auto"/>
        <w:bottom w:val="none" w:sz="0" w:space="0" w:color="auto"/>
        <w:right w:val="none" w:sz="0" w:space="0" w:color="auto"/>
      </w:divBdr>
    </w:div>
    <w:div w:id="489829647">
      <w:bodyDiv w:val="1"/>
      <w:marLeft w:val="0"/>
      <w:marRight w:val="0"/>
      <w:marTop w:val="0"/>
      <w:marBottom w:val="0"/>
      <w:divBdr>
        <w:top w:val="none" w:sz="0" w:space="0" w:color="auto"/>
        <w:left w:val="none" w:sz="0" w:space="0" w:color="auto"/>
        <w:bottom w:val="none" w:sz="0" w:space="0" w:color="auto"/>
        <w:right w:val="none" w:sz="0" w:space="0" w:color="auto"/>
      </w:divBdr>
      <w:divsChild>
        <w:div w:id="1517232751">
          <w:marLeft w:val="0"/>
          <w:marRight w:val="0"/>
          <w:marTop w:val="0"/>
          <w:marBottom w:val="0"/>
          <w:divBdr>
            <w:top w:val="none" w:sz="0" w:space="0" w:color="auto"/>
            <w:left w:val="none" w:sz="0" w:space="0" w:color="auto"/>
            <w:bottom w:val="none" w:sz="0" w:space="0" w:color="auto"/>
            <w:right w:val="none" w:sz="0" w:space="0" w:color="auto"/>
          </w:divBdr>
          <w:divsChild>
            <w:div w:id="591087193">
              <w:marLeft w:val="0"/>
              <w:marRight w:val="0"/>
              <w:marTop w:val="0"/>
              <w:marBottom w:val="0"/>
              <w:divBdr>
                <w:top w:val="none" w:sz="0" w:space="0" w:color="auto"/>
                <w:left w:val="none" w:sz="0" w:space="0" w:color="auto"/>
                <w:bottom w:val="none" w:sz="0" w:space="0" w:color="auto"/>
                <w:right w:val="none" w:sz="0" w:space="0" w:color="auto"/>
              </w:divBdr>
              <w:divsChild>
                <w:div w:id="1087575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215538">
      <w:bodyDiv w:val="1"/>
      <w:marLeft w:val="0"/>
      <w:marRight w:val="0"/>
      <w:marTop w:val="0"/>
      <w:marBottom w:val="0"/>
      <w:divBdr>
        <w:top w:val="none" w:sz="0" w:space="0" w:color="auto"/>
        <w:left w:val="none" w:sz="0" w:space="0" w:color="auto"/>
        <w:bottom w:val="none" w:sz="0" w:space="0" w:color="auto"/>
        <w:right w:val="none" w:sz="0" w:space="0" w:color="auto"/>
      </w:divBdr>
    </w:div>
    <w:div w:id="492532566">
      <w:bodyDiv w:val="1"/>
      <w:marLeft w:val="0"/>
      <w:marRight w:val="0"/>
      <w:marTop w:val="0"/>
      <w:marBottom w:val="0"/>
      <w:divBdr>
        <w:top w:val="none" w:sz="0" w:space="0" w:color="auto"/>
        <w:left w:val="none" w:sz="0" w:space="0" w:color="auto"/>
        <w:bottom w:val="none" w:sz="0" w:space="0" w:color="auto"/>
        <w:right w:val="none" w:sz="0" w:space="0" w:color="auto"/>
      </w:divBdr>
      <w:divsChild>
        <w:div w:id="1340278718">
          <w:marLeft w:val="0"/>
          <w:marRight w:val="0"/>
          <w:marTop w:val="0"/>
          <w:marBottom w:val="0"/>
          <w:divBdr>
            <w:top w:val="none" w:sz="0" w:space="0" w:color="auto"/>
            <w:left w:val="none" w:sz="0" w:space="0" w:color="auto"/>
            <w:bottom w:val="none" w:sz="0" w:space="0" w:color="auto"/>
            <w:right w:val="none" w:sz="0" w:space="0" w:color="auto"/>
          </w:divBdr>
          <w:divsChild>
            <w:div w:id="340397042">
              <w:marLeft w:val="0"/>
              <w:marRight w:val="0"/>
              <w:marTop w:val="0"/>
              <w:marBottom w:val="0"/>
              <w:divBdr>
                <w:top w:val="none" w:sz="0" w:space="0" w:color="auto"/>
                <w:left w:val="none" w:sz="0" w:space="0" w:color="auto"/>
                <w:bottom w:val="none" w:sz="0" w:space="0" w:color="auto"/>
                <w:right w:val="none" w:sz="0" w:space="0" w:color="auto"/>
              </w:divBdr>
              <w:divsChild>
                <w:div w:id="1149639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5265115">
      <w:bodyDiv w:val="1"/>
      <w:marLeft w:val="0"/>
      <w:marRight w:val="0"/>
      <w:marTop w:val="0"/>
      <w:marBottom w:val="0"/>
      <w:divBdr>
        <w:top w:val="none" w:sz="0" w:space="0" w:color="auto"/>
        <w:left w:val="none" w:sz="0" w:space="0" w:color="auto"/>
        <w:bottom w:val="none" w:sz="0" w:space="0" w:color="auto"/>
        <w:right w:val="none" w:sz="0" w:space="0" w:color="auto"/>
      </w:divBdr>
      <w:divsChild>
        <w:div w:id="206575495">
          <w:marLeft w:val="0"/>
          <w:marRight w:val="0"/>
          <w:marTop w:val="0"/>
          <w:marBottom w:val="0"/>
          <w:divBdr>
            <w:top w:val="none" w:sz="0" w:space="0" w:color="auto"/>
            <w:left w:val="none" w:sz="0" w:space="0" w:color="auto"/>
            <w:bottom w:val="none" w:sz="0" w:space="0" w:color="auto"/>
            <w:right w:val="none" w:sz="0" w:space="0" w:color="auto"/>
          </w:divBdr>
        </w:div>
        <w:div w:id="382676552">
          <w:marLeft w:val="0"/>
          <w:marRight w:val="0"/>
          <w:marTop w:val="0"/>
          <w:marBottom w:val="0"/>
          <w:divBdr>
            <w:top w:val="none" w:sz="0" w:space="0" w:color="auto"/>
            <w:left w:val="none" w:sz="0" w:space="0" w:color="auto"/>
            <w:bottom w:val="none" w:sz="0" w:space="0" w:color="auto"/>
            <w:right w:val="none" w:sz="0" w:space="0" w:color="auto"/>
          </w:divBdr>
        </w:div>
      </w:divsChild>
    </w:div>
    <w:div w:id="501286927">
      <w:bodyDiv w:val="1"/>
      <w:marLeft w:val="0"/>
      <w:marRight w:val="0"/>
      <w:marTop w:val="0"/>
      <w:marBottom w:val="0"/>
      <w:divBdr>
        <w:top w:val="none" w:sz="0" w:space="0" w:color="auto"/>
        <w:left w:val="none" w:sz="0" w:space="0" w:color="auto"/>
        <w:bottom w:val="none" w:sz="0" w:space="0" w:color="auto"/>
        <w:right w:val="none" w:sz="0" w:space="0" w:color="auto"/>
      </w:divBdr>
    </w:div>
    <w:div w:id="510295476">
      <w:bodyDiv w:val="1"/>
      <w:marLeft w:val="0"/>
      <w:marRight w:val="0"/>
      <w:marTop w:val="0"/>
      <w:marBottom w:val="0"/>
      <w:divBdr>
        <w:top w:val="none" w:sz="0" w:space="0" w:color="auto"/>
        <w:left w:val="none" w:sz="0" w:space="0" w:color="auto"/>
        <w:bottom w:val="none" w:sz="0" w:space="0" w:color="auto"/>
        <w:right w:val="none" w:sz="0" w:space="0" w:color="auto"/>
      </w:divBdr>
      <w:divsChild>
        <w:div w:id="126163840">
          <w:marLeft w:val="0"/>
          <w:marRight w:val="0"/>
          <w:marTop w:val="0"/>
          <w:marBottom w:val="0"/>
          <w:divBdr>
            <w:top w:val="none" w:sz="0" w:space="0" w:color="auto"/>
            <w:left w:val="none" w:sz="0" w:space="0" w:color="auto"/>
            <w:bottom w:val="none" w:sz="0" w:space="0" w:color="auto"/>
            <w:right w:val="none" w:sz="0" w:space="0" w:color="auto"/>
          </w:divBdr>
          <w:divsChild>
            <w:div w:id="1650553898">
              <w:marLeft w:val="0"/>
              <w:marRight w:val="0"/>
              <w:marTop w:val="0"/>
              <w:marBottom w:val="0"/>
              <w:divBdr>
                <w:top w:val="none" w:sz="0" w:space="0" w:color="auto"/>
                <w:left w:val="none" w:sz="0" w:space="0" w:color="auto"/>
                <w:bottom w:val="none" w:sz="0" w:space="0" w:color="auto"/>
                <w:right w:val="none" w:sz="0" w:space="0" w:color="auto"/>
              </w:divBdr>
              <w:divsChild>
                <w:div w:id="105022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0054493">
      <w:bodyDiv w:val="1"/>
      <w:marLeft w:val="0"/>
      <w:marRight w:val="0"/>
      <w:marTop w:val="0"/>
      <w:marBottom w:val="0"/>
      <w:divBdr>
        <w:top w:val="none" w:sz="0" w:space="0" w:color="auto"/>
        <w:left w:val="none" w:sz="0" w:space="0" w:color="auto"/>
        <w:bottom w:val="none" w:sz="0" w:space="0" w:color="auto"/>
        <w:right w:val="none" w:sz="0" w:space="0" w:color="auto"/>
      </w:divBdr>
      <w:divsChild>
        <w:div w:id="830170820">
          <w:marLeft w:val="0"/>
          <w:marRight w:val="0"/>
          <w:marTop w:val="0"/>
          <w:marBottom w:val="0"/>
          <w:divBdr>
            <w:top w:val="none" w:sz="0" w:space="0" w:color="auto"/>
            <w:left w:val="none" w:sz="0" w:space="0" w:color="auto"/>
            <w:bottom w:val="none" w:sz="0" w:space="0" w:color="auto"/>
            <w:right w:val="none" w:sz="0" w:space="0" w:color="auto"/>
          </w:divBdr>
          <w:divsChild>
            <w:div w:id="1454059718">
              <w:marLeft w:val="0"/>
              <w:marRight w:val="0"/>
              <w:marTop w:val="0"/>
              <w:marBottom w:val="0"/>
              <w:divBdr>
                <w:top w:val="none" w:sz="0" w:space="0" w:color="auto"/>
                <w:left w:val="none" w:sz="0" w:space="0" w:color="auto"/>
                <w:bottom w:val="none" w:sz="0" w:space="0" w:color="auto"/>
                <w:right w:val="none" w:sz="0" w:space="0" w:color="auto"/>
              </w:divBdr>
              <w:divsChild>
                <w:div w:id="1238709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493736">
      <w:bodyDiv w:val="1"/>
      <w:marLeft w:val="0"/>
      <w:marRight w:val="0"/>
      <w:marTop w:val="0"/>
      <w:marBottom w:val="0"/>
      <w:divBdr>
        <w:top w:val="none" w:sz="0" w:space="0" w:color="auto"/>
        <w:left w:val="none" w:sz="0" w:space="0" w:color="auto"/>
        <w:bottom w:val="none" w:sz="0" w:space="0" w:color="auto"/>
        <w:right w:val="none" w:sz="0" w:space="0" w:color="auto"/>
      </w:divBdr>
      <w:divsChild>
        <w:div w:id="2006089491">
          <w:marLeft w:val="0"/>
          <w:marRight w:val="0"/>
          <w:marTop w:val="0"/>
          <w:marBottom w:val="0"/>
          <w:divBdr>
            <w:top w:val="none" w:sz="0" w:space="0" w:color="auto"/>
            <w:left w:val="none" w:sz="0" w:space="0" w:color="auto"/>
            <w:bottom w:val="none" w:sz="0" w:space="0" w:color="auto"/>
            <w:right w:val="none" w:sz="0" w:space="0" w:color="auto"/>
          </w:divBdr>
          <w:divsChild>
            <w:div w:id="1584992317">
              <w:marLeft w:val="0"/>
              <w:marRight w:val="0"/>
              <w:marTop w:val="0"/>
              <w:marBottom w:val="0"/>
              <w:divBdr>
                <w:top w:val="none" w:sz="0" w:space="0" w:color="auto"/>
                <w:left w:val="none" w:sz="0" w:space="0" w:color="auto"/>
                <w:bottom w:val="none" w:sz="0" w:space="0" w:color="auto"/>
                <w:right w:val="none" w:sz="0" w:space="0" w:color="auto"/>
              </w:divBdr>
              <w:divsChild>
                <w:div w:id="1327590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9995022">
      <w:bodyDiv w:val="1"/>
      <w:marLeft w:val="0"/>
      <w:marRight w:val="0"/>
      <w:marTop w:val="0"/>
      <w:marBottom w:val="0"/>
      <w:divBdr>
        <w:top w:val="none" w:sz="0" w:space="0" w:color="auto"/>
        <w:left w:val="none" w:sz="0" w:space="0" w:color="auto"/>
        <w:bottom w:val="none" w:sz="0" w:space="0" w:color="auto"/>
        <w:right w:val="none" w:sz="0" w:space="0" w:color="auto"/>
      </w:divBdr>
      <w:divsChild>
        <w:div w:id="395860435">
          <w:marLeft w:val="0"/>
          <w:marRight w:val="0"/>
          <w:marTop w:val="0"/>
          <w:marBottom w:val="0"/>
          <w:divBdr>
            <w:top w:val="none" w:sz="0" w:space="0" w:color="auto"/>
            <w:left w:val="none" w:sz="0" w:space="0" w:color="auto"/>
            <w:bottom w:val="none" w:sz="0" w:space="0" w:color="auto"/>
            <w:right w:val="none" w:sz="0" w:space="0" w:color="auto"/>
          </w:divBdr>
          <w:divsChild>
            <w:div w:id="426343446">
              <w:marLeft w:val="0"/>
              <w:marRight w:val="0"/>
              <w:marTop w:val="0"/>
              <w:marBottom w:val="0"/>
              <w:divBdr>
                <w:top w:val="none" w:sz="0" w:space="0" w:color="auto"/>
                <w:left w:val="none" w:sz="0" w:space="0" w:color="auto"/>
                <w:bottom w:val="none" w:sz="0" w:space="0" w:color="auto"/>
                <w:right w:val="none" w:sz="0" w:space="0" w:color="auto"/>
              </w:divBdr>
              <w:divsChild>
                <w:div w:id="2115975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341406">
      <w:bodyDiv w:val="1"/>
      <w:marLeft w:val="0"/>
      <w:marRight w:val="0"/>
      <w:marTop w:val="0"/>
      <w:marBottom w:val="0"/>
      <w:divBdr>
        <w:top w:val="none" w:sz="0" w:space="0" w:color="auto"/>
        <w:left w:val="none" w:sz="0" w:space="0" w:color="auto"/>
        <w:bottom w:val="none" w:sz="0" w:space="0" w:color="auto"/>
        <w:right w:val="none" w:sz="0" w:space="0" w:color="auto"/>
      </w:divBdr>
      <w:divsChild>
        <w:div w:id="213205084">
          <w:marLeft w:val="0"/>
          <w:marRight w:val="0"/>
          <w:marTop w:val="0"/>
          <w:marBottom w:val="0"/>
          <w:divBdr>
            <w:top w:val="none" w:sz="0" w:space="0" w:color="auto"/>
            <w:left w:val="none" w:sz="0" w:space="0" w:color="auto"/>
            <w:bottom w:val="none" w:sz="0" w:space="0" w:color="auto"/>
            <w:right w:val="none" w:sz="0" w:space="0" w:color="auto"/>
          </w:divBdr>
          <w:divsChild>
            <w:div w:id="1534072944">
              <w:marLeft w:val="0"/>
              <w:marRight w:val="0"/>
              <w:marTop w:val="0"/>
              <w:marBottom w:val="0"/>
              <w:divBdr>
                <w:top w:val="none" w:sz="0" w:space="0" w:color="auto"/>
                <w:left w:val="none" w:sz="0" w:space="0" w:color="auto"/>
                <w:bottom w:val="none" w:sz="0" w:space="0" w:color="auto"/>
                <w:right w:val="none" w:sz="0" w:space="0" w:color="auto"/>
              </w:divBdr>
              <w:divsChild>
                <w:div w:id="1606159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3643576">
      <w:bodyDiv w:val="1"/>
      <w:marLeft w:val="0"/>
      <w:marRight w:val="0"/>
      <w:marTop w:val="0"/>
      <w:marBottom w:val="0"/>
      <w:divBdr>
        <w:top w:val="none" w:sz="0" w:space="0" w:color="auto"/>
        <w:left w:val="none" w:sz="0" w:space="0" w:color="auto"/>
        <w:bottom w:val="none" w:sz="0" w:space="0" w:color="auto"/>
        <w:right w:val="none" w:sz="0" w:space="0" w:color="auto"/>
      </w:divBdr>
    </w:div>
    <w:div w:id="555549423">
      <w:bodyDiv w:val="1"/>
      <w:marLeft w:val="0"/>
      <w:marRight w:val="0"/>
      <w:marTop w:val="0"/>
      <w:marBottom w:val="0"/>
      <w:divBdr>
        <w:top w:val="none" w:sz="0" w:space="0" w:color="auto"/>
        <w:left w:val="none" w:sz="0" w:space="0" w:color="auto"/>
        <w:bottom w:val="none" w:sz="0" w:space="0" w:color="auto"/>
        <w:right w:val="none" w:sz="0" w:space="0" w:color="auto"/>
      </w:divBdr>
    </w:div>
    <w:div w:id="564487907">
      <w:bodyDiv w:val="1"/>
      <w:marLeft w:val="0"/>
      <w:marRight w:val="0"/>
      <w:marTop w:val="0"/>
      <w:marBottom w:val="0"/>
      <w:divBdr>
        <w:top w:val="none" w:sz="0" w:space="0" w:color="auto"/>
        <w:left w:val="none" w:sz="0" w:space="0" w:color="auto"/>
        <w:bottom w:val="none" w:sz="0" w:space="0" w:color="auto"/>
        <w:right w:val="none" w:sz="0" w:space="0" w:color="auto"/>
      </w:divBdr>
    </w:div>
    <w:div w:id="572397906">
      <w:bodyDiv w:val="1"/>
      <w:marLeft w:val="0"/>
      <w:marRight w:val="0"/>
      <w:marTop w:val="0"/>
      <w:marBottom w:val="0"/>
      <w:divBdr>
        <w:top w:val="none" w:sz="0" w:space="0" w:color="auto"/>
        <w:left w:val="none" w:sz="0" w:space="0" w:color="auto"/>
        <w:bottom w:val="none" w:sz="0" w:space="0" w:color="auto"/>
        <w:right w:val="none" w:sz="0" w:space="0" w:color="auto"/>
      </w:divBdr>
    </w:div>
    <w:div w:id="574121308">
      <w:bodyDiv w:val="1"/>
      <w:marLeft w:val="0"/>
      <w:marRight w:val="0"/>
      <w:marTop w:val="0"/>
      <w:marBottom w:val="0"/>
      <w:divBdr>
        <w:top w:val="none" w:sz="0" w:space="0" w:color="auto"/>
        <w:left w:val="none" w:sz="0" w:space="0" w:color="auto"/>
        <w:bottom w:val="none" w:sz="0" w:space="0" w:color="auto"/>
        <w:right w:val="none" w:sz="0" w:space="0" w:color="auto"/>
      </w:divBdr>
      <w:divsChild>
        <w:div w:id="1320572551">
          <w:marLeft w:val="0"/>
          <w:marRight w:val="0"/>
          <w:marTop w:val="0"/>
          <w:marBottom w:val="0"/>
          <w:divBdr>
            <w:top w:val="none" w:sz="0" w:space="0" w:color="auto"/>
            <w:left w:val="none" w:sz="0" w:space="0" w:color="auto"/>
            <w:bottom w:val="none" w:sz="0" w:space="0" w:color="auto"/>
            <w:right w:val="none" w:sz="0" w:space="0" w:color="auto"/>
          </w:divBdr>
          <w:divsChild>
            <w:div w:id="2065450121">
              <w:marLeft w:val="0"/>
              <w:marRight w:val="0"/>
              <w:marTop w:val="0"/>
              <w:marBottom w:val="0"/>
              <w:divBdr>
                <w:top w:val="none" w:sz="0" w:space="0" w:color="auto"/>
                <w:left w:val="none" w:sz="0" w:space="0" w:color="auto"/>
                <w:bottom w:val="none" w:sz="0" w:space="0" w:color="auto"/>
                <w:right w:val="none" w:sz="0" w:space="0" w:color="auto"/>
              </w:divBdr>
              <w:divsChild>
                <w:div w:id="527565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7710150">
      <w:bodyDiv w:val="1"/>
      <w:marLeft w:val="0"/>
      <w:marRight w:val="0"/>
      <w:marTop w:val="0"/>
      <w:marBottom w:val="0"/>
      <w:divBdr>
        <w:top w:val="none" w:sz="0" w:space="0" w:color="auto"/>
        <w:left w:val="none" w:sz="0" w:space="0" w:color="auto"/>
        <w:bottom w:val="none" w:sz="0" w:space="0" w:color="auto"/>
        <w:right w:val="none" w:sz="0" w:space="0" w:color="auto"/>
      </w:divBdr>
    </w:div>
    <w:div w:id="586765552">
      <w:bodyDiv w:val="1"/>
      <w:marLeft w:val="0"/>
      <w:marRight w:val="0"/>
      <w:marTop w:val="0"/>
      <w:marBottom w:val="0"/>
      <w:divBdr>
        <w:top w:val="none" w:sz="0" w:space="0" w:color="auto"/>
        <w:left w:val="none" w:sz="0" w:space="0" w:color="auto"/>
        <w:bottom w:val="none" w:sz="0" w:space="0" w:color="auto"/>
        <w:right w:val="none" w:sz="0" w:space="0" w:color="auto"/>
      </w:divBdr>
      <w:divsChild>
        <w:div w:id="680818630">
          <w:marLeft w:val="0"/>
          <w:marRight w:val="0"/>
          <w:marTop w:val="0"/>
          <w:marBottom w:val="0"/>
          <w:divBdr>
            <w:top w:val="none" w:sz="0" w:space="0" w:color="auto"/>
            <w:left w:val="none" w:sz="0" w:space="0" w:color="auto"/>
            <w:bottom w:val="none" w:sz="0" w:space="0" w:color="auto"/>
            <w:right w:val="none" w:sz="0" w:space="0" w:color="auto"/>
          </w:divBdr>
          <w:divsChild>
            <w:div w:id="50349766">
              <w:marLeft w:val="0"/>
              <w:marRight w:val="0"/>
              <w:marTop w:val="0"/>
              <w:marBottom w:val="0"/>
              <w:divBdr>
                <w:top w:val="none" w:sz="0" w:space="0" w:color="auto"/>
                <w:left w:val="none" w:sz="0" w:space="0" w:color="auto"/>
                <w:bottom w:val="none" w:sz="0" w:space="0" w:color="auto"/>
                <w:right w:val="none" w:sz="0" w:space="0" w:color="auto"/>
              </w:divBdr>
              <w:divsChild>
                <w:div w:id="1340618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3321048">
      <w:bodyDiv w:val="1"/>
      <w:marLeft w:val="0"/>
      <w:marRight w:val="0"/>
      <w:marTop w:val="0"/>
      <w:marBottom w:val="0"/>
      <w:divBdr>
        <w:top w:val="none" w:sz="0" w:space="0" w:color="auto"/>
        <w:left w:val="none" w:sz="0" w:space="0" w:color="auto"/>
        <w:bottom w:val="none" w:sz="0" w:space="0" w:color="auto"/>
        <w:right w:val="none" w:sz="0" w:space="0" w:color="auto"/>
      </w:divBdr>
    </w:div>
    <w:div w:id="601840588">
      <w:bodyDiv w:val="1"/>
      <w:marLeft w:val="0"/>
      <w:marRight w:val="0"/>
      <w:marTop w:val="0"/>
      <w:marBottom w:val="0"/>
      <w:divBdr>
        <w:top w:val="none" w:sz="0" w:space="0" w:color="auto"/>
        <w:left w:val="none" w:sz="0" w:space="0" w:color="auto"/>
        <w:bottom w:val="none" w:sz="0" w:space="0" w:color="auto"/>
        <w:right w:val="none" w:sz="0" w:space="0" w:color="auto"/>
      </w:divBdr>
    </w:div>
    <w:div w:id="601883228">
      <w:bodyDiv w:val="1"/>
      <w:marLeft w:val="0"/>
      <w:marRight w:val="0"/>
      <w:marTop w:val="0"/>
      <w:marBottom w:val="0"/>
      <w:divBdr>
        <w:top w:val="none" w:sz="0" w:space="0" w:color="auto"/>
        <w:left w:val="none" w:sz="0" w:space="0" w:color="auto"/>
        <w:bottom w:val="none" w:sz="0" w:space="0" w:color="auto"/>
        <w:right w:val="none" w:sz="0" w:space="0" w:color="auto"/>
      </w:divBdr>
    </w:div>
    <w:div w:id="604922756">
      <w:bodyDiv w:val="1"/>
      <w:marLeft w:val="0"/>
      <w:marRight w:val="0"/>
      <w:marTop w:val="0"/>
      <w:marBottom w:val="0"/>
      <w:divBdr>
        <w:top w:val="none" w:sz="0" w:space="0" w:color="auto"/>
        <w:left w:val="none" w:sz="0" w:space="0" w:color="auto"/>
        <w:bottom w:val="none" w:sz="0" w:space="0" w:color="auto"/>
        <w:right w:val="none" w:sz="0" w:space="0" w:color="auto"/>
      </w:divBdr>
      <w:divsChild>
        <w:div w:id="302858455">
          <w:marLeft w:val="0"/>
          <w:marRight w:val="0"/>
          <w:marTop w:val="0"/>
          <w:marBottom w:val="0"/>
          <w:divBdr>
            <w:top w:val="none" w:sz="0" w:space="0" w:color="auto"/>
            <w:left w:val="none" w:sz="0" w:space="0" w:color="auto"/>
            <w:bottom w:val="none" w:sz="0" w:space="0" w:color="auto"/>
            <w:right w:val="none" w:sz="0" w:space="0" w:color="auto"/>
          </w:divBdr>
          <w:divsChild>
            <w:div w:id="468281178">
              <w:marLeft w:val="0"/>
              <w:marRight w:val="0"/>
              <w:marTop w:val="0"/>
              <w:marBottom w:val="0"/>
              <w:divBdr>
                <w:top w:val="none" w:sz="0" w:space="0" w:color="auto"/>
                <w:left w:val="none" w:sz="0" w:space="0" w:color="auto"/>
                <w:bottom w:val="none" w:sz="0" w:space="0" w:color="auto"/>
                <w:right w:val="none" w:sz="0" w:space="0" w:color="auto"/>
              </w:divBdr>
              <w:divsChild>
                <w:div w:id="115225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2320556">
      <w:bodyDiv w:val="1"/>
      <w:marLeft w:val="0"/>
      <w:marRight w:val="0"/>
      <w:marTop w:val="0"/>
      <w:marBottom w:val="0"/>
      <w:divBdr>
        <w:top w:val="none" w:sz="0" w:space="0" w:color="auto"/>
        <w:left w:val="none" w:sz="0" w:space="0" w:color="auto"/>
        <w:bottom w:val="none" w:sz="0" w:space="0" w:color="auto"/>
        <w:right w:val="none" w:sz="0" w:space="0" w:color="auto"/>
      </w:divBdr>
      <w:divsChild>
        <w:div w:id="1595017217">
          <w:marLeft w:val="0"/>
          <w:marRight w:val="0"/>
          <w:marTop w:val="0"/>
          <w:marBottom w:val="0"/>
          <w:divBdr>
            <w:top w:val="none" w:sz="0" w:space="0" w:color="auto"/>
            <w:left w:val="none" w:sz="0" w:space="0" w:color="auto"/>
            <w:bottom w:val="none" w:sz="0" w:space="0" w:color="auto"/>
            <w:right w:val="none" w:sz="0" w:space="0" w:color="auto"/>
          </w:divBdr>
          <w:divsChild>
            <w:div w:id="1409770879">
              <w:marLeft w:val="0"/>
              <w:marRight w:val="0"/>
              <w:marTop w:val="0"/>
              <w:marBottom w:val="0"/>
              <w:divBdr>
                <w:top w:val="none" w:sz="0" w:space="0" w:color="auto"/>
                <w:left w:val="none" w:sz="0" w:space="0" w:color="auto"/>
                <w:bottom w:val="none" w:sz="0" w:space="0" w:color="auto"/>
                <w:right w:val="none" w:sz="0" w:space="0" w:color="auto"/>
              </w:divBdr>
              <w:divsChild>
                <w:div w:id="835268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456123">
      <w:bodyDiv w:val="1"/>
      <w:marLeft w:val="0"/>
      <w:marRight w:val="0"/>
      <w:marTop w:val="0"/>
      <w:marBottom w:val="0"/>
      <w:divBdr>
        <w:top w:val="none" w:sz="0" w:space="0" w:color="auto"/>
        <w:left w:val="none" w:sz="0" w:space="0" w:color="auto"/>
        <w:bottom w:val="none" w:sz="0" w:space="0" w:color="auto"/>
        <w:right w:val="none" w:sz="0" w:space="0" w:color="auto"/>
      </w:divBdr>
    </w:div>
    <w:div w:id="620190353">
      <w:bodyDiv w:val="1"/>
      <w:marLeft w:val="0"/>
      <w:marRight w:val="0"/>
      <w:marTop w:val="0"/>
      <w:marBottom w:val="0"/>
      <w:divBdr>
        <w:top w:val="none" w:sz="0" w:space="0" w:color="auto"/>
        <w:left w:val="none" w:sz="0" w:space="0" w:color="auto"/>
        <w:bottom w:val="none" w:sz="0" w:space="0" w:color="auto"/>
        <w:right w:val="none" w:sz="0" w:space="0" w:color="auto"/>
      </w:divBdr>
    </w:div>
    <w:div w:id="623658720">
      <w:bodyDiv w:val="1"/>
      <w:marLeft w:val="0"/>
      <w:marRight w:val="0"/>
      <w:marTop w:val="0"/>
      <w:marBottom w:val="0"/>
      <w:divBdr>
        <w:top w:val="none" w:sz="0" w:space="0" w:color="auto"/>
        <w:left w:val="none" w:sz="0" w:space="0" w:color="auto"/>
        <w:bottom w:val="none" w:sz="0" w:space="0" w:color="auto"/>
        <w:right w:val="none" w:sz="0" w:space="0" w:color="auto"/>
      </w:divBdr>
      <w:divsChild>
        <w:div w:id="1828394934">
          <w:marLeft w:val="0"/>
          <w:marRight w:val="0"/>
          <w:marTop w:val="0"/>
          <w:marBottom w:val="0"/>
          <w:divBdr>
            <w:top w:val="none" w:sz="0" w:space="0" w:color="auto"/>
            <w:left w:val="none" w:sz="0" w:space="0" w:color="auto"/>
            <w:bottom w:val="none" w:sz="0" w:space="0" w:color="auto"/>
            <w:right w:val="none" w:sz="0" w:space="0" w:color="auto"/>
          </w:divBdr>
          <w:divsChild>
            <w:div w:id="1466123785">
              <w:marLeft w:val="0"/>
              <w:marRight w:val="0"/>
              <w:marTop w:val="0"/>
              <w:marBottom w:val="0"/>
              <w:divBdr>
                <w:top w:val="none" w:sz="0" w:space="0" w:color="auto"/>
                <w:left w:val="none" w:sz="0" w:space="0" w:color="auto"/>
                <w:bottom w:val="none" w:sz="0" w:space="0" w:color="auto"/>
                <w:right w:val="none" w:sz="0" w:space="0" w:color="auto"/>
              </w:divBdr>
              <w:divsChild>
                <w:div w:id="329453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3733910">
      <w:bodyDiv w:val="1"/>
      <w:marLeft w:val="0"/>
      <w:marRight w:val="0"/>
      <w:marTop w:val="0"/>
      <w:marBottom w:val="0"/>
      <w:divBdr>
        <w:top w:val="none" w:sz="0" w:space="0" w:color="auto"/>
        <w:left w:val="none" w:sz="0" w:space="0" w:color="auto"/>
        <w:bottom w:val="none" w:sz="0" w:space="0" w:color="auto"/>
        <w:right w:val="none" w:sz="0" w:space="0" w:color="auto"/>
      </w:divBdr>
      <w:divsChild>
        <w:div w:id="403988638">
          <w:marLeft w:val="0"/>
          <w:marRight w:val="0"/>
          <w:marTop w:val="0"/>
          <w:marBottom w:val="0"/>
          <w:divBdr>
            <w:top w:val="none" w:sz="0" w:space="0" w:color="auto"/>
            <w:left w:val="none" w:sz="0" w:space="0" w:color="auto"/>
            <w:bottom w:val="none" w:sz="0" w:space="0" w:color="auto"/>
            <w:right w:val="none" w:sz="0" w:space="0" w:color="auto"/>
          </w:divBdr>
          <w:divsChild>
            <w:div w:id="1227840539">
              <w:marLeft w:val="0"/>
              <w:marRight w:val="0"/>
              <w:marTop w:val="0"/>
              <w:marBottom w:val="0"/>
              <w:divBdr>
                <w:top w:val="none" w:sz="0" w:space="0" w:color="auto"/>
                <w:left w:val="none" w:sz="0" w:space="0" w:color="auto"/>
                <w:bottom w:val="none" w:sz="0" w:space="0" w:color="auto"/>
                <w:right w:val="none" w:sz="0" w:space="0" w:color="auto"/>
              </w:divBdr>
              <w:divsChild>
                <w:div w:id="153623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8828947">
      <w:bodyDiv w:val="1"/>
      <w:marLeft w:val="0"/>
      <w:marRight w:val="0"/>
      <w:marTop w:val="0"/>
      <w:marBottom w:val="0"/>
      <w:divBdr>
        <w:top w:val="none" w:sz="0" w:space="0" w:color="auto"/>
        <w:left w:val="none" w:sz="0" w:space="0" w:color="auto"/>
        <w:bottom w:val="none" w:sz="0" w:space="0" w:color="auto"/>
        <w:right w:val="none" w:sz="0" w:space="0" w:color="auto"/>
      </w:divBdr>
    </w:div>
    <w:div w:id="647973780">
      <w:bodyDiv w:val="1"/>
      <w:marLeft w:val="0"/>
      <w:marRight w:val="0"/>
      <w:marTop w:val="0"/>
      <w:marBottom w:val="0"/>
      <w:divBdr>
        <w:top w:val="none" w:sz="0" w:space="0" w:color="auto"/>
        <w:left w:val="none" w:sz="0" w:space="0" w:color="auto"/>
        <w:bottom w:val="none" w:sz="0" w:space="0" w:color="auto"/>
        <w:right w:val="none" w:sz="0" w:space="0" w:color="auto"/>
      </w:divBdr>
    </w:div>
    <w:div w:id="651912810">
      <w:bodyDiv w:val="1"/>
      <w:marLeft w:val="0"/>
      <w:marRight w:val="0"/>
      <w:marTop w:val="0"/>
      <w:marBottom w:val="0"/>
      <w:divBdr>
        <w:top w:val="none" w:sz="0" w:space="0" w:color="auto"/>
        <w:left w:val="none" w:sz="0" w:space="0" w:color="auto"/>
        <w:bottom w:val="none" w:sz="0" w:space="0" w:color="auto"/>
        <w:right w:val="none" w:sz="0" w:space="0" w:color="auto"/>
      </w:divBdr>
      <w:divsChild>
        <w:div w:id="2083529745">
          <w:marLeft w:val="0"/>
          <w:marRight w:val="0"/>
          <w:marTop w:val="0"/>
          <w:marBottom w:val="0"/>
          <w:divBdr>
            <w:top w:val="none" w:sz="0" w:space="0" w:color="auto"/>
            <w:left w:val="none" w:sz="0" w:space="0" w:color="auto"/>
            <w:bottom w:val="none" w:sz="0" w:space="0" w:color="auto"/>
            <w:right w:val="none" w:sz="0" w:space="0" w:color="auto"/>
          </w:divBdr>
          <w:divsChild>
            <w:div w:id="1860239620">
              <w:marLeft w:val="0"/>
              <w:marRight w:val="0"/>
              <w:marTop w:val="0"/>
              <w:marBottom w:val="0"/>
              <w:divBdr>
                <w:top w:val="none" w:sz="0" w:space="0" w:color="auto"/>
                <w:left w:val="none" w:sz="0" w:space="0" w:color="auto"/>
                <w:bottom w:val="none" w:sz="0" w:space="0" w:color="auto"/>
                <w:right w:val="none" w:sz="0" w:space="0" w:color="auto"/>
              </w:divBdr>
              <w:divsChild>
                <w:div w:id="1173033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826739">
      <w:bodyDiv w:val="1"/>
      <w:marLeft w:val="0"/>
      <w:marRight w:val="0"/>
      <w:marTop w:val="0"/>
      <w:marBottom w:val="0"/>
      <w:divBdr>
        <w:top w:val="none" w:sz="0" w:space="0" w:color="auto"/>
        <w:left w:val="none" w:sz="0" w:space="0" w:color="auto"/>
        <w:bottom w:val="none" w:sz="0" w:space="0" w:color="auto"/>
        <w:right w:val="none" w:sz="0" w:space="0" w:color="auto"/>
      </w:divBdr>
    </w:div>
    <w:div w:id="666640788">
      <w:bodyDiv w:val="1"/>
      <w:marLeft w:val="0"/>
      <w:marRight w:val="0"/>
      <w:marTop w:val="0"/>
      <w:marBottom w:val="0"/>
      <w:divBdr>
        <w:top w:val="none" w:sz="0" w:space="0" w:color="auto"/>
        <w:left w:val="none" w:sz="0" w:space="0" w:color="auto"/>
        <w:bottom w:val="none" w:sz="0" w:space="0" w:color="auto"/>
        <w:right w:val="none" w:sz="0" w:space="0" w:color="auto"/>
      </w:divBdr>
    </w:div>
    <w:div w:id="676924844">
      <w:bodyDiv w:val="1"/>
      <w:marLeft w:val="0"/>
      <w:marRight w:val="0"/>
      <w:marTop w:val="0"/>
      <w:marBottom w:val="0"/>
      <w:divBdr>
        <w:top w:val="none" w:sz="0" w:space="0" w:color="auto"/>
        <w:left w:val="none" w:sz="0" w:space="0" w:color="auto"/>
        <w:bottom w:val="none" w:sz="0" w:space="0" w:color="auto"/>
        <w:right w:val="none" w:sz="0" w:space="0" w:color="auto"/>
      </w:divBdr>
    </w:div>
    <w:div w:id="680471032">
      <w:bodyDiv w:val="1"/>
      <w:marLeft w:val="0"/>
      <w:marRight w:val="0"/>
      <w:marTop w:val="0"/>
      <w:marBottom w:val="0"/>
      <w:divBdr>
        <w:top w:val="none" w:sz="0" w:space="0" w:color="auto"/>
        <w:left w:val="none" w:sz="0" w:space="0" w:color="auto"/>
        <w:bottom w:val="none" w:sz="0" w:space="0" w:color="auto"/>
        <w:right w:val="none" w:sz="0" w:space="0" w:color="auto"/>
      </w:divBdr>
    </w:div>
    <w:div w:id="681664239">
      <w:bodyDiv w:val="1"/>
      <w:marLeft w:val="0"/>
      <w:marRight w:val="0"/>
      <w:marTop w:val="0"/>
      <w:marBottom w:val="0"/>
      <w:divBdr>
        <w:top w:val="none" w:sz="0" w:space="0" w:color="auto"/>
        <w:left w:val="none" w:sz="0" w:space="0" w:color="auto"/>
        <w:bottom w:val="none" w:sz="0" w:space="0" w:color="auto"/>
        <w:right w:val="none" w:sz="0" w:space="0" w:color="auto"/>
      </w:divBdr>
      <w:divsChild>
        <w:div w:id="1170832624">
          <w:marLeft w:val="0"/>
          <w:marRight w:val="0"/>
          <w:marTop w:val="0"/>
          <w:marBottom w:val="0"/>
          <w:divBdr>
            <w:top w:val="none" w:sz="0" w:space="0" w:color="auto"/>
            <w:left w:val="none" w:sz="0" w:space="0" w:color="auto"/>
            <w:bottom w:val="none" w:sz="0" w:space="0" w:color="auto"/>
            <w:right w:val="none" w:sz="0" w:space="0" w:color="auto"/>
          </w:divBdr>
          <w:divsChild>
            <w:div w:id="2115251268">
              <w:marLeft w:val="0"/>
              <w:marRight w:val="0"/>
              <w:marTop w:val="0"/>
              <w:marBottom w:val="0"/>
              <w:divBdr>
                <w:top w:val="none" w:sz="0" w:space="0" w:color="auto"/>
                <w:left w:val="none" w:sz="0" w:space="0" w:color="auto"/>
                <w:bottom w:val="none" w:sz="0" w:space="0" w:color="auto"/>
                <w:right w:val="none" w:sz="0" w:space="0" w:color="auto"/>
              </w:divBdr>
              <w:divsChild>
                <w:div w:id="1302610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628265">
      <w:bodyDiv w:val="1"/>
      <w:marLeft w:val="0"/>
      <w:marRight w:val="0"/>
      <w:marTop w:val="0"/>
      <w:marBottom w:val="0"/>
      <w:divBdr>
        <w:top w:val="none" w:sz="0" w:space="0" w:color="auto"/>
        <w:left w:val="none" w:sz="0" w:space="0" w:color="auto"/>
        <w:bottom w:val="none" w:sz="0" w:space="0" w:color="auto"/>
        <w:right w:val="none" w:sz="0" w:space="0" w:color="auto"/>
      </w:divBdr>
      <w:divsChild>
        <w:div w:id="1768697717">
          <w:marLeft w:val="0"/>
          <w:marRight w:val="0"/>
          <w:marTop w:val="0"/>
          <w:marBottom w:val="0"/>
          <w:divBdr>
            <w:top w:val="none" w:sz="0" w:space="0" w:color="auto"/>
            <w:left w:val="none" w:sz="0" w:space="0" w:color="auto"/>
            <w:bottom w:val="none" w:sz="0" w:space="0" w:color="auto"/>
            <w:right w:val="none" w:sz="0" w:space="0" w:color="auto"/>
          </w:divBdr>
          <w:divsChild>
            <w:div w:id="1772506303">
              <w:marLeft w:val="0"/>
              <w:marRight w:val="0"/>
              <w:marTop w:val="0"/>
              <w:marBottom w:val="0"/>
              <w:divBdr>
                <w:top w:val="none" w:sz="0" w:space="0" w:color="auto"/>
                <w:left w:val="none" w:sz="0" w:space="0" w:color="auto"/>
                <w:bottom w:val="none" w:sz="0" w:space="0" w:color="auto"/>
                <w:right w:val="none" w:sz="0" w:space="0" w:color="auto"/>
              </w:divBdr>
              <w:divsChild>
                <w:div w:id="51616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131665">
      <w:bodyDiv w:val="1"/>
      <w:marLeft w:val="0"/>
      <w:marRight w:val="0"/>
      <w:marTop w:val="0"/>
      <w:marBottom w:val="0"/>
      <w:divBdr>
        <w:top w:val="none" w:sz="0" w:space="0" w:color="auto"/>
        <w:left w:val="none" w:sz="0" w:space="0" w:color="auto"/>
        <w:bottom w:val="none" w:sz="0" w:space="0" w:color="auto"/>
        <w:right w:val="none" w:sz="0" w:space="0" w:color="auto"/>
      </w:divBdr>
    </w:div>
    <w:div w:id="685181499">
      <w:bodyDiv w:val="1"/>
      <w:marLeft w:val="0"/>
      <w:marRight w:val="0"/>
      <w:marTop w:val="0"/>
      <w:marBottom w:val="0"/>
      <w:divBdr>
        <w:top w:val="none" w:sz="0" w:space="0" w:color="auto"/>
        <w:left w:val="none" w:sz="0" w:space="0" w:color="auto"/>
        <w:bottom w:val="none" w:sz="0" w:space="0" w:color="auto"/>
        <w:right w:val="none" w:sz="0" w:space="0" w:color="auto"/>
      </w:divBdr>
    </w:div>
    <w:div w:id="698968831">
      <w:bodyDiv w:val="1"/>
      <w:marLeft w:val="0"/>
      <w:marRight w:val="0"/>
      <w:marTop w:val="0"/>
      <w:marBottom w:val="0"/>
      <w:divBdr>
        <w:top w:val="none" w:sz="0" w:space="0" w:color="auto"/>
        <w:left w:val="none" w:sz="0" w:space="0" w:color="auto"/>
        <w:bottom w:val="none" w:sz="0" w:space="0" w:color="auto"/>
        <w:right w:val="none" w:sz="0" w:space="0" w:color="auto"/>
      </w:divBdr>
      <w:divsChild>
        <w:div w:id="251859937">
          <w:marLeft w:val="0"/>
          <w:marRight w:val="0"/>
          <w:marTop w:val="0"/>
          <w:marBottom w:val="0"/>
          <w:divBdr>
            <w:top w:val="none" w:sz="0" w:space="0" w:color="auto"/>
            <w:left w:val="none" w:sz="0" w:space="0" w:color="auto"/>
            <w:bottom w:val="none" w:sz="0" w:space="0" w:color="auto"/>
            <w:right w:val="none" w:sz="0" w:space="0" w:color="auto"/>
          </w:divBdr>
          <w:divsChild>
            <w:div w:id="66608602">
              <w:marLeft w:val="0"/>
              <w:marRight w:val="0"/>
              <w:marTop w:val="0"/>
              <w:marBottom w:val="0"/>
              <w:divBdr>
                <w:top w:val="none" w:sz="0" w:space="0" w:color="auto"/>
                <w:left w:val="none" w:sz="0" w:space="0" w:color="auto"/>
                <w:bottom w:val="none" w:sz="0" w:space="0" w:color="auto"/>
                <w:right w:val="none" w:sz="0" w:space="0" w:color="auto"/>
              </w:divBdr>
              <w:divsChild>
                <w:div w:id="203052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9823126">
      <w:bodyDiv w:val="1"/>
      <w:marLeft w:val="0"/>
      <w:marRight w:val="0"/>
      <w:marTop w:val="0"/>
      <w:marBottom w:val="0"/>
      <w:divBdr>
        <w:top w:val="none" w:sz="0" w:space="0" w:color="auto"/>
        <w:left w:val="none" w:sz="0" w:space="0" w:color="auto"/>
        <w:bottom w:val="none" w:sz="0" w:space="0" w:color="auto"/>
        <w:right w:val="none" w:sz="0" w:space="0" w:color="auto"/>
      </w:divBdr>
    </w:div>
    <w:div w:id="707418306">
      <w:bodyDiv w:val="1"/>
      <w:marLeft w:val="0"/>
      <w:marRight w:val="0"/>
      <w:marTop w:val="0"/>
      <w:marBottom w:val="0"/>
      <w:divBdr>
        <w:top w:val="none" w:sz="0" w:space="0" w:color="auto"/>
        <w:left w:val="none" w:sz="0" w:space="0" w:color="auto"/>
        <w:bottom w:val="none" w:sz="0" w:space="0" w:color="auto"/>
        <w:right w:val="none" w:sz="0" w:space="0" w:color="auto"/>
      </w:divBdr>
      <w:divsChild>
        <w:div w:id="1335645251">
          <w:marLeft w:val="0"/>
          <w:marRight w:val="0"/>
          <w:marTop w:val="0"/>
          <w:marBottom w:val="0"/>
          <w:divBdr>
            <w:top w:val="none" w:sz="0" w:space="0" w:color="auto"/>
            <w:left w:val="none" w:sz="0" w:space="0" w:color="auto"/>
            <w:bottom w:val="none" w:sz="0" w:space="0" w:color="auto"/>
            <w:right w:val="none" w:sz="0" w:space="0" w:color="auto"/>
          </w:divBdr>
          <w:divsChild>
            <w:div w:id="1761246696">
              <w:marLeft w:val="0"/>
              <w:marRight w:val="0"/>
              <w:marTop w:val="0"/>
              <w:marBottom w:val="0"/>
              <w:divBdr>
                <w:top w:val="none" w:sz="0" w:space="0" w:color="auto"/>
                <w:left w:val="none" w:sz="0" w:space="0" w:color="auto"/>
                <w:bottom w:val="none" w:sz="0" w:space="0" w:color="auto"/>
                <w:right w:val="none" w:sz="0" w:space="0" w:color="auto"/>
              </w:divBdr>
              <w:divsChild>
                <w:div w:id="1521044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8846778">
      <w:bodyDiv w:val="1"/>
      <w:marLeft w:val="0"/>
      <w:marRight w:val="0"/>
      <w:marTop w:val="0"/>
      <w:marBottom w:val="0"/>
      <w:divBdr>
        <w:top w:val="none" w:sz="0" w:space="0" w:color="auto"/>
        <w:left w:val="none" w:sz="0" w:space="0" w:color="auto"/>
        <w:bottom w:val="none" w:sz="0" w:space="0" w:color="auto"/>
        <w:right w:val="none" w:sz="0" w:space="0" w:color="auto"/>
      </w:divBdr>
      <w:divsChild>
        <w:div w:id="1308124895">
          <w:marLeft w:val="0"/>
          <w:marRight w:val="0"/>
          <w:marTop w:val="0"/>
          <w:marBottom w:val="0"/>
          <w:divBdr>
            <w:top w:val="none" w:sz="0" w:space="0" w:color="auto"/>
            <w:left w:val="none" w:sz="0" w:space="0" w:color="auto"/>
            <w:bottom w:val="none" w:sz="0" w:space="0" w:color="auto"/>
            <w:right w:val="none" w:sz="0" w:space="0" w:color="auto"/>
          </w:divBdr>
          <w:divsChild>
            <w:div w:id="1236550186">
              <w:marLeft w:val="0"/>
              <w:marRight w:val="0"/>
              <w:marTop w:val="0"/>
              <w:marBottom w:val="0"/>
              <w:divBdr>
                <w:top w:val="none" w:sz="0" w:space="0" w:color="auto"/>
                <w:left w:val="none" w:sz="0" w:space="0" w:color="auto"/>
                <w:bottom w:val="none" w:sz="0" w:space="0" w:color="auto"/>
                <w:right w:val="none" w:sz="0" w:space="0" w:color="auto"/>
              </w:divBdr>
              <w:divsChild>
                <w:div w:id="1929077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0959566">
      <w:bodyDiv w:val="1"/>
      <w:marLeft w:val="0"/>
      <w:marRight w:val="0"/>
      <w:marTop w:val="0"/>
      <w:marBottom w:val="0"/>
      <w:divBdr>
        <w:top w:val="none" w:sz="0" w:space="0" w:color="auto"/>
        <w:left w:val="none" w:sz="0" w:space="0" w:color="auto"/>
        <w:bottom w:val="none" w:sz="0" w:space="0" w:color="auto"/>
        <w:right w:val="none" w:sz="0" w:space="0" w:color="auto"/>
      </w:divBdr>
      <w:divsChild>
        <w:div w:id="1092705010">
          <w:marLeft w:val="0"/>
          <w:marRight w:val="0"/>
          <w:marTop w:val="0"/>
          <w:marBottom w:val="0"/>
          <w:divBdr>
            <w:top w:val="none" w:sz="0" w:space="0" w:color="auto"/>
            <w:left w:val="none" w:sz="0" w:space="0" w:color="auto"/>
            <w:bottom w:val="none" w:sz="0" w:space="0" w:color="auto"/>
            <w:right w:val="none" w:sz="0" w:space="0" w:color="auto"/>
          </w:divBdr>
          <w:divsChild>
            <w:div w:id="204417539">
              <w:marLeft w:val="0"/>
              <w:marRight w:val="0"/>
              <w:marTop w:val="0"/>
              <w:marBottom w:val="0"/>
              <w:divBdr>
                <w:top w:val="none" w:sz="0" w:space="0" w:color="auto"/>
                <w:left w:val="none" w:sz="0" w:space="0" w:color="auto"/>
                <w:bottom w:val="none" w:sz="0" w:space="0" w:color="auto"/>
                <w:right w:val="none" w:sz="0" w:space="0" w:color="auto"/>
              </w:divBdr>
              <w:divsChild>
                <w:div w:id="1895579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386723">
      <w:bodyDiv w:val="1"/>
      <w:marLeft w:val="0"/>
      <w:marRight w:val="0"/>
      <w:marTop w:val="0"/>
      <w:marBottom w:val="0"/>
      <w:divBdr>
        <w:top w:val="none" w:sz="0" w:space="0" w:color="auto"/>
        <w:left w:val="none" w:sz="0" w:space="0" w:color="auto"/>
        <w:bottom w:val="none" w:sz="0" w:space="0" w:color="auto"/>
        <w:right w:val="none" w:sz="0" w:space="0" w:color="auto"/>
      </w:divBdr>
      <w:divsChild>
        <w:div w:id="1832983528">
          <w:marLeft w:val="0"/>
          <w:marRight w:val="0"/>
          <w:marTop w:val="0"/>
          <w:marBottom w:val="0"/>
          <w:divBdr>
            <w:top w:val="none" w:sz="0" w:space="0" w:color="auto"/>
            <w:left w:val="none" w:sz="0" w:space="0" w:color="auto"/>
            <w:bottom w:val="none" w:sz="0" w:space="0" w:color="auto"/>
            <w:right w:val="none" w:sz="0" w:space="0" w:color="auto"/>
          </w:divBdr>
          <w:divsChild>
            <w:div w:id="1347175165">
              <w:marLeft w:val="0"/>
              <w:marRight w:val="0"/>
              <w:marTop w:val="0"/>
              <w:marBottom w:val="0"/>
              <w:divBdr>
                <w:top w:val="none" w:sz="0" w:space="0" w:color="auto"/>
                <w:left w:val="none" w:sz="0" w:space="0" w:color="auto"/>
                <w:bottom w:val="none" w:sz="0" w:space="0" w:color="auto"/>
                <w:right w:val="none" w:sz="0" w:space="0" w:color="auto"/>
              </w:divBdr>
              <w:divsChild>
                <w:div w:id="116405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583991">
      <w:bodyDiv w:val="1"/>
      <w:marLeft w:val="0"/>
      <w:marRight w:val="0"/>
      <w:marTop w:val="0"/>
      <w:marBottom w:val="0"/>
      <w:divBdr>
        <w:top w:val="none" w:sz="0" w:space="0" w:color="auto"/>
        <w:left w:val="none" w:sz="0" w:space="0" w:color="auto"/>
        <w:bottom w:val="none" w:sz="0" w:space="0" w:color="auto"/>
        <w:right w:val="none" w:sz="0" w:space="0" w:color="auto"/>
      </w:divBdr>
    </w:div>
    <w:div w:id="713385895">
      <w:bodyDiv w:val="1"/>
      <w:marLeft w:val="0"/>
      <w:marRight w:val="0"/>
      <w:marTop w:val="0"/>
      <w:marBottom w:val="0"/>
      <w:divBdr>
        <w:top w:val="none" w:sz="0" w:space="0" w:color="auto"/>
        <w:left w:val="none" w:sz="0" w:space="0" w:color="auto"/>
        <w:bottom w:val="none" w:sz="0" w:space="0" w:color="auto"/>
        <w:right w:val="none" w:sz="0" w:space="0" w:color="auto"/>
      </w:divBdr>
    </w:div>
    <w:div w:id="714622805">
      <w:bodyDiv w:val="1"/>
      <w:marLeft w:val="0"/>
      <w:marRight w:val="0"/>
      <w:marTop w:val="0"/>
      <w:marBottom w:val="0"/>
      <w:divBdr>
        <w:top w:val="none" w:sz="0" w:space="0" w:color="auto"/>
        <w:left w:val="none" w:sz="0" w:space="0" w:color="auto"/>
        <w:bottom w:val="none" w:sz="0" w:space="0" w:color="auto"/>
        <w:right w:val="none" w:sz="0" w:space="0" w:color="auto"/>
      </w:divBdr>
    </w:div>
    <w:div w:id="716203877">
      <w:bodyDiv w:val="1"/>
      <w:marLeft w:val="0"/>
      <w:marRight w:val="0"/>
      <w:marTop w:val="0"/>
      <w:marBottom w:val="0"/>
      <w:divBdr>
        <w:top w:val="none" w:sz="0" w:space="0" w:color="auto"/>
        <w:left w:val="none" w:sz="0" w:space="0" w:color="auto"/>
        <w:bottom w:val="none" w:sz="0" w:space="0" w:color="auto"/>
        <w:right w:val="none" w:sz="0" w:space="0" w:color="auto"/>
      </w:divBdr>
    </w:div>
    <w:div w:id="717709668">
      <w:bodyDiv w:val="1"/>
      <w:marLeft w:val="0"/>
      <w:marRight w:val="0"/>
      <w:marTop w:val="0"/>
      <w:marBottom w:val="0"/>
      <w:divBdr>
        <w:top w:val="none" w:sz="0" w:space="0" w:color="auto"/>
        <w:left w:val="none" w:sz="0" w:space="0" w:color="auto"/>
        <w:bottom w:val="none" w:sz="0" w:space="0" w:color="auto"/>
        <w:right w:val="none" w:sz="0" w:space="0" w:color="auto"/>
      </w:divBdr>
    </w:div>
    <w:div w:id="723257680">
      <w:bodyDiv w:val="1"/>
      <w:marLeft w:val="0"/>
      <w:marRight w:val="0"/>
      <w:marTop w:val="0"/>
      <w:marBottom w:val="0"/>
      <w:divBdr>
        <w:top w:val="none" w:sz="0" w:space="0" w:color="auto"/>
        <w:left w:val="none" w:sz="0" w:space="0" w:color="auto"/>
        <w:bottom w:val="none" w:sz="0" w:space="0" w:color="auto"/>
        <w:right w:val="none" w:sz="0" w:space="0" w:color="auto"/>
      </w:divBdr>
    </w:div>
    <w:div w:id="729886742">
      <w:bodyDiv w:val="1"/>
      <w:marLeft w:val="0"/>
      <w:marRight w:val="0"/>
      <w:marTop w:val="0"/>
      <w:marBottom w:val="0"/>
      <w:divBdr>
        <w:top w:val="none" w:sz="0" w:space="0" w:color="auto"/>
        <w:left w:val="none" w:sz="0" w:space="0" w:color="auto"/>
        <w:bottom w:val="none" w:sz="0" w:space="0" w:color="auto"/>
        <w:right w:val="none" w:sz="0" w:space="0" w:color="auto"/>
      </w:divBdr>
    </w:div>
    <w:div w:id="734164889">
      <w:bodyDiv w:val="1"/>
      <w:marLeft w:val="0"/>
      <w:marRight w:val="0"/>
      <w:marTop w:val="0"/>
      <w:marBottom w:val="0"/>
      <w:divBdr>
        <w:top w:val="none" w:sz="0" w:space="0" w:color="auto"/>
        <w:left w:val="none" w:sz="0" w:space="0" w:color="auto"/>
        <w:bottom w:val="none" w:sz="0" w:space="0" w:color="auto"/>
        <w:right w:val="none" w:sz="0" w:space="0" w:color="auto"/>
      </w:divBdr>
    </w:div>
    <w:div w:id="738138620">
      <w:bodyDiv w:val="1"/>
      <w:marLeft w:val="0"/>
      <w:marRight w:val="0"/>
      <w:marTop w:val="0"/>
      <w:marBottom w:val="0"/>
      <w:divBdr>
        <w:top w:val="none" w:sz="0" w:space="0" w:color="auto"/>
        <w:left w:val="none" w:sz="0" w:space="0" w:color="auto"/>
        <w:bottom w:val="none" w:sz="0" w:space="0" w:color="auto"/>
        <w:right w:val="none" w:sz="0" w:space="0" w:color="auto"/>
      </w:divBdr>
    </w:div>
    <w:div w:id="748965339">
      <w:bodyDiv w:val="1"/>
      <w:marLeft w:val="0"/>
      <w:marRight w:val="0"/>
      <w:marTop w:val="0"/>
      <w:marBottom w:val="0"/>
      <w:divBdr>
        <w:top w:val="none" w:sz="0" w:space="0" w:color="auto"/>
        <w:left w:val="none" w:sz="0" w:space="0" w:color="auto"/>
        <w:bottom w:val="none" w:sz="0" w:space="0" w:color="auto"/>
        <w:right w:val="none" w:sz="0" w:space="0" w:color="auto"/>
      </w:divBdr>
    </w:div>
    <w:div w:id="749618054">
      <w:bodyDiv w:val="1"/>
      <w:marLeft w:val="0"/>
      <w:marRight w:val="0"/>
      <w:marTop w:val="0"/>
      <w:marBottom w:val="0"/>
      <w:divBdr>
        <w:top w:val="none" w:sz="0" w:space="0" w:color="auto"/>
        <w:left w:val="none" w:sz="0" w:space="0" w:color="auto"/>
        <w:bottom w:val="none" w:sz="0" w:space="0" w:color="auto"/>
        <w:right w:val="none" w:sz="0" w:space="0" w:color="auto"/>
      </w:divBdr>
      <w:divsChild>
        <w:div w:id="838470608">
          <w:marLeft w:val="0"/>
          <w:marRight w:val="0"/>
          <w:marTop w:val="0"/>
          <w:marBottom w:val="0"/>
          <w:divBdr>
            <w:top w:val="none" w:sz="0" w:space="0" w:color="auto"/>
            <w:left w:val="none" w:sz="0" w:space="0" w:color="auto"/>
            <w:bottom w:val="none" w:sz="0" w:space="0" w:color="auto"/>
            <w:right w:val="none" w:sz="0" w:space="0" w:color="auto"/>
          </w:divBdr>
          <w:divsChild>
            <w:div w:id="1678001748">
              <w:marLeft w:val="0"/>
              <w:marRight w:val="0"/>
              <w:marTop w:val="0"/>
              <w:marBottom w:val="0"/>
              <w:divBdr>
                <w:top w:val="none" w:sz="0" w:space="0" w:color="auto"/>
                <w:left w:val="none" w:sz="0" w:space="0" w:color="auto"/>
                <w:bottom w:val="none" w:sz="0" w:space="0" w:color="auto"/>
                <w:right w:val="none" w:sz="0" w:space="0" w:color="auto"/>
              </w:divBdr>
              <w:divsChild>
                <w:div w:id="1990984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860178">
      <w:bodyDiv w:val="1"/>
      <w:marLeft w:val="0"/>
      <w:marRight w:val="0"/>
      <w:marTop w:val="0"/>
      <w:marBottom w:val="0"/>
      <w:divBdr>
        <w:top w:val="none" w:sz="0" w:space="0" w:color="auto"/>
        <w:left w:val="none" w:sz="0" w:space="0" w:color="auto"/>
        <w:bottom w:val="none" w:sz="0" w:space="0" w:color="auto"/>
        <w:right w:val="none" w:sz="0" w:space="0" w:color="auto"/>
      </w:divBdr>
    </w:div>
    <w:div w:id="755319657">
      <w:bodyDiv w:val="1"/>
      <w:marLeft w:val="0"/>
      <w:marRight w:val="0"/>
      <w:marTop w:val="0"/>
      <w:marBottom w:val="0"/>
      <w:divBdr>
        <w:top w:val="none" w:sz="0" w:space="0" w:color="auto"/>
        <w:left w:val="none" w:sz="0" w:space="0" w:color="auto"/>
        <w:bottom w:val="none" w:sz="0" w:space="0" w:color="auto"/>
        <w:right w:val="none" w:sz="0" w:space="0" w:color="auto"/>
      </w:divBdr>
    </w:div>
    <w:div w:id="757675592">
      <w:bodyDiv w:val="1"/>
      <w:marLeft w:val="0"/>
      <w:marRight w:val="0"/>
      <w:marTop w:val="0"/>
      <w:marBottom w:val="0"/>
      <w:divBdr>
        <w:top w:val="none" w:sz="0" w:space="0" w:color="auto"/>
        <w:left w:val="none" w:sz="0" w:space="0" w:color="auto"/>
        <w:bottom w:val="none" w:sz="0" w:space="0" w:color="auto"/>
        <w:right w:val="none" w:sz="0" w:space="0" w:color="auto"/>
      </w:divBdr>
    </w:div>
    <w:div w:id="763497541">
      <w:bodyDiv w:val="1"/>
      <w:marLeft w:val="0"/>
      <w:marRight w:val="0"/>
      <w:marTop w:val="0"/>
      <w:marBottom w:val="0"/>
      <w:divBdr>
        <w:top w:val="none" w:sz="0" w:space="0" w:color="auto"/>
        <w:left w:val="none" w:sz="0" w:space="0" w:color="auto"/>
        <w:bottom w:val="none" w:sz="0" w:space="0" w:color="auto"/>
        <w:right w:val="none" w:sz="0" w:space="0" w:color="auto"/>
      </w:divBdr>
      <w:divsChild>
        <w:div w:id="28648351">
          <w:marLeft w:val="0"/>
          <w:marRight w:val="0"/>
          <w:marTop w:val="0"/>
          <w:marBottom w:val="0"/>
          <w:divBdr>
            <w:top w:val="none" w:sz="0" w:space="0" w:color="auto"/>
            <w:left w:val="none" w:sz="0" w:space="0" w:color="auto"/>
            <w:bottom w:val="none" w:sz="0" w:space="0" w:color="auto"/>
            <w:right w:val="none" w:sz="0" w:space="0" w:color="auto"/>
          </w:divBdr>
          <w:divsChild>
            <w:div w:id="1829398498">
              <w:marLeft w:val="0"/>
              <w:marRight w:val="0"/>
              <w:marTop w:val="0"/>
              <w:marBottom w:val="0"/>
              <w:divBdr>
                <w:top w:val="none" w:sz="0" w:space="0" w:color="auto"/>
                <w:left w:val="none" w:sz="0" w:space="0" w:color="auto"/>
                <w:bottom w:val="none" w:sz="0" w:space="0" w:color="auto"/>
                <w:right w:val="none" w:sz="0" w:space="0" w:color="auto"/>
              </w:divBdr>
              <w:divsChild>
                <w:div w:id="45025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365552">
      <w:bodyDiv w:val="1"/>
      <w:marLeft w:val="0"/>
      <w:marRight w:val="0"/>
      <w:marTop w:val="0"/>
      <w:marBottom w:val="0"/>
      <w:divBdr>
        <w:top w:val="none" w:sz="0" w:space="0" w:color="auto"/>
        <w:left w:val="none" w:sz="0" w:space="0" w:color="auto"/>
        <w:bottom w:val="none" w:sz="0" w:space="0" w:color="auto"/>
        <w:right w:val="none" w:sz="0" w:space="0" w:color="auto"/>
      </w:divBdr>
    </w:div>
    <w:div w:id="774398363">
      <w:bodyDiv w:val="1"/>
      <w:marLeft w:val="0"/>
      <w:marRight w:val="0"/>
      <w:marTop w:val="0"/>
      <w:marBottom w:val="0"/>
      <w:divBdr>
        <w:top w:val="none" w:sz="0" w:space="0" w:color="auto"/>
        <w:left w:val="none" w:sz="0" w:space="0" w:color="auto"/>
        <w:bottom w:val="none" w:sz="0" w:space="0" w:color="auto"/>
        <w:right w:val="none" w:sz="0" w:space="0" w:color="auto"/>
      </w:divBdr>
    </w:div>
    <w:div w:id="789469616">
      <w:bodyDiv w:val="1"/>
      <w:marLeft w:val="0"/>
      <w:marRight w:val="0"/>
      <w:marTop w:val="0"/>
      <w:marBottom w:val="0"/>
      <w:divBdr>
        <w:top w:val="none" w:sz="0" w:space="0" w:color="auto"/>
        <w:left w:val="none" w:sz="0" w:space="0" w:color="auto"/>
        <w:bottom w:val="none" w:sz="0" w:space="0" w:color="auto"/>
        <w:right w:val="none" w:sz="0" w:space="0" w:color="auto"/>
      </w:divBdr>
    </w:div>
    <w:div w:id="790824016">
      <w:bodyDiv w:val="1"/>
      <w:marLeft w:val="0"/>
      <w:marRight w:val="0"/>
      <w:marTop w:val="0"/>
      <w:marBottom w:val="0"/>
      <w:divBdr>
        <w:top w:val="none" w:sz="0" w:space="0" w:color="auto"/>
        <w:left w:val="none" w:sz="0" w:space="0" w:color="auto"/>
        <w:bottom w:val="none" w:sz="0" w:space="0" w:color="auto"/>
        <w:right w:val="none" w:sz="0" w:space="0" w:color="auto"/>
      </w:divBdr>
    </w:div>
    <w:div w:id="813596579">
      <w:bodyDiv w:val="1"/>
      <w:marLeft w:val="0"/>
      <w:marRight w:val="0"/>
      <w:marTop w:val="0"/>
      <w:marBottom w:val="0"/>
      <w:divBdr>
        <w:top w:val="none" w:sz="0" w:space="0" w:color="auto"/>
        <w:left w:val="none" w:sz="0" w:space="0" w:color="auto"/>
        <w:bottom w:val="none" w:sz="0" w:space="0" w:color="auto"/>
        <w:right w:val="none" w:sz="0" w:space="0" w:color="auto"/>
      </w:divBdr>
      <w:divsChild>
        <w:div w:id="1756710411">
          <w:marLeft w:val="0"/>
          <w:marRight w:val="0"/>
          <w:marTop w:val="0"/>
          <w:marBottom w:val="0"/>
          <w:divBdr>
            <w:top w:val="none" w:sz="0" w:space="0" w:color="auto"/>
            <w:left w:val="none" w:sz="0" w:space="0" w:color="auto"/>
            <w:bottom w:val="none" w:sz="0" w:space="0" w:color="auto"/>
            <w:right w:val="none" w:sz="0" w:space="0" w:color="auto"/>
          </w:divBdr>
          <w:divsChild>
            <w:div w:id="1585796915">
              <w:marLeft w:val="0"/>
              <w:marRight w:val="0"/>
              <w:marTop w:val="0"/>
              <w:marBottom w:val="0"/>
              <w:divBdr>
                <w:top w:val="none" w:sz="0" w:space="0" w:color="auto"/>
                <w:left w:val="none" w:sz="0" w:space="0" w:color="auto"/>
                <w:bottom w:val="none" w:sz="0" w:space="0" w:color="auto"/>
                <w:right w:val="none" w:sz="0" w:space="0" w:color="auto"/>
              </w:divBdr>
              <w:divsChild>
                <w:div w:id="388503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268889">
      <w:bodyDiv w:val="1"/>
      <w:marLeft w:val="0"/>
      <w:marRight w:val="0"/>
      <w:marTop w:val="0"/>
      <w:marBottom w:val="0"/>
      <w:divBdr>
        <w:top w:val="none" w:sz="0" w:space="0" w:color="auto"/>
        <w:left w:val="none" w:sz="0" w:space="0" w:color="auto"/>
        <w:bottom w:val="none" w:sz="0" w:space="0" w:color="auto"/>
        <w:right w:val="none" w:sz="0" w:space="0" w:color="auto"/>
      </w:divBdr>
    </w:div>
    <w:div w:id="817847305">
      <w:bodyDiv w:val="1"/>
      <w:marLeft w:val="0"/>
      <w:marRight w:val="0"/>
      <w:marTop w:val="0"/>
      <w:marBottom w:val="0"/>
      <w:divBdr>
        <w:top w:val="none" w:sz="0" w:space="0" w:color="auto"/>
        <w:left w:val="none" w:sz="0" w:space="0" w:color="auto"/>
        <w:bottom w:val="none" w:sz="0" w:space="0" w:color="auto"/>
        <w:right w:val="none" w:sz="0" w:space="0" w:color="auto"/>
      </w:divBdr>
    </w:div>
    <w:div w:id="820804787">
      <w:bodyDiv w:val="1"/>
      <w:marLeft w:val="0"/>
      <w:marRight w:val="0"/>
      <w:marTop w:val="0"/>
      <w:marBottom w:val="0"/>
      <w:divBdr>
        <w:top w:val="none" w:sz="0" w:space="0" w:color="auto"/>
        <w:left w:val="none" w:sz="0" w:space="0" w:color="auto"/>
        <w:bottom w:val="none" w:sz="0" w:space="0" w:color="auto"/>
        <w:right w:val="none" w:sz="0" w:space="0" w:color="auto"/>
      </w:divBdr>
      <w:divsChild>
        <w:div w:id="70129690">
          <w:marLeft w:val="0"/>
          <w:marRight w:val="0"/>
          <w:marTop w:val="0"/>
          <w:marBottom w:val="0"/>
          <w:divBdr>
            <w:top w:val="none" w:sz="0" w:space="0" w:color="auto"/>
            <w:left w:val="none" w:sz="0" w:space="0" w:color="auto"/>
            <w:bottom w:val="none" w:sz="0" w:space="0" w:color="auto"/>
            <w:right w:val="none" w:sz="0" w:space="0" w:color="auto"/>
          </w:divBdr>
          <w:divsChild>
            <w:div w:id="1436248245">
              <w:marLeft w:val="0"/>
              <w:marRight w:val="0"/>
              <w:marTop w:val="0"/>
              <w:marBottom w:val="0"/>
              <w:divBdr>
                <w:top w:val="none" w:sz="0" w:space="0" w:color="auto"/>
                <w:left w:val="none" w:sz="0" w:space="0" w:color="auto"/>
                <w:bottom w:val="none" w:sz="0" w:space="0" w:color="auto"/>
                <w:right w:val="none" w:sz="0" w:space="0" w:color="auto"/>
              </w:divBdr>
              <w:divsChild>
                <w:div w:id="1693922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3351090">
      <w:bodyDiv w:val="1"/>
      <w:marLeft w:val="0"/>
      <w:marRight w:val="0"/>
      <w:marTop w:val="0"/>
      <w:marBottom w:val="0"/>
      <w:divBdr>
        <w:top w:val="none" w:sz="0" w:space="0" w:color="auto"/>
        <w:left w:val="none" w:sz="0" w:space="0" w:color="auto"/>
        <w:bottom w:val="none" w:sz="0" w:space="0" w:color="auto"/>
        <w:right w:val="none" w:sz="0" w:space="0" w:color="auto"/>
      </w:divBdr>
    </w:div>
    <w:div w:id="823932350">
      <w:bodyDiv w:val="1"/>
      <w:marLeft w:val="0"/>
      <w:marRight w:val="0"/>
      <w:marTop w:val="0"/>
      <w:marBottom w:val="0"/>
      <w:divBdr>
        <w:top w:val="none" w:sz="0" w:space="0" w:color="auto"/>
        <w:left w:val="none" w:sz="0" w:space="0" w:color="auto"/>
        <w:bottom w:val="none" w:sz="0" w:space="0" w:color="auto"/>
        <w:right w:val="none" w:sz="0" w:space="0" w:color="auto"/>
      </w:divBdr>
      <w:divsChild>
        <w:div w:id="2140603700">
          <w:marLeft w:val="0"/>
          <w:marRight w:val="0"/>
          <w:marTop w:val="0"/>
          <w:marBottom w:val="0"/>
          <w:divBdr>
            <w:top w:val="none" w:sz="0" w:space="0" w:color="auto"/>
            <w:left w:val="none" w:sz="0" w:space="0" w:color="auto"/>
            <w:bottom w:val="none" w:sz="0" w:space="0" w:color="auto"/>
            <w:right w:val="none" w:sz="0" w:space="0" w:color="auto"/>
          </w:divBdr>
          <w:divsChild>
            <w:div w:id="832139088">
              <w:marLeft w:val="0"/>
              <w:marRight w:val="0"/>
              <w:marTop w:val="0"/>
              <w:marBottom w:val="0"/>
              <w:divBdr>
                <w:top w:val="none" w:sz="0" w:space="0" w:color="auto"/>
                <w:left w:val="none" w:sz="0" w:space="0" w:color="auto"/>
                <w:bottom w:val="none" w:sz="0" w:space="0" w:color="auto"/>
                <w:right w:val="none" w:sz="0" w:space="0" w:color="auto"/>
              </w:divBdr>
              <w:divsChild>
                <w:div w:id="10908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318097">
      <w:bodyDiv w:val="1"/>
      <w:marLeft w:val="0"/>
      <w:marRight w:val="0"/>
      <w:marTop w:val="0"/>
      <w:marBottom w:val="0"/>
      <w:divBdr>
        <w:top w:val="none" w:sz="0" w:space="0" w:color="auto"/>
        <w:left w:val="none" w:sz="0" w:space="0" w:color="auto"/>
        <w:bottom w:val="none" w:sz="0" w:space="0" w:color="auto"/>
        <w:right w:val="none" w:sz="0" w:space="0" w:color="auto"/>
      </w:divBdr>
      <w:divsChild>
        <w:div w:id="1849900428">
          <w:marLeft w:val="0"/>
          <w:marRight w:val="0"/>
          <w:marTop w:val="0"/>
          <w:marBottom w:val="0"/>
          <w:divBdr>
            <w:top w:val="none" w:sz="0" w:space="0" w:color="auto"/>
            <w:left w:val="none" w:sz="0" w:space="0" w:color="auto"/>
            <w:bottom w:val="none" w:sz="0" w:space="0" w:color="auto"/>
            <w:right w:val="none" w:sz="0" w:space="0" w:color="auto"/>
          </w:divBdr>
          <w:divsChild>
            <w:div w:id="1798598039">
              <w:marLeft w:val="0"/>
              <w:marRight w:val="0"/>
              <w:marTop w:val="0"/>
              <w:marBottom w:val="0"/>
              <w:divBdr>
                <w:top w:val="none" w:sz="0" w:space="0" w:color="auto"/>
                <w:left w:val="none" w:sz="0" w:space="0" w:color="auto"/>
                <w:bottom w:val="none" w:sz="0" w:space="0" w:color="auto"/>
                <w:right w:val="none" w:sz="0" w:space="0" w:color="auto"/>
              </w:divBdr>
              <w:divsChild>
                <w:div w:id="154286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7282779">
      <w:bodyDiv w:val="1"/>
      <w:marLeft w:val="0"/>
      <w:marRight w:val="0"/>
      <w:marTop w:val="0"/>
      <w:marBottom w:val="0"/>
      <w:divBdr>
        <w:top w:val="none" w:sz="0" w:space="0" w:color="auto"/>
        <w:left w:val="none" w:sz="0" w:space="0" w:color="auto"/>
        <w:bottom w:val="none" w:sz="0" w:space="0" w:color="auto"/>
        <w:right w:val="none" w:sz="0" w:space="0" w:color="auto"/>
      </w:divBdr>
      <w:divsChild>
        <w:div w:id="872763686">
          <w:marLeft w:val="0"/>
          <w:marRight w:val="0"/>
          <w:marTop w:val="0"/>
          <w:marBottom w:val="0"/>
          <w:divBdr>
            <w:top w:val="none" w:sz="0" w:space="0" w:color="auto"/>
            <w:left w:val="none" w:sz="0" w:space="0" w:color="auto"/>
            <w:bottom w:val="none" w:sz="0" w:space="0" w:color="auto"/>
            <w:right w:val="none" w:sz="0" w:space="0" w:color="auto"/>
          </w:divBdr>
          <w:divsChild>
            <w:div w:id="500313493">
              <w:marLeft w:val="0"/>
              <w:marRight w:val="0"/>
              <w:marTop w:val="0"/>
              <w:marBottom w:val="0"/>
              <w:divBdr>
                <w:top w:val="none" w:sz="0" w:space="0" w:color="auto"/>
                <w:left w:val="none" w:sz="0" w:space="0" w:color="auto"/>
                <w:bottom w:val="none" w:sz="0" w:space="0" w:color="auto"/>
                <w:right w:val="none" w:sz="0" w:space="0" w:color="auto"/>
              </w:divBdr>
              <w:divsChild>
                <w:div w:id="26365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8791663">
      <w:bodyDiv w:val="1"/>
      <w:marLeft w:val="0"/>
      <w:marRight w:val="0"/>
      <w:marTop w:val="0"/>
      <w:marBottom w:val="0"/>
      <w:divBdr>
        <w:top w:val="none" w:sz="0" w:space="0" w:color="auto"/>
        <w:left w:val="none" w:sz="0" w:space="0" w:color="auto"/>
        <w:bottom w:val="none" w:sz="0" w:space="0" w:color="auto"/>
        <w:right w:val="none" w:sz="0" w:space="0" w:color="auto"/>
      </w:divBdr>
    </w:div>
    <w:div w:id="834490779">
      <w:bodyDiv w:val="1"/>
      <w:marLeft w:val="0"/>
      <w:marRight w:val="0"/>
      <w:marTop w:val="0"/>
      <w:marBottom w:val="0"/>
      <w:divBdr>
        <w:top w:val="none" w:sz="0" w:space="0" w:color="auto"/>
        <w:left w:val="none" w:sz="0" w:space="0" w:color="auto"/>
        <w:bottom w:val="none" w:sz="0" w:space="0" w:color="auto"/>
        <w:right w:val="none" w:sz="0" w:space="0" w:color="auto"/>
      </w:divBdr>
    </w:div>
    <w:div w:id="834878127">
      <w:bodyDiv w:val="1"/>
      <w:marLeft w:val="0"/>
      <w:marRight w:val="0"/>
      <w:marTop w:val="0"/>
      <w:marBottom w:val="0"/>
      <w:divBdr>
        <w:top w:val="none" w:sz="0" w:space="0" w:color="auto"/>
        <w:left w:val="none" w:sz="0" w:space="0" w:color="auto"/>
        <w:bottom w:val="none" w:sz="0" w:space="0" w:color="auto"/>
        <w:right w:val="none" w:sz="0" w:space="0" w:color="auto"/>
      </w:divBdr>
    </w:div>
    <w:div w:id="852063065">
      <w:bodyDiv w:val="1"/>
      <w:marLeft w:val="0"/>
      <w:marRight w:val="0"/>
      <w:marTop w:val="0"/>
      <w:marBottom w:val="0"/>
      <w:divBdr>
        <w:top w:val="none" w:sz="0" w:space="0" w:color="auto"/>
        <w:left w:val="none" w:sz="0" w:space="0" w:color="auto"/>
        <w:bottom w:val="none" w:sz="0" w:space="0" w:color="auto"/>
        <w:right w:val="none" w:sz="0" w:space="0" w:color="auto"/>
      </w:divBdr>
      <w:divsChild>
        <w:div w:id="610088862">
          <w:marLeft w:val="0"/>
          <w:marRight w:val="0"/>
          <w:marTop w:val="0"/>
          <w:marBottom w:val="0"/>
          <w:divBdr>
            <w:top w:val="none" w:sz="0" w:space="0" w:color="auto"/>
            <w:left w:val="none" w:sz="0" w:space="0" w:color="auto"/>
            <w:bottom w:val="none" w:sz="0" w:space="0" w:color="auto"/>
            <w:right w:val="none" w:sz="0" w:space="0" w:color="auto"/>
          </w:divBdr>
          <w:divsChild>
            <w:div w:id="1146703932">
              <w:marLeft w:val="0"/>
              <w:marRight w:val="0"/>
              <w:marTop w:val="0"/>
              <w:marBottom w:val="0"/>
              <w:divBdr>
                <w:top w:val="none" w:sz="0" w:space="0" w:color="auto"/>
                <w:left w:val="none" w:sz="0" w:space="0" w:color="auto"/>
                <w:bottom w:val="none" w:sz="0" w:space="0" w:color="auto"/>
                <w:right w:val="none" w:sz="0" w:space="0" w:color="auto"/>
              </w:divBdr>
              <w:divsChild>
                <w:div w:id="949122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2300959">
      <w:bodyDiv w:val="1"/>
      <w:marLeft w:val="0"/>
      <w:marRight w:val="0"/>
      <w:marTop w:val="0"/>
      <w:marBottom w:val="0"/>
      <w:divBdr>
        <w:top w:val="none" w:sz="0" w:space="0" w:color="auto"/>
        <w:left w:val="none" w:sz="0" w:space="0" w:color="auto"/>
        <w:bottom w:val="none" w:sz="0" w:space="0" w:color="auto"/>
        <w:right w:val="none" w:sz="0" w:space="0" w:color="auto"/>
      </w:divBdr>
      <w:divsChild>
        <w:div w:id="1134788505">
          <w:marLeft w:val="0"/>
          <w:marRight w:val="0"/>
          <w:marTop w:val="0"/>
          <w:marBottom w:val="0"/>
          <w:divBdr>
            <w:top w:val="none" w:sz="0" w:space="0" w:color="auto"/>
            <w:left w:val="none" w:sz="0" w:space="0" w:color="auto"/>
            <w:bottom w:val="none" w:sz="0" w:space="0" w:color="auto"/>
            <w:right w:val="none" w:sz="0" w:space="0" w:color="auto"/>
          </w:divBdr>
          <w:divsChild>
            <w:div w:id="396318397">
              <w:marLeft w:val="0"/>
              <w:marRight w:val="0"/>
              <w:marTop w:val="0"/>
              <w:marBottom w:val="0"/>
              <w:divBdr>
                <w:top w:val="none" w:sz="0" w:space="0" w:color="auto"/>
                <w:left w:val="none" w:sz="0" w:space="0" w:color="auto"/>
                <w:bottom w:val="none" w:sz="0" w:space="0" w:color="auto"/>
                <w:right w:val="none" w:sz="0" w:space="0" w:color="auto"/>
              </w:divBdr>
              <w:divsChild>
                <w:div w:id="126163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8081343">
      <w:bodyDiv w:val="1"/>
      <w:marLeft w:val="0"/>
      <w:marRight w:val="0"/>
      <w:marTop w:val="0"/>
      <w:marBottom w:val="0"/>
      <w:divBdr>
        <w:top w:val="none" w:sz="0" w:space="0" w:color="auto"/>
        <w:left w:val="none" w:sz="0" w:space="0" w:color="auto"/>
        <w:bottom w:val="none" w:sz="0" w:space="0" w:color="auto"/>
        <w:right w:val="none" w:sz="0" w:space="0" w:color="auto"/>
      </w:divBdr>
    </w:div>
    <w:div w:id="858544438">
      <w:bodyDiv w:val="1"/>
      <w:marLeft w:val="0"/>
      <w:marRight w:val="0"/>
      <w:marTop w:val="0"/>
      <w:marBottom w:val="0"/>
      <w:divBdr>
        <w:top w:val="none" w:sz="0" w:space="0" w:color="auto"/>
        <w:left w:val="none" w:sz="0" w:space="0" w:color="auto"/>
        <w:bottom w:val="none" w:sz="0" w:space="0" w:color="auto"/>
        <w:right w:val="none" w:sz="0" w:space="0" w:color="auto"/>
      </w:divBdr>
    </w:div>
    <w:div w:id="864908433">
      <w:bodyDiv w:val="1"/>
      <w:marLeft w:val="0"/>
      <w:marRight w:val="0"/>
      <w:marTop w:val="0"/>
      <w:marBottom w:val="0"/>
      <w:divBdr>
        <w:top w:val="none" w:sz="0" w:space="0" w:color="auto"/>
        <w:left w:val="none" w:sz="0" w:space="0" w:color="auto"/>
        <w:bottom w:val="none" w:sz="0" w:space="0" w:color="auto"/>
        <w:right w:val="none" w:sz="0" w:space="0" w:color="auto"/>
      </w:divBdr>
    </w:div>
    <w:div w:id="865095987">
      <w:bodyDiv w:val="1"/>
      <w:marLeft w:val="0"/>
      <w:marRight w:val="0"/>
      <w:marTop w:val="0"/>
      <w:marBottom w:val="0"/>
      <w:divBdr>
        <w:top w:val="none" w:sz="0" w:space="0" w:color="auto"/>
        <w:left w:val="none" w:sz="0" w:space="0" w:color="auto"/>
        <w:bottom w:val="none" w:sz="0" w:space="0" w:color="auto"/>
        <w:right w:val="none" w:sz="0" w:space="0" w:color="auto"/>
      </w:divBdr>
    </w:div>
    <w:div w:id="866217825">
      <w:bodyDiv w:val="1"/>
      <w:marLeft w:val="0"/>
      <w:marRight w:val="0"/>
      <w:marTop w:val="0"/>
      <w:marBottom w:val="0"/>
      <w:divBdr>
        <w:top w:val="none" w:sz="0" w:space="0" w:color="auto"/>
        <w:left w:val="none" w:sz="0" w:space="0" w:color="auto"/>
        <w:bottom w:val="none" w:sz="0" w:space="0" w:color="auto"/>
        <w:right w:val="none" w:sz="0" w:space="0" w:color="auto"/>
      </w:divBdr>
    </w:div>
    <w:div w:id="875193959">
      <w:bodyDiv w:val="1"/>
      <w:marLeft w:val="0"/>
      <w:marRight w:val="0"/>
      <w:marTop w:val="0"/>
      <w:marBottom w:val="0"/>
      <w:divBdr>
        <w:top w:val="none" w:sz="0" w:space="0" w:color="auto"/>
        <w:left w:val="none" w:sz="0" w:space="0" w:color="auto"/>
        <w:bottom w:val="none" w:sz="0" w:space="0" w:color="auto"/>
        <w:right w:val="none" w:sz="0" w:space="0" w:color="auto"/>
      </w:divBdr>
    </w:div>
    <w:div w:id="884802197">
      <w:bodyDiv w:val="1"/>
      <w:marLeft w:val="0"/>
      <w:marRight w:val="0"/>
      <w:marTop w:val="0"/>
      <w:marBottom w:val="0"/>
      <w:divBdr>
        <w:top w:val="none" w:sz="0" w:space="0" w:color="auto"/>
        <w:left w:val="none" w:sz="0" w:space="0" w:color="auto"/>
        <w:bottom w:val="none" w:sz="0" w:space="0" w:color="auto"/>
        <w:right w:val="none" w:sz="0" w:space="0" w:color="auto"/>
      </w:divBdr>
    </w:div>
    <w:div w:id="887255967">
      <w:bodyDiv w:val="1"/>
      <w:marLeft w:val="0"/>
      <w:marRight w:val="0"/>
      <w:marTop w:val="0"/>
      <w:marBottom w:val="0"/>
      <w:divBdr>
        <w:top w:val="none" w:sz="0" w:space="0" w:color="auto"/>
        <w:left w:val="none" w:sz="0" w:space="0" w:color="auto"/>
        <w:bottom w:val="none" w:sz="0" w:space="0" w:color="auto"/>
        <w:right w:val="none" w:sz="0" w:space="0" w:color="auto"/>
      </w:divBdr>
    </w:div>
    <w:div w:id="899246070">
      <w:bodyDiv w:val="1"/>
      <w:marLeft w:val="0"/>
      <w:marRight w:val="0"/>
      <w:marTop w:val="0"/>
      <w:marBottom w:val="0"/>
      <w:divBdr>
        <w:top w:val="none" w:sz="0" w:space="0" w:color="auto"/>
        <w:left w:val="none" w:sz="0" w:space="0" w:color="auto"/>
        <w:bottom w:val="none" w:sz="0" w:space="0" w:color="auto"/>
        <w:right w:val="none" w:sz="0" w:space="0" w:color="auto"/>
      </w:divBdr>
      <w:divsChild>
        <w:div w:id="2142335596">
          <w:marLeft w:val="0"/>
          <w:marRight w:val="0"/>
          <w:marTop w:val="0"/>
          <w:marBottom w:val="0"/>
          <w:divBdr>
            <w:top w:val="none" w:sz="0" w:space="0" w:color="auto"/>
            <w:left w:val="none" w:sz="0" w:space="0" w:color="auto"/>
            <w:bottom w:val="none" w:sz="0" w:space="0" w:color="auto"/>
            <w:right w:val="none" w:sz="0" w:space="0" w:color="auto"/>
          </w:divBdr>
          <w:divsChild>
            <w:div w:id="474373460">
              <w:marLeft w:val="0"/>
              <w:marRight w:val="0"/>
              <w:marTop w:val="0"/>
              <w:marBottom w:val="0"/>
              <w:divBdr>
                <w:top w:val="none" w:sz="0" w:space="0" w:color="auto"/>
                <w:left w:val="none" w:sz="0" w:space="0" w:color="auto"/>
                <w:bottom w:val="none" w:sz="0" w:space="0" w:color="auto"/>
                <w:right w:val="none" w:sz="0" w:space="0" w:color="auto"/>
              </w:divBdr>
              <w:divsChild>
                <w:div w:id="1877304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0209844">
      <w:bodyDiv w:val="1"/>
      <w:marLeft w:val="0"/>
      <w:marRight w:val="0"/>
      <w:marTop w:val="0"/>
      <w:marBottom w:val="0"/>
      <w:divBdr>
        <w:top w:val="none" w:sz="0" w:space="0" w:color="auto"/>
        <w:left w:val="none" w:sz="0" w:space="0" w:color="auto"/>
        <w:bottom w:val="none" w:sz="0" w:space="0" w:color="auto"/>
        <w:right w:val="none" w:sz="0" w:space="0" w:color="auto"/>
      </w:divBdr>
      <w:divsChild>
        <w:div w:id="923802480">
          <w:marLeft w:val="0"/>
          <w:marRight w:val="0"/>
          <w:marTop w:val="0"/>
          <w:marBottom w:val="0"/>
          <w:divBdr>
            <w:top w:val="none" w:sz="0" w:space="0" w:color="auto"/>
            <w:left w:val="none" w:sz="0" w:space="0" w:color="auto"/>
            <w:bottom w:val="none" w:sz="0" w:space="0" w:color="auto"/>
            <w:right w:val="none" w:sz="0" w:space="0" w:color="auto"/>
          </w:divBdr>
          <w:divsChild>
            <w:div w:id="1260141680">
              <w:marLeft w:val="0"/>
              <w:marRight w:val="0"/>
              <w:marTop w:val="0"/>
              <w:marBottom w:val="0"/>
              <w:divBdr>
                <w:top w:val="none" w:sz="0" w:space="0" w:color="auto"/>
                <w:left w:val="none" w:sz="0" w:space="0" w:color="auto"/>
                <w:bottom w:val="none" w:sz="0" w:space="0" w:color="auto"/>
                <w:right w:val="none" w:sz="0" w:space="0" w:color="auto"/>
              </w:divBdr>
              <w:divsChild>
                <w:div w:id="114219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2251913">
      <w:bodyDiv w:val="1"/>
      <w:marLeft w:val="0"/>
      <w:marRight w:val="0"/>
      <w:marTop w:val="0"/>
      <w:marBottom w:val="0"/>
      <w:divBdr>
        <w:top w:val="none" w:sz="0" w:space="0" w:color="auto"/>
        <w:left w:val="none" w:sz="0" w:space="0" w:color="auto"/>
        <w:bottom w:val="none" w:sz="0" w:space="0" w:color="auto"/>
        <w:right w:val="none" w:sz="0" w:space="0" w:color="auto"/>
      </w:divBdr>
    </w:div>
    <w:div w:id="903493121">
      <w:bodyDiv w:val="1"/>
      <w:marLeft w:val="0"/>
      <w:marRight w:val="0"/>
      <w:marTop w:val="0"/>
      <w:marBottom w:val="0"/>
      <w:divBdr>
        <w:top w:val="none" w:sz="0" w:space="0" w:color="auto"/>
        <w:left w:val="none" w:sz="0" w:space="0" w:color="auto"/>
        <w:bottom w:val="none" w:sz="0" w:space="0" w:color="auto"/>
        <w:right w:val="none" w:sz="0" w:space="0" w:color="auto"/>
      </w:divBdr>
      <w:divsChild>
        <w:div w:id="483938478">
          <w:marLeft w:val="0"/>
          <w:marRight w:val="0"/>
          <w:marTop w:val="0"/>
          <w:marBottom w:val="0"/>
          <w:divBdr>
            <w:top w:val="none" w:sz="0" w:space="0" w:color="auto"/>
            <w:left w:val="none" w:sz="0" w:space="0" w:color="auto"/>
            <w:bottom w:val="none" w:sz="0" w:space="0" w:color="auto"/>
            <w:right w:val="none" w:sz="0" w:space="0" w:color="auto"/>
          </w:divBdr>
          <w:divsChild>
            <w:div w:id="186875009">
              <w:marLeft w:val="0"/>
              <w:marRight w:val="0"/>
              <w:marTop w:val="0"/>
              <w:marBottom w:val="0"/>
              <w:divBdr>
                <w:top w:val="none" w:sz="0" w:space="0" w:color="auto"/>
                <w:left w:val="none" w:sz="0" w:space="0" w:color="auto"/>
                <w:bottom w:val="none" w:sz="0" w:space="0" w:color="auto"/>
                <w:right w:val="none" w:sz="0" w:space="0" w:color="auto"/>
              </w:divBdr>
              <w:divsChild>
                <w:div w:id="1973708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3838271">
      <w:bodyDiv w:val="1"/>
      <w:marLeft w:val="0"/>
      <w:marRight w:val="0"/>
      <w:marTop w:val="0"/>
      <w:marBottom w:val="0"/>
      <w:divBdr>
        <w:top w:val="none" w:sz="0" w:space="0" w:color="auto"/>
        <w:left w:val="none" w:sz="0" w:space="0" w:color="auto"/>
        <w:bottom w:val="none" w:sz="0" w:space="0" w:color="auto"/>
        <w:right w:val="none" w:sz="0" w:space="0" w:color="auto"/>
      </w:divBdr>
    </w:div>
    <w:div w:id="908420187">
      <w:bodyDiv w:val="1"/>
      <w:marLeft w:val="0"/>
      <w:marRight w:val="0"/>
      <w:marTop w:val="0"/>
      <w:marBottom w:val="0"/>
      <w:divBdr>
        <w:top w:val="none" w:sz="0" w:space="0" w:color="auto"/>
        <w:left w:val="none" w:sz="0" w:space="0" w:color="auto"/>
        <w:bottom w:val="none" w:sz="0" w:space="0" w:color="auto"/>
        <w:right w:val="none" w:sz="0" w:space="0" w:color="auto"/>
      </w:divBdr>
    </w:div>
    <w:div w:id="914555634">
      <w:bodyDiv w:val="1"/>
      <w:marLeft w:val="0"/>
      <w:marRight w:val="0"/>
      <w:marTop w:val="0"/>
      <w:marBottom w:val="0"/>
      <w:divBdr>
        <w:top w:val="none" w:sz="0" w:space="0" w:color="auto"/>
        <w:left w:val="none" w:sz="0" w:space="0" w:color="auto"/>
        <w:bottom w:val="none" w:sz="0" w:space="0" w:color="auto"/>
        <w:right w:val="none" w:sz="0" w:space="0" w:color="auto"/>
      </w:divBdr>
      <w:divsChild>
        <w:div w:id="1602179022">
          <w:marLeft w:val="0"/>
          <w:marRight w:val="0"/>
          <w:marTop w:val="0"/>
          <w:marBottom w:val="0"/>
          <w:divBdr>
            <w:top w:val="none" w:sz="0" w:space="0" w:color="auto"/>
            <w:left w:val="none" w:sz="0" w:space="0" w:color="auto"/>
            <w:bottom w:val="none" w:sz="0" w:space="0" w:color="auto"/>
            <w:right w:val="none" w:sz="0" w:space="0" w:color="auto"/>
          </w:divBdr>
          <w:divsChild>
            <w:div w:id="1908687148">
              <w:marLeft w:val="0"/>
              <w:marRight w:val="0"/>
              <w:marTop w:val="0"/>
              <w:marBottom w:val="0"/>
              <w:divBdr>
                <w:top w:val="none" w:sz="0" w:space="0" w:color="auto"/>
                <w:left w:val="none" w:sz="0" w:space="0" w:color="auto"/>
                <w:bottom w:val="none" w:sz="0" w:space="0" w:color="auto"/>
                <w:right w:val="none" w:sz="0" w:space="0" w:color="auto"/>
              </w:divBdr>
              <w:divsChild>
                <w:div w:id="1294826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9800415">
      <w:bodyDiv w:val="1"/>
      <w:marLeft w:val="0"/>
      <w:marRight w:val="0"/>
      <w:marTop w:val="0"/>
      <w:marBottom w:val="0"/>
      <w:divBdr>
        <w:top w:val="none" w:sz="0" w:space="0" w:color="auto"/>
        <w:left w:val="none" w:sz="0" w:space="0" w:color="auto"/>
        <w:bottom w:val="none" w:sz="0" w:space="0" w:color="auto"/>
        <w:right w:val="none" w:sz="0" w:space="0" w:color="auto"/>
      </w:divBdr>
    </w:div>
    <w:div w:id="922565338">
      <w:bodyDiv w:val="1"/>
      <w:marLeft w:val="0"/>
      <w:marRight w:val="0"/>
      <w:marTop w:val="0"/>
      <w:marBottom w:val="0"/>
      <w:divBdr>
        <w:top w:val="none" w:sz="0" w:space="0" w:color="auto"/>
        <w:left w:val="none" w:sz="0" w:space="0" w:color="auto"/>
        <w:bottom w:val="none" w:sz="0" w:space="0" w:color="auto"/>
        <w:right w:val="none" w:sz="0" w:space="0" w:color="auto"/>
      </w:divBdr>
    </w:div>
    <w:div w:id="929503294">
      <w:bodyDiv w:val="1"/>
      <w:marLeft w:val="0"/>
      <w:marRight w:val="0"/>
      <w:marTop w:val="0"/>
      <w:marBottom w:val="0"/>
      <w:divBdr>
        <w:top w:val="none" w:sz="0" w:space="0" w:color="auto"/>
        <w:left w:val="none" w:sz="0" w:space="0" w:color="auto"/>
        <w:bottom w:val="none" w:sz="0" w:space="0" w:color="auto"/>
        <w:right w:val="none" w:sz="0" w:space="0" w:color="auto"/>
      </w:divBdr>
    </w:div>
    <w:div w:id="934480476">
      <w:bodyDiv w:val="1"/>
      <w:marLeft w:val="0"/>
      <w:marRight w:val="0"/>
      <w:marTop w:val="0"/>
      <w:marBottom w:val="0"/>
      <w:divBdr>
        <w:top w:val="none" w:sz="0" w:space="0" w:color="auto"/>
        <w:left w:val="none" w:sz="0" w:space="0" w:color="auto"/>
        <w:bottom w:val="none" w:sz="0" w:space="0" w:color="auto"/>
        <w:right w:val="none" w:sz="0" w:space="0" w:color="auto"/>
      </w:divBdr>
    </w:div>
    <w:div w:id="935214005">
      <w:bodyDiv w:val="1"/>
      <w:marLeft w:val="0"/>
      <w:marRight w:val="0"/>
      <w:marTop w:val="0"/>
      <w:marBottom w:val="0"/>
      <w:divBdr>
        <w:top w:val="none" w:sz="0" w:space="0" w:color="auto"/>
        <w:left w:val="none" w:sz="0" w:space="0" w:color="auto"/>
        <w:bottom w:val="none" w:sz="0" w:space="0" w:color="auto"/>
        <w:right w:val="none" w:sz="0" w:space="0" w:color="auto"/>
      </w:divBdr>
      <w:divsChild>
        <w:div w:id="1334918063">
          <w:marLeft w:val="0"/>
          <w:marRight w:val="0"/>
          <w:marTop w:val="0"/>
          <w:marBottom w:val="0"/>
          <w:divBdr>
            <w:top w:val="none" w:sz="0" w:space="0" w:color="auto"/>
            <w:left w:val="none" w:sz="0" w:space="0" w:color="auto"/>
            <w:bottom w:val="none" w:sz="0" w:space="0" w:color="auto"/>
            <w:right w:val="none" w:sz="0" w:space="0" w:color="auto"/>
          </w:divBdr>
          <w:divsChild>
            <w:div w:id="55327440">
              <w:marLeft w:val="0"/>
              <w:marRight w:val="0"/>
              <w:marTop w:val="0"/>
              <w:marBottom w:val="0"/>
              <w:divBdr>
                <w:top w:val="none" w:sz="0" w:space="0" w:color="auto"/>
                <w:left w:val="none" w:sz="0" w:space="0" w:color="auto"/>
                <w:bottom w:val="none" w:sz="0" w:space="0" w:color="auto"/>
                <w:right w:val="none" w:sz="0" w:space="0" w:color="auto"/>
              </w:divBdr>
              <w:divsChild>
                <w:div w:id="69391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8952494">
      <w:bodyDiv w:val="1"/>
      <w:marLeft w:val="0"/>
      <w:marRight w:val="0"/>
      <w:marTop w:val="0"/>
      <w:marBottom w:val="0"/>
      <w:divBdr>
        <w:top w:val="none" w:sz="0" w:space="0" w:color="auto"/>
        <w:left w:val="none" w:sz="0" w:space="0" w:color="auto"/>
        <w:bottom w:val="none" w:sz="0" w:space="0" w:color="auto"/>
        <w:right w:val="none" w:sz="0" w:space="0" w:color="auto"/>
      </w:divBdr>
    </w:div>
    <w:div w:id="944192683">
      <w:bodyDiv w:val="1"/>
      <w:marLeft w:val="0"/>
      <w:marRight w:val="0"/>
      <w:marTop w:val="0"/>
      <w:marBottom w:val="0"/>
      <w:divBdr>
        <w:top w:val="none" w:sz="0" w:space="0" w:color="auto"/>
        <w:left w:val="none" w:sz="0" w:space="0" w:color="auto"/>
        <w:bottom w:val="none" w:sz="0" w:space="0" w:color="auto"/>
        <w:right w:val="none" w:sz="0" w:space="0" w:color="auto"/>
      </w:divBdr>
    </w:div>
    <w:div w:id="945113693">
      <w:bodyDiv w:val="1"/>
      <w:marLeft w:val="0"/>
      <w:marRight w:val="0"/>
      <w:marTop w:val="0"/>
      <w:marBottom w:val="0"/>
      <w:divBdr>
        <w:top w:val="none" w:sz="0" w:space="0" w:color="auto"/>
        <w:left w:val="none" w:sz="0" w:space="0" w:color="auto"/>
        <w:bottom w:val="none" w:sz="0" w:space="0" w:color="auto"/>
        <w:right w:val="none" w:sz="0" w:space="0" w:color="auto"/>
      </w:divBdr>
    </w:div>
    <w:div w:id="947390709">
      <w:bodyDiv w:val="1"/>
      <w:marLeft w:val="0"/>
      <w:marRight w:val="0"/>
      <w:marTop w:val="0"/>
      <w:marBottom w:val="0"/>
      <w:divBdr>
        <w:top w:val="none" w:sz="0" w:space="0" w:color="auto"/>
        <w:left w:val="none" w:sz="0" w:space="0" w:color="auto"/>
        <w:bottom w:val="none" w:sz="0" w:space="0" w:color="auto"/>
        <w:right w:val="none" w:sz="0" w:space="0" w:color="auto"/>
      </w:divBdr>
    </w:div>
    <w:div w:id="948970590">
      <w:bodyDiv w:val="1"/>
      <w:marLeft w:val="0"/>
      <w:marRight w:val="0"/>
      <w:marTop w:val="0"/>
      <w:marBottom w:val="0"/>
      <w:divBdr>
        <w:top w:val="none" w:sz="0" w:space="0" w:color="auto"/>
        <w:left w:val="none" w:sz="0" w:space="0" w:color="auto"/>
        <w:bottom w:val="none" w:sz="0" w:space="0" w:color="auto"/>
        <w:right w:val="none" w:sz="0" w:space="0" w:color="auto"/>
      </w:divBdr>
    </w:div>
    <w:div w:id="949166292">
      <w:bodyDiv w:val="1"/>
      <w:marLeft w:val="0"/>
      <w:marRight w:val="0"/>
      <w:marTop w:val="0"/>
      <w:marBottom w:val="0"/>
      <w:divBdr>
        <w:top w:val="none" w:sz="0" w:space="0" w:color="auto"/>
        <w:left w:val="none" w:sz="0" w:space="0" w:color="auto"/>
        <w:bottom w:val="none" w:sz="0" w:space="0" w:color="auto"/>
        <w:right w:val="none" w:sz="0" w:space="0" w:color="auto"/>
      </w:divBdr>
    </w:div>
    <w:div w:id="952906843">
      <w:bodyDiv w:val="1"/>
      <w:marLeft w:val="0"/>
      <w:marRight w:val="0"/>
      <w:marTop w:val="0"/>
      <w:marBottom w:val="0"/>
      <w:divBdr>
        <w:top w:val="none" w:sz="0" w:space="0" w:color="auto"/>
        <w:left w:val="none" w:sz="0" w:space="0" w:color="auto"/>
        <w:bottom w:val="none" w:sz="0" w:space="0" w:color="auto"/>
        <w:right w:val="none" w:sz="0" w:space="0" w:color="auto"/>
      </w:divBdr>
      <w:divsChild>
        <w:div w:id="1488672222">
          <w:marLeft w:val="0"/>
          <w:marRight w:val="0"/>
          <w:marTop w:val="0"/>
          <w:marBottom w:val="0"/>
          <w:divBdr>
            <w:top w:val="none" w:sz="0" w:space="0" w:color="auto"/>
            <w:left w:val="none" w:sz="0" w:space="0" w:color="auto"/>
            <w:bottom w:val="none" w:sz="0" w:space="0" w:color="auto"/>
            <w:right w:val="none" w:sz="0" w:space="0" w:color="auto"/>
          </w:divBdr>
          <w:divsChild>
            <w:div w:id="2081754492">
              <w:marLeft w:val="0"/>
              <w:marRight w:val="0"/>
              <w:marTop w:val="0"/>
              <w:marBottom w:val="0"/>
              <w:divBdr>
                <w:top w:val="none" w:sz="0" w:space="0" w:color="auto"/>
                <w:left w:val="none" w:sz="0" w:space="0" w:color="auto"/>
                <w:bottom w:val="none" w:sz="0" w:space="0" w:color="auto"/>
                <w:right w:val="none" w:sz="0" w:space="0" w:color="auto"/>
              </w:divBdr>
              <w:divsChild>
                <w:div w:id="1082071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3124540">
      <w:bodyDiv w:val="1"/>
      <w:marLeft w:val="0"/>
      <w:marRight w:val="0"/>
      <w:marTop w:val="0"/>
      <w:marBottom w:val="0"/>
      <w:divBdr>
        <w:top w:val="none" w:sz="0" w:space="0" w:color="auto"/>
        <w:left w:val="none" w:sz="0" w:space="0" w:color="auto"/>
        <w:bottom w:val="none" w:sz="0" w:space="0" w:color="auto"/>
        <w:right w:val="none" w:sz="0" w:space="0" w:color="auto"/>
      </w:divBdr>
    </w:div>
    <w:div w:id="965624491">
      <w:bodyDiv w:val="1"/>
      <w:marLeft w:val="0"/>
      <w:marRight w:val="0"/>
      <w:marTop w:val="0"/>
      <w:marBottom w:val="0"/>
      <w:divBdr>
        <w:top w:val="none" w:sz="0" w:space="0" w:color="auto"/>
        <w:left w:val="none" w:sz="0" w:space="0" w:color="auto"/>
        <w:bottom w:val="none" w:sz="0" w:space="0" w:color="auto"/>
        <w:right w:val="none" w:sz="0" w:space="0" w:color="auto"/>
      </w:divBdr>
    </w:div>
    <w:div w:id="972516970">
      <w:bodyDiv w:val="1"/>
      <w:marLeft w:val="0"/>
      <w:marRight w:val="0"/>
      <w:marTop w:val="0"/>
      <w:marBottom w:val="0"/>
      <w:divBdr>
        <w:top w:val="none" w:sz="0" w:space="0" w:color="auto"/>
        <w:left w:val="none" w:sz="0" w:space="0" w:color="auto"/>
        <w:bottom w:val="none" w:sz="0" w:space="0" w:color="auto"/>
        <w:right w:val="none" w:sz="0" w:space="0" w:color="auto"/>
      </w:divBdr>
      <w:divsChild>
        <w:div w:id="1518228210">
          <w:marLeft w:val="0"/>
          <w:marRight w:val="0"/>
          <w:marTop w:val="0"/>
          <w:marBottom w:val="0"/>
          <w:divBdr>
            <w:top w:val="none" w:sz="0" w:space="0" w:color="auto"/>
            <w:left w:val="none" w:sz="0" w:space="0" w:color="auto"/>
            <w:bottom w:val="none" w:sz="0" w:space="0" w:color="auto"/>
            <w:right w:val="none" w:sz="0" w:space="0" w:color="auto"/>
          </w:divBdr>
          <w:divsChild>
            <w:div w:id="1973250254">
              <w:marLeft w:val="0"/>
              <w:marRight w:val="0"/>
              <w:marTop w:val="0"/>
              <w:marBottom w:val="0"/>
              <w:divBdr>
                <w:top w:val="none" w:sz="0" w:space="0" w:color="auto"/>
                <w:left w:val="none" w:sz="0" w:space="0" w:color="auto"/>
                <w:bottom w:val="none" w:sz="0" w:space="0" w:color="auto"/>
                <w:right w:val="none" w:sz="0" w:space="0" w:color="auto"/>
              </w:divBdr>
              <w:divsChild>
                <w:div w:id="1323201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625480">
      <w:bodyDiv w:val="1"/>
      <w:marLeft w:val="0"/>
      <w:marRight w:val="0"/>
      <w:marTop w:val="0"/>
      <w:marBottom w:val="0"/>
      <w:divBdr>
        <w:top w:val="none" w:sz="0" w:space="0" w:color="auto"/>
        <w:left w:val="none" w:sz="0" w:space="0" w:color="auto"/>
        <w:bottom w:val="none" w:sz="0" w:space="0" w:color="auto"/>
        <w:right w:val="none" w:sz="0" w:space="0" w:color="auto"/>
      </w:divBdr>
    </w:div>
    <w:div w:id="1002314608">
      <w:bodyDiv w:val="1"/>
      <w:marLeft w:val="0"/>
      <w:marRight w:val="0"/>
      <w:marTop w:val="0"/>
      <w:marBottom w:val="0"/>
      <w:divBdr>
        <w:top w:val="none" w:sz="0" w:space="0" w:color="auto"/>
        <w:left w:val="none" w:sz="0" w:space="0" w:color="auto"/>
        <w:bottom w:val="none" w:sz="0" w:space="0" w:color="auto"/>
        <w:right w:val="none" w:sz="0" w:space="0" w:color="auto"/>
      </w:divBdr>
    </w:div>
    <w:div w:id="1010765725">
      <w:bodyDiv w:val="1"/>
      <w:marLeft w:val="0"/>
      <w:marRight w:val="0"/>
      <w:marTop w:val="0"/>
      <w:marBottom w:val="0"/>
      <w:divBdr>
        <w:top w:val="none" w:sz="0" w:space="0" w:color="auto"/>
        <w:left w:val="none" w:sz="0" w:space="0" w:color="auto"/>
        <w:bottom w:val="none" w:sz="0" w:space="0" w:color="auto"/>
        <w:right w:val="none" w:sz="0" w:space="0" w:color="auto"/>
      </w:divBdr>
    </w:div>
    <w:div w:id="1013455714">
      <w:bodyDiv w:val="1"/>
      <w:marLeft w:val="0"/>
      <w:marRight w:val="0"/>
      <w:marTop w:val="0"/>
      <w:marBottom w:val="0"/>
      <w:divBdr>
        <w:top w:val="none" w:sz="0" w:space="0" w:color="auto"/>
        <w:left w:val="none" w:sz="0" w:space="0" w:color="auto"/>
        <w:bottom w:val="none" w:sz="0" w:space="0" w:color="auto"/>
        <w:right w:val="none" w:sz="0" w:space="0" w:color="auto"/>
      </w:divBdr>
    </w:div>
    <w:div w:id="1014646445">
      <w:bodyDiv w:val="1"/>
      <w:marLeft w:val="0"/>
      <w:marRight w:val="0"/>
      <w:marTop w:val="0"/>
      <w:marBottom w:val="0"/>
      <w:divBdr>
        <w:top w:val="none" w:sz="0" w:space="0" w:color="auto"/>
        <w:left w:val="none" w:sz="0" w:space="0" w:color="auto"/>
        <w:bottom w:val="none" w:sz="0" w:space="0" w:color="auto"/>
        <w:right w:val="none" w:sz="0" w:space="0" w:color="auto"/>
      </w:divBdr>
    </w:div>
    <w:div w:id="1018191099">
      <w:bodyDiv w:val="1"/>
      <w:marLeft w:val="0"/>
      <w:marRight w:val="0"/>
      <w:marTop w:val="0"/>
      <w:marBottom w:val="0"/>
      <w:divBdr>
        <w:top w:val="none" w:sz="0" w:space="0" w:color="auto"/>
        <w:left w:val="none" w:sz="0" w:space="0" w:color="auto"/>
        <w:bottom w:val="none" w:sz="0" w:space="0" w:color="auto"/>
        <w:right w:val="none" w:sz="0" w:space="0" w:color="auto"/>
      </w:divBdr>
    </w:div>
    <w:div w:id="1018969929">
      <w:bodyDiv w:val="1"/>
      <w:marLeft w:val="0"/>
      <w:marRight w:val="0"/>
      <w:marTop w:val="0"/>
      <w:marBottom w:val="0"/>
      <w:divBdr>
        <w:top w:val="none" w:sz="0" w:space="0" w:color="auto"/>
        <w:left w:val="none" w:sz="0" w:space="0" w:color="auto"/>
        <w:bottom w:val="none" w:sz="0" w:space="0" w:color="auto"/>
        <w:right w:val="none" w:sz="0" w:space="0" w:color="auto"/>
      </w:divBdr>
      <w:divsChild>
        <w:div w:id="321811332">
          <w:marLeft w:val="0"/>
          <w:marRight w:val="0"/>
          <w:marTop w:val="0"/>
          <w:marBottom w:val="0"/>
          <w:divBdr>
            <w:top w:val="none" w:sz="0" w:space="0" w:color="auto"/>
            <w:left w:val="none" w:sz="0" w:space="0" w:color="auto"/>
            <w:bottom w:val="none" w:sz="0" w:space="0" w:color="auto"/>
            <w:right w:val="none" w:sz="0" w:space="0" w:color="auto"/>
          </w:divBdr>
          <w:divsChild>
            <w:div w:id="91122863">
              <w:marLeft w:val="0"/>
              <w:marRight w:val="0"/>
              <w:marTop w:val="0"/>
              <w:marBottom w:val="0"/>
              <w:divBdr>
                <w:top w:val="none" w:sz="0" w:space="0" w:color="auto"/>
                <w:left w:val="none" w:sz="0" w:space="0" w:color="auto"/>
                <w:bottom w:val="none" w:sz="0" w:space="0" w:color="auto"/>
                <w:right w:val="none" w:sz="0" w:space="0" w:color="auto"/>
              </w:divBdr>
              <w:divsChild>
                <w:div w:id="220681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089495">
      <w:bodyDiv w:val="1"/>
      <w:marLeft w:val="0"/>
      <w:marRight w:val="0"/>
      <w:marTop w:val="0"/>
      <w:marBottom w:val="0"/>
      <w:divBdr>
        <w:top w:val="none" w:sz="0" w:space="0" w:color="auto"/>
        <w:left w:val="none" w:sz="0" w:space="0" w:color="auto"/>
        <w:bottom w:val="none" w:sz="0" w:space="0" w:color="auto"/>
        <w:right w:val="none" w:sz="0" w:space="0" w:color="auto"/>
      </w:divBdr>
    </w:div>
    <w:div w:id="1025837054">
      <w:bodyDiv w:val="1"/>
      <w:marLeft w:val="0"/>
      <w:marRight w:val="0"/>
      <w:marTop w:val="0"/>
      <w:marBottom w:val="0"/>
      <w:divBdr>
        <w:top w:val="none" w:sz="0" w:space="0" w:color="auto"/>
        <w:left w:val="none" w:sz="0" w:space="0" w:color="auto"/>
        <w:bottom w:val="none" w:sz="0" w:space="0" w:color="auto"/>
        <w:right w:val="none" w:sz="0" w:space="0" w:color="auto"/>
      </w:divBdr>
      <w:divsChild>
        <w:div w:id="970481045">
          <w:marLeft w:val="0"/>
          <w:marRight w:val="0"/>
          <w:marTop w:val="0"/>
          <w:marBottom w:val="0"/>
          <w:divBdr>
            <w:top w:val="none" w:sz="0" w:space="0" w:color="auto"/>
            <w:left w:val="none" w:sz="0" w:space="0" w:color="auto"/>
            <w:bottom w:val="none" w:sz="0" w:space="0" w:color="auto"/>
            <w:right w:val="none" w:sz="0" w:space="0" w:color="auto"/>
          </w:divBdr>
          <w:divsChild>
            <w:div w:id="2050953118">
              <w:marLeft w:val="0"/>
              <w:marRight w:val="0"/>
              <w:marTop w:val="0"/>
              <w:marBottom w:val="0"/>
              <w:divBdr>
                <w:top w:val="none" w:sz="0" w:space="0" w:color="auto"/>
                <w:left w:val="none" w:sz="0" w:space="0" w:color="auto"/>
                <w:bottom w:val="none" w:sz="0" w:space="0" w:color="auto"/>
                <w:right w:val="none" w:sz="0" w:space="0" w:color="auto"/>
              </w:divBdr>
              <w:divsChild>
                <w:div w:id="46495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566514">
      <w:bodyDiv w:val="1"/>
      <w:marLeft w:val="0"/>
      <w:marRight w:val="0"/>
      <w:marTop w:val="0"/>
      <w:marBottom w:val="0"/>
      <w:divBdr>
        <w:top w:val="none" w:sz="0" w:space="0" w:color="auto"/>
        <w:left w:val="none" w:sz="0" w:space="0" w:color="auto"/>
        <w:bottom w:val="none" w:sz="0" w:space="0" w:color="auto"/>
        <w:right w:val="none" w:sz="0" w:space="0" w:color="auto"/>
      </w:divBdr>
      <w:divsChild>
        <w:div w:id="776407726">
          <w:marLeft w:val="0"/>
          <w:marRight w:val="0"/>
          <w:marTop w:val="0"/>
          <w:marBottom w:val="0"/>
          <w:divBdr>
            <w:top w:val="none" w:sz="0" w:space="0" w:color="auto"/>
            <w:left w:val="none" w:sz="0" w:space="0" w:color="auto"/>
            <w:bottom w:val="none" w:sz="0" w:space="0" w:color="auto"/>
            <w:right w:val="none" w:sz="0" w:space="0" w:color="auto"/>
          </w:divBdr>
          <w:divsChild>
            <w:div w:id="260188571">
              <w:marLeft w:val="0"/>
              <w:marRight w:val="0"/>
              <w:marTop w:val="0"/>
              <w:marBottom w:val="0"/>
              <w:divBdr>
                <w:top w:val="none" w:sz="0" w:space="0" w:color="auto"/>
                <w:left w:val="none" w:sz="0" w:space="0" w:color="auto"/>
                <w:bottom w:val="none" w:sz="0" w:space="0" w:color="auto"/>
                <w:right w:val="none" w:sz="0" w:space="0" w:color="auto"/>
              </w:divBdr>
              <w:divsChild>
                <w:div w:id="88402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195138">
      <w:bodyDiv w:val="1"/>
      <w:marLeft w:val="0"/>
      <w:marRight w:val="0"/>
      <w:marTop w:val="0"/>
      <w:marBottom w:val="0"/>
      <w:divBdr>
        <w:top w:val="none" w:sz="0" w:space="0" w:color="auto"/>
        <w:left w:val="none" w:sz="0" w:space="0" w:color="auto"/>
        <w:bottom w:val="none" w:sz="0" w:space="0" w:color="auto"/>
        <w:right w:val="none" w:sz="0" w:space="0" w:color="auto"/>
      </w:divBdr>
    </w:div>
    <w:div w:id="1050422417">
      <w:bodyDiv w:val="1"/>
      <w:marLeft w:val="0"/>
      <w:marRight w:val="0"/>
      <w:marTop w:val="0"/>
      <w:marBottom w:val="0"/>
      <w:divBdr>
        <w:top w:val="none" w:sz="0" w:space="0" w:color="auto"/>
        <w:left w:val="none" w:sz="0" w:space="0" w:color="auto"/>
        <w:bottom w:val="none" w:sz="0" w:space="0" w:color="auto"/>
        <w:right w:val="none" w:sz="0" w:space="0" w:color="auto"/>
      </w:divBdr>
    </w:div>
    <w:div w:id="1050766445">
      <w:bodyDiv w:val="1"/>
      <w:marLeft w:val="0"/>
      <w:marRight w:val="0"/>
      <w:marTop w:val="0"/>
      <w:marBottom w:val="0"/>
      <w:divBdr>
        <w:top w:val="none" w:sz="0" w:space="0" w:color="auto"/>
        <w:left w:val="none" w:sz="0" w:space="0" w:color="auto"/>
        <w:bottom w:val="none" w:sz="0" w:space="0" w:color="auto"/>
        <w:right w:val="none" w:sz="0" w:space="0" w:color="auto"/>
      </w:divBdr>
      <w:divsChild>
        <w:div w:id="1097097034">
          <w:marLeft w:val="0"/>
          <w:marRight w:val="0"/>
          <w:marTop w:val="0"/>
          <w:marBottom w:val="0"/>
          <w:divBdr>
            <w:top w:val="none" w:sz="0" w:space="0" w:color="auto"/>
            <w:left w:val="none" w:sz="0" w:space="0" w:color="auto"/>
            <w:bottom w:val="none" w:sz="0" w:space="0" w:color="auto"/>
            <w:right w:val="none" w:sz="0" w:space="0" w:color="auto"/>
          </w:divBdr>
          <w:divsChild>
            <w:div w:id="589003126">
              <w:marLeft w:val="0"/>
              <w:marRight w:val="0"/>
              <w:marTop w:val="0"/>
              <w:marBottom w:val="0"/>
              <w:divBdr>
                <w:top w:val="none" w:sz="0" w:space="0" w:color="auto"/>
                <w:left w:val="none" w:sz="0" w:space="0" w:color="auto"/>
                <w:bottom w:val="none" w:sz="0" w:space="0" w:color="auto"/>
                <w:right w:val="none" w:sz="0" w:space="0" w:color="auto"/>
              </w:divBdr>
              <w:divsChild>
                <w:div w:id="1460763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5197436">
      <w:bodyDiv w:val="1"/>
      <w:marLeft w:val="0"/>
      <w:marRight w:val="0"/>
      <w:marTop w:val="0"/>
      <w:marBottom w:val="0"/>
      <w:divBdr>
        <w:top w:val="none" w:sz="0" w:space="0" w:color="auto"/>
        <w:left w:val="none" w:sz="0" w:space="0" w:color="auto"/>
        <w:bottom w:val="none" w:sz="0" w:space="0" w:color="auto"/>
        <w:right w:val="none" w:sz="0" w:space="0" w:color="auto"/>
      </w:divBdr>
    </w:div>
    <w:div w:id="1056784077">
      <w:bodyDiv w:val="1"/>
      <w:marLeft w:val="0"/>
      <w:marRight w:val="0"/>
      <w:marTop w:val="0"/>
      <w:marBottom w:val="0"/>
      <w:divBdr>
        <w:top w:val="none" w:sz="0" w:space="0" w:color="auto"/>
        <w:left w:val="none" w:sz="0" w:space="0" w:color="auto"/>
        <w:bottom w:val="none" w:sz="0" w:space="0" w:color="auto"/>
        <w:right w:val="none" w:sz="0" w:space="0" w:color="auto"/>
      </w:divBdr>
      <w:divsChild>
        <w:div w:id="1868327608">
          <w:marLeft w:val="0"/>
          <w:marRight w:val="0"/>
          <w:marTop w:val="0"/>
          <w:marBottom w:val="0"/>
          <w:divBdr>
            <w:top w:val="none" w:sz="0" w:space="0" w:color="auto"/>
            <w:left w:val="none" w:sz="0" w:space="0" w:color="auto"/>
            <w:bottom w:val="none" w:sz="0" w:space="0" w:color="auto"/>
            <w:right w:val="none" w:sz="0" w:space="0" w:color="auto"/>
          </w:divBdr>
          <w:divsChild>
            <w:div w:id="187451019">
              <w:marLeft w:val="0"/>
              <w:marRight w:val="0"/>
              <w:marTop w:val="0"/>
              <w:marBottom w:val="0"/>
              <w:divBdr>
                <w:top w:val="none" w:sz="0" w:space="0" w:color="auto"/>
                <w:left w:val="none" w:sz="0" w:space="0" w:color="auto"/>
                <w:bottom w:val="none" w:sz="0" w:space="0" w:color="auto"/>
                <w:right w:val="none" w:sz="0" w:space="0" w:color="auto"/>
              </w:divBdr>
              <w:divsChild>
                <w:div w:id="134343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178344">
      <w:bodyDiv w:val="1"/>
      <w:marLeft w:val="0"/>
      <w:marRight w:val="0"/>
      <w:marTop w:val="0"/>
      <w:marBottom w:val="0"/>
      <w:divBdr>
        <w:top w:val="none" w:sz="0" w:space="0" w:color="auto"/>
        <w:left w:val="none" w:sz="0" w:space="0" w:color="auto"/>
        <w:bottom w:val="none" w:sz="0" w:space="0" w:color="auto"/>
        <w:right w:val="none" w:sz="0" w:space="0" w:color="auto"/>
      </w:divBdr>
    </w:div>
    <w:div w:id="1069810692">
      <w:bodyDiv w:val="1"/>
      <w:marLeft w:val="0"/>
      <w:marRight w:val="0"/>
      <w:marTop w:val="0"/>
      <w:marBottom w:val="0"/>
      <w:divBdr>
        <w:top w:val="none" w:sz="0" w:space="0" w:color="auto"/>
        <w:left w:val="none" w:sz="0" w:space="0" w:color="auto"/>
        <w:bottom w:val="none" w:sz="0" w:space="0" w:color="auto"/>
        <w:right w:val="none" w:sz="0" w:space="0" w:color="auto"/>
      </w:divBdr>
      <w:divsChild>
        <w:div w:id="55128069">
          <w:marLeft w:val="0"/>
          <w:marRight w:val="0"/>
          <w:marTop w:val="0"/>
          <w:marBottom w:val="0"/>
          <w:divBdr>
            <w:top w:val="none" w:sz="0" w:space="0" w:color="auto"/>
            <w:left w:val="none" w:sz="0" w:space="0" w:color="auto"/>
            <w:bottom w:val="none" w:sz="0" w:space="0" w:color="auto"/>
            <w:right w:val="none" w:sz="0" w:space="0" w:color="auto"/>
          </w:divBdr>
          <w:divsChild>
            <w:div w:id="2071032790">
              <w:marLeft w:val="0"/>
              <w:marRight w:val="0"/>
              <w:marTop w:val="0"/>
              <w:marBottom w:val="0"/>
              <w:divBdr>
                <w:top w:val="none" w:sz="0" w:space="0" w:color="auto"/>
                <w:left w:val="none" w:sz="0" w:space="0" w:color="auto"/>
                <w:bottom w:val="none" w:sz="0" w:space="0" w:color="auto"/>
                <w:right w:val="none" w:sz="0" w:space="0" w:color="auto"/>
              </w:divBdr>
              <w:divsChild>
                <w:div w:id="97206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2415541">
      <w:bodyDiv w:val="1"/>
      <w:marLeft w:val="0"/>
      <w:marRight w:val="0"/>
      <w:marTop w:val="0"/>
      <w:marBottom w:val="0"/>
      <w:divBdr>
        <w:top w:val="none" w:sz="0" w:space="0" w:color="auto"/>
        <w:left w:val="none" w:sz="0" w:space="0" w:color="auto"/>
        <w:bottom w:val="none" w:sz="0" w:space="0" w:color="auto"/>
        <w:right w:val="none" w:sz="0" w:space="0" w:color="auto"/>
      </w:divBdr>
      <w:divsChild>
        <w:div w:id="1829469114">
          <w:marLeft w:val="0"/>
          <w:marRight w:val="0"/>
          <w:marTop w:val="0"/>
          <w:marBottom w:val="0"/>
          <w:divBdr>
            <w:top w:val="none" w:sz="0" w:space="0" w:color="auto"/>
            <w:left w:val="none" w:sz="0" w:space="0" w:color="auto"/>
            <w:bottom w:val="none" w:sz="0" w:space="0" w:color="auto"/>
            <w:right w:val="none" w:sz="0" w:space="0" w:color="auto"/>
          </w:divBdr>
          <w:divsChild>
            <w:div w:id="918560439">
              <w:marLeft w:val="0"/>
              <w:marRight w:val="0"/>
              <w:marTop w:val="0"/>
              <w:marBottom w:val="0"/>
              <w:divBdr>
                <w:top w:val="none" w:sz="0" w:space="0" w:color="auto"/>
                <w:left w:val="none" w:sz="0" w:space="0" w:color="auto"/>
                <w:bottom w:val="none" w:sz="0" w:space="0" w:color="auto"/>
                <w:right w:val="none" w:sz="0" w:space="0" w:color="auto"/>
              </w:divBdr>
              <w:divsChild>
                <w:div w:id="787042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093861">
      <w:bodyDiv w:val="1"/>
      <w:marLeft w:val="0"/>
      <w:marRight w:val="0"/>
      <w:marTop w:val="0"/>
      <w:marBottom w:val="0"/>
      <w:divBdr>
        <w:top w:val="none" w:sz="0" w:space="0" w:color="auto"/>
        <w:left w:val="none" w:sz="0" w:space="0" w:color="auto"/>
        <w:bottom w:val="none" w:sz="0" w:space="0" w:color="auto"/>
        <w:right w:val="none" w:sz="0" w:space="0" w:color="auto"/>
      </w:divBdr>
      <w:divsChild>
        <w:div w:id="90517344">
          <w:marLeft w:val="0"/>
          <w:marRight w:val="0"/>
          <w:marTop w:val="0"/>
          <w:marBottom w:val="0"/>
          <w:divBdr>
            <w:top w:val="none" w:sz="0" w:space="0" w:color="auto"/>
            <w:left w:val="none" w:sz="0" w:space="0" w:color="auto"/>
            <w:bottom w:val="none" w:sz="0" w:space="0" w:color="auto"/>
            <w:right w:val="none" w:sz="0" w:space="0" w:color="auto"/>
          </w:divBdr>
        </w:div>
        <w:div w:id="397628991">
          <w:marLeft w:val="0"/>
          <w:marRight w:val="0"/>
          <w:marTop w:val="0"/>
          <w:marBottom w:val="0"/>
          <w:divBdr>
            <w:top w:val="none" w:sz="0" w:space="0" w:color="auto"/>
            <w:left w:val="none" w:sz="0" w:space="0" w:color="auto"/>
            <w:bottom w:val="none" w:sz="0" w:space="0" w:color="auto"/>
            <w:right w:val="none" w:sz="0" w:space="0" w:color="auto"/>
          </w:divBdr>
        </w:div>
      </w:divsChild>
    </w:div>
    <w:div w:id="1094088481">
      <w:bodyDiv w:val="1"/>
      <w:marLeft w:val="0"/>
      <w:marRight w:val="0"/>
      <w:marTop w:val="0"/>
      <w:marBottom w:val="0"/>
      <w:divBdr>
        <w:top w:val="none" w:sz="0" w:space="0" w:color="auto"/>
        <w:left w:val="none" w:sz="0" w:space="0" w:color="auto"/>
        <w:bottom w:val="none" w:sz="0" w:space="0" w:color="auto"/>
        <w:right w:val="none" w:sz="0" w:space="0" w:color="auto"/>
      </w:divBdr>
    </w:div>
    <w:div w:id="1095978349">
      <w:bodyDiv w:val="1"/>
      <w:marLeft w:val="0"/>
      <w:marRight w:val="0"/>
      <w:marTop w:val="0"/>
      <w:marBottom w:val="0"/>
      <w:divBdr>
        <w:top w:val="none" w:sz="0" w:space="0" w:color="auto"/>
        <w:left w:val="none" w:sz="0" w:space="0" w:color="auto"/>
        <w:bottom w:val="none" w:sz="0" w:space="0" w:color="auto"/>
        <w:right w:val="none" w:sz="0" w:space="0" w:color="auto"/>
      </w:divBdr>
      <w:divsChild>
        <w:div w:id="439183566">
          <w:marLeft w:val="0"/>
          <w:marRight w:val="0"/>
          <w:marTop w:val="0"/>
          <w:marBottom w:val="0"/>
          <w:divBdr>
            <w:top w:val="none" w:sz="0" w:space="0" w:color="auto"/>
            <w:left w:val="none" w:sz="0" w:space="0" w:color="auto"/>
            <w:bottom w:val="none" w:sz="0" w:space="0" w:color="auto"/>
            <w:right w:val="none" w:sz="0" w:space="0" w:color="auto"/>
          </w:divBdr>
          <w:divsChild>
            <w:div w:id="1830364900">
              <w:marLeft w:val="0"/>
              <w:marRight w:val="0"/>
              <w:marTop w:val="0"/>
              <w:marBottom w:val="0"/>
              <w:divBdr>
                <w:top w:val="none" w:sz="0" w:space="0" w:color="auto"/>
                <w:left w:val="none" w:sz="0" w:space="0" w:color="auto"/>
                <w:bottom w:val="none" w:sz="0" w:space="0" w:color="auto"/>
                <w:right w:val="none" w:sz="0" w:space="0" w:color="auto"/>
              </w:divBdr>
              <w:divsChild>
                <w:div w:id="27475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626083">
      <w:bodyDiv w:val="1"/>
      <w:marLeft w:val="0"/>
      <w:marRight w:val="0"/>
      <w:marTop w:val="0"/>
      <w:marBottom w:val="0"/>
      <w:divBdr>
        <w:top w:val="none" w:sz="0" w:space="0" w:color="auto"/>
        <w:left w:val="none" w:sz="0" w:space="0" w:color="auto"/>
        <w:bottom w:val="none" w:sz="0" w:space="0" w:color="auto"/>
        <w:right w:val="none" w:sz="0" w:space="0" w:color="auto"/>
      </w:divBdr>
      <w:divsChild>
        <w:div w:id="881136066">
          <w:marLeft w:val="0"/>
          <w:marRight w:val="0"/>
          <w:marTop w:val="0"/>
          <w:marBottom w:val="0"/>
          <w:divBdr>
            <w:top w:val="none" w:sz="0" w:space="0" w:color="auto"/>
            <w:left w:val="none" w:sz="0" w:space="0" w:color="auto"/>
            <w:bottom w:val="none" w:sz="0" w:space="0" w:color="auto"/>
            <w:right w:val="none" w:sz="0" w:space="0" w:color="auto"/>
          </w:divBdr>
          <w:divsChild>
            <w:div w:id="407465352">
              <w:marLeft w:val="0"/>
              <w:marRight w:val="0"/>
              <w:marTop w:val="0"/>
              <w:marBottom w:val="0"/>
              <w:divBdr>
                <w:top w:val="none" w:sz="0" w:space="0" w:color="auto"/>
                <w:left w:val="none" w:sz="0" w:space="0" w:color="auto"/>
                <w:bottom w:val="none" w:sz="0" w:space="0" w:color="auto"/>
                <w:right w:val="none" w:sz="0" w:space="0" w:color="auto"/>
              </w:divBdr>
              <w:divsChild>
                <w:div w:id="855776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9393865">
      <w:bodyDiv w:val="1"/>
      <w:marLeft w:val="0"/>
      <w:marRight w:val="0"/>
      <w:marTop w:val="0"/>
      <w:marBottom w:val="0"/>
      <w:divBdr>
        <w:top w:val="none" w:sz="0" w:space="0" w:color="auto"/>
        <w:left w:val="none" w:sz="0" w:space="0" w:color="auto"/>
        <w:bottom w:val="none" w:sz="0" w:space="0" w:color="auto"/>
        <w:right w:val="none" w:sz="0" w:space="0" w:color="auto"/>
      </w:divBdr>
    </w:div>
    <w:div w:id="1137071671">
      <w:bodyDiv w:val="1"/>
      <w:marLeft w:val="0"/>
      <w:marRight w:val="0"/>
      <w:marTop w:val="0"/>
      <w:marBottom w:val="0"/>
      <w:divBdr>
        <w:top w:val="none" w:sz="0" w:space="0" w:color="auto"/>
        <w:left w:val="none" w:sz="0" w:space="0" w:color="auto"/>
        <w:bottom w:val="none" w:sz="0" w:space="0" w:color="auto"/>
        <w:right w:val="none" w:sz="0" w:space="0" w:color="auto"/>
      </w:divBdr>
      <w:divsChild>
        <w:div w:id="93092564">
          <w:marLeft w:val="0"/>
          <w:marRight w:val="0"/>
          <w:marTop w:val="0"/>
          <w:marBottom w:val="0"/>
          <w:divBdr>
            <w:top w:val="none" w:sz="0" w:space="0" w:color="auto"/>
            <w:left w:val="none" w:sz="0" w:space="0" w:color="auto"/>
            <w:bottom w:val="none" w:sz="0" w:space="0" w:color="auto"/>
            <w:right w:val="none" w:sz="0" w:space="0" w:color="auto"/>
          </w:divBdr>
          <w:divsChild>
            <w:div w:id="1399789406">
              <w:marLeft w:val="0"/>
              <w:marRight w:val="0"/>
              <w:marTop w:val="0"/>
              <w:marBottom w:val="0"/>
              <w:divBdr>
                <w:top w:val="none" w:sz="0" w:space="0" w:color="auto"/>
                <w:left w:val="none" w:sz="0" w:space="0" w:color="auto"/>
                <w:bottom w:val="none" w:sz="0" w:space="0" w:color="auto"/>
                <w:right w:val="none" w:sz="0" w:space="0" w:color="auto"/>
              </w:divBdr>
              <w:divsChild>
                <w:div w:id="292251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574937">
      <w:bodyDiv w:val="1"/>
      <w:marLeft w:val="0"/>
      <w:marRight w:val="0"/>
      <w:marTop w:val="0"/>
      <w:marBottom w:val="0"/>
      <w:divBdr>
        <w:top w:val="none" w:sz="0" w:space="0" w:color="auto"/>
        <w:left w:val="none" w:sz="0" w:space="0" w:color="auto"/>
        <w:bottom w:val="none" w:sz="0" w:space="0" w:color="auto"/>
        <w:right w:val="none" w:sz="0" w:space="0" w:color="auto"/>
      </w:divBdr>
    </w:div>
    <w:div w:id="1142231008">
      <w:bodyDiv w:val="1"/>
      <w:marLeft w:val="0"/>
      <w:marRight w:val="0"/>
      <w:marTop w:val="0"/>
      <w:marBottom w:val="0"/>
      <w:divBdr>
        <w:top w:val="none" w:sz="0" w:space="0" w:color="auto"/>
        <w:left w:val="none" w:sz="0" w:space="0" w:color="auto"/>
        <w:bottom w:val="none" w:sz="0" w:space="0" w:color="auto"/>
        <w:right w:val="none" w:sz="0" w:space="0" w:color="auto"/>
      </w:divBdr>
    </w:div>
    <w:div w:id="1150554897">
      <w:bodyDiv w:val="1"/>
      <w:marLeft w:val="0"/>
      <w:marRight w:val="0"/>
      <w:marTop w:val="0"/>
      <w:marBottom w:val="0"/>
      <w:divBdr>
        <w:top w:val="none" w:sz="0" w:space="0" w:color="auto"/>
        <w:left w:val="none" w:sz="0" w:space="0" w:color="auto"/>
        <w:bottom w:val="none" w:sz="0" w:space="0" w:color="auto"/>
        <w:right w:val="none" w:sz="0" w:space="0" w:color="auto"/>
      </w:divBdr>
    </w:div>
    <w:div w:id="1150561913">
      <w:bodyDiv w:val="1"/>
      <w:marLeft w:val="0"/>
      <w:marRight w:val="0"/>
      <w:marTop w:val="0"/>
      <w:marBottom w:val="0"/>
      <w:divBdr>
        <w:top w:val="none" w:sz="0" w:space="0" w:color="auto"/>
        <w:left w:val="none" w:sz="0" w:space="0" w:color="auto"/>
        <w:bottom w:val="none" w:sz="0" w:space="0" w:color="auto"/>
        <w:right w:val="none" w:sz="0" w:space="0" w:color="auto"/>
      </w:divBdr>
    </w:div>
    <w:div w:id="1156453676">
      <w:bodyDiv w:val="1"/>
      <w:marLeft w:val="0"/>
      <w:marRight w:val="0"/>
      <w:marTop w:val="0"/>
      <w:marBottom w:val="0"/>
      <w:divBdr>
        <w:top w:val="none" w:sz="0" w:space="0" w:color="auto"/>
        <w:left w:val="none" w:sz="0" w:space="0" w:color="auto"/>
        <w:bottom w:val="none" w:sz="0" w:space="0" w:color="auto"/>
        <w:right w:val="none" w:sz="0" w:space="0" w:color="auto"/>
      </w:divBdr>
    </w:div>
    <w:div w:id="1159033021">
      <w:bodyDiv w:val="1"/>
      <w:marLeft w:val="0"/>
      <w:marRight w:val="0"/>
      <w:marTop w:val="0"/>
      <w:marBottom w:val="0"/>
      <w:divBdr>
        <w:top w:val="none" w:sz="0" w:space="0" w:color="auto"/>
        <w:left w:val="none" w:sz="0" w:space="0" w:color="auto"/>
        <w:bottom w:val="none" w:sz="0" w:space="0" w:color="auto"/>
        <w:right w:val="none" w:sz="0" w:space="0" w:color="auto"/>
      </w:divBdr>
    </w:div>
    <w:div w:id="1166016679">
      <w:bodyDiv w:val="1"/>
      <w:marLeft w:val="0"/>
      <w:marRight w:val="0"/>
      <w:marTop w:val="0"/>
      <w:marBottom w:val="0"/>
      <w:divBdr>
        <w:top w:val="none" w:sz="0" w:space="0" w:color="auto"/>
        <w:left w:val="none" w:sz="0" w:space="0" w:color="auto"/>
        <w:bottom w:val="none" w:sz="0" w:space="0" w:color="auto"/>
        <w:right w:val="none" w:sz="0" w:space="0" w:color="auto"/>
      </w:divBdr>
      <w:divsChild>
        <w:div w:id="2084137773">
          <w:marLeft w:val="0"/>
          <w:marRight w:val="0"/>
          <w:marTop w:val="0"/>
          <w:marBottom w:val="0"/>
          <w:divBdr>
            <w:top w:val="none" w:sz="0" w:space="0" w:color="auto"/>
            <w:left w:val="none" w:sz="0" w:space="0" w:color="auto"/>
            <w:bottom w:val="none" w:sz="0" w:space="0" w:color="auto"/>
            <w:right w:val="none" w:sz="0" w:space="0" w:color="auto"/>
          </w:divBdr>
          <w:divsChild>
            <w:div w:id="1810055372">
              <w:marLeft w:val="0"/>
              <w:marRight w:val="0"/>
              <w:marTop w:val="0"/>
              <w:marBottom w:val="0"/>
              <w:divBdr>
                <w:top w:val="none" w:sz="0" w:space="0" w:color="auto"/>
                <w:left w:val="none" w:sz="0" w:space="0" w:color="auto"/>
                <w:bottom w:val="none" w:sz="0" w:space="0" w:color="auto"/>
                <w:right w:val="none" w:sz="0" w:space="0" w:color="auto"/>
              </w:divBdr>
              <w:divsChild>
                <w:div w:id="1117798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168315">
      <w:bodyDiv w:val="1"/>
      <w:marLeft w:val="0"/>
      <w:marRight w:val="0"/>
      <w:marTop w:val="0"/>
      <w:marBottom w:val="0"/>
      <w:divBdr>
        <w:top w:val="none" w:sz="0" w:space="0" w:color="auto"/>
        <w:left w:val="none" w:sz="0" w:space="0" w:color="auto"/>
        <w:bottom w:val="none" w:sz="0" w:space="0" w:color="auto"/>
        <w:right w:val="none" w:sz="0" w:space="0" w:color="auto"/>
      </w:divBdr>
    </w:div>
    <w:div w:id="1178226810">
      <w:bodyDiv w:val="1"/>
      <w:marLeft w:val="0"/>
      <w:marRight w:val="0"/>
      <w:marTop w:val="0"/>
      <w:marBottom w:val="0"/>
      <w:divBdr>
        <w:top w:val="none" w:sz="0" w:space="0" w:color="auto"/>
        <w:left w:val="none" w:sz="0" w:space="0" w:color="auto"/>
        <w:bottom w:val="none" w:sz="0" w:space="0" w:color="auto"/>
        <w:right w:val="none" w:sz="0" w:space="0" w:color="auto"/>
      </w:divBdr>
      <w:divsChild>
        <w:div w:id="211812424">
          <w:marLeft w:val="0"/>
          <w:marRight w:val="0"/>
          <w:marTop w:val="0"/>
          <w:marBottom w:val="0"/>
          <w:divBdr>
            <w:top w:val="none" w:sz="0" w:space="0" w:color="auto"/>
            <w:left w:val="none" w:sz="0" w:space="0" w:color="auto"/>
            <w:bottom w:val="none" w:sz="0" w:space="0" w:color="auto"/>
            <w:right w:val="none" w:sz="0" w:space="0" w:color="auto"/>
          </w:divBdr>
          <w:divsChild>
            <w:div w:id="322441834">
              <w:marLeft w:val="0"/>
              <w:marRight w:val="0"/>
              <w:marTop w:val="0"/>
              <w:marBottom w:val="0"/>
              <w:divBdr>
                <w:top w:val="none" w:sz="0" w:space="0" w:color="auto"/>
                <w:left w:val="none" w:sz="0" w:space="0" w:color="auto"/>
                <w:bottom w:val="none" w:sz="0" w:space="0" w:color="auto"/>
                <w:right w:val="none" w:sz="0" w:space="0" w:color="auto"/>
              </w:divBdr>
              <w:divsChild>
                <w:div w:id="368186176">
                  <w:marLeft w:val="0"/>
                  <w:marRight w:val="0"/>
                  <w:marTop w:val="0"/>
                  <w:marBottom w:val="0"/>
                  <w:divBdr>
                    <w:top w:val="none" w:sz="0" w:space="0" w:color="auto"/>
                    <w:left w:val="none" w:sz="0" w:space="0" w:color="auto"/>
                    <w:bottom w:val="none" w:sz="0" w:space="0" w:color="auto"/>
                    <w:right w:val="none" w:sz="0" w:space="0" w:color="auto"/>
                  </w:divBdr>
                </w:div>
              </w:divsChild>
            </w:div>
            <w:div w:id="1548762183">
              <w:marLeft w:val="0"/>
              <w:marRight w:val="0"/>
              <w:marTop w:val="0"/>
              <w:marBottom w:val="0"/>
              <w:divBdr>
                <w:top w:val="none" w:sz="0" w:space="0" w:color="auto"/>
                <w:left w:val="none" w:sz="0" w:space="0" w:color="auto"/>
                <w:bottom w:val="none" w:sz="0" w:space="0" w:color="auto"/>
                <w:right w:val="none" w:sz="0" w:space="0" w:color="auto"/>
              </w:divBdr>
              <w:divsChild>
                <w:div w:id="1672827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9391216">
      <w:bodyDiv w:val="1"/>
      <w:marLeft w:val="0"/>
      <w:marRight w:val="0"/>
      <w:marTop w:val="0"/>
      <w:marBottom w:val="0"/>
      <w:divBdr>
        <w:top w:val="none" w:sz="0" w:space="0" w:color="auto"/>
        <w:left w:val="none" w:sz="0" w:space="0" w:color="auto"/>
        <w:bottom w:val="none" w:sz="0" w:space="0" w:color="auto"/>
        <w:right w:val="none" w:sz="0" w:space="0" w:color="auto"/>
      </w:divBdr>
    </w:div>
    <w:div w:id="1195313111">
      <w:bodyDiv w:val="1"/>
      <w:marLeft w:val="0"/>
      <w:marRight w:val="0"/>
      <w:marTop w:val="0"/>
      <w:marBottom w:val="0"/>
      <w:divBdr>
        <w:top w:val="none" w:sz="0" w:space="0" w:color="auto"/>
        <w:left w:val="none" w:sz="0" w:space="0" w:color="auto"/>
        <w:bottom w:val="none" w:sz="0" w:space="0" w:color="auto"/>
        <w:right w:val="none" w:sz="0" w:space="0" w:color="auto"/>
      </w:divBdr>
      <w:divsChild>
        <w:div w:id="1281495810">
          <w:marLeft w:val="0"/>
          <w:marRight w:val="0"/>
          <w:marTop w:val="0"/>
          <w:marBottom w:val="0"/>
          <w:divBdr>
            <w:top w:val="none" w:sz="0" w:space="0" w:color="auto"/>
            <w:left w:val="none" w:sz="0" w:space="0" w:color="auto"/>
            <w:bottom w:val="none" w:sz="0" w:space="0" w:color="auto"/>
            <w:right w:val="none" w:sz="0" w:space="0" w:color="auto"/>
          </w:divBdr>
          <w:divsChild>
            <w:div w:id="629359419">
              <w:marLeft w:val="0"/>
              <w:marRight w:val="0"/>
              <w:marTop w:val="0"/>
              <w:marBottom w:val="0"/>
              <w:divBdr>
                <w:top w:val="none" w:sz="0" w:space="0" w:color="auto"/>
                <w:left w:val="none" w:sz="0" w:space="0" w:color="auto"/>
                <w:bottom w:val="none" w:sz="0" w:space="0" w:color="auto"/>
                <w:right w:val="none" w:sz="0" w:space="0" w:color="auto"/>
              </w:divBdr>
              <w:divsChild>
                <w:div w:id="1668551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1067597">
      <w:bodyDiv w:val="1"/>
      <w:marLeft w:val="0"/>
      <w:marRight w:val="0"/>
      <w:marTop w:val="0"/>
      <w:marBottom w:val="0"/>
      <w:divBdr>
        <w:top w:val="none" w:sz="0" w:space="0" w:color="auto"/>
        <w:left w:val="none" w:sz="0" w:space="0" w:color="auto"/>
        <w:bottom w:val="none" w:sz="0" w:space="0" w:color="auto"/>
        <w:right w:val="none" w:sz="0" w:space="0" w:color="auto"/>
      </w:divBdr>
    </w:div>
    <w:div w:id="1232732599">
      <w:bodyDiv w:val="1"/>
      <w:marLeft w:val="0"/>
      <w:marRight w:val="0"/>
      <w:marTop w:val="0"/>
      <w:marBottom w:val="0"/>
      <w:divBdr>
        <w:top w:val="none" w:sz="0" w:space="0" w:color="auto"/>
        <w:left w:val="none" w:sz="0" w:space="0" w:color="auto"/>
        <w:bottom w:val="none" w:sz="0" w:space="0" w:color="auto"/>
        <w:right w:val="none" w:sz="0" w:space="0" w:color="auto"/>
      </w:divBdr>
      <w:divsChild>
        <w:div w:id="1951274851">
          <w:marLeft w:val="0"/>
          <w:marRight w:val="0"/>
          <w:marTop w:val="0"/>
          <w:marBottom w:val="0"/>
          <w:divBdr>
            <w:top w:val="none" w:sz="0" w:space="0" w:color="auto"/>
            <w:left w:val="none" w:sz="0" w:space="0" w:color="auto"/>
            <w:bottom w:val="none" w:sz="0" w:space="0" w:color="auto"/>
            <w:right w:val="none" w:sz="0" w:space="0" w:color="auto"/>
          </w:divBdr>
          <w:divsChild>
            <w:div w:id="1846044685">
              <w:marLeft w:val="0"/>
              <w:marRight w:val="0"/>
              <w:marTop w:val="0"/>
              <w:marBottom w:val="0"/>
              <w:divBdr>
                <w:top w:val="none" w:sz="0" w:space="0" w:color="auto"/>
                <w:left w:val="none" w:sz="0" w:space="0" w:color="auto"/>
                <w:bottom w:val="none" w:sz="0" w:space="0" w:color="auto"/>
                <w:right w:val="none" w:sz="0" w:space="0" w:color="auto"/>
              </w:divBdr>
              <w:divsChild>
                <w:div w:id="1698115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3107303">
      <w:bodyDiv w:val="1"/>
      <w:marLeft w:val="0"/>
      <w:marRight w:val="0"/>
      <w:marTop w:val="0"/>
      <w:marBottom w:val="0"/>
      <w:divBdr>
        <w:top w:val="none" w:sz="0" w:space="0" w:color="auto"/>
        <w:left w:val="none" w:sz="0" w:space="0" w:color="auto"/>
        <w:bottom w:val="none" w:sz="0" w:space="0" w:color="auto"/>
        <w:right w:val="none" w:sz="0" w:space="0" w:color="auto"/>
      </w:divBdr>
    </w:div>
    <w:div w:id="1243952097">
      <w:bodyDiv w:val="1"/>
      <w:marLeft w:val="0"/>
      <w:marRight w:val="0"/>
      <w:marTop w:val="0"/>
      <w:marBottom w:val="0"/>
      <w:divBdr>
        <w:top w:val="none" w:sz="0" w:space="0" w:color="auto"/>
        <w:left w:val="none" w:sz="0" w:space="0" w:color="auto"/>
        <w:bottom w:val="none" w:sz="0" w:space="0" w:color="auto"/>
        <w:right w:val="none" w:sz="0" w:space="0" w:color="auto"/>
      </w:divBdr>
      <w:divsChild>
        <w:div w:id="860314859">
          <w:marLeft w:val="0"/>
          <w:marRight w:val="0"/>
          <w:marTop w:val="0"/>
          <w:marBottom w:val="0"/>
          <w:divBdr>
            <w:top w:val="none" w:sz="0" w:space="0" w:color="auto"/>
            <w:left w:val="none" w:sz="0" w:space="0" w:color="auto"/>
            <w:bottom w:val="none" w:sz="0" w:space="0" w:color="auto"/>
            <w:right w:val="none" w:sz="0" w:space="0" w:color="auto"/>
          </w:divBdr>
          <w:divsChild>
            <w:div w:id="155146604">
              <w:marLeft w:val="0"/>
              <w:marRight w:val="0"/>
              <w:marTop w:val="0"/>
              <w:marBottom w:val="0"/>
              <w:divBdr>
                <w:top w:val="none" w:sz="0" w:space="0" w:color="auto"/>
                <w:left w:val="none" w:sz="0" w:space="0" w:color="auto"/>
                <w:bottom w:val="none" w:sz="0" w:space="0" w:color="auto"/>
                <w:right w:val="none" w:sz="0" w:space="0" w:color="auto"/>
              </w:divBdr>
              <w:divsChild>
                <w:div w:id="1507288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644119">
      <w:bodyDiv w:val="1"/>
      <w:marLeft w:val="0"/>
      <w:marRight w:val="0"/>
      <w:marTop w:val="0"/>
      <w:marBottom w:val="0"/>
      <w:divBdr>
        <w:top w:val="none" w:sz="0" w:space="0" w:color="auto"/>
        <w:left w:val="none" w:sz="0" w:space="0" w:color="auto"/>
        <w:bottom w:val="none" w:sz="0" w:space="0" w:color="auto"/>
        <w:right w:val="none" w:sz="0" w:space="0" w:color="auto"/>
      </w:divBdr>
    </w:div>
    <w:div w:id="1267617435">
      <w:bodyDiv w:val="1"/>
      <w:marLeft w:val="0"/>
      <w:marRight w:val="0"/>
      <w:marTop w:val="0"/>
      <w:marBottom w:val="0"/>
      <w:divBdr>
        <w:top w:val="none" w:sz="0" w:space="0" w:color="auto"/>
        <w:left w:val="none" w:sz="0" w:space="0" w:color="auto"/>
        <w:bottom w:val="none" w:sz="0" w:space="0" w:color="auto"/>
        <w:right w:val="none" w:sz="0" w:space="0" w:color="auto"/>
      </w:divBdr>
    </w:div>
    <w:div w:id="1273590573">
      <w:bodyDiv w:val="1"/>
      <w:marLeft w:val="0"/>
      <w:marRight w:val="0"/>
      <w:marTop w:val="0"/>
      <w:marBottom w:val="0"/>
      <w:divBdr>
        <w:top w:val="none" w:sz="0" w:space="0" w:color="auto"/>
        <w:left w:val="none" w:sz="0" w:space="0" w:color="auto"/>
        <w:bottom w:val="none" w:sz="0" w:space="0" w:color="auto"/>
        <w:right w:val="none" w:sz="0" w:space="0" w:color="auto"/>
      </w:divBdr>
    </w:div>
    <w:div w:id="1274627822">
      <w:bodyDiv w:val="1"/>
      <w:marLeft w:val="0"/>
      <w:marRight w:val="0"/>
      <w:marTop w:val="0"/>
      <w:marBottom w:val="0"/>
      <w:divBdr>
        <w:top w:val="none" w:sz="0" w:space="0" w:color="auto"/>
        <w:left w:val="none" w:sz="0" w:space="0" w:color="auto"/>
        <w:bottom w:val="none" w:sz="0" w:space="0" w:color="auto"/>
        <w:right w:val="none" w:sz="0" w:space="0" w:color="auto"/>
      </w:divBdr>
      <w:divsChild>
        <w:div w:id="710350344">
          <w:marLeft w:val="0"/>
          <w:marRight w:val="0"/>
          <w:marTop w:val="0"/>
          <w:marBottom w:val="0"/>
          <w:divBdr>
            <w:top w:val="none" w:sz="0" w:space="0" w:color="auto"/>
            <w:left w:val="none" w:sz="0" w:space="0" w:color="auto"/>
            <w:bottom w:val="none" w:sz="0" w:space="0" w:color="auto"/>
            <w:right w:val="none" w:sz="0" w:space="0" w:color="auto"/>
          </w:divBdr>
          <w:divsChild>
            <w:div w:id="1547140766">
              <w:marLeft w:val="0"/>
              <w:marRight w:val="0"/>
              <w:marTop w:val="0"/>
              <w:marBottom w:val="0"/>
              <w:divBdr>
                <w:top w:val="none" w:sz="0" w:space="0" w:color="auto"/>
                <w:left w:val="none" w:sz="0" w:space="0" w:color="auto"/>
                <w:bottom w:val="none" w:sz="0" w:space="0" w:color="auto"/>
                <w:right w:val="none" w:sz="0" w:space="0" w:color="auto"/>
              </w:divBdr>
              <w:divsChild>
                <w:div w:id="956330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4266288">
      <w:bodyDiv w:val="1"/>
      <w:marLeft w:val="0"/>
      <w:marRight w:val="0"/>
      <w:marTop w:val="0"/>
      <w:marBottom w:val="0"/>
      <w:divBdr>
        <w:top w:val="none" w:sz="0" w:space="0" w:color="auto"/>
        <w:left w:val="none" w:sz="0" w:space="0" w:color="auto"/>
        <w:bottom w:val="none" w:sz="0" w:space="0" w:color="auto"/>
        <w:right w:val="none" w:sz="0" w:space="0" w:color="auto"/>
      </w:divBdr>
    </w:div>
    <w:div w:id="1292202631">
      <w:bodyDiv w:val="1"/>
      <w:marLeft w:val="0"/>
      <w:marRight w:val="0"/>
      <w:marTop w:val="0"/>
      <w:marBottom w:val="0"/>
      <w:divBdr>
        <w:top w:val="none" w:sz="0" w:space="0" w:color="auto"/>
        <w:left w:val="none" w:sz="0" w:space="0" w:color="auto"/>
        <w:bottom w:val="none" w:sz="0" w:space="0" w:color="auto"/>
        <w:right w:val="none" w:sz="0" w:space="0" w:color="auto"/>
      </w:divBdr>
      <w:divsChild>
        <w:div w:id="1344016507">
          <w:marLeft w:val="0"/>
          <w:marRight w:val="0"/>
          <w:marTop w:val="0"/>
          <w:marBottom w:val="0"/>
          <w:divBdr>
            <w:top w:val="none" w:sz="0" w:space="0" w:color="auto"/>
            <w:left w:val="none" w:sz="0" w:space="0" w:color="auto"/>
            <w:bottom w:val="none" w:sz="0" w:space="0" w:color="auto"/>
            <w:right w:val="none" w:sz="0" w:space="0" w:color="auto"/>
          </w:divBdr>
          <w:divsChild>
            <w:div w:id="1286229700">
              <w:marLeft w:val="0"/>
              <w:marRight w:val="0"/>
              <w:marTop w:val="0"/>
              <w:marBottom w:val="0"/>
              <w:divBdr>
                <w:top w:val="none" w:sz="0" w:space="0" w:color="auto"/>
                <w:left w:val="none" w:sz="0" w:space="0" w:color="auto"/>
                <w:bottom w:val="none" w:sz="0" w:space="0" w:color="auto"/>
                <w:right w:val="none" w:sz="0" w:space="0" w:color="auto"/>
              </w:divBdr>
              <w:divsChild>
                <w:div w:id="246696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9147933">
      <w:bodyDiv w:val="1"/>
      <w:marLeft w:val="0"/>
      <w:marRight w:val="0"/>
      <w:marTop w:val="0"/>
      <w:marBottom w:val="0"/>
      <w:divBdr>
        <w:top w:val="none" w:sz="0" w:space="0" w:color="auto"/>
        <w:left w:val="none" w:sz="0" w:space="0" w:color="auto"/>
        <w:bottom w:val="none" w:sz="0" w:space="0" w:color="auto"/>
        <w:right w:val="none" w:sz="0" w:space="0" w:color="auto"/>
      </w:divBdr>
      <w:divsChild>
        <w:div w:id="1287352780">
          <w:marLeft w:val="0"/>
          <w:marRight w:val="0"/>
          <w:marTop w:val="0"/>
          <w:marBottom w:val="0"/>
          <w:divBdr>
            <w:top w:val="none" w:sz="0" w:space="0" w:color="auto"/>
            <w:left w:val="none" w:sz="0" w:space="0" w:color="auto"/>
            <w:bottom w:val="none" w:sz="0" w:space="0" w:color="auto"/>
            <w:right w:val="none" w:sz="0" w:space="0" w:color="auto"/>
          </w:divBdr>
          <w:divsChild>
            <w:div w:id="1936983402">
              <w:marLeft w:val="0"/>
              <w:marRight w:val="0"/>
              <w:marTop w:val="0"/>
              <w:marBottom w:val="0"/>
              <w:divBdr>
                <w:top w:val="none" w:sz="0" w:space="0" w:color="auto"/>
                <w:left w:val="none" w:sz="0" w:space="0" w:color="auto"/>
                <w:bottom w:val="none" w:sz="0" w:space="0" w:color="auto"/>
                <w:right w:val="none" w:sz="0" w:space="0" w:color="auto"/>
              </w:divBdr>
              <w:divsChild>
                <w:div w:id="184334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0208863">
      <w:bodyDiv w:val="1"/>
      <w:marLeft w:val="0"/>
      <w:marRight w:val="0"/>
      <w:marTop w:val="0"/>
      <w:marBottom w:val="0"/>
      <w:divBdr>
        <w:top w:val="none" w:sz="0" w:space="0" w:color="auto"/>
        <w:left w:val="none" w:sz="0" w:space="0" w:color="auto"/>
        <w:bottom w:val="none" w:sz="0" w:space="0" w:color="auto"/>
        <w:right w:val="none" w:sz="0" w:space="0" w:color="auto"/>
      </w:divBdr>
    </w:div>
    <w:div w:id="1314725189">
      <w:bodyDiv w:val="1"/>
      <w:marLeft w:val="0"/>
      <w:marRight w:val="0"/>
      <w:marTop w:val="0"/>
      <w:marBottom w:val="0"/>
      <w:divBdr>
        <w:top w:val="none" w:sz="0" w:space="0" w:color="auto"/>
        <w:left w:val="none" w:sz="0" w:space="0" w:color="auto"/>
        <w:bottom w:val="none" w:sz="0" w:space="0" w:color="auto"/>
        <w:right w:val="none" w:sz="0" w:space="0" w:color="auto"/>
      </w:divBdr>
      <w:divsChild>
        <w:div w:id="691149444">
          <w:marLeft w:val="0"/>
          <w:marRight w:val="0"/>
          <w:marTop w:val="0"/>
          <w:marBottom w:val="0"/>
          <w:divBdr>
            <w:top w:val="none" w:sz="0" w:space="0" w:color="auto"/>
            <w:left w:val="none" w:sz="0" w:space="0" w:color="auto"/>
            <w:bottom w:val="none" w:sz="0" w:space="0" w:color="auto"/>
            <w:right w:val="none" w:sz="0" w:space="0" w:color="auto"/>
          </w:divBdr>
          <w:divsChild>
            <w:div w:id="594094240">
              <w:marLeft w:val="0"/>
              <w:marRight w:val="0"/>
              <w:marTop w:val="0"/>
              <w:marBottom w:val="0"/>
              <w:divBdr>
                <w:top w:val="none" w:sz="0" w:space="0" w:color="auto"/>
                <w:left w:val="none" w:sz="0" w:space="0" w:color="auto"/>
                <w:bottom w:val="none" w:sz="0" w:space="0" w:color="auto"/>
                <w:right w:val="none" w:sz="0" w:space="0" w:color="auto"/>
              </w:divBdr>
              <w:divsChild>
                <w:div w:id="802239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700130">
      <w:bodyDiv w:val="1"/>
      <w:marLeft w:val="0"/>
      <w:marRight w:val="0"/>
      <w:marTop w:val="0"/>
      <w:marBottom w:val="0"/>
      <w:divBdr>
        <w:top w:val="none" w:sz="0" w:space="0" w:color="auto"/>
        <w:left w:val="none" w:sz="0" w:space="0" w:color="auto"/>
        <w:bottom w:val="none" w:sz="0" w:space="0" w:color="auto"/>
        <w:right w:val="none" w:sz="0" w:space="0" w:color="auto"/>
      </w:divBdr>
      <w:divsChild>
        <w:div w:id="896161637">
          <w:marLeft w:val="0"/>
          <w:marRight w:val="0"/>
          <w:marTop w:val="0"/>
          <w:marBottom w:val="0"/>
          <w:divBdr>
            <w:top w:val="none" w:sz="0" w:space="0" w:color="auto"/>
            <w:left w:val="none" w:sz="0" w:space="0" w:color="auto"/>
            <w:bottom w:val="none" w:sz="0" w:space="0" w:color="auto"/>
            <w:right w:val="none" w:sz="0" w:space="0" w:color="auto"/>
          </w:divBdr>
          <w:divsChild>
            <w:div w:id="615908026">
              <w:marLeft w:val="0"/>
              <w:marRight w:val="0"/>
              <w:marTop w:val="0"/>
              <w:marBottom w:val="0"/>
              <w:divBdr>
                <w:top w:val="none" w:sz="0" w:space="0" w:color="auto"/>
                <w:left w:val="none" w:sz="0" w:space="0" w:color="auto"/>
                <w:bottom w:val="none" w:sz="0" w:space="0" w:color="auto"/>
                <w:right w:val="none" w:sz="0" w:space="0" w:color="auto"/>
              </w:divBdr>
              <w:divsChild>
                <w:div w:id="1296568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208711">
      <w:bodyDiv w:val="1"/>
      <w:marLeft w:val="0"/>
      <w:marRight w:val="0"/>
      <w:marTop w:val="0"/>
      <w:marBottom w:val="0"/>
      <w:divBdr>
        <w:top w:val="none" w:sz="0" w:space="0" w:color="auto"/>
        <w:left w:val="none" w:sz="0" w:space="0" w:color="auto"/>
        <w:bottom w:val="none" w:sz="0" w:space="0" w:color="auto"/>
        <w:right w:val="none" w:sz="0" w:space="0" w:color="auto"/>
      </w:divBdr>
      <w:divsChild>
        <w:div w:id="992484006">
          <w:marLeft w:val="0"/>
          <w:marRight w:val="0"/>
          <w:marTop w:val="0"/>
          <w:marBottom w:val="0"/>
          <w:divBdr>
            <w:top w:val="none" w:sz="0" w:space="0" w:color="auto"/>
            <w:left w:val="none" w:sz="0" w:space="0" w:color="auto"/>
            <w:bottom w:val="none" w:sz="0" w:space="0" w:color="auto"/>
            <w:right w:val="none" w:sz="0" w:space="0" w:color="auto"/>
          </w:divBdr>
          <w:divsChild>
            <w:div w:id="1521309817">
              <w:marLeft w:val="0"/>
              <w:marRight w:val="0"/>
              <w:marTop w:val="0"/>
              <w:marBottom w:val="0"/>
              <w:divBdr>
                <w:top w:val="none" w:sz="0" w:space="0" w:color="auto"/>
                <w:left w:val="none" w:sz="0" w:space="0" w:color="auto"/>
                <w:bottom w:val="none" w:sz="0" w:space="0" w:color="auto"/>
                <w:right w:val="none" w:sz="0" w:space="0" w:color="auto"/>
              </w:divBdr>
              <w:divsChild>
                <w:div w:id="18528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708321">
      <w:bodyDiv w:val="1"/>
      <w:marLeft w:val="0"/>
      <w:marRight w:val="0"/>
      <w:marTop w:val="0"/>
      <w:marBottom w:val="0"/>
      <w:divBdr>
        <w:top w:val="none" w:sz="0" w:space="0" w:color="auto"/>
        <w:left w:val="none" w:sz="0" w:space="0" w:color="auto"/>
        <w:bottom w:val="none" w:sz="0" w:space="0" w:color="auto"/>
        <w:right w:val="none" w:sz="0" w:space="0" w:color="auto"/>
      </w:divBdr>
    </w:div>
    <w:div w:id="1337609626">
      <w:bodyDiv w:val="1"/>
      <w:marLeft w:val="0"/>
      <w:marRight w:val="0"/>
      <w:marTop w:val="0"/>
      <w:marBottom w:val="0"/>
      <w:divBdr>
        <w:top w:val="none" w:sz="0" w:space="0" w:color="auto"/>
        <w:left w:val="none" w:sz="0" w:space="0" w:color="auto"/>
        <w:bottom w:val="none" w:sz="0" w:space="0" w:color="auto"/>
        <w:right w:val="none" w:sz="0" w:space="0" w:color="auto"/>
      </w:divBdr>
    </w:div>
    <w:div w:id="1351645090">
      <w:bodyDiv w:val="1"/>
      <w:marLeft w:val="0"/>
      <w:marRight w:val="0"/>
      <w:marTop w:val="0"/>
      <w:marBottom w:val="0"/>
      <w:divBdr>
        <w:top w:val="none" w:sz="0" w:space="0" w:color="auto"/>
        <w:left w:val="none" w:sz="0" w:space="0" w:color="auto"/>
        <w:bottom w:val="none" w:sz="0" w:space="0" w:color="auto"/>
        <w:right w:val="none" w:sz="0" w:space="0" w:color="auto"/>
      </w:divBdr>
    </w:div>
    <w:div w:id="1362048086">
      <w:bodyDiv w:val="1"/>
      <w:marLeft w:val="0"/>
      <w:marRight w:val="0"/>
      <w:marTop w:val="0"/>
      <w:marBottom w:val="0"/>
      <w:divBdr>
        <w:top w:val="none" w:sz="0" w:space="0" w:color="auto"/>
        <w:left w:val="none" w:sz="0" w:space="0" w:color="auto"/>
        <w:bottom w:val="none" w:sz="0" w:space="0" w:color="auto"/>
        <w:right w:val="none" w:sz="0" w:space="0" w:color="auto"/>
      </w:divBdr>
      <w:divsChild>
        <w:div w:id="649754925">
          <w:marLeft w:val="0"/>
          <w:marRight w:val="0"/>
          <w:marTop w:val="0"/>
          <w:marBottom w:val="0"/>
          <w:divBdr>
            <w:top w:val="none" w:sz="0" w:space="0" w:color="auto"/>
            <w:left w:val="none" w:sz="0" w:space="0" w:color="auto"/>
            <w:bottom w:val="none" w:sz="0" w:space="0" w:color="auto"/>
            <w:right w:val="none" w:sz="0" w:space="0" w:color="auto"/>
          </w:divBdr>
          <w:divsChild>
            <w:div w:id="1270116721">
              <w:marLeft w:val="0"/>
              <w:marRight w:val="0"/>
              <w:marTop w:val="0"/>
              <w:marBottom w:val="0"/>
              <w:divBdr>
                <w:top w:val="none" w:sz="0" w:space="0" w:color="auto"/>
                <w:left w:val="none" w:sz="0" w:space="0" w:color="auto"/>
                <w:bottom w:val="none" w:sz="0" w:space="0" w:color="auto"/>
                <w:right w:val="none" w:sz="0" w:space="0" w:color="auto"/>
              </w:divBdr>
              <w:divsChild>
                <w:div w:id="1657761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2974966">
      <w:bodyDiv w:val="1"/>
      <w:marLeft w:val="0"/>
      <w:marRight w:val="0"/>
      <w:marTop w:val="0"/>
      <w:marBottom w:val="0"/>
      <w:divBdr>
        <w:top w:val="none" w:sz="0" w:space="0" w:color="auto"/>
        <w:left w:val="none" w:sz="0" w:space="0" w:color="auto"/>
        <w:bottom w:val="none" w:sz="0" w:space="0" w:color="auto"/>
        <w:right w:val="none" w:sz="0" w:space="0" w:color="auto"/>
      </w:divBdr>
    </w:div>
    <w:div w:id="1363818971">
      <w:bodyDiv w:val="1"/>
      <w:marLeft w:val="0"/>
      <w:marRight w:val="0"/>
      <w:marTop w:val="0"/>
      <w:marBottom w:val="0"/>
      <w:divBdr>
        <w:top w:val="none" w:sz="0" w:space="0" w:color="auto"/>
        <w:left w:val="none" w:sz="0" w:space="0" w:color="auto"/>
        <w:bottom w:val="none" w:sz="0" w:space="0" w:color="auto"/>
        <w:right w:val="none" w:sz="0" w:space="0" w:color="auto"/>
      </w:divBdr>
      <w:divsChild>
        <w:div w:id="1581283602">
          <w:marLeft w:val="0"/>
          <w:marRight w:val="0"/>
          <w:marTop w:val="0"/>
          <w:marBottom w:val="0"/>
          <w:divBdr>
            <w:top w:val="none" w:sz="0" w:space="0" w:color="auto"/>
            <w:left w:val="none" w:sz="0" w:space="0" w:color="auto"/>
            <w:bottom w:val="none" w:sz="0" w:space="0" w:color="auto"/>
            <w:right w:val="none" w:sz="0" w:space="0" w:color="auto"/>
          </w:divBdr>
        </w:div>
        <w:div w:id="1680347123">
          <w:marLeft w:val="0"/>
          <w:marRight w:val="0"/>
          <w:marTop w:val="0"/>
          <w:marBottom w:val="0"/>
          <w:divBdr>
            <w:top w:val="none" w:sz="0" w:space="0" w:color="auto"/>
            <w:left w:val="none" w:sz="0" w:space="0" w:color="auto"/>
            <w:bottom w:val="none" w:sz="0" w:space="0" w:color="auto"/>
            <w:right w:val="none" w:sz="0" w:space="0" w:color="auto"/>
          </w:divBdr>
        </w:div>
      </w:divsChild>
    </w:div>
    <w:div w:id="1372535289">
      <w:bodyDiv w:val="1"/>
      <w:marLeft w:val="0"/>
      <w:marRight w:val="0"/>
      <w:marTop w:val="0"/>
      <w:marBottom w:val="0"/>
      <w:divBdr>
        <w:top w:val="none" w:sz="0" w:space="0" w:color="auto"/>
        <w:left w:val="none" w:sz="0" w:space="0" w:color="auto"/>
        <w:bottom w:val="none" w:sz="0" w:space="0" w:color="auto"/>
        <w:right w:val="none" w:sz="0" w:space="0" w:color="auto"/>
      </w:divBdr>
      <w:divsChild>
        <w:div w:id="1928229171">
          <w:marLeft w:val="0"/>
          <w:marRight w:val="0"/>
          <w:marTop w:val="0"/>
          <w:marBottom w:val="0"/>
          <w:divBdr>
            <w:top w:val="none" w:sz="0" w:space="0" w:color="auto"/>
            <w:left w:val="none" w:sz="0" w:space="0" w:color="auto"/>
            <w:bottom w:val="none" w:sz="0" w:space="0" w:color="auto"/>
            <w:right w:val="none" w:sz="0" w:space="0" w:color="auto"/>
          </w:divBdr>
          <w:divsChild>
            <w:div w:id="1564483599">
              <w:marLeft w:val="0"/>
              <w:marRight w:val="0"/>
              <w:marTop w:val="0"/>
              <w:marBottom w:val="0"/>
              <w:divBdr>
                <w:top w:val="none" w:sz="0" w:space="0" w:color="auto"/>
                <w:left w:val="none" w:sz="0" w:space="0" w:color="auto"/>
                <w:bottom w:val="none" w:sz="0" w:space="0" w:color="auto"/>
                <w:right w:val="none" w:sz="0" w:space="0" w:color="auto"/>
              </w:divBdr>
              <w:divsChild>
                <w:div w:id="86752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5471308">
      <w:bodyDiv w:val="1"/>
      <w:marLeft w:val="0"/>
      <w:marRight w:val="0"/>
      <w:marTop w:val="0"/>
      <w:marBottom w:val="0"/>
      <w:divBdr>
        <w:top w:val="none" w:sz="0" w:space="0" w:color="auto"/>
        <w:left w:val="none" w:sz="0" w:space="0" w:color="auto"/>
        <w:bottom w:val="none" w:sz="0" w:space="0" w:color="auto"/>
        <w:right w:val="none" w:sz="0" w:space="0" w:color="auto"/>
      </w:divBdr>
    </w:div>
    <w:div w:id="1388921090">
      <w:bodyDiv w:val="1"/>
      <w:marLeft w:val="0"/>
      <w:marRight w:val="0"/>
      <w:marTop w:val="0"/>
      <w:marBottom w:val="0"/>
      <w:divBdr>
        <w:top w:val="none" w:sz="0" w:space="0" w:color="auto"/>
        <w:left w:val="none" w:sz="0" w:space="0" w:color="auto"/>
        <w:bottom w:val="none" w:sz="0" w:space="0" w:color="auto"/>
        <w:right w:val="none" w:sz="0" w:space="0" w:color="auto"/>
      </w:divBdr>
      <w:divsChild>
        <w:div w:id="551119758">
          <w:marLeft w:val="0"/>
          <w:marRight w:val="0"/>
          <w:marTop w:val="0"/>
          <w:marBottom w:val="0"/>
          <w:divBdr>
            <w:top w:val="none" w:sz="0" w:space="0" w:color="auto"/>
            <w:left w:val="none" w:sz="0" w:space="0" w:color="auto"/>
            <w:bottom w:val="none" w:sz="0" w:space="0" w:color="auto"/>
            <w:right w:val="none" w:sz="0" w:space="0" w:color="auto"/>
          </w:divBdr>
          <w:divsChild>
            <w:div w:id="1423263459">
              <w:marLeft w:val="0"/>
              <w:marRight w:val="0"/>
              <w:marTop w:val="0"/>
              <w:marBottom w:val="0"/>
              <w:divBdr>
                <w:top w:val="none" w:sz="0" w:space="0" w:color="auto"/>
                <w:left w:val="none" w:sz="0" w:space="0" w:color="auto"/>
                <w:bottom w:val="none" w:sz="0" w:space="0" w:color="auto"/>
                <w:right w:val="none" w:sz="0" w:space="0" w:color="auto"/>
              </w:divBdr>
              <w:divsChild>
                <w:div w:id="192664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064523">
      <w:bodyDiv w:val="1"/>
      <w:marLeft w:val="0"/>
      <w:marRight w:val="0"/>
      <w:marTop w:val="0"/>
      <w:marBottom w:val="0"/>
      <w:divBdr>
        <w:top w:val="none" w:sz="0" w:space="0" w:color="auto"/>
        <w:left w:val="none" w:sz="0" w:space="0" w:color="auto"/>
        <w:bottom w:val="none" w:sz="0" w:space="0" w:color="auto"/>
        <w:right w:val="none" w:sz="0" w:space="0" w:color="auto"/>
      </w:divBdr>
      <w:divsChild>
        <w:div w:id="1469938833">
          <w:marLeft w:val="0"/>
          <w:marRight w:val="0"/>
          <w:marTop w:val="0"/>
          <w:marBottom w:val="0"/>
          <w:divBdr>
            <w:top w:val="none" w:sz="0" w:space="0" w:color="auto"/>
            <w:left w:val="none" w:sz="0" w:space="0" w:color="auto"/>
            <w:bottom w:val="none" w:sz="0" w:space="0" w:color="auto"/>
            <w:right w:val="none" w:sz="0" w:space="0" w:color="auto"/>
          </w:divBdr>
        </w:div>
        <w:div w:id="1756395694">
          <w:marLeft w:val="0"/>
          <w:marRight w:val="0"/>
          <w:marTop w:val="0"/>
          <w:marBottom w:val="0"/>
          <w:divBdr>
            <w:top w:val="none" w:sz="0" w:space="0" w:color="auto"/>
            <w:left w:val="none" w:sz="0" w:space="0" w:color="auto"/>
            <w:bottom w:val="none" w:sz="0" w:space="0" w:color="auto"/>
            <w:right w:val="none" w:sz="0" w:space="0" w:color="auto"/>
          </w:divBdr>
        </w:div>
      </w:divsChild>
    </w:div>
    <w:div w:id="1408456095">
      <w:bodyDiv w:val="1"/>
      <w:marLeft w:val="0"/>
      <w:marRight w:val="0"/>
      <w:marTop w:val="0"/>
      <w:marBottom w:val="0"/>
      <w:divBdr>
        <w:top w:val="none" w:sz="0" w:space="0" w:color="auto"/>
        <w:left w:val="none" w:sz="0" w:space="0" w:color="auto"/>
        <w:bottom w:val="none" w:sz="0" w:space="0" w:color="auto"/>
        <w:right w:val="none" w:sz="0" w:space="0" w:color="auto"/>
      </w:divBdr>
      <w:divsChild>
        <w:div w:id="158277526">
          <w:marLeft w:val="0"/>
          <w:marRight w:val="0"/>
          <w:marTop w:val="0"/>
          <w:marBottom w:val="0"/>
          <w:divBdr>
            <w:top w:val="none" w:sz="0" w:space="0" w:color="auto"/>
            <w:left w:val="none" w:sz="0" w:space="0" w:color="auto"/>
            <w:bottom w:val="none" w:sz="0" w:space="0" w:color="auto"/>
            <w:right w:val="none" w:sz="0" w:space="0" w:color="auto"/>
          </w:divBdr>
          <w:divsChild>
            <w:div w:id="1472744887">
              <w:marLeft w:val="0"/>
              <w:marRight w:val="0"/>
              <w:marTop w:val="0"/>
              <w:marBottom w:val="0"/>
              <w:divBdr>
                <w:top w:val="none" w:sz="0" w:space="0" w:color="auto"/>
                <w:left w:val="none" w:sz="0" w:space="0" w:color="auto"/>
                <w:bottom w:val="none" w:sz="0" w:space="0" w:color="auto"/>
                <w:right w:val="none" w:sz="0" w:space="0" w:color="auto"/>
              </w:divBdr>
              <w:divsChild>
                <w:div w:id="2034532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0738224">
      <w:bodyDiv w:val="1"/>
      <w:marLeft w:val="0"/>
      <w:marRight w:val="0"/>
      <w:marTop w:val="0"/>
      <w:marBottom w:val="0"/>
      <w:divBdr>
        <w:top w:val="none" w:sz="0" w:space="0" w:color="auto"/>
        <w:left w:val="none" w:sz="0" w:space="0" w:color="auto"/>
        <w:bottom w:val="none" w:sz="0" w:space="0" w:color="auto"/>
        <w:right w:val="none" w:sz="0" w:space="0" w:color="auto"/>
      </w:divBdr>
    </w:div>
    <w:div w:id="1411925116">
      <w:bodyDiv w:val="1"/>
      <w:marLeft w:val="0"/>
      <w:marRight w:val="0"/>
      <w:marTop w:val="0"/>
      <w:marBottom w:val="0"/>
      <w:divBdr>
        <w:top w:val="none" w:sz="0" w:space="0" w:color="auto"/>
        <w:left w:val="none" w:sz="0" w:space="0" w:color="auto"/>
        <w:bottom w:val="none" w:sz="0" w:space="0" w:color="auto"/>
        <w:right w:val="none" w:sz="0" w:space="0" w:color="auto"/>
      </w:divBdr>
    </w:div>
    <w:div w:id="1424303150">
      <w:bodyDiv w:val="1"/>
      <w:marLeft w:val="0"/>
      <w:marRight w:val="0"/>
      <w:marTop w:val="0"/>
      <w:marBottom w:val="0"/>
      <w:divBdr>
        <w:top w:val="none" w:sz="0" w:space="0" w:color="auto"/>
        <w:left w:val="none" w:sz="0" w:space="0" w:color="auto"/>
        <w:bottom w:val="none" w:sz="0" w:space="0" w:color="auto"/>
        <w:right w:val="none" w:sz="0" w:space="0" w:color="auto"/>
      </w:divBdr>
      <w:divsChild>
        <w:div w:id="35618527">
          <w:marLeft w:val="0"/>
          <w:marRight w:val="0"/>
          <w:marTop w:val="0"/>
          <w:marBottom w:val="0"/>
          <w:divBdr>
            <w:top w:val="none" w:sz="0" w:space="0" w:color="auto"/>
            <w:left w:val="none" w:sz="0" w:space="0" w:color="auto"/>
            <w:bottom w:val="none" w:sz="0" w:space="0" w:color="auto"/>
            <w:right w:val="none" w:sz="0" w:space="0" w:color="auto"/>
          </w:divBdr>
          <w:divsChild>
            <w:div w:id="1823350136">
              <w:marLeft w:val="0"/>
              <w:marRight w:val="0"/>
              <w:marTop w:val="0"/>
              <w:marBottom w:val="0"/>
              <w:divBdr>
                <w:top w:val="none" w:sz="0" w:space="0" w:color="auto"/>
                <w:left w:val="none" w:sz="0" w:space="0" w:color="auto"/>
                <w:bottom w:val="none" w:sz="0" w:space="0" w:color="auto"/>
                <w:right w:val="none" w:sz="0" w:space="0" w:color="auto"/>
              </w:divBdr>
              <w:divsChild>
                <w:div w:id="132789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615085">
      <w:bodyDiv w:val="1"/>
      <w:marLeft w:val="0"/>
      <w:marRight w:val="0"/>
      <w:marTop w:val="0"/>
      <w:marBottom w:val="0"/>
      <w:divBdr>
        <w:top w:val="none" w:sz="0" w:space="0" w:color="auto"/>
        <w:left w:val="none" w:sz="0" w:space="0" w:color="auto"/>
        <w:bottom w:val="none" w:sz="0" w:space="0" w:color="auto"/>
        <w:right w:val="none" w:sz="0" w:space="0" w:color="auto"/>
      </w:divBdr>
      <w:divsChild>
        <w:div w:id="243422953">
          <w:marLeft w:val="0"/>
          <w:marRight w:val="0"/>
          <w:marTop w:val="0"/>
          <w:marBottom w:val="0"/>
          <w:divBdr>
            <w:top w:val="none" w:sz="0" w:space="0" w:color="auto"/>
            <w:left w:val="none" w:sz="0" w:space="0" w:color="auto"/>
            <w:bottom w:val="none" w:sz="0" w:space="0" w:color="auto"/>
            <w:right w:val="none" w:sz="0" w:space="0" w:color="auto"/>
          </w:divBdr>
          <w:divsChild>
            <w:div w:id="174925497">
              <w:marLeft w:val="0"/>
              <w:marRight w:val="0"/>
              <w:marTop w:val="0"/>
              <w:marBottom w:val="0"/>
              <w:divBdr>
                <w:top w:val="none" w:sz="0" w:space="0" w:color="auto"/>
                <w:left w:val="none" w:sz="0" w:space="0" w:color="auto"/>
                <w:bottom w:val="none" w:sz="0" w:space="0" w:color="auto"/>
                <w:right w:val="none" w:sz="0" w:space="0" w:color="auto"/>
              </w:divBdr>
              <w:divsChild>
                <w:div w:id="36937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458303">
      <w:bodyDiv w:val="1"/>
      <w:marLeft w:val="0"/>
      <w:marRight w:val="0"/>
      <w:marTop w:val="0"/>
      <w:marBottom w:val="0"/>
      <w:divBdr>
        <w:top w:val="none" w:sz="0" w:space="0" w:color="auto"/>
        <w:left w:val="none" w:sz="0" w:space="0" w:color="auto"/>
        <w:bottom w:val="none" w:sz="0" w:space="0" w:color="auto"/>
        <w:right w:val="none" w:sz="0" w:space="0" w:color="auto"/>
      </w:divBdr>
      <w:divsChild>
        <w:div w:id="319428565">
          <w:marLeft w:val="0"/>
          <w:marRight w:val="0"/>
          <w:marTop w:val="0"/>
          <w:marBottom w:val="0"/>
          <w:divBdr>
            <w:top w:val="none" w:sz="0" w:space="0" w:color="auto"/>
            <w:left w:val="none" w:sz="0" w:space="0" w:color="auto"/>
            <w:bottom w:val="none" w:sz="0" w:space="0" w:color="auto"/>
            <w:right w:val="none" w:sz="0" w:space="0" w:color="auto"/>
          </w:divBdr>
          <w:divsChild>
            <w:div w:id="931090421">
              <w:marLeft w:val="0"/>
              <w:marRight w:val="0"/>
              <w:marTop w:val="0"/>
              <w:marBottom w:val="0"/>
              <w:divBdr>
                <w:top w:val="none" w:sz="0" w:space="0" w:color="auto"/>
                <w:left w:val="none" w:sz="0" w:space="0" w:color="auto"/>
                <w:bottom w:val="none" w:sz="0" w:space="0" w:color="auto"/>
                <w:right w:val="none" w:sz="0" w:space="0" w:color="auto"/>
              </w:divBdr>
              <w:divsChild>
                <w:div w:id="120012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1118300">
      <w:bodyDiv w:val="1"/>
      <w:marLeft w:val="0"/>
      <w:marRight w:val="0"/>
      <w:marTop w:val="0"/>
      <w:marBottom w:val="0"/>
      <w:divBdr>
        <w:top w:val="none" w:sz="0" w:space="0" w:color="auto"/>
        <w:left w:val="none" w:sz="0" w:space="0" w:color="auto"/>
        <w:bottom w:val="none" w:sz="0" w:space="0" w:color="auto"/>
        <w:right w:val="none" w:sz="0" w:space="0" w:color="auto"/>
      </w:divBdr>
    </w:div>
    <w:div w:id="1431466138">
      <w:bodyDiv w:val="1"/>
      <w:marLeft w:val="0"/>
      <w:marRight w:val="0"/>
      <w:marTop w:val="0"/>
      <w:marBottom w:val="0"/>
      <w:divBdr>
        <w:top w:val="none" w:sz="0" w:space="0" w:color="auto"/>
        <w:left w:val="none" w:sz="0" w:space="0" w:color="auto"/>
        <w:bottom w:val="none" w:sz="0" w:space="0" w:color="auto"/>
        <w:right w:val="none" w:sz="0" w:space="0" w:color="auto"/>
      </w:divBdr>
    </w:div>
    <w:div w:id="1437022567">
      <w:bodyDiv w:val="1"/>
      <w:marLeft w:val="0"/>
      <w:marRight w:val="0"/>
      <w:marTop w:val="0"/>
      <w:marBottom w:val="0"/>
      <w:divBdr>
        <w:top w:val="none" w:sz="0" w:space="0" w:color="auto"/>
        <w:left w:val="none" w:sz="0" w:space="0" w:color="auto"/>
        <w:bottom w:val="none" w:sz="0" w:space="0" w:color="auto"/>
        <w:right w:val="none" w:sz="0" w:space="0" w:color="auto"/>
      </w:divBdr>
      <w:divsChild>
        <w:div w:id="25982186">
          <w:marLeft w:val="0"/>
          <w:marRight w:val="0"/>
          <w:marTop w:val="0"/>
          <w:marBottom w:val="0"/>
          <w:divBdr>
            <w:top w:val="none" w:sz="0" w:space="0" w:color="auto"/>
            <w:left w:val="none" w:sz="0" w:space="0" w:color="auto"/>
            <w:bottom w:val="none" w:sz="0" w:space="0" w:color="auto"/>
            <w:right w:val="none" w:sz="0" w:space="0" w:color="auto"/>
          </w:divBdr>
          <w:divsChild>
            <w:div w:id="1019966128">
              <w:marLeft w:val="0"/>
              <w:marRight w:val="0"/>
              <w:marTop w:val="0"/>
              <w:marBottom w:val="0"/>
              <w:divBdr>
                <w:top w:val="none" w:sz="0" w:space="0" w:color="auto"/>
                <w:left w:val="none" w:sz="0" w:space="0" w:color="auto"/>
                <w:bottom w:val="none" w:sz="0" w:space="0" w:color="auto"/>
                <w:right w:val="none" w:sz="0" w:space="0" w:color="auto"/>
              </w:divBdr>
              <w:divsChild>
                <w:div w:id="539366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1099407">
      <w:bodyDiv w:val="1"/>
      <w:marLeft w:val="0"/>
      <w:marRight w:val="0"/>
      <w:marTop w:val="0"/>
      <w:marBottom w:val="0"/>
      <w:divBdr>
        <w:top w:val="none" w:sz="0" w:space="0" w:color="auto"/>
        <w:left w:val="none" w:sz="0" w:space="0" w:color="auto"/>
        <w:bottom w:val="none" w:sz="0" w:space="0" w:color="auto"/>
        <w:right w:val="none" w:sz="0" w:space="0" w:color="auto"/>
      </w:divBdr>
      <w:divsChild>
        <w:div w:id="1058362356">
          <w:marLeft w:val="0"/>
          <w:marRight w:val="0"/>
          <w:marTop w:val="0"/>
          <w:marBottom w:val="0"/>
          <w:divBdr>
            <w:top w:val="none" w:sz="0" w:space="0" w:color="auto"/>
            <w:left w:val="none" w:sz="0" w:space="0" w:color="auto"/>
            <w:bottom w:val="none" w:sz="0" w:space="0" w:color="auto"/>
            <w:right w:val="none" w:sz="0" w:space="0" w:color="auto"/>
          </w:divBdr>
          <w:divsChild>
            <w:div w:id="2020964545">
              <w:marLeft w:val="0"/>
              <w:marRight w:val="0"/>
              <w:marTop w:val="0"/>
              <w:marBottom w:val="0"/>
              <w:divBdr>
                <w:top w:val="none" w:sz="0" w:space="0" w:color="auto"/>
                <w:left w:val="none" w:sz="0" w:space="0" w:color="auto"/>
                <w:bottom w:val="none" w:sz="0" w:space="0" w:color="auto"/>
                <w:right w:val="none" w:sz="0" w:space="0" w:color="auto"/>
              </w:divBdr>
              <w:divsChild>
                <w:div w:id="620258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9809435">
      <w:bodyDiv w:val="1"/>
      <w:marLeft w:val="0"/>
      <w:marRight w:val="0"/>
      <w:marTop w:val="0"/>
      <w:marBottom w:val="0"/>
      <w:divBdr>
        <w:top w:val="none" w:sz="0" w:space="0" w:color="auto"/>
        <w:left w:val="none" w:sz="0" w:space="0" w:color="auto"/>
        <w:bottom w:val="none" w:sz="0" w:space="0" w:color="auto"/>
        <w:right w:val="none" w:sz="0" w:space="0" w:color="auto"/>
      </w:divBdr>
      <w:divsChild>
        <w:div w:id="934096875">
          <w:marLeft w:val="0"/>
          <w:marRight w:val="0"/>
          <w:marTop w:val="0"/>
          <w:marBottom w:val="0"/>
          <w:divBdr>
            <w:top w:val="none" w:sz="0" w:space="0" w:color="auto"/>
            <w:left w:val="none" w:sz="0" w:space="0" w:color="auto"/>
            <w:bottom w:val="none" w:sz="0" w:space="0" w:color="auto"/>
            <w:right w:val="none" w:sz="0" w:space="0" w:color="auto"/>
          </w:divBdr>
          <w:divsChild>
            <w:div w:id="1769155962">
              <w:marLeft w:val="0"/>
              <w:marRight w:val="0"/>
              <w:marTop w:val="0"/>
              <w:marBottom w:val="0"/>
              <w:divBdr>
                <w:top w:val="none" w:sz="0" w:space="0" w:color="auto"/>
                <w:left w:val="none" w:sz="0" w:space="0" w:color="auto"/>
                <w:bottom w:val="none" w:sz="0" w:space="0" w:color="auto"/>
                <w:right w:val="none" w:sz="0" w:space="0" w:color="auto"/>
              </w:divBdr>
              <w:divsChild>
                <w:div w:id="29545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917707">
      <w:bodyDiv w:val="1"/>
      <w:marLeft w:val="0"/>
      <w:marRight w:val="0"/>
      <w:marTop w:val="0"/>
      <w:marBottom w:val="0"/>
      <w:divBdr>
        <w:top w:val="none" w:sz="0" w:space="0" w:color="auto"/>
        <w:left w:val="none" w:sz="0" w:space="0" w:color="auto"/>
        <w:bottom w:val="none" w:sz="0" w:space="0" w:color="auto"/>
        <w:right w:val="none" w:sz="0" w:space="0" w:color="auto"/>
      </w:divBdr>
    </w:div>
    <w:div w:id="1464619929">
      <w:bodyDiv w:val="1"/>
      <w:marLeft w:val="0"/>
      <w:marRight w:val="0"/>
      <w:marTop w:val="0"/>
      <w:marBottom w:val="0"/>
      <w:divBdr>
        <w:top w:val="none" w:sz="0" w:space="0" w:color="auto"/>
        <w:left w:val="none" w:sz="0" w:space="0" w:color="auto"/>
        <w:bottom w:val="none" w:sz="0" w:space="0" w:color="auto"/>
        <w:right w:val="none" w:sz="0" w:space="0" w:color="auto"/>
      </w:divBdr>
      <w:divsChild>
        <w:div w:id="1901667549">
          <w:marLeft w:val="0"/>
          <w:marRight w:val="0"/>
          <w:marTop w:val="0"/>
          <w:marBottom w:val="0"/>
          <w:divBdr>
            <w:top w:val="none" w:sz="0" w:space="0" w:color="auto"/>
            <w:left w:val="none" w:sz="0" w:space="0" w:color="auto"/>
            <w:bottom w:val="none" w:sz="0" w:space="0" w:color="auto"/>
            <w:right w:val="none" w:sz="0" w:space="0" w:color="auto"/>
          </w:divBdr>
          <w:divsChild>
            <w:div w:id="1478648335">
              <w:marLeft w:val="0"/>
              <w:marRight w:val="0"/>
              <w:marTop w:val="0"/>
              <w:marBottom w:val="0"/>
              <w:divBdr>
                <w:top w:val="none" w:sz="0" w:space="0" w:color="auto"/>
                <w:left w:val="none" w:sz="0" w:space="0" w:color="auto"/>
                <w:bottom w:val="none" w:sz="0" w:space="0" w:color="auto"/>
                <w:right w:val="none" w:sz="0" w:space="0" w:color="auto"/>
              </w:divBdr>
              <w:divsChild>
                <w:div w:id="10073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0594012">
      <w:bodyDiv w:val="1"/>
      <w:marLeft w:val="0"/>
      <w:marRight w:val="0"/>
      <w:marTop w:val="0"/>
      <w:marBottom w:val="0"/>
      <w:divBdr>
        <w:top w:val="none" w:sz="0" w:space="0" w:color="auto"/>
        <w:left w:val="none" w:sz="0" w:space="0" w:color="auto"/>
        <w:bottom w:val="none" w:sz="0" w:space="0" w:color="auto"/>
        <w:right w:val="none" w:sz="0" w:space="0" w:color="auto"/>
      </w:divBdr>
      <w:divsChild>
        <w:div w:id="866990657">
          <w:marLeft w:val="0"/>
          <w:marRight w:val="0"/>
          <w:marTop w:val="0"/>
          <w:marBottom w:val="0"/>
          <w:divBdr>
            <w:top w:val="none" w:sz="0" w:space="0" w:color="auto"/>
            <w:left w:val="none" w:sz="0" w:space="0" w:color="auto"/>
            <w:bottom w:val="none" w:sz="0" w:space="0" w:color="auto"/>
            <w:right w:val="none" w:sz="0" w:space="0" w:color="auto"/>
          </w:divBdr>
          <w:divsChild>
            <w:div w:id="721562979">
              <w:marLeft w:val="0"/>
              <w:marRight w:val="0"/>
              <w:marTop w:val="0"/>
              <w:marBottom w:val="0"/>
              <w:divBdr>
                <w:top w:val="none" w:sz="0" w:space="0" w:color="auto"/>
                <w:left w:val="none" w:sz="0" w:space="0" w:color="auto"/>
                <w:bottom w:val="none" w:sz="0" w:space="0" w:color="auto"/>
                <w:right w:val="none" w:sz="0" w:space="0" w:color="auto"/>
              </w:divBdr>
              <w:divsChild>
                <w:div w:id="8615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4060546">
      <w:bodyDiv w:val="1"/>
      <w:marLeft w:val="0"/>
      <w:marRight w:val="0"/>
      <w:marTop w:val="0"/>
      <w:marBottom w:val="0"/>
      <w:divBdr>
        <w:top w:val="none" w:sz="0" w:space="0" w:color="auto"/>
        <w:left w:val="none" w:sz="0" w:space="0" w:color="auto"/>
        <w:bottom w:val="none" w:sz="0" w:space="0" w:color="auto"/>
        <w:right w:val="none" w:sz="0" w:space="0" w:color="auto"/>
      </w:divBdr>
    </w:div>
    <w:div w:id="1477332077">
      <w:bodyDiv w:val="1"/>
      <w:marLeft w:val="0"/>
      <w:marRight w:val="0"/>
      <w:marTop w:val="0"/>
      <w:marBottom w:val="0"/>
      <w:divBdr>
        <w:top w:val="none" w:sz="0" w:space="0" w:color="auto"/>
        <w:left w:val="none" w:sz="0" w:space="0" w:color="auto"/>
        <w:bottom w:val="none" w:sz="0" w:space="0" w:color="auto"/>
        <w:right w:val="none" w:sz="0" w:space="0" w:color="auto"/>
      </w:divBdr>
    </w:div>
    <w:div w:id="1480031501">
      <w:bodyDiv w:val="1"/>
      <w:marLeft w:val="0"/>
      <w:marRight w:val="0"/>
      <w:marTop w:val="0"/>
      <w:marBottom w:val="0"/>
      <w:divBdr>
        <w:top w:val="none" w:sz="0" w:space="0" w:color="auto"/>
        <w:left w:val="none" w:sz="0" w:space="0" w:color="auto"/>
        <w:bottom w:val="none" w:sz="0" w:space="0" w:color="auto"/>
        <w:right w:val="none" w:sz="0" w:space="0" w:color="auto"/>
      </w:divBdr>
      <w:divsChild>
        <w:div w:id="77676591">
          <w:marLeft w:val="0"/>
          <w:marRight w:val="0"/>
          <w:marTop w:val="0"/>
          <w:marBottom w:val="0"/>
          <w:divBdr>
            <w:top w:val="none" w:sz="0" w:space="0" w:color="auto"/>
            <w:left w:val="none" w:sz="0" w:space="0" w:color="auto"/>
            <w:bottom w:val="none" w:sz="0" w:space="0" w:color="auto"/>
            <w:right w:val="none" w:sz="0" w:space="0" w:color="auto"/>
          </w:divBdr>
          <w:divsChild>
            <w:div w:id="76219185">
              <w:marLeft w:val="0"/>
              <w:marRight w:val="0"/>
              <w:marTop w:val="0"/>
              <w:marBottom w:val="0"/>
              <w:divBdr>
                <w:top w:val="none" w:sz="0" w:space="0" w:color="auto"/>
                <w:left w:val="none" w:sz="0" w:space="0" w:color="auto"/>
                <w:bottom w:val="none" w:sz="0" w:space="0" w:color="auto"/>
                <w:right w:val="none" w:sz="0" w:space="0" w:color="auto"/>
              </w:divBdr>
              <w:divsChild>
                <w:div w:id="1632712961">
                  <w:marLeft w:val="0"/>
                  <w:marRight w:val="0"/>
                  <w:marTop w:val="0"/>
                  <w:marBottom w:val="0"/>
                  <w:divBdr>
                    <w:top w:val="none" w:sz="0" w:space="0" w:color="auto"/>
                    <w:left w:val="none" w:sz="0" w:space="0" w:color="auto"/>
                    <w:bottom w:val="none" w:sz="0" w:space="0" w:color="auto"/>
                    <w:right w:val="none" w:sz="0" w:space="0" w:color="auto"/>
                  </w:divBdr>
                </w:div>
              </w:divsChild>
            </w:div>
            <w:div w:id="1114323534">
              <w:marLeft w:val="0"/>
              <w:marRight w:val="0"/>
              <w:marTop w:val="0"/>
              <w:marBottom w:val="0"/>
              <w:divBdr>
                <w:top w:val="none" w:sz="0" w:space="0" w:color="auto"/>
                <w:left w:val="none" w:sz="0" w:space="0" w:color="auto"/>
                <w:bottom w:val="none" w:sz="0" w:space="0" w:color="auto"/>
                <w:right w:val="none" w:sz="0" w:space="0" w:color="auto"/>
              </w:divBdr>
              <w:divsChild>
                <w:div w:id="510949633">
                  <w:marLeft w:val="0"/>
                  <w:marRight w:val="0"/>
                  <w:marTop w:val="0"/>
                  <w:marBottom w:val="0"/>
                  <w:divBdr>
                    <w:top w:val="none" w:sz="0" w:space="0" w:color="auto"/>
                    <w:left w:val="none" w:sz="0" w:space="0" w:color="auto"/>
                    <w:bottom w:val="none" w:sz="0" w:space="0" w:color="auto"/>
                    <w:right w:val="none" w:sz="0" w:space="0" w:color="auto"/>
                  </w:divBdr>
                </w:div>
              </w:divsChild>
            </w:div>
            <w:div w:id="1802961069">
              <w:marLeft w:val="0"/>
              <w:marRight w:val="0"/>
              <w:marTop w:val="0"/>
              <w:marBottom w:val="0"/>
              <w:divBdr>
                <w:top w:val="none" w:sz="0" w:space="0" w:color="auto"/>
                <w:left w:val="none" w:sz="0" w:space="0" w:color="auto"/>
                <w:bottom w:val="none" w:sz="0" w:space="0" w:color="auto"/>
                <w:right w:val="none" w:sz="0" w:space="0" w:color="auto"/>
              </w:divBdr>
              <w:divsChild>
                <w:div w:id="931006621">
                  <w:marLeft w:val="0"/>
                  <w:marRight w:val="0"/>
                  <w:marTop w:val="0"/>
                  <w:marBottom w:val="0"/>
                  <w:divBdr>
                    <w:top w:val="none" w:sz="0" w:space="0" w:color="auto"/>
                    <w:left w:val="none" w:sz="0" w:space="0" w:color="auto"/>
                    <w:bottom w:val="none" w:sz="0" w:space="0" w:color="auto"/>
                    <w:right w:val="none" w:sz="0" w:space="0" w:color="auto"/>
                  </w:divBdr>
                </w:div>
              </w:divsChild>
            </w:div>
            <w:div w:id="1976134051">
              <w:marLeft w:val="0"/>
              <w:marRight w:val="0"/>
              <w:marTop w:val="0"/>
              <w:marBottom w:val="0"/>
              <w:divBdr>
                <w:top w:val="none" w:sz="0" w:space="0" w:color="auto"/>
                <w:left w:val="none" w:sz="0" w:space="0" w:color="auto"/>
                <w:bottom w:val="none" w:sz="0" w:space="0" w:color="auto"/>
                <w:right w:val="none" w:sz="0" w:space="0" w:color="auto"/>
              </w:divBdr>
              <w:divsChild>
                <w:div w:id="93938648">
                  <w:marLeft w:val="0"/>
                  <w:marRight w:val="0"/>
                  <w:marTop w:val="0"/>
                  <w:marBottom w:val="0"/>
                  <w:divBdr>
                    <w:top w:val="none" w:sz="0" w:space="0" w:color="auto"/>
                    <w:left w:val="none" w:sz="0" w:space="0" w:color="auto"/>
                    <w:bottom w:val="none" w:sz="0" w:space="0" w:color="auto"/>
                    <w:right w:val="none" w:sz="0" w:space="0" w:color="auto"/>
                  </w:divBdr>
                </w:div>
              </w:divsChild>
            </w:div>
            <w:div w:id="2001225263">
              <w:marLeft w:val="0"/>
              <w:marRight w:val="0"/>
              <w:marTop w:val="0"/>
              <w:marBottom w:val="0"/>
              <w:divBdr>
                <w:top w:val="none" w:sz="0" w:space="0" w:color="auto"/>
                <w:left w:val="none" w:sz="0" w:space="0" w:color="auto"/>
                <w:bottom w:val="none" w:sz="0" w:space="0" w:color="auto"/>
                <w:right w:val="none" w:sz="0" w:space="0" w:color="auto"/>
              </w:divBdr>
              <w:divsChild>
                <w:div w:id="1776630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493011">
      <w:bodyDiv w:val="1"/>
      <w:marLeft w:val="0"/>
      <w:marRight w:val="0"/>
      <w:marTop w:val="0"/>
      <w:marBottom w:val="0"/>
      <w:divBdr>
        <w:top w:val="none" w:sz="0" w:space="0" w:color="auto"/>
        <w:left w:val="none" w:sz="0" w:space="0" w:color="auto"/>
        <w:bottom w:val="none" w:sz="0" w:space="0" w:color="auto"/>
        <w:right w:val="none" w:sz="0" w:space="0" w:color="auto"/>
      </w:divBdr>
      <w:divsChild>
        <w:div w:id="1329940300">
          <w:marLeft w:val="0"/>
          <w:marRight w:val="0"/>
          <w:marTop w:val="0"/>
          <w:marBottom w:val="0"/>
          <w:divBdr>
            <w:top w:val="none" w:sz="0" w:space="0" w:color="auto"/>
            <w:left w:val="none" w:sz="0" w:space="0" w:color="auto"/>
            <w:bottom w:val="none" w:sz="0" w:space="0" w:color="auto"/>
            <w:right w:val="none" w:sz="0" w:space="0" w:color="auto"/>
          </w:divBdr>
          <w:divsChild>
            <w:div w:id="445348618">
              <w:marLeft w:val="0"/>
              <w:marRight w:val="0"/>
              <w:marTop w:val="0"/>
              <w:marBottom w:val="0"/>
              <w:divBdr>
                <w:top w:val="none" w:sz="0" w:space="0" w:color="auto"/>
                <w:left w:val="none" w:sz="0" w:space="0" w:color="auto"/>
                <w:bottom w:val="none" w:sz="0" w:space="0" w:color="auto"/>
                <w:right w:val="none" w:sz="0" w:space="0" w:color="auto"/>
              </w:divBdr>
              <w:divsChild>
                <w:div w:id="652830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686554">
      <w:bodyDiv w:val="1"/>
      <w:marLeft w:val="0"/>
      <w:marRight w:val="0"/>
      <w:marTop w:val="0"/>
      <w:marBottom w:val="0"/>
      <w:divBdr>
        <w:top w:val="none" w:sz="0" w:space="0" w:color="auto"/>
        <w:left w:val="none" w:sz="0" w:space="0" w:color="auto"/>
        <w:bottom w:val="none" w:sz="0" w:space="0" w:color="auto"/>
        <w:right w:val="none" w:sz="0" w:space="0" w:color="auto"/>
      </w:divBdr>
      <w:divsChild>
        <w:div w:id="635068452">
          <w:marLeft w:val="0"/>
          <w:marRight w:val="0"/>
          <w:marTop w:val="0"/>
          <w:marBottom w:val="0"/>
          <w:divBdr>
            <w:top w:val="none" w:sz="0" w:space="0" w:color="auto"/>
            <w:left w:val="none" w:sz="0" w:space="0" w:color="auto"/>
            <w:bottom w:val="none" w:sz="0" w:space="0" w:color="auto"/>
            <w:right w:val="none" w:sz="0" w:space="0" w:color="auto"/>
          </w:divBdr>
          <w:divsChild>
            <w:div w:id="181163852">
              <w:marLeft w:val="0"/>
              <w:marRight w:val="0"/>
              <w:marTop w:val="0"/>
              <w:marBottom w:val="0"/>
              <w:divBdr>
                <w:top w:val="none" w:sz="0" w:space="0" w:color="auto"/>
                <w:left w:val="none" w:sz="0" w:space="0" w:color="auto"/>
                <w:bottom w:val="none" w:sz="0" w:space="0" w:color="auto"/>
                <w:right w:val="none" w:sz="0" w:space="0" w:color="auto"/>
              </w:divBdr>
              <w:divsChild>
                <w:div w:id="98277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227455">
      <w:bodyDiv w:val="1"/>
      <w:marLeft w:val="0"/>
      <w:marRight w:val="0"/>
      <w:marTop w:val="0"/>
      <w:marBottom w:val="0"/>
      <w:divBdr>
        <w:top w:val="none" w:sz="0" w:space="0" w:color="auto"/>
        <w:left w:val="none" w:sz="0" w:space="0" w:color="auto"/>
        <w:bottom w:val="none" w:sz="0" w:space="0" w:color="auto"/>
        <w:right w:val="none" w:sz="0" w:space="0" w:color="auto"/>
      </w:divBdr>
    </w:div>
    <w:div w:id="1498300193">
      <w:bodyDiv w:val="1"/>
      <w:marLeft w:val="0"/>
      <w:marRight w:val="0"/>
      <w:marTop w:val="0"/>
      <w:marBottom w:val="0"/>
      <w:divBdr>
        <w:top w:val="none" w:sz="0" w:space="0" w:color="auto"/>
        <w:left w:val="none" w:sz="0" w:space="0" w:color="auto"/>
        <w:bottom w:val="none" w:sz="0" w:space="0" w:color="auto"/>
        <w:right w:val="none" w:sz="0" w:space="0" w:color="auto"/>
      </w:divBdr>
    </w:div>
    <w:div w:id="1503660183">
      <w:bodyDiv w:val="1"/>
      <w:marLeft w:val="0"/>
      <w:marRight w:val="0"/>
      <w:marTop w:val="0"/>
      <w:marBottom w:val="0"/>
      <w:divBdr>
        <w:top w:val="none" w:sz="0" w:space="0" w:color="auto"/>
        <w:left w:val="none" w:sz="0" w:space="0" w:color="auto"/>
        <w:bottom w:val="none" w:sz="0" w:space="0" w:color="auto"/>
        <w:right w:val="none" w:sz="0" w:space="0" w:color="auto"/>
      </w:divBdr>
    </w:div>
    <w:div w:id="1510635097">
      <w:bodyDiv w:val="1"/>
      <w:marLeft w:val="0"/>
      <w:marRight w:val="0"/>
      <w:marTop w:val="0"/>
      <w:marBottom w:val="0"/>
      <w:divBdr>
        <w:top w:val="none" w:sz="0" w:space="0" w:color="auto"/>
        <w:left w:val="none" w:sz="0" w:space="0" w:color="auto"/>
        <w:bottom w:val="none" w:sz="0" w:space="0" w:color="auto"/>
        <w:right w:val="none" w:sz="0" w:space="0" w:color="auto"/>
      </w:divBdr>
    </w:div>
    <w:div w:id="1510676317">
      <w:bodyDiv w:val="1"/>
      <w:marLeft w:val="0"/>
      <w:marRight w:val="0"/>
      <w:marTop w:val="0"/>
      <w:marBottom w:val="0"/>
      <w:divBdr>
        <w:top w:val="none" w:sz="0" w:space="0" w:color="auto"/>
        <w:left w:val="none" w:sz="0" w:space="0" w:color="auto"/>
        <w:bottom w:val="none" w:sz="0" w:space="0" w:color="auto"/>
        <w:right w:val="none" w:sz="0" w:space="0" w:color="auto"/>
      </w:divBdr>
    </w:div>
    <w:div w:id="1515344150">
      <w:bodyDiv w:val="1"/>
      <w:marLeft w:val="0"/>
      <w:marRight w:val="0"/>
      <w:marTop w:val="0"/>
      <w:marBottom w:val="0"/>
      <w:divBdr>
        <w:top w:val="none" w:sz="0" w:space="0" w:color="auto"/>
        <w:left w:val="none" w:sz="0" w:space="0" w:color="auto"/>
        <w:bottom w:val="none" w:sz="0" w:space="0" w:color="auto"/>
        <w:right w:val="none" w:sz="0" w:space="0" w:color="auto"/>
      </w:divBdr>
      <w:divsChild>
        <w:div w:id="1334642924">
          <w:marLeft w:val="0"/>
          <w:marRight w:val="0"/>
          <w:marTop w:val="0"/>
          <w:marBottom w:val="0"/>
          <w:divBdr>
            <w:top w:val="none" w:sz="0" w:space="0" w:color="auto"/>
            <w:left w:val="none" w:sz="0" w:space="0" w:color="auto"/>
            <w:bottom w:val="none" w:sz="0" w:space="0" w:color="auto"/>
            <w:right w:val="none" w:sz="0" w:space="0" w:color="auto"/>
          </w:divBdr>
          <w:divsChild>
            <w:div w:id="756906154">
              <w:marLeft w:val="0"/>
              <w:marRight w:val="0"/>
              <w:marTop w:val="0"/>
              <w:marBottom w:val="0"/>
              <w:divBdr>
                <w:top w:val="none" w:sz="0" w:space="0" w:color="auto"/>
                <w:left w:val="none" w:sz="0" w:space="0" w:color="auto"/>
                <w:bottom w:val="none" w:sz="0" w:space="0" w:color="auto"/>
                <w:right w:val="none" w:sz="0" w:space="0" w:color="auto"/>
              </w:divBdr>
              <w:divsChild>
                <w:div w:id="33839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655561">
      <w:bodyDiv w:val="1"/>
      <w:marLeft w:val="0"/>
      <w:marRight w:val="0"/>
      <w:marTop w:val="0"/>
      <w:marBottom w:val="0"/>
      <w:divBdr>
        <w:top w:val="none" w:sz="0" w:space="0" w:color="auto"/>
        <w:left w:val="none" w:sz="0" w:space="0" w:color="auto"/>
        <w:bottom w:val="none" w:sz="0" w:space="0" w:color="auto"/>
        <w:right w:val="none" w:sz="0" w:space="0" w:color="auto"/>
      </w:divBdr>
    </w:div>
    <w:div w:id="1515923359">
      <w:bodyDiv w:val="1"/>
      <w:marLeft w:val="0"/>
      <w:marRight w:val="0"/>
      <w:marTop w:val="0"/>
      <w:marBottom w:val="0"/>
      <w:divBdr>
        <w:top w:val="none" w:sz="0" w:space="0" w:color="auto"/>
        <w:left w:val="none" w:sz="0" w:space="0" w:color="auto"/>
        <w:bottom w:val="none" w:sz="0" w:space="0" w:color="auto"/>
        <w:right w:val="none" w:sz="0" w:space="0" w:color="auto"/>
      </w:divBdr>
    </w:div>
    <w:div w:id="1517235506">
      <w:bodyDiv w:val="1"/>
      <w:marLeft w:val="0"/>
      <w:marRight w:val="0"/>
      <w:marTop w:val="0"/>
      <w:marBottom w:val="0"/>
      <w:divBdr>
        <w:top w:val="none" w:sz="0" w:space="0" w:color="auto"/>
        <w:left w:val="none" w:sz="0" w:space="0" w:color="auto"/>
        <w:bottom w:val="none" w:sz="0" w:space="0" w:color="auto"/>
        <w:right w:val="none" w:sz="0" w:space="0" w:color="auto"/>
      </w:divBdr>
    </w:div>
    <w:div w:id="1518419619">
      <w:bodyDiv w:val="1"/>
      <w:marLeft w:val="0"/>
      <w:marRight w:val="0"/>
      <w:marTop w:val="0"/>
      <w:marBottom w:val="0"/>
      <w:divBdr>
        <w:top w:val="none" w:sz="0" w:space="0" w:color="auto"/>
        <w:left w:val="none" w:sz="0" w:space="0" w:color="auto"/>
        <w:bottom w:val="none" w:sz="0" w:space="0" w:color="auto"/>
        <w:right w:val="none" w:sz="0" w:space="0" w:color="auto"/>
      </w:divBdr>
    </w:div>
    <w:div w:id="1518886516">
      <w:bodyDiv w:val="1"/>
      <w:marLeft w:val="0"/>
      <w:marRight w:val="0"/>
      <w:marTop w:val="0"/>
      <w:marBottom w:val="0"/>
      <w:divBdr>
        <w:top w:val="none" w:sz="0" w:space="0" w:color="auto"/>
        <w:left w:val="none" w:sz="0" w:space="0" w:color="auto"/>
        <w:bottom w:val="none" w:sz="0" w:space="0" w:color="auto"/>
        <w:right w:val="none" w:sz="0" w:space="0" w:color="auto"/>
      </w:divBdr>
    </w:div>
    <w:div w:id="1522745588">
      <w:bodyDiv w:val="1"/>
      <w:marLeft w:val="0"/>
      <w:marRight w:val="0"/>
      <w:marTop w:val="0"/>
      <w:marBottom w:val="0"/>
      <w:divBdr>
        <w:top w:val="none" w:sz="0" w:space="0" w:color="auto"/>
        <w:left w:val="none" w:sz="0" w:space="0" w:color="auto"/>
        <w:bottom w:val="none" w:sz="0" w:space="0" w:color="auto"/>
        <w:right w:val="none" w:sz="0" w:space="0" w:color="auto"/>
      </w:divBdr>
    </w:div>
    <w:div w:id="1523546138">
      <w:bodyDiv w:val="1"/>
      <w:marLeft w:val="0"/>
      <w:marRight w:val="0"/>
      <w:marTop w:val="0"/>
      <w:marBottom w:val="0"/>
      <w:divBdr>
        <w:top w:val="none" w:sz="0" w:space="0" w:color="auto"/>
        <w:left w:val="none" w:sz="0" w:space="0" w:color="auto"/>
        <w:bottom w:val="none" w:sz="0" w:space="0" w:color="auto"/>
        <w:right w:val="none" w:sz="0" w:space="0" w:color="auto"/>
      </w:divBdr>
    </w:div>
    <w:div w:id="1526358594">
      <w:bodyDiv w:val="1"/>
      <w:marLeft w:val="0"/>
      <w:marRight w:val="0"/>
      <w:marTop w:val="0"/>
      <w:marBottom w:val="0"/>
      <w:divBdr>
        <w:top w:val="none" w:sz="0" w:space="0" w:color="auto"/>
        <w:left w:val="none" w:sz="0" w:space="0" w:color="auto"/>
        <w:bottom w:val="none" w:sz="0" w:space="0" w:color="auto"/>
        <w:right w:val="none" w:sz="0" w:space="0" w:color="auto"/>
      </w:divBdr>
      <w:divsChild>
        <w:div w:id="1177037896">
          <w:marLeft w:val="0"/>
          <w:marRight w:val="0"/>
          <w:marTop w:val="0"/>
          <w:marBottom w:val="0"/>
          <w:divBdr>
            <w:top w:val="none" w:sz="0" w:space="0" w:color="auto"/>
            <w:left w:val="none" w:sz="0" w:space="0" w:color="auto"/>
            <w:bottom w:val="none" w:sz="0" w:space="0" w:color="auto"/>
            <w:right w:val="none" w:sz="0" w:space="0" w:color="auto"/>
          </w:divBdr>
          <w:divsChild>
            <w:div w:id="1793550498">
              <w:marLeft w:val="0"/>
              <w:marRight w:val="0"/>
              <w:marTop w:val="0"/>
              <w:marBottom w:val="0"/>
              <w:divBdr>
                <w:top w:val="none" w:sz="0" w:space="0" w:color="auto"/>
                <w:left w:val="none" w:sz="0" w:space="0" w:color="auto"/>
                <w:bottom w:val="none" w:sz="0" w:space="0" w:color="auto"/>
                <w:right w:val="none" w:sz="0" w:space="0" w:color="auto"/>
              </w:divBdr>
              <w:divsChild>
                <w:div w:id="19303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8134616">
      <w:bodyDiv w:val="1"/>
      <w:marLeft w:val="0"/>
      <w:marRight w:val="0"/>
      <w:marTop w:val="0"/>
      <w:marBottom w:val="0"/>
      <w:divBdr>
        <w:top w:val="none" w:sz="0" w:space="0" w:color="auto"/>
        <w:left w:val="none" w:sz="0" w:space="0" w:color="auto"/>
        <w:bottom w:val="none" w:sz="0" w:space="0" w:color="auto"/>
        <w:right w:val="none" w:sz="0" w:space="0" w:color="auto"/>
      </w:divBdr>
    </w:div>
    <w:div w:id="1544102374">
      <w:bodyDiv w:val="1"/>
      <w:marLeft w:val="0"/>
      <w:marRight w:val="0"/>
      <w:marTop w:val="0"/>
      <w:marBottom w:val="0"/>
      <w:divBdr>
        <w:top w:val="none" w:sz="0" w:space="0" w:color="auto"/>
        <w:left w:val="none" w:sz="0" w:space="0" w:color="auto"/>
        <w:bottom w:val="none" w:sz="0" w:space="0" w:color="auto"/>
        <w:right w:val="none" w:sz="0" w:space="0" w:color="auto"/>
      </w:divBdr>
      <w:divsChild>
        <w:div w:id="2121994383">
          <w:marLeft w:val="0"/>
          <w:marRight w:val="0"/>
          <w:marTop w:val="0"/>
          <w:marBottom w:val="0"/>
          <w:divBdr>
            <w:top w:val="none" w:sz="0" w:space="0" w:color="auto"/>
            <w:left w:val="none" w:sz="0" w:space="0" w:color="auto"/>
            <w:bottom w:val="none" w:sz="0" w:space="0" w:color="auto"/>
            <w:right w:val="none" w:sz="0" w:space="0" w:color="auto"/>
          </w:divBdr>
          <w:divsChild>
            <w:div w:id="98717218">
              <w:marLeft w:val="0"/>
              <w:marRight w:val="0"/>
              <w:marTop w:val="0"/>
              <w:marBottom w:val="0"/>
              <w:divBdr>
                <w:top w:val="none" w:sz="0" w:space="0" w:color="auto"/>
                <w:left w:val="none" w:sz="0" w:space="0" w:color="auto"/>
                <w:bottom w:val="none" w:sz="0" w:space="0" w:color="auto"/>
                <w:right w:val="none" w:sz="0" w:space="0" w:color="auto"/>
              </w:divBdr>
              <w:divsChild>
                <w:div w:id="27610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2379247">
      <w:bodyDiv w:val="1"/>
      <w:marLeft w:val="0"/>
      <w:marRight w:val="0"/>
      <w:marTop w:val="0"/>
      <w:marBottom w:val="0"/>
      <w:divBdr>
        <w:top w:val="none" w:sz="0" w:space="0" w:color="auto"/>
        <w:left w:val="none" w:sz="0" w:space="0" w:color="auto"/>
        <w:bottom w:val="none" w:sz="0" w:space="0" w:color="auto"/>
        <w:right w:val="none" w:sz="0" w:space="0" w:color="auto"/>
      </w:divBdr>
    </w:div>
    <w:div w:id="1556429641">
      <w:bodyDiv w:val="1"/>
      <w:marLeft w:val="0"/>
      <w:marRight w:val="0"/>
      <w:marTop w:val="0"/>
      <w:marBottom w:val="0"/>
      <w:divBdr>
        <w:top w:val="none" w:sz="0" w:space="0" w:color="auto"/>
        <w:left w:val="none" w:sz="0" w:space="0" w:color="auto"/>
        <w:bottom w:val="none" w:sz="0" w:space="0" w:color="auto"/>
        <w:right w:val="none" w:sz="0" w:space="0" w:color="auto"/>
      </w:divBdr>
    </w:div>
    <w:div w:id="1560552545">
      <w:bodyDiv w:val="1"/>
      <w:marLeft w:val="0"/>
      <w:marRight w:val="0"/>
      <w:marTop w:val="0"/>
      <w:marBottom w:val="0"/>
      <w:divBdr>
        <w:top w:val="none" w:sz="0" w:space="0" w:color="auto"/>
        <w:left w:val="none" w:sz="0" w:space="0" w:color="auto"/>
        <w:bottom w:val="none" w:sz="0" w:space="0" w:color="auto"/>
        <w:right w:val="none" w:sz="0" w:space="0" w:color="auto"/>
      </w:divBdr>
    </w:div>
    <w:div w:id="1561742746">
      <w:bodyDiv w:val="1"/>
      <w:marLeft w:val="0"/>
      <w:marRight w:val="0"/>
      <w:marTop w:val="0"/>
      <w:marBottom w:val="0"/>
      <w:divBdr>
        <w:top w:val="none" w:sz="0" w:space="0" w:color="auto"/>
        <w:left w:val="none" w:sz="0" w:space="0" w:color="auto"/>
        <w:bottom w:val="none" w:sz="0" w:space="0" w:color="auto"/>
        <w:right w:val="none" w:sz="0" w:space="0" w:color="auto"/>
      </w:divBdr>
    </w:div>
    <w:div w:id="1565481349">
      <w:bodyDiv w:val="1"/>
      <w:marLeft w:val="0"/>
      <w:marRight w:val="0"/>
      <w:marTop w:val="0"/>
      <w:marBottom w:val="0"/>
      <w:divBdr>
        <w:top w:val="none" w:sz="0" w:space="0" w:color="auto"/>
        <w:left w:val="none" w:sz="0" w:space="0" w:color="auto"/>
        <w:bottom w:val="none" w:sz="0" w:space="0" w:color="auto"/>
        <w:right w:val="none" w:sz="0" w:space="0" w:color="auto"/>
      </w:divBdr>
    </w:div>
    <w:div w:id="1565752697">
      <w:bodyDiv w:val="1"/>
      <w:marLeft w:val="0"/>
      <w:marRight w:val="0"/>
      <w:marTop w:val="0"/>
      <w:marBottom w:val="0"/>
      <w:divBdr>
        <w:top w:val="none" w:sz="0" w:space="0" w:color="auto"/>
        <w:left w:val="none" w:sz="0" w:space="0" w:color="auto"/>
        <w:bottom w:val="none" w:sz="0" w:space="0" w:color="auto"/>
        <w:right w:val="none" w:sz="0" w:space="0" w:color="auto"/>
      </w:divBdr>
      <w:divsChild>
        <w:div w:id="1545143422">
          <w:marLeft w:val="0"/>
          <w:marRight w:val="0"/>
          <w:marTop w:val="0"/>
          <w:marBottom w:val="0"/>
          <w:divBdr>
            <w:top w:val="none" w:sz="0" w:space="0" w:color="auto"/>
            <w:left w:val="none" w:sz="0" w:space="0" w:color="auto"/>
            <w:bottom w:val="none" w:sz="0" w:space="0" w:color="auto"/>
            <w:right w:val="none" w:sz="0" w:space="0" w:color="auto"/>
          </w:divBdr>
          <w:divsChild>
            <w:div w:id="1796825834">
              <w:marLeft w:val="0"/>
              <w:marRight w:val="0"/>
              <w:marTop w:val="0"/>
              <w:marBottom w:val="0"/>
              <w:divBdr>
                <w:top w:val="none" w:sz="0" w:space="0" w:color="auto"/>
                <w:left w:val="none" w:sz="0" w:space="0" w:color="auto"/>
                <w:bottom w:val="none" w:sz="0" w:space="0" w:color="auto"/>
                <w:right w:val="none" w:sz="0" w:space="0" w:color="auto"/>
              </w:divBdr>
              <w:divsChild>
                <w:div w:id="965429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032546">
      <w:bodyDiv w:val="1"/>
      <w:marLeft w:val="0"/>
      <w:marRight w:val="0"/>
      <w:marTop w:val="0"/>
      <w:marBottom w:val="0"/>
      <w:divBdr>
        <w:top w:val="none" w:sz="0" w:space="0" w:color="auto"/>
        <w:left w:val="none" w:sz="0" w:space="0" w:color="auto"/>
        <w:bottom w:val="none" w:sz="0" w:space="0" w:color="auto"/>
        <w:right w:val="none" w:sz="0" w:space="0" w:color="auto"/>
      </w:divBdr>
    </w:div>
    <w:div w:id="1572931326">
      <w:bodyDiv w:val="1"/>
      <w:marLeft w:val="0"/>
      <w:marRight w:val="0"/>
      <w:marTop w:val="0"/>
      <w:marBottom w:val="0"/>
      <w:divBdr>
        <w:top w:val="none" w:sz="0" w:space="0" w:color="auto"/>
        <w:left w:val="none" w:sz="0" w:space="0" w:color="auto"/>
        <w:bottom w:val="none" w:sz="0" w:space="0" w:color="auto"/>
        <w:right w:val="none" w:sz="0" w:space="0" w:color="auto"/>
      </w:divBdr>
    </w:div>
    <w:div w:id="1587106576">
      <w:bodyDiv w:val="1"/>
      <w:marLeft w:val="0"/>
      <w:marRight w:val="0"/>
      <w:marTop w:val="0"/>
      <w:marBottom w:val="0"/>
      <w:divBdr>
        <w:top w:val="none" w:sz="0" w:space="0" w:color="auto"/>
        <w:left w:val="none" w:sz="0" w:space="0" w:color="auto"/>
        <w:bottom w:val="none" w:sz="0" w:space="0" w:color="auto"/>
        <w:right w:val="none" w:sz="0" w:space="0" w:color="auto"/>
      </w:divBdr>
    </w:div>
    <w:div w:id="1595934902">
      <w:bodyDiv w:val="1"/>
      <w:marLeft w:val="0"/>
      <w:marRight w:val="0"/>
      <w:marTop w:val="0"/>
      <w:marBottom w:val="0"/>
      <w:divBdr>
        <w:top w:val="none" w:sz="0" w:space="0" w:color="auto"/>
        <w:left w:val="none" w:sz="0" w:space="0" w:color="auto"/>
        <w:bottom w:val="none" w:sz="0" w:space="0" w:color="auto"/>
        <w:right w:val="none" w:sz="0" w:space="0" w:color="auto"/>
      </w:divBdr>
    </w:div>
    <w:div w:id="1601723532">
      <w:bodyDiv w:val="1"/>
      <w:marLeft w:val="0"/>
      <w:marRight w:val="0"/>
      <w:marTop w:val="0"/>
      <w:marBottom w:val="0"/>
      <w:divBdr>
        <w:top w:val="none" w:sz="0" w:space="0" w:color="auto"/>
        <w:left w:val="none" w:sz="0" w:space="0" w:color="auto"/>
        <w:bottom w:val="none" w:sz="0" w:space="0" w:color="auto"/>
        <w:right w:val="none" w:sz="0" w:space="0" w:color="auto"/>
      </w:divBdr>
    </w:div>
    <w:div w:id="1609922688">
      <w:bodyDiv w:val="1"/>
      <w:marLeft w:val="0"/>
      <w:marRight w:val="0"/>
      <w:marTop w:val="0"/>
      <w:marBottom w:val="0"/>
      <w:divBdr>
        <w:top w:val="none" w:sz="0" w:space="0" w:color="auto"/>
        <w:left w:val="none" w:sz="0" w:space="0" w:color="auto"/>
        <w:bottom w:val="none" w:sz="0" w:space="0" w:color="auto"/>
        <w:right w:val="none" w:sz="0" w:space="0" w:color="auto"/>
      </w:divBdr>
    </w:div>
    <w:div w:id="1611814080">
      <w:bodyDiv w:val="1"/>
      <w:marLeft w:val="0"/>
      <w:marRight w:val="0"/>
      <w:marTop w:val="0"/>
      <w:marBottom w:val="0"/>
      <w:divBdr>
        <w:top w:val="none" w:sz="0" w:space="0" w:color="auto"/>
        <w:left w:val="none" w:sz="0" w:space="0" w:color="auto"/>
        <w:bottom w:val="none" w:sz="0" w:space="0" w:color="auto"/>
        <w:right w:val="none" w:sz="0" w:space="0" w:color="auto"/>
      </w:divBdr>
      <w:divsChild>
        <w:div w:id="1896432720">
          <w:marLeft w:val="0"/>
          <w:marRight w:val="0"/>
          <w:marTop w:val="0"/>
          <w:marBottom w:val="0"/>
          <w:divBdr>
            <w:top w:val="none" w:sz="0" w:space="0" w:color="auto"/>
            <w:left w:val="none" w:sz="0" w:space="0" w:color="auto"/>
            <w:bottom w:val="none" w:sz="0" w:space="0" w:color="auto"/>
            <w:right w:val="none" w:sz="0" w:space="0" w:color="auto"/>
          </w:divBdr>
          <w:divsChild>
            <w:div w:id="1812556400">
              <w:marLeft w:val="0"/>
              <w:marRight w:val="0"/>
              <w:marTop w:val="0"/>
              <w:marBottom w:val="0"/>
              <w:divBdr>
                <w:top w:val="none" w:sz="0" w:space="0" w:color="auto"/>
                <w:left w:val="none" w:sz="0" w:space="0" w:color="auto"/>
                <w:bottom w:val="none" w:sz="0" w:space="0" w:color="auto"/>
                <w:right w:val="none" w:sz="0" w:space="0" w:color="auto"/>
              </w:divBdr>
              <w:divsChild>
                <w:div w:id="876115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947850">
      <w:bodyDiv w:val="1"/>
      <w:marLeft w:val="0"/>
      <w:marRight w:val="0"/>
      <w:marTop w:val="0"/>
      <w:marBottom w:val="0"/>
      <w:divBdr>
        <w:top w:val="none" w:sz="0" w:space="0" w:color="auto"/>
        <w:left w:val="none" w:sz="0" w:space="0" w:color="auto"/>
        <w:bottom w:val="none" w:sz="0" w:space="0" w:color="auto"/>
        <w:right w:val="none" w:sz="0" w:space="0" w:color="auto"/>
      </w:divBdr>
      <w:divsChild>
        <w:div w:id="111899745">
          <w:marLeft w:val="0"/>
          <w:marRight w:val="0"/>
          <w:marTop w:val="0"/>
          <w:marBottom w:val="0"/>
          <w:divBdr>
            <w:top w:val="none" w:sz="0" w:space="0" w:color="auto"/>
            <w:left w:val="none" w:sz="0" w:space="0" w:color="auto"/>
            <w:bottom w:val="none" w:sz="0" w:space="0" w:color="auto"/>
            <w:right w:val="none" w:sz="0" w:space="0" w:color="auto"/>
          </w:divBdr>
          <w:divsChild>
            <w:div w:id="1624195117">
              <w:marLeft w:val="0"/>
              <w:marRight w:val="0"/>
              <w:marTop w:val="0"/>
              <w:marBottom w:val="0"/>
              <w:divBdr>
                <w:top w:val="none" w:sz="0" w:space="0" w:color="auto"/>
                <w:left w:val="none" w:sz="0" w:space="0" w:color="auto"/>
                <w:bottom w:val="none" w:sz="0" w:space="0" w:color="auto"/>
                <w:right w:val="none" w:sz="0" w:space="0" w:color="auto"/>
              </w:divBdr>
              <w:divsChild>
                <w:div w:id="31504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229224">
      <w:bodyDiv w:val="1"/>
      <w:marLeft w:val="0"/>
      <w:marRight w:val="0"/>
      <w:marTop w:val="0"/>
      <w:marBottom w:val="0"/>
      <w:divBdr>
        <w:top w:val="none" w:sz="0" w:space="0" w:color="auto"/>
        <w:left w:val="none" w:sz="0" w:space="0" w:color="auto"/>
        <w:bottom w:val="none" w:sz="0" w:space="0" w:color="auto"/>
        <w:right w:val="none" w:sz="0" w:space="0" w:color="auto"/>
      </w:divBdr>
      <w:divsChild>
        <w:div w:id="1887060519">
          <w:marLeft w:val="0"/>
          <w:marRight w:val="0"/>
          <w:marTop w:val="0"/>
          <w:marBottom w:val="0"/>
          <w:divBdr>
            <w:top w:val="none" w:sz="0" w:space="0" w:color="auto"/>
            <w:left w:val="none" w:sz="0" w:space="0" w:color="auto"/>
            <w:bottom w:val="none" w:sz="0" w:space="0" w:color="auto"/>
            <w:right w:val="none" w:sz="0" w:space="0" w:color="auto"/>
          </w:divBdr>
          <w:divsChild>
            <w:div w:id="198934333">
              <w:marLeft w:val="0"/>
              <w:marRight w:val="0"/>
              <w:marTop w:val="0"/>
              <w:marBottom w:val="0"/>
              <w:divBdr>
                <w:top w:val="none" w:sz="0" w:space="0" w:color="auto"/>
                <w:left w:val="none" w:sz="0" w:space="0" w:color="auto"/>
                <w:bottom w:val="none" w:sz="0" w:space="0" w:color="auto"/>
                <w:right w:val="none" w:sz="0" w:space="0" w:color="auto"/>
              </w:divBdr>
              <w:divsChild>
                <w:div w:id="877856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496870">
      <w:bodyDiv w:val="1"/>
      <w:marLeft w:val="0"/>
      <w:marRight w:val="0"/>
      <w:marTop w:val="0"/>
      <w:marBottom w:val="0"/>
      <w:divBdr>
        <w:top w:val="none" w:sz="0" w:space="0" w:color="auto"/>
        <w:left w:val="none" w:sz="0" w:space="0" w:color="auto"/>
        <w:bottom w:val="none" w:sz="0" w:space="0" w:color="auto"/>
        <w:right w:val="none" w:sz="0" w:space="0" w:color="auto"/>
      </w:divBdr>
    </w:div>
    <w:div w:id="1626424143">
      <w:bodyDiv w:val="1"/>
      <w:marLeft w:val="0"/>
      <w:marRight w:val="0"/>
      <w:marTop w:val="0"/>
      <w:marBottom w:val="0"/>
      <w:divBdr>
        <w:top w:val="none" w:sz="0" w:space="0" w:color="auto"/>
        <w:left w:val="none" w:sz="0" w:space="0" w:color="auto"/>
        <w:bottom w:val="none" w:sz="0" w:space="0" w:color="auto"/>
        <w:right w:val="none" w:sz="0" w:space="0" w:color="auto"/>
      </w:divBdr>
    </w:div>
    <w:div w:id="1629118408">
      <w:bodyDiv w:val="1"/>
      <w:marLeft w:val="0"/>
      <w:marRight w:val="0"/>
      <w:marTop w:val="0"/>
      <w:marBottom w:val="0"/>
      <w:divBdr>
        <w:top w:val="none" w:sz="0" w:space="0" w:color="auto"/>
        <w:left w:val="none" w:sz="0" w:space="0" w:color="auto"/>
        <w:bottom w:val="none" w:sz="0" w:space="0" w:color="auto"/>
        <w:right w:val="none" w:sz="0" w:space="0" w:color="auto"/>
      </w:divBdr>
    </w:div>
    <w:div w:id="1632789574">
      <w:bodyDiv w:val="1"/>
      <w:marLeft w:val="0"/>
      <w:marRight w:val="0"/>
      <w:marTop w:val="0"/>
      <w:marBottom w:val="0"/>
      <w:divBdr>
        <w:top w:val="none" w:sz="0" w:space="0" w:color="auto"/>
        <w:left w:val="none" w:sz="0" w:space="0" w:color="auto"/>
        <w:bottom w:val="none" w:sz="0" w:space="0" w:color="auto"/>
        <w:right w:val="none" w:sz="0" w:space="0" w:color="auto"/>
      </w:divBdr>
    </w:div>
    <w:div w:id="1647782090">
      <w:bodyDiv w:val="1"/>
      <w:marLeft w:val="0"/>
      <w:marRight w:val="0"/>
      <w:marTop w:val="0"/>
      <w:marBottom w:val="0"/>
      <w:divBdr>
        <w:top w:val="none" w:sz="0" w:space="0" w:color="auto"/>
        <w:left w:val="none" w:sz="0" w:space="0" w:color="auto"/>
        <w:bottom w:val="none" w:sz="0" w:space="0" w:color="auto"/>
        <w:right w:val="none" w:sz="0" w:space="0" w:color="auto"/>
      </w:divBdr>
    </w:div>
    <w:div w:id="1655644913">
      <w:bodyDiv w:val="1"/>
      <w:marLeft w:val="0"/>
      <w:marRight w:val="0"/>
      <w:marTop w:val="0"/>
      <w:marBottom w:val="0"/>
      <w:divBdr>
        <w:top w:val="none" w:sz="0" w:space="0" w:color="auto"/>
        <w:left w:val="none" w:sz="0" w:space="0" w:color="auto"/>
        <w:bottom w:val="none" w:sz="0" w:space="0" w:color="auto"/>
        <w:right w:val="none" w:sz="0" w:space="0" w:color="auto"/>
      </w:divBdr>
    </w:div>
    <w:div w:id="1664552882">
      <w:bodyDiv w:val="1"/>
      <w:marLeft w:val="0"/>
      <w:marRight w:val="0"/>
      <w:marTop w:val="0"/>
      <w:marBottom w:val="0"/>
      <w:divBdr>
        <w:top w:val="none" w:sz="0" w:space="0" w:color="auto"/>
        <w:left w:val="none" w:sz="0" w:space="0" w:color="auto"/>
        <w:bottom w:val="none" w:sz="0" w:space="0" w:color="auto"/>
        <w:right w:val="none" w:sz="0" w:space="0" w:color="auto"/>
      </w:divBdr>
      <w:divsChild>
        <w:div w:id="1291519856">
          <w:marLeft w:val="0"/>
          <w:marRight w:val="0"/>
          <w:marTop w:val="0"/>
          <w:marBottom w:val="0"/>
          <w:divBdr>
            <w:top w:val="none" w:sz="0" w:space="0" w:color="auto"/>
            <w:left w:val="none" w:sz="0" w:space="0" w:color="auto"/>
            <w:bottom w:val="none" w:sz="0" w:space="0" w:color="auto"/>
            <w:right w:val="none" w:sz="0" w:space="0" w:color="auto"/>
          </w:divBdr>
          <w:divsChild>
            <w:div w:id="377634332">
              <w:marLeft w:val="0"/>
              <w:marRight w:val="0"/>
              <w:marTop w:val="0"/>
              <w:marBottom w:val="0"/>
              <w:divBdr>
                <w:top w:val="none" w:sz="0" w:space="0" w:color="auto"/>
                <w:left w:val="none" w:sz="0" w:space="0" w:color="auto"/>
                <w:bottom w:val="none" w:sz="0" w:space="0" w:color="auto"/>
                <w:right w:val="none" w:sz="0" w:space="0" w:color="auto"/>
              </w:divBdr>
              <w:divsChild>
                <w:div w:id="116876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7414310">
      <w:bodyDiv w:val="1"/>
      <w:marLeft w:val="0"/>
      <w:marRight w:val="0"/>
      <w:marTop w:val="0"/>
      <w:marBottom w:val="0"/>
      <w:divBdr>
        <w:top w:val="none" w:sz="0" w:space="0" w:color="auto"/>
        <w:left w:val="none" w:sz="0" w:space="0" w:color="auto"/>
        <w:bottom w:val="none" w:sz="0" w:space="0" w:color="auto"/>
        <w:right w:val="none" w:sz="0" w:space="0" w:color="auto"/>
      </w:divBdr>
      <w:divsChild>
        <w:div w:id="1447696989">
          <w:marLeft w:val="0"/>
          <w:marRight w:val="0"/>
          <w:marTop w:val="0"/>
          <w:marBottom w:val="0"/>
          <w:divBdr>
            <w:top w:val="none" w:sz="0" w:space="0" w:color="auto"/>
            <w:left w:val="none" w:sz="0" w:space="0" w:color="auto"/>
            <w:bottom w:val="none" w:sz="0" w:space="0" w:color="auto"/>
            <w:right w:val="none" w:sz="0" w:space="0" w:color="auto"/>
          </w:divBdr>
          <w:divsChild>
            <w:div w:id="158547828">
              <w:marLeft w:val="0"/>
              <w:marRight w:val="0"/>
              <w:marTop w:val="0"/>
              <w:marBottom w:val="0"/>
              <w:divBdr>
                <w:top w:val="none" w:sz="0" w:space="0" w:color="auto"/>
                <w:left w:val="none" w:sz="0" w:space="0" w:color="auto"/>
                <w:bottom w:val="none" w:sz="0" w:space="0" w:color="auto"/>
                <w:right w:val="none" w:sz="0" w:space="0" w:color="auto"/>
              </w:divBdr>
              <w:divsChild>
                <w:div w:id="1641886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237257">
      <w:bodyDiv w:val="1"/>
      <w:marLeft w:val="0"/>
      <w:marRight w:val="0"/>
      <w:marTop w:val="0"/>
      <w:marBottom w:val="0"/>
      <w:divBdr>
        <w:top w:val="none" w:sz="0" w:space="0" w:color="auto"/>
        <w:left w:val="none" w:sz="0" w:space="0" w:color="auto"/>
        <w:bottom w:val="none" w:sz="0" w:space="0" w:color="auto"/>
        <w:right w:val="none" w:sz="0" w:space="0" w:color="auto"/>
      </w:divBdr>
    </w:div>
    <w:div w:id="1687947697">
      <w:bodyDiv w:val="1"/>
      <w:marLeft w:val="0"/>
      <w:marRight w:val="0"/>
      <w:marTop w:val="0"/>
      <w:marBottom w:val="0"/>
      <w:divBdr>
        <w:top w:val="none" w:sz="0" w:space="0" w:color="auto"/>
        <w:left w:val="none" w:sz="0" w:space="0" w:color="auto"/>
        <w:bottom w:val="none" w:sz="0" w:space="0" w:color="auto"/>
        <w:right w:val="none" w:sz="0" w:space="0" w:color="auto"/>
      </w:divBdr>
      <w:divsChild>
        <w:div w:id="842738580">
          <w:marLeft w:val="0"/>
          <w:marRight w:val="0"/>
          <w:marTop w:val="0"/>
          <w:marBottom w:val="0"/>
          <w:divBdr>
            <w:top w:val="none" w:sz="0" w:space="0" w:color="auto"/>
            <w:left w:val="none" w:sz="0" w:space="0" w:color="auto"/>
            <w:bottom w:val="none" w:sz="0" w:space="0" w:color="auto"/>
            <w:right w:val="none" w:sz="0" w:space="0" w:color="auto"/>
          </w:divBdr>
          <w:divsChild>
            <w:div w:id="1019969142">
              <w:marLeft w:val="0"/>
              <w:marRight w:val="0"/>
              <w:marTop w:val="0"/>
              <w:marBottom w:val="0"/>
              <w:divBdr>
                <w:top w:val="none" w:sz="0" w:space="0" w:color="auto"/>
                <w:left w:val="none" w:sz="0" w:space="0" w:color="auto"/>
                <w:bottom w:val="none" w:sz="0" w:space="0" w:color="auto"/>
                <w:right w:val="none" w:sz="0" w:space="0" w:color="auto"/>
              </w:divBdr>
              <w:divsChild>
                <w:div w:id="175274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680752">
      <w:bodyDiv w:val="1"/>
      <w:marLeft w:val="0"/>
      <w:marRight w:val="0"/>
      <w:marTop w:val="0"/>
      <w:marBottom w:val="0"/>
      <w:divBdr>
        <w:top w:val="none" w:sz="0" w:space="0" w:color="auto"/>
        <w:left w:val="none" w:sz="0" w:space="0" w:color="auto"/>
        <w:bottom w:val="none" w:sz="0" w:space="0" w:color="auto"/>
        <w:right w:val="none" w:sz="0" w:space="0" w:color="auto"/>
      </w:divBdr>
    </w:div>
    <w:div w:id="1693410939">
      <w:bodyDiv w:val="1"/>
      <w:marLeft w:val="0"/>
      <w:marRight w:val="0"/>
      <w:marTop w:val="0"/>
      <w:marBottom w:val="0"/>
      <w:divBdr>
        <w:top w:val="none" w:sz="0" w:space="0" w:color="auto"/>
        <w:left w:val="none" w:sz="0" w:space="0" w:color="auto"/>
        <w:bottom w:val="none" w:sz="0" w:space="0" w:color="auto"/>
        <w:right w:val="none" w:sz="0" w:space="0" w:color="auto"/>
      </w:divBdr>
    </w:div>
    <w:div w:id="1697273124">
      <w:bodyDiv w:val="1"/>
      <w:marLeft w:val="0"/>
      <w:marRight w:val="0"/>
      <w:marTop w:val="0"/>
      <w:marBottom w:val="0"/>
      <w:divBdr>
        <w:top w:val="none" w:sz="0" w:space="0" w:color="auto"/>
        <w:left w:val="none" w:sz="0" w:space="0" w:color="auto"/>
        <w:bottom w:val="none" w:sz="0" w:space="0" w:color="auto"/>
        <w:right w:val="none" w:sz="0" w:space="0" w:color="auto"/>
      </w:divBdr>
      <w:divsChild>
        <w:div w:id="1797483033">
          <w:marLeft w:val="0"/>
          <w:marRight w:val="0"/>
          <w:marTop w:val="0"/>
          <w:marBottom w:val="0"/>
          <w:divBdr>
            <w:top w:val="none" w:sz="0" w:space="0" w:color="auto"/>
            <w:left w:val="none" w:sz="0" w:space="0" w:color="auto"/>
            <w:bottom w:val="none" w:sz="0" w:space="0" w:color="auto"/>
            <w:right w:val="none" w:sz="0" w:space="0" w:color="auto"/>
          </w:divBdr>
          <w:divsChild>
            <w:div w:id="1703703242">
              <w:marLeft w:val="0"/>
              <w:marRight w:val="0"/>
              <w:marTop w:val="0"/>
              <w:marBottom w:val="0"/>
              <w:divBdr>
                <w:top w:val="none" w:sz="0" w:space="0" w:color="auto"/>
                <w:left w:val="none" w:sz="0" w:space="0" w:color="auto"/>
                <w:bottom w:val="none" w:sz="0" w:space="0" w:color="auto"/>
                <w:right w:val="none" w:sz="0" w:space="0" w:color="auto"/>
              </w:divBdr>
              <w:divsChild>
                <w:div w:id="367998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349392">
      <w:bodyDiv w:val="1"/>
      <w:marLeft w:val="0"/>
      <w:marRight w:val="0"/>
      <w:marTop w:val="0"/>
      <w:marBottom w:val="0"/>
      <w:divBdr>
        <w:top w:val="none" w:sz="0" w:space="0" w:color="auto"/>
        <w:left w:val="none" w:sz="0" w:space="0" w:color="auto"/>
        <w:bottom w:val="none" w:sz="0" w:space="0" w:color="auto"/>
        <w:right w:val="none" w:sz="0" w:space="0" w:color="auto"/>
      </w:divBdr>
      <w:divsChild>
        <w:div w:id="1842039315">
          <w:marLeft w:val="0"/>
          <w:marRight w:val="0"/>
          <w:marTop w:val="0"/>
          <w:marBottom w:val="0"/>
          <w:divBdr>
            <w:top w:val="none" w:sz="0" w:space="0" w:color="auto"/>
            <w:left w:val="none" w:sz="0" w:space="0" w:color="auto"/>
            <w:bottom w:val="none" w:sz="0" w:space="0" w:color="auto"/>
            <w:right w:val="none" w:sz="0" w:space="0" w:color="auto"/>
          </w:divBdr>
          <w:divsChild>
            <w:div w:id="947589905">
              <w:marLeft w:val="0"/>
              <w:marRight w:val="0"/>
              <w:marTop w:val="0"/>
              <w:marBottom w:val="0"/>
              <w:divBdr>
                <w:top w:val="none" w:sz="0" w:space="0" w:color="auto"/>
                <w:left w:val="none" w:sz="0" w:space="0" w:color="auto"/>
                <w:bottom w:val="none" w:sz="0" w:space="0" w:color="auto"/>
                <w:right w:val="none" w:sz="0" w:space="0" w:color="auto"/>
              </w:divBdr>
              <w:divsChild>
                <w:div w:id="2041588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991525">
      <w:bodyDiv w:val="1"/>
      <w:marLeft w:val="0"/>
      <w:marRight w:val="0"/>
      <w:marTop w:val="0"/>
      <w:marBottom w:val="0"/>
      <w:divBdr>
        <w:top w:val="none" w:sz="0" w:space="0" w:color="auto"/>
        <w:left w:val="none" w:sz="0" w:space="0" w:color="auto"/>
        <w:bottom w:val="none" w:sz="0" w:space="0" w:color="auto"/>
        <w:right w:val="none" w:sz="0" w:space="0" w:color="auto"/>
      </w:divBdr>
    </w:div>
    <w:div w:id="1723481502">
      <w:bodyDiv w:val="1"/>
      <w:marLeft w:val="0"/>
      <w:marRight w:val="0"/>
      <w:marTop w:val="0"/>
      <w:marBottom w:val="0"/>
      <w:divBdr>
        <w:top w:val="none" w:sz="0" w:space="0" w:color="auto"/>
        <w:left w:val="none" w:sz="0" w:space="0" w:color="auto"/>
        <w:bottom w:val="none" w:sz="0" w:space="0" w:color="auto"/>
        <w:right w:val="none" w:sz="0" w:space="0" w:color="auto"/>
      </w:divBdr>
      <w:divsChild>
        <w:div w:id="592980427">
          <w:marLeft w:val="0"/>
          <w:marRight w:val="0"/>
          <w:marTop w:val="0"/>
          <w:marBottom w:val="0"/>
          <w:divBdr>
            <w:top w:val="none" w:sz="0" w:space="0" w:color="auto"/>
            <w:left w:val="none" w:sz="0" w:space="0" w:color="auto"/>
            <w:bottom w:val="none" w:sz="0" w:space="0" w:color="auto"/>
            <w:right w:val="none" w:sz="0" w:space="0" w:color="auto"/>
          </w:divBdr>
          <w:divsChild>
            <w:div w:id="1213611060">
              <w:marLeft w:val="0"/>
              <w:marRight w:val="0"/>
              <w:marTop w:val="0"/>
              <w:marBottom w:val="0"/>
              <w:divBdr>
                <w:top w:val="none" w:sz="0" w:space="0" w:color="auto"/>
                <w:left w:val="none" w:sz="0" w:space="0" w:color="auto"/>
                <w:bottom w:val="none" w:sz="0" w:space="0" w:color="auto"/>
                <w:right w:val="none" w:sz="0" w:space="0" w:color="auto"/>
              </w:divBdr>
              <w:divsChild>
                <w:div w:id="462429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2560641">
      <w:bodyDiv w:val="1"/>
      <w:marLeft w:val="0"/>
      <w:marRight w:val="0"/>
      <w:marTop w:val="0"/>
      <w:marBottom w:val="0"/>
      <w:divBdr>
        <w:top w:val="none" w:sz="0" w:space="0" w:color="auto"/>
        <w:left w:val="none" w:sz="0" w:space="0" w:color="auto"/>
        <w:bottom w:val="none" w:sz="0" w:space="0" w:color="auto"/>
        <w:right w:val="none" w:sz="0" w:space="0" w:color="auto"/>
      </w:divBdr>
    </w:div>
    <w:div w:id="1747072058">
      <w:bodyDiv w:val="1"/>
      <w:marLeft w:val="0"/>
      <w:marRight w:val="0"/>
      <w:marTop w:val="0"/>
      <w:marBottom w:val="0"/>
      <w:divBdr>
        <w:top w:val="none" w:sz="0" w:space="0" w:color="auto"/>
        <w:left w:val="none" w:sz="0" w:space="0" w:color="auto"/>
        <w:bottom w:val="none" w:sz="0" w:space="0" w:color="auto"/>
        <w:right w:val="none" w:sz="0" w:space="0" w:color="auto"/>
      </w:divBdr>
      <w:divsChild>
        <w:div w:id="1109857674">
          <w:marLeft w:val="0"/>
          <w:marRight w:val="0"/>
          <w:marTop w:val="0"/>
          <w:marBottom w:val="0"/>
          <w:divBdr>
            <w:top w:val="none" w:sz="0" w:space="0" w:color="auto"/>
            <w:left w:val="none" w:sz="0" w:space="0" w:color="auto"/>
            <w:bottom w:val="none" w:sz="0" w:space="0" w:color="auto"/>
            <w:right w:val="none" w:sz="0" w:space="0" w:color="auto"/>
          </w:divBdr>
          <w:divsChild>
            <w:div w:id="1176459122">
              <w:marLeft w:val="0"/>
              <w:marRight w:val="0"/>
              <w:marTop w:val="0"/>
              <w:marBottom w:val="0"/>
              <w:divBdr>
                <w:top w:val="none" w:sz="0" w:space="0" w:color="auto"/>
                <w:left w:val="none" w:sz="0" w:space="0" w:color="auto"/>
                <w:bottom w:val="none" w:sz="0" w:space="0" w:color="auto"/>
                <w:right w:val="none" w:sz="0" w:space="0" w:color="auto"/>
              </w:divBdr>
              <w:divsChild>
                <w:div w:id="1603026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271384">
      <w:bodyDiv w:val="1"/>
      <w:marLeft w:val="0"/>
      <w:marRight w:val="0"/>
      <w:marTop w:val="0"/>
      <w:marBottom w:val="0"/>
      <w:divBdr>
        <w:top w:val="none" w:sz="0" w:space="0" w:color="auto"/>
        <w:left w:val="none" w:sz="0" w:space="0" w:color="auto"/>
        <w:bottom w:val="none" w:sz="0" w:space="0" w:color="auto"/>
        <w:right w:val="none" w:sz="0" w:space="0" w:color="auto"/>
      </w:divBdr>
      <w:divsChild>
        <w:div w:id="1946227509">
          <w:marLeft w:val="0"/>
          <w:marRight w:val="0"/>
          <w:marTop w:val="0"/>
          <w:marBottom w:val="0"/>
          <w:divBdr>
            <w:top w:val="none" w:sz="0" w:space="0" w:color="auto"/>
            <w:left w:val="none" w:sz="0" w:space="0" w:color="auto"/>
            <w:bottom w:val="none" w:sz="0" w:space="0" w:color="auto"/>
            <w:right w:val="none" w:sz="0" w:space="0" w:color="auto"/>
          </w:divBdr>
          <w:divsChild>
            <w:div w:id="1361203489">
              <w:marLeft w:val="0"/>
              <w:marRight w:val="0"/>
              <w:marTop w:val="0"/>
              <w:marBottom w:val="0"/>
              <w:divBdr>
                <w:top w:val="none" w:sz="0" w:space="0" w:color="auto"/>
                <w:left w:val="none" w:sz="0" w:space="0" w:color="auto"/>
                <w:bottom w:val="none" w:sz="0" w:space="0" w:color="auto"/>
                <w:right w:val="none" w:sz="0" w:space="0" w:color="auto"/>
              </w:divBdr>
              <w:divsChild>
                <w:div w:id="178326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3887371">
      <w:bodyDiv w:val="1"/>
      <w:marLeft w:val="0"/>
      <w:marRight w:val="0"/>
      <w:marTop w:val="0"/>
      <w:marBottom w:val="0"/>
      <w:divBdr>
        <w:top w:val="none" w:sz="0" w:space="0" w:color="auto"/>
        <w:left w:val="none" w:sz="0" w:space="0" w:color="auto"/>
        <w:bottom w:val="none" w:sz="0" w:space="0" w:color="auto"/>
        <w:right w:val="none" w:sz="0" w:space="0" w:color="auto"/>
      </w:divBdr>
    </w:div>
    <w:div w:id="1759136634">
      <w:bodyDiv w:val="1"/>
      <w:marLeft w:val="0"/>
      <w:marRight w:val="0"/>
      <w:marTop w:val="0"/>
      <w:marBottom w:val="0"/>
      <w:divBdr>
        <w:top w:val="none" w:sz="0" w:space="0" w:color="auto"/>
        <w:left w:val="none" w:sz="0" w:space="0" w:color="auto"/>
        <w:bottom w:val="none" w:sz="0" w:space="0" w:color="auto"/>
        <w:right w:val="none" w:sz="0" w:space="0" w:color="auto"/>
      </w:divBdr>
      <w:divsChild>
        <w:div w:id="1876041603">
          <w:marLeft w:val="0"/>
          <w:marRight w:val="0"/>
          <w:marTop w:val="0"/>
          <w:marBottom w:val="0"/>
          <w:divBdr>
            <w:top w:val="none" w:sz="0" w:space="0" w:color="auto"/>
            <w:left w:val="none" w:sz="0" w:space="0" w:color="auto"/>
            <w:bottom w:val="none" w:sz="0" w:space="0" w:color="auto"/>
            <w:right w:val="none" w:sz="0" w:space="0" w:color="auto"/>
          </w:divBdr>
          <w:divsChild>
            <w:div w:id="2067533134">
              <w:marLeft w:val="0"/>
              <w:marRight w:val="0"/>
              <w:marTop w:val="0"/>
              <w:marBottom w:val="0"/>
              <w:divBdr>
                <w:top w:val="none" w:sz="0" w:space="0" w:color="auto"/>
                <w:left w:val="none" w:sz="0" w:space="0" w:color="auto"/>
                <w:bottom w:val="none" w:sz="0" w:space="0" w:color="auto"/>
                <w:right w:val="none" w:sz="0" w:space="0" w:color="auto"/>
              </w:divBdr>
              <w:divsChild>
                <w:div w:id="101785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338212">
      <w:bodyDiv w:val="1"/>
      <w:marLeft w:val="0"/>
      <w:marRight w:val="0"/>
      <w:marTop w:val="0"/>
      <w:marBottom w:val="0"/>
      <w:divBdr>
        <w:top w:val="none" w:sz="0" w:space="0" w:color="auto"/>
        <w:left w:val="none" w:sz="0" w:space="0" w:color="auto"/>
        <w:bottom w:val="none" w:sz="0" w:space="0" w:color="auto"/>
        <w:right w:val="none" w:sz="0" w:space="0" w:color="auto"/>
      </w:divBdr>
    </w:div>
    <w:div w:id="1773208658">
      <w:bodyDiv w:val="1"/>
      <w:marLeft w:val="0"/>
      <w:marRight w:val="0"/>
      <w:marTop w:val="0"/>
      <w:marBottom w:val="0"/>
      <w:divBdr>
        <w:top w:val="none" w:sz="0" w:space="0" w:color="auto"/>
        <w:left w:val="none" w:sz="0" w:space="0" w:color="auto"/>
        <w:bottom w:val="none" w:sz="0" w:space="0" w:color="auto"/>
        <w:right w:val="none" w:sz="0" w:space="0" w:color="auto"/>
      </w:divBdr>
      <w:divsChild>
        <w:div w:id="1657147015">
          <w:marLeft w:val="0"/>
          <w:marRight w:val="0"/>
          <w:marTop w:val="0"/>
          <w:marBottom w:val="0"/>
          <w:divBdr>
            <w:top w:val="none" w:sz="0" w:space="0" w:color="auto"/>
            <w:left w:val="none" w:sz="0" w:space="0" w:color="auto"/>
            <w:bottom w:val="none" w:sz="0" w:space="0" w:color="auto"/>
            <w:right w:val="none" w:sz="0" w:space="0" w:color="auto"/>
          </w:divBdr>
          <w:divsChild>
            <w:div w:id="509179231">
              <w:marLeft w:val="0"/>
              <w:marRight w:val="0"/>
              <w:marTop w:val="0"/>
              <w:marBottom w:val="0"/>
              <w:divBdr>
                <w:top w:val="none" w:sz="0" w:space="0" w:color="auto"/>
                <w:left w:val="none" w:sz="0" w:space="0" w:color="auto"/>
                <w:bottom w:val="none" w:sz="0" w:space="0" w:color="auto"/>
                <w:right w:val="none" w:sz="0" w:space="0" w:color="auto"/>
              </w:divBdr>
              <w:divsChild>
                <w:div w:id="969046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6343930">
      <w:bodyDiv w:val="1"/>
      <w:marLeft w:val="0"/>
      <w:marRight w:val="0"/>
      <w:marTop w:val="0"/>
      <w:marBottom w:val="0"/>
      <w:divBdr>
        <w:top w:val="none" w:sz="0" w:space="0" w:color="auto"/>
        <w:left w:val="none" w:sz="0" w:space="0" w:color="auto"/>
        <w:bottom w:val="none" w:sz="0" w:space="0" w:color="auto"/>
        <w:right w:val="none" w:sz="0" w:space="0" w:color="auto"/>
      </w:divBdr>
      <w:divsChild>
        <w:div w:id="13506668">
          <w:marLeft w:val="0"/>
          <w:marRight w:val="0"/>
          <w:marTop w:val="0"/>
          <w:marBottom w:val="0"/>
          <w:divBdr>
            <w:top w:val="none" w:sz="0" w:space="0" w:color="auto"/>
            <w:left w:val="none" w:sz="0" w:space="0" w:color="auto"/>
            <w:bottom w:val="none" w:sz="0" w:space="0" w:color="auto"/>
            <w:right w:val="none" w:sz="0" w:space="0" w:color="auto"/>
          </w:divBdr>
          <w:divsChild>
            <w:div w:id="108862890">
              <w:marLeft w:val="0"/>
              <w:marRight w:val="0"/>
              <w:marTop w:val="0"/>
              <w:marBottom w:val="0"/>
              <w:divBdr>
                <w:top w:val="none" w:sz="0" w:space="0" w:color="auto"/>
                <w:left w:val="none" w:sz="0" w:space="0" w:color="auto"/>
                <w:bottom w:val="none" w:sz="0" w:space="0" w:color="auto"/>
                <w:right w:val="none" w:sz="0" w:space="0" w:color="auto"/>
              </w:divBdr>
              <w:divsChild>
                <w:div w:id="253250532">
                  <w:marLeft w:val="0"/>
                  <w:marRight w:val="0"/>
                  <w:marTop w:val="0"/>
                  <w:marBottom w:val="0"/>
                  <w:divBdr>
                    <w:top w:val="none" w:sz="0" w:space="0" w:color="auto"/>
                    <w:left w:val="none" w:sz="0" w:space="0" w:color="auto"/>
                    <w:bottom w:val="none" w:sz="0" w:space="0" w:color="auto"/>
                    <w:right w:val="none" w:sz="0" w:space="0" w:color="auto"/>
                  </w:divBdr>
                  <w:divsChild>
                    <w:div w:id="1676684995">
                      <w:marLeft w:val="0"/>
                      <w:marRight w:val="0"/>
                      <w:marTop w:val="0"/>
                      <w:marBottom w:val="0"/>
                      <w:divBdr>
                        <w:top w:val="none" w:sz="0" w:space="0" w:color="auto"/>
                        <w:left w:val="none" w:sz="0" w:space="0" w:color="auto"/>
                        <w:bottom w:val="none" w:sz="0" w:space="0" w:color="auto"/>
                        <w:right w:val="none" w:sz="0" w:space="0" w:color="auto"/>
                      </w:divBdr>
                      <w:divsChild>
                        <w:div w:id="1011299901">
                          <w:marLeft w:val="0"/>
                          <w:marRight w:val="0"/>
                          <w:marTop w:val="0"/>
                          <w:marBottom w:val="0"/>
                          <w:divBdr>
                            <w:top w:val="none" w:sz="0" w:space="0" w:color="auto"/>
                            <w:left w:val="none" w:sz="0" w:space="0" w:color="auto"/>
                            <w:bottom w:val="none" w:sz="0" w:space="0" w:color="auto"/>
                            <w:right w:val="none" w:sz="0" w:space="0" w:color="auto"/>
                          </w:divBdr>
                          <w:divsChild>
                            <w:div w:id="92089799">
                              <w:marLeft w:val="0"/>
                              <w:marRight w:val="0"/>
                              <w:marTop w:val="0"/>
                              <w:marBottom w:val="0"/>
                              <w:divBdr>
                                <w:top w:val="none" w:sz="0" w:space="0" w:color="auto"/>
                                <w:left w:val="none" w:sz="0" w:space="0" w:color="auto"/>
                                <w:bottom w:val="none" w:sz="0" w:space="0" w:color="auto"/>
                                <w:right w:val="none" w:sz="0" w:space="0" w:color="auto"/>
                              </w:divBdr>
                              <w:divsChild>
                                <w:div w:id="480852329">
                                  <w:marLeft w:val="0"/>
                                  <w:marRight w:val="0"/>
                                  <w:marTop w:val="0"/>
                                  <w:marBottom w:val="0"/>
                                  <w:divBdr>
                                    <w:top w:val="none" w:sz="0" w:space="0" w:color="auto"/>
                                    <w:left w:val="none" w:sz="0" w:space="0" w:color="auto"/>
                                    <w:bottom w:val="none" w:sz="0" w:space="0" w:color="auto"/>
                                    <w:right w:val="none" w:sz="0" w:space="0" w:color="auto"/>
                                  </w:divBdr>
                                  <w:divsChild>
                                    <w:div w:id="2099249746">
                                      <w:marLeft w:val="0"/>
                                      <w:marRight w:val="0"/>
                                      <w:marTop w:val="0"/>
                                      <w:marBottom w:val="0"/>
                                      <w:divBdr>
                                        <w:top w:val="none" w:sz="0" w:space="0" w:color="auto"/>
                                        <w:left w:val="none" w:sz="0" w:space="0" w:color="auto"/>
                                        <w:bottom w:val="none" w:sz="0" w:space="0" w:color="auto"/>
                                        <w:right w:val="none" w:sz="0" w:space="0" w:color="auto"/>
                                      </w:divBdr>
                                      <w:divsChild>
                                        <w:div w:id="1010181242">
                                          <w:marLeft w:val="0"/>
                                          <w:marRight w:val="0"/>
                                          <w:marTop w:val="0"/>
                                          <w:marBottom w:val="0"/>
                                          <w:divBdr>
                                            <w:top w:val="none" w:sz="0" w:space="0" w:color="auto"/>
                                            <w:left w:val="none" w:sz="0" w:space="0" w:color="auto"/>
                                            <w:bottom w:val="none" w:sz="0" w:space="0" w:color="auto"/>
                                            <w:right w:val="none" w:sz="0" w:space="0" w:color="auto"/>
                                          </w:divBdr>
                                          <w:divsChild>
                                            <w:div w:id="1729381395">
                                              <w:marLeft w:val="0"/>
                                              <w:marRight w:val="0"/>
                                              <w:marTop w:val="0"/>
                                              <w:marBottom w:val="0"/>
                                              <w:divBdr>
                                                <w:top w:val="none" w:sz="0" w:space="0" w:color="auto"/>
                                                <w:left w:val="none" w:sz="0" w:space="0" w:color="auto"/>
                                                <w:bottom w:val="none" w:sz="0" w:space="0" w:color="auto"/>
                                                <w:right w:val="none" w:sz="0" w:space="0" w:color="auto"/>
                                              </w:divBdr>
                                              <w:divsChild>
                                                <w:div w:id="1908606152">
                                                  <w:marLeft w:val="0"/>
                                                  <w:marRight w:val="0"/>
                                                  <w:marTop w:val="0"/>
                                                  <w:marBottom w:val="0"/>
                                                  <w:divBdr>
                                                    <w:top w:val="none" w:sz="0" w:space="0" w:color="auto"/>
                                                    <w:left w:val="none" w:sz="0" w:space="0" w:color="auto"/>
                                                    <w:bottom w:val="none" w:sz="0" w:space="0" w:color="auto"/>
                                                    <w:right w:val="none" w:sz="0" w:space="0" w:color="auto"/>
                                                  </w:divBdr>
                                                  <w:divsChild>
                                                    <w:div w:id="1611627645">
                                                      <w:marLeft w:val="0"/>
                                                      <w:marRight w:val="0"/>
                                                      <w:marTop w:val="0"/>
                                                      <w:marBottom w:val="0"/>
                                                      <w:divBdr>
                                                        <w:top w:val="none" w:sz="0" w:space="0" w:color="auto"/>
                                                        <w:left w:val="none" w:sz="0" w:space="0" w:color="auto"/>
                                                        <w:bottom w:val="none" w:sz="0" w:space="0" w:color="auto"/>
                                                        <w:right w:val="none" w:sz="0" w:space="0" w:color="auto"/>
                                                      </w:divBdr>
                                                      <w:divsChild>
                                                        <w:div w:id="62607962">
                                                          <w:marLeft w:val="0"/>
                                                          <w:marRight w:val="0"/>
                                                          <w:marTop w:val="0"/>
                                                          <w:marBottom w:val="0"/>
                                                          <w:divBdr>
                                                            <w:top w:val="none" w:sz="0" w:space="0" w:color="auto"/>
                                                            <w:left w:val="none" w:sz="0" w:space="0" w:color="auto"/>
                                                            <w:bottom w:val="none" w:sz="0" w:space="0" w:color="auto"/>
                                                            <w:right w:val="none" w:sz="0" w:space="0" w:color="auto"/>
                                                          </w:divBdr>
                                                          <w:divsChild>
                                                            <w:div w:id="1761638445">
                                                              <w:marLeft w:val="0"/>
                                                              <w:marRight w:val="0"/>
                                                              <w:marTop w:val="0"/>
                                                              <w:marBottom w:val="0"/>
                                                              <w:divBdr>
                                                                <w:top w:val="none" w:sz="0" w:space="0" w:color="auto"/>
                                                                <w:left w:val="none" w:sz="0" w:space="0" w:color="auto"/>
                                                                <w:bottom w:val="none" w:sz="0" w:space="0" w:color="auto"/>
                                                                <w:right w:val="none" w:sz="0" w:space="0" w:color="auto"/>
                                                              </w:divBdr>
                                                              <w:divsChild>
                                                                <w:div w:id="116678175">
                                                                  <w:marLeft w:val="0"/>
                                                                  <w:marRight w:val="0"/>
                                                                  <w:marTop w:val="0"/>
                                                                  <w:marBottom w:val="0"/>
                                                                  <w:divBdr>
                                                                    <w:top w:val="none" w:sz="0" w:space="0" w:color="auto"/>
                                                                    <w:left w:val="none" w:sz="0" w:space="0" w:color="auto"/>
                                                                    <w:bottom w:val="none" w:sz="0" w:space="0" w:color="auto"/>
                                                                    <w:right w:val="none" w:sz="0" w:space="0" w:color="auto"/>
                                                                  </w:divBdr>
                                                                  <w:divsChild>
                                                                    <w:div w:id="440954044">
                                                                      <w:marLeft w:val="0"/>
                                                                      <w:marRight w:val="0"/>
                                                                      <w:marTop w:val="0"/>
                                                                      <w:marBottom w:val="0"/>
                                                                      <w:divBdr>
                                                                        <w:top w:val="none" w:sz="0" w:space="0" w:color="auto"/>
                                                                        <w:left w:val="none" w:sz="0" w:space="0" w:color="auto"/>
                                                                        <w:bottom w:val="none" w:sz="0" w:space="0" w:color="auto"/>
                                                                        <w:right w:val="none" w:sz="0" w:space="0" w:color="auto"/>
                                                                      </w:divBdr>
                                                                      <w:divsChild>
                                                                        <w:div w:id="1885287341">
                                                                          <w:marLeft w:val="0"/>
                                                                          <w:marRight w:val="0"/>
                                                                          <w:marTop w:val="0"/>
                                                                          <w:marBottom w:val="0"/>
                                                                          <w:divBdr>
                                                                            <w:top w:val="none" w:sz="0" w:space="0" w:color="auto"/>
                                                                            <w:left w:val="none" w:sz="0" w:space="0" w:color="auto"/>
                                                                            <w:bottom w:val="none" w:sz="0" w:space="0" w:color="auto"/>
                                                                            <w:right w:val="none" w:sz="0" w:space="0" w:color="auto"/>
                                                                          </w:divBdr>
                                                                          <w:divsChild>
                                                                            <w:div w:id="326786498">
                                                                              <w:marLeft w:val="0"/>
                                                                              <w:marRight w:val="0"/>
                                                                              <w:marTop w:val="0"/>
                                                                              <w:marBottom w:val="0"/>
                                                                              <w:divBdr>
                                                                                <w:top w:val="none" w:sz="0" w:space="0" w:color="auto"/>
                                                                                <w:left w:val="none" w:sz="0" w:space="0" w:color="auto"/>
                                                                                <w:bottom w:val="none" w:sz="0" w:space="0" w:color="auto"/>
                                                                                <w:right w:val="none" w:sz="0" w:space="0" w:color="auto"/>
                                                                              </w:divBdr>
                                                                              <w:divsChild>
                                                                                <w:div w:id="1470048990">
                                                                                  <w:marLeft w:val="0"/>
                                                                                  <w:marRight w:val="0"/>
                                                                                  <w:marTop w:val="0"/>
                                                                                  <w:marBottom w:val="0"/>
                                                                                  <w:divBdr>
                                                                                    <w:top w:val="none" w:sz="0" w:space="0" w:color="auto"/>
                                                                                    <w:left w:val="none" w:sz="0" w:space="0" w:color="auto"/>
                                                                                    <w:bottom w:val="none" w:sz="0" w:space="0" w:color="auto"/>
                                                                                    <w:right w:val="none" w:sz="0" w:space="0" w:color="auto"/>
                                                                                  </w:divBdr>
                                                                                  <w:divsChild>
                                                                                    <w:div w:id="72098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98259661">
      <w:bodyDiv w:val="1"/>
      <w:marLeft w:val="0"/>
      <w:marRight w:val="0"/>
      <w:marTop w:val="0"/>
      <w:marBottom w:val="0"/>
      <w:divBdr>
        <w:top w:val="none" w:sz="0" w:space="0" w:color="auto"/>
        <w:left w:val="none" w:sz="0" w:space="0" w:color="auto"/>
        <w:bottom w:val="none" w:sz="0" w:space="0" w:color="auto"/>
        <w:right w:val="none" w:sz="0" w:space="0" w:color="auto"/>
      </w:divBdr>
    </w:div>
    <w:div w:id="1802533967">
      <w:bodyDiv w:val="1"/>
      <w:marLeft w:val="0"/>
      <w:marRight w:val="0"/>
      <w:marTop w:val="0"/>
      <w:marBottom w:val="0"/>
      <w:divBdr>
        <w:top w:val="none" w:sz="0" w:space="0" w:color="auto"/>
        <w:left w:val="none" w:sz="0" w:space="0" w:color="auto"/>
        <w:bottom w:val="none" w:sz="0" w:space="0" w:color="auto"/>
        <w:right w:val="none" w:sz="0" w:space="0" w:color="auto"/>
      </w:divBdr>
      <w:divsChild>
        <w:div w:id="1548837044">
          <w:marLeft w:val="0"/>
          <w:marRight w:val="0"/>
          <w:marTop w:val="0"/>
          <w:marBottom w:val="0"/>
          <w:divBdr>
            <w:top w:val="none" w:sz="0" w:space="0" w:color="auto"/>
            <w:left w:val="none" w:sz="0" w:space="0" w:color="auto"/>
            <w:bottom w:val="none" w:sz="0" w:space="0" w:color="auto"/>
            <w:right w:val="none" w:sz="0" w:space="0" w:color="auto"/>
          </w:divBdr>
          <w:divsChild>
            <w:div w:id="460001300">
              <w:marLeft w:val="0"/>
              <w:marRight w:val="0"/>
              <w:marTop w:val="0"/>
              <w:marBottom w:val="0"/>
              <w:divBdr>
                <w:top w:val="none" w:sz="0" w:space="0" w:color="auto"/>
                <w:left w:val="none" w:sz="0" w:space="0" w:color="auto"/>
                <w:bottom w:val="none" w:sz="0" w:space="0" w:color="auto"/>
                <w:right w:val="none" w:sz="0" w:space="0" w:color="auto"/>
              </w:divBdr>
              <w:divsChild>
                <w:div w:id="1765494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392231">
      <w:bodyDiv w:val="1"/>
      <w:marLeft w:val="0"/>
      <w:marRight w:val="0"/>
      <w:marTop w:val="0"/>
      <w:marBottom w:val="0"/>
      <w:divBdr>
        <w:top w:val="none" w:sz="0" w:space="0" w:color="auto"/>
        <w:left w:val="none" w:sz="0" w:space="0" w:color="auto"/>
        <w:bottom w:val="none" w:sz="0" w:space="0" w:color="auto"/>
        <w:right w:val="none" w:sz="0" w:space="0" w:color="auto"/>
      </w:divBdr>
    </w:div>
    <w:div w:id="1809468363">
      <w:bodyDiv w:val="1"/>
      <w:marLeft w:val="0"/>
      <w:marRight w:val="0"/>
      <w:marTop w:val="0"/>
      <w:marBottom w:val="0"/>
      <w:divBdr>
        <w:top w:val="none" w:sz="0" w:space="0" w:color="auto"/>
        <w:left w:val="none" w:sz="0" w:space="0" w:color="auto"/>
        <w:bottom w:val="none" w:sz="0" w:space="0" w:color="auto"/>
        <w:right w:val="none" w:sz="0" w:space="0" w:color="auto"/>
      </w:divBdr>
    </w:div>
    <w:div w:id="1809587240">
      <w:bodyDiv w:val="1"/>
      <w:marLeft w:val="0"/>
      <w:marRight w:val="0"/>
      <w:marTop w:val="0"/>
      <w:marBottom w:val="0"/>
      <w:divBdr>
        <w:top w:val="none" w:sz="0" w:space="0" w:color="auto"/>
        <w:left w:val="none" w:sz="0" w:space="0" w:color="auto"/>
        <w:bottom w:val="none" w:sz="0" w:space="0" w:color="auto"/>
        <w:right w:val="none" w:sz="0" w:space="0" w:color="auto"/>
      </w:divBdr>
      <w:divsChild>
        <w:div w:id="1720471473">
          <w:marLeft w:val="0"/>
          <w:marRight w:val="0"/>
          <w:marTop w:val="0"/>
          <w:marBottom w:val="0"/>
          <w:divBdr>
            <w:top w:val="none" w:sz="0" w:space="0" w:color="auto"/>
            <w:left w:val="none" w:sz="0" w:space="0" w:color="auto"/>
            <w:bottom w:val="none" w:sz="0" w:space="0" w:color="auto"/>
            <w:right w:val="none" w:sz="0" w:space="0" w:color="auto"/>
          </w:divBdr>
          <w:divsChild>
            <w:div w:id="545139961">
              <w:marLeft w:val="0"/>
              <w:marRight w:val="0"/>
              <w:marTop w:val="0"/>
              <w:marBottom w:val="0"/>
              <w:divBdr>
                <w:top w:val="none" w:sz="0" w:space="0" w:color="auto"/>
                <w:left w:val="none" w:sz="0" w:space="0" w:color="auto"/>
                <w:bottom w:val="none" w:sz="0" w:space="0" w:color="auto"/>
                <w:right w:val="none" w:sz="0" w:space="0" w:color="auto"/>
              </w:divBdr>
              <w:divsChild>
                <w:div w:id="772017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475591">
      <w:bodyDiv w:val="1"/>
      <w:marLeft w:val="0"/>
      <w:marRight w:val="0"/>
      <w:marTop w:val="0"/>
      <w:marBottom w:val="0"/>
      <w:divBdr>
        <w:top w:val="none" w:sz="0" w:space="0" w:color="auto"/>
        <w:left w:val="none" w:sz="0" w:space="0" w:color="auto"/>
        <w:bottom w:val="none" w:sz="0" w:space="0" w:color="auto"/>
        <w:right w:val="none" w:sz="0" w:space="0" w:color="auto"/>
      </w:divBdr>
      <w:divsChild>
        <w:div w:id="1255818931">
          <w:marLeft w:val="0"/>
          <w:marRight w:val="0"/>
          <w:marTop w:val="0"/>
          <w:marBottom w:val="0"/>
          <w:divBdr>
            <w:top w:val="none" w:sz="0" w:space="0" w:color="auto"/>
            <w:left w:val="none" w:sz="0" w:space="0" w:color="auto"/>
            <w:bottom w:val="none" w:sz="0" w:space="0" w:color="auto"/>
            <w:right w:val="none" w:sz="0" w:space="0" w:color="auto"/>
          </w:divBdr>
          <w:divsChild>
            <w:div w:id="200553327">
              <w:marLeft w:val="0"/>
              <w:marRight w:val="0"/>
              <w:marTop w:val="0"/>
              <w:marBottom w:val="0"/>
              <w:divBdr>
                <w:top w:val="none" w:sz="0" w:space="0" w:color="auto"/>
                <w:left w:val="none" w:sz="0" w:space="0" w:color="auto"/>
                <w:bottom w:val="none" w:sz="0" w:space="0" w:color="auto"/>
                <w:right w:val="none" w:sz="0" w:space="0" w:color="auto"/>
              </w:divBdr>
              <w:divsChild>
                <w:div w:id="326448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593527">
      <w:bodyDiv w:val="1"/>
      <w:marLeft w:val="0"/>
      <w:marRight w:val="0"/>
      <w:marTop w:val="0"/>
      <w:marBottom w:val="0"/>
      <w:divBdr>
        <w:top w:val="none" w:sz="0" w:space="0" w:color="auto"/>
        <w:left w:val="none" w:sz="0" w:space="0" w:color="auto"/>
        <w:bottom w:val="none" w:sz="0" w:space="0" w:color="auto"/>
        <w:right w:val="none" w:sz="0" w:space="0" w:color="auto"/>
      </w:divBdr>
    </w:div>
    <w:div w:id="1814758789">
      <w:bodyDiv w:val="1"/>
      <w:marLeft w:val="0"/>
      <w:marRight w:val="0"/>
      <w:marTop w:val="0"/>
      <w:marBottom w:val="0"/>
      <w:divBdr>
        <w:top w:val="none" w:sz="0" w:space="0" w:color="auto"/>
        <w:left w:val="none" w:sz="0" w:space="0" w:color="auto"/>
        <w:bottom w:val="none" w:sz="0" w:space="0" w:color="auto"/>
        <w:right w:val="none" w:sz="0" w:space="0" w:color="auto"/>
      </w:divBdr>
      <w:divsChild>
        <w:div w:id="662511801">
          <w:marLeft w:val="0"/>
          <w:marRight w:val="0"/>
          <w:marTop w:val="0"/>
          <w:marBottom w:val="0"/>
          <w:divBdr>
            <w:top w:val="none" w:sz="0" w:space="0" w:color="auto"/>
            <w:left w:val="none" w:sz="0" w:space="0" w:color="auto"/>
            <w:bottom w:val="none" w:sz="0" w:space="0" w:color="auto"/>
            <w:right w:val="none" w:sz="0" w:space="0" w:color="auto"/>
          </w:divBdr>
          <w:divsChild>
            <w:div w:id="1517966633">
              <w:marLeft w:val="0"/>
              <w:marRight w:val="0"/>
              <w:marTop w:val="0"/>
              <w:marBottom w:val="0"/>
              <w:divBdr>
                <w:top w:val="none" w:sz="0" w:space="0" w:color="auto"/>
                <w:left w:val="none" w:sz="0" w:space="0" w:color="auto"/>
                <w:bottom w:val="none" w:sz="0" w:space="0" w:color="auto"/>
                <w:right w:val="none" w:sz="0" w:space="0" w:color="auto"/>
              </w:divBdr>
              <w:divsChild>
                <w:div w:id="1302422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1192509">
      <w:bodyDiv w:val="1"/>
      <w:marLeft w:val="0"/>
      <w:marRight w:val="0"/>
      <w:marTop w:val="0"/>
      <w:marBottom w:val="0"/>
      <w:divBdr>
        <w:top w:val="none" w:sz="0" w:space="0" w:color="auto"/>
        <w:left w:val="none" w:sz="0" w:space="0" w:color="auto"/>
        <w:bottom w:val="none" w:sz="0" w:space="0" w:color="auto"/>
        <w:right w:val="none" w:sz="0" w:space="0" w:color="auto"/>
      </w:divBdr>
    </w:div>
    <w:div w:id="1823159471">
      <w:bodyDiv w:val="1"/>
      <w:marLeft w:val="0"/>
      <w:marRight w:val="0"/>
      <w:marTop w:val="0"/>
      <w:marBottom w:val="0"/>
      <w:divBdr>
        <w:top w:val="none" w:sz="0" w:space="0" w:color="auto"/>
        <w:left w:val="none" w:sz="0" w:space="0" w:color="auto"/>
        <w:bottom w:val="none" w:sz="0" w:space="0" w:color="auto"/>
        <w:right w:val="none" w:sz="0" w:space="0" w:color="auto"/>
      </w:divBdr>
    </w:div>
    <w:div w:id="1824347240">
      <w:bodyDiv w:val="1"/>
      <w:marLeft w:val="0"/>
      <w:marRight w:val="0"/>
      <w:marTop w:val="0"/>
      <w:marBottom w:val="0"/>
      <w:divBdr>
        <w:top w:val="none" w:sz="0" w:space="0" w:color="auto"/>
        <w:left w:val="none" w:sz="0" w:space="0" w:color="auto"/>
        <w:bottom w:val="none" w:sz="0" w:space="0" w:color="auto"/>
        <w:right w:val="none" w:sz="0" w:space="0" w:color="auto"/>
      </w:divBdr>
      <w:divsChild>
        <w:div w:id="1889955630">
          <w:marLeft w:val="0"/>
          <w:marRight w:val="0"/>
          <w:marTop w:val="0"/>
          <w:marBottom w:val="0"/>
          <w:divBdr>
            <w:top w:val="none" w:sz="0" w:space="0" w:color="auto"/>
            <w:left w:val="none" w:sz="0" w:space="0" w:color="auto"/>
            <w:bottom w:val="none" w:sz="0" w:space="0" w:color="auto"/>
            <w:right w:val="none" w:sz="0" w:space="0" w:color="auto"/>
          </w:divBdr>
          <w:divsChild>
            <w:div w:id="1691948900">
              <w:marLeft w:val="0"/>
              <w:marRight w:val="0"/>
              <w:marTop w:val="0"/>
              <w:marBottom w:val="0"/>
              <w:divBdr>
                <w:top w:val="none" w:sz="0" w:space="0" w:color="auto"/>
                <w:left w:val="none" w:sz="0" w:space="0" w:color="auto"/>
                <w:bottom w:val="none" w:sz="0" w:space="0" w:color="auto"/>
                <w:right w:val="none" w:sz="0" w:space="0" w:color="auto"/>
              </w:divBdr>
              <w:divsChild>
                <w:div w:id="1910454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852106">
      <w:bodyDiv w:val="1"/>
      <w:marLeft w:val="0"/>
      <w:marRight w:val="0"/>
      <w:marTop w:val="0"/>
      <w:marBottom w:val="0"/>
      <w:divBdr>
        <w:top w:val="none" w:sz="0" w:space="0" w:color="auto"/>
        <w:left w:val="none" w:sz="0" w:space="0" w:color="auto"/>
        <w:bottom w:val="none" w:sz="0" w:space="0" w:color="auto"/>
        <w:right w:val="none" w:sz="0" w:space="0" w:color="auto"/>
      </w:divBdr>
      <w:divsChild>
        <w:div w:id="480580715">
          <w:marLeft w:val="0"/>
          <w:marRight w:val="0"/>
          <w:marTop w:val="0"/>
          <w:marBottom w:val="0"/>
          <w:divBdr>
            <w:top w:val="none" w:sz="0" w:space="0" w:color="auto"/>
            <w:left w:val="none" w:sz="0" w:space="0" w:color="auto"/>
            <w:bottom w:val="none" w:sz="0" w:space="0" w:color="auto"/>
            <w:right w:val="none" w:sz="0" w:space="0" w:color="auto"/>
          </w:divBdr>
          <w:divsChild>
            <w:div w:id="611134484">
              <w:marLeft w:val="0"/>
              <w:marRight w:val="0"/>
              <w:marTop w:val="0"/>
              <w:marBottom w:val="0"/>
              <w:divBdr>
                <w:top w:val="none" w:sz="0" w:space="0" w:color="auto"/>
                <w:left w:val="none" w:sz="0" w:space="0" w:color="auto"/>
                <w:bottom w:val="none" w:sz="0" w:space="0" w:color="auto"/>
                <w:right w:val="none" w:sz="0" w:space="0" w:color="auto"/>
              </w:divBdr>
              <w:divsChild>
                <w:div w:id="700278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046657">
      <w:bodyDiv w:val="1"/>
      <w:marLeft w:val="0"/>
      <w:marRight w:val="0"/>
      <w:marTop w:val="0"/>
      <w:marBottom w:val="0"/>
      <w:divBdr>
        <w:top w:val="none" w:sz="0" w:space="0" w:color="auto"/>
        <w:left w:val="none" w:sz="0" w:space="0" w:color="auto"/>
        <w:bottom w:val="none" w:sz="0" w:space="0" w:color="auto"/>
        <w:right w:val="none" w:sz="0" w:space="0" w:color="auto"/>
      </w:divBdr>
      <w:divsChild>
        <w:div w:id="1980529115">
          <w:marLeft w:val="0"/>
          <w:marRight w:val="0"/>
          <w:marTop w:val="0"/>
          <w:marBottom w:val="0"/>
          <w:divBdr>
            <w:top w:val="none" w:sz="0" w:space="0" w:color="auto"/>
            <w:left w:val="none" w:sz="0" w:space="0" w:color="auto"/>
            <w:bottom w:val="none" w:sz="0" w:space="0" w:color="auto"/>
            <w:right w:val="none" w:sz="0" w:space="0" w:color="auto"/>
          </w:divBdr>
          <w:divsChild>
            <w:div w:id="142159915">
              <w:marLeft w:val="0"/>
              <w:marRight w:val="0"/>
              <w:marTop w:val="0"/>
              <w:marBottom w:val="0"/>
              <w:divBdr>
                <w:top w:val="none" w:sz="0" w:space="0" w:color="auto"/>
                <w:left w:val="none" w:sz="0" w:space="0" w:color="auto"/>
                <w:bottom w:val="none" w:sz="0" w:space="0" w:color="auto"/>
                <w:right w:val="none" w:sz="0" w:space="0" w:color="auto"/>
              </w:divBdr>
              <w:divsChild>
                <w:div w:id="1955794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118337">
      <w:bodyDiv w:val="1"/>
      <w:marLeft w:val="0"/>
      <w:marRight w:val="0"/>
      <w:marTop w:val="0"/>
      <w:marBottom w:val="0"/>
      <w:divBdr>
        <w:top w:val="none" w:sz="0" w:space="0" w:color="auto"/>
        <w:left w:val="none" w:sz="0" w:space="0" w:color="auto"/>
        <w:bottom w:val="none" w:sz="0" w:space="0" w:color="auto"/>
        <w:right w:val="none" w:sz="0" w:space="0" w:color="auto"/>
      </w:divBdr>
    </w:div>
    <w:div w:id="1826317126">
      <w:bodyDiv w:val="1"/>
      <w:marLeft w:val="0"/>
      <w:marRight w:val="0"/>
      <w:marTop w:val="0"/>
      <w:marBottom w:val="0"/>
      <w:divBdr>
        <w:top w:val="none" w:sz="0" w:space="0" w:color="auto"/>
        <w:left w:val="none" w:sz="0" w:space="0" w:color="auto"/>
        <w:bottom w:val="none" w:sz="0" w:space="0" w:color="auto"/>
        <w:right w:val="none" w:sz="0" w:space="0" w:color="auto"/>
      </w:divBdr>
    </w:div>
    <w:div w:id="1831868347">
      <w:bodyDiv w:val="1"/>
      <w:marLeft w:val="0"/>
      <w:marRight w:val="0"/>
      <w:marTop w:val="0"/>
      <w:marBottom w:val="0"/>
      <w:divBdr>
        <w:top w:val="none" w:sz="0" w:space="0" w:color="auto"/>
        <w:left w:val="none" w:sz="0" w:space="0" w:color="auto"/>
        <w:bottom w:val="none" w:sz="0" w:space="0" w:color="auto"/>
        <w:right w:val="none" w:sz="0" w:space="0" w:color="auto"/>
      </w:divBdr>
    </w:div>
    <w:div w:id="1843667146">
      <w:bodyDiv w:val="1"/>
      <w:marLeft w:val="0"/>
      <w:marRight w:val="0"/>
      <w:marTop w:val="0"/>
      <w:marBottom w:val="0"/>
      <w:divBdr>
        <w:top w:val="none" w:sz="0" w:space="0" w:color="auto"/>
        <w:left w:val="none" w:sz="0" w:space="0" w:color="auto"/>
        <w:bottom w:val="none" w:sz="0" w:space="0" w:color="auto"/>
        <w:right w:val="none" w:sz="0" w:space="0" w:color="auto"/>
      </w:divBdr>
    </w:div>
    <w:div w:id="1847791391">
      <w:bodyDiv w:val="1"/>
      <w:marLeft w:val="0"/>
      <w:marRight w:val="0"/>
      <w:marTop w:val="0"/>
      <w:marBottom w:val="0"/>
      <w:divBdr>
        <w:top w:val="none" w:sz="0" w:space="0" w:color="auto"/>
        <w:left w:val="none" w:sz="0" w:space="0" w:color="auto"/>
        <w:bottom w:val="none" w:sz="0" w:space="0" w:color="auto"/>
        <w:right w:val="none" w:sz="0" w:space="0" w:color="auto"/>
      </w:divBdr>
    </w:div>
    <w:div w:id="1853641888">
      <w:bodyDiv w:val="1"/>
      <w:marLeft w:val="0"/>
      <w:marRight w:val="0"/>
      <w:marTop w:val="0"/>
      <w:marBottom w:val="0"/>
      <w:divBdr>
        <w:top w:val="none" w:sz="0" w:space="0" w:color="auto"/>
        <w:left w:val="none" w:sz="0" w:space="0" w:color="auto"/>
        <w:bottom w:val="none" w:sz="0" w:space="0" w:color="auto"/>
        <w:right w:val="none" w:sz="0" w:space="0" w:color="auto"/>
      </w:divBdr>
    </w:div>
    <w:div w:id="1866822439">
      <w:bodyDiv w:val="1"/>
      <w:marLeft w:val="0"/>
      <w:marRight w:val="0"/>
      <w:marTop w:val="0"/>
      <w:marBottom w:val="0"/>
      <w:divBdr>
        <w:top w:val="none" w:sz="0" w:space="0" w:color="auto"/>
        <w:left w:val="none" w:sz="0" w:space="0" w:color="auto"/>
        <w:bottom w:val="none" w:sz="0" w:space="0" w:color="auto"/>
        <w:right w:val="none" w:sz="0" w:space="0" w:color="auto"/>
      </w:divBdr>
    </w:div>
    <w:div w:id="1870532621">
      <w:bodyDiv w:val="1"/>
      <w:marLeft w:val="0"/>
      <w:marRight w:val="0"/>
      <w:marTop w:val="0"/>
      <w:marBottom w:val="0"/>
      <w:divBdr>
        <w:top w:val="none" w:sz="0" w:space="0" w:color="auto"/>
        <w:left w:val="none" w:sz="0" w:space="0" w:color="auto"/>
        <w:bottom w:val="none" w:sz="0" w:space="0" w:color="auto"/>
        <w:right w:val="none" w:sz="0" w:space="0" w:color="auto"/>
      </w:divBdr>
    </w:div>
    <w:div w:id="1880168654">
      <w:bodyDiv w:val="1"/>
      <w:marLeft w:val="0"/>
      <w:marRight w:val="0"/>
      <w:marTop w:val="0"/>
      <w:marBottom w:val="0"/>
      <w:divBdr>
        <w:top w:val="none" w:sz="0" w:space="0" w:color="auto"/>
        <w:left w:val="none" w:sz="0" w:space="0" w:color="auto"/>
        <w:bottom w:val="none" w:sz="0" w:space="0" w:color="auto"/>
        <w:right w:val="none" w:sz="0" w:space="0" w:color="auto"/>
      </w:divBdr>
      <w:divsChild>
        <w:div w:id="772281004">
          <w:marLeft w:val="0"/>
          <w:marRight w:val="0"/>
          <w:marTop w:val="0"/>
          <w:marBottom w:val="0"/>
          <w:divBdr>
            <w:top w:val="none" w:sz="0" w:space="0" w:color="auto"/>
            <w:left w:val="none" w:sz="0" w:space="0" w:color="auto"/>
            <w:bottom w:val="none" w:sz="0" w:space="0" w:color="auto"/>
            <w:right w:val="none" w:sz="0" w:space="0" w:color="auto"/>
          </w:divBdr>
          <w:divsChild>
            <w:div w:id="1939099418">
              <w:marLeft w:val="0"/>
              <w:marRight w:val="0"/>
              <w:marTop w:val="0"/>
              <w:marBottom w:val="0"/>
              <w:divBdr>
                <w:top w:val="none" w:sz="0" w:space="0" w:color="auto"/>
                <w:left w:val="none" w:sz="0" w:space="0" w:color="auto"/>
                <w:bottom w:val="none" w:sz="0" w:space="0" w:color="auto"/>
                <w:right w:val="none" w:sz="0" w:space="0" w:color="auto"/>
              </w:divBdr>
              <w:divsChild>
                <w:div w:id="95055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596800">
      <w:bodyDiv w:val="1"/>
      <w:marLeft w:val="0"/>
      <w:marRight w:val="0"/>
      <w:marTop w:val="0"/>
      <w:marBottom w:val="0"/>
      <w:divBdr>
        <w:top w:val="none" w:sz="0" w:space="0" w:color="auto"/>
        <w:left w:val="none" w:sz="0" w:space="0" w:color="auto"/>
        <w:bottom w:val="none" w:sz="0" w:space="0" w:color="auto"/>
        <w:right w:val="none" w:sz="0" w:space="0" w:color="auto"/>
      </w:divBdr>
    </w:div>
    <w:div w:id="1888177033">
      <w:bodyDiv w:val="1"/>
      <w:marLeft w:val="0"/>
      <w:marRight w:val="0"/>
      <w:marTop w:val="0"/>
      <w:marBottom w:val="0"/>
      <w:divBdr>
        <w:top w:val="none" w:sz="0" w:space="0" w:color="auto"/>
        <w:left w:val="none" w:sz="0" w:space="0" w:color="auto"/>
        <w:bottom w:val="none" w:sz="0" w:space="0" w:color="auto"/>
        <w:right w:val="none" w:sz="0" w:space="0" w:color="auto"/>
      </w:divBdr>
    </w:div>
    <w:div w:id="1889762133">
      <w:bodyDiv w:val="1"/>
      <w:marLeft w:val="0"/>
      <w:marRight w:val="0"/>
      <w:marTop w:val="0"/>
      <w:marBottom w:val="0"/>
      <w:divBdr>
        <w:top w:val="none" w:sz="0" w:space="0" w:color="auto"/>
        <w:left w:val="none" w:sz="0" w:space="0" w:color="auto"/>
        <w:bottom w:val="none" w:sz="0" w:space="0" w:color="auto"/>
        <w:right w:val="none" w:sz="0" w:space="0" w:color="auto"/>
      </w:divBdr>
    </w:div>
    <w:div w:id="1892841828">
      <w:bodyDiv w:val="1"/>
      <w:marLeft w:val="0"/>
      <w:marRight w:val="0"/>
      <w:marTop w:val="0"/>
      <w:marBottom w:val="0"/>
      <w:divBdr>
        <w:top w:val="none" w:sz="0" w:space="0" w:color="auto"/>
        <w:left w:val="none" w:sz="0" w:space="0" w:color="auto"/>
        <w:bottom w:val="none" w:sz="0" w:space="0" w:color="auto"/>
        <w:right w:val="none" w:sz="0" w:space="0" w:color="auto"/>
      </w:divBdr>
    </w:div>
    <w:div w:id="1907296294">
      <w:bodyDiv w:val="1"/>
      <w:marLeft w:val="0"/>
      <w:marRight w:val="0"/>
      <w:marTop w:val="0"/>
      <w:marBottom w:val="0"/>
      <w:divBdr>
        <w:top w:val="none" w:sz="0" w:space="0" w:color="auto"/>
        <w:left w:val="none" w:sz="0" w:space="0" w:color="auto"/>
        <w:bottom w:val="none" w:sz="0" w:space="0" w:color="auto"/>
        <w:right w:val="none" w:sz="0" w:space="0" w:color="auto"/>
      </w:divBdr>
      <w:divsChild>
        <w:div w:id="1508665598">
          <w:marLeft w:val="0"/>
          <w:marRight w:val="0"/>
          <w:marTop w:val="0"/>
          <w:marBottom w:val="0"/>
          <w:divBdr>
            <w:top w:val="none" w:sz="0" w:space="0" w:color="auto"/>
            <w:left w:val="none" w:sz="0" w:space="0" w:color="auto"/>
            <w:bottom w:val="none" w:sz="0" w:space="0" w:color="auto"/>
            <w:right w:val="none" w:sz="0" w:space="0" w:color="auto"/>
          </w:divBdr>
          <w:divsChild>
            <w:div w:id="363989609">
              <w:marLeft w:val="0"/>
              <w:marRight w:val="0"/>
              <w:marTop w:val="0"/>
              <w:marBottom w:val="0"/>
              <w:divBdr>
                <w:top w:val="none" w:sz="0" w:space="0" w:color="auto"/>
                <w:left w:val="none" w:sz="0" w:space="0" w:color="auto"/>
                <w:bottom w:val="none" w:sz="0" w:space="0" w:color="auto"/>
                <w:right w:val="none" w:sz="0" w:space="0" w:color="auto"/>
              </w:divBdr>
              <w:divsChild>
                <w:div w:id="107604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371343">
      <w:bodyDiv w:val="1"/>
      <w:marLeft w:val="0"/>
      <w:marRight w:val="0"/>
      <w:marTop w:val="0"/>
      <w:marBottom w:val="0"/>
      <w:divBdr>
        <w:top w:val="none" w:sz="0" w:space="0" w:color="auto"/>
        <w:left w:val="none" w:sz="0" w:space="0" w:color="auto"/>
        <w:bottom w:val="none" w:sz="0" w:space="0" w:color="auto"/>
        <w:right w:val="none" w:sz="0" w:space="0" w:color="auto"/>
      </w:divBdr>
    </w:div>
    <w:div w:id="1915964530">
      <w:bodyDiv w:val="1"/>
      <w:marLeft w:val="0"/>
      <w:marRight w:val="0"/>
      <w:marTop w:val="0"/>
      <w:marBottom w:val="0"/>
      <w:divBdr>
        <w:top w:val="none" w:sz="0" w:space="0" w:color="auto"/>
        <w:left w:val="none" w:sz="0" w:space="0" w:color="auto"/>
        <w:bottom w:val="none" w:sz="0" w:space="0" w:color="auto"/>
        <w:right w:val="none" w:sz="0" w:space="0" w:color="auto"/>
      </w:divBdr>
      <w:divsChild>
        <w:div w:id="748817248">
          <w:marLeft w:val="0"/>
          <w:marRight w:val="0"/>
          <w:marTop w:val="0"/>
          <w:marBottom w:val="0"/>
          <w:divBdr>
            <w:top w:val="none" w:sz="0" w:space="0" w:color="auto"/>
            <w:left w:val="none" w:sz="0" w:space="0" w:color="auto"/>
            <w:bottom w:val="none" w:sz="0" w:space="0" w:color="auto"/>
            <w:right w:val="none" w:sz="0" w:space="0" w:color="auto"/>
          </w:divBdr>
          <w:divsChild>
            <w:div w:id="1939294077">
              <w:marLeft w:val="0"/>
              <w:marRight w:val="0"/>
              <w:marTop w:val="0"/>
              <w:marBottom w:val="0"/>
              <w:divBdr>
                <w:top w:val="none" w:sz="0" w:space="0" w:color="auto"/>
                <w:left w:val="none" w:sz="0" w:space="0" w:color="auto"/>
                <w:bottom w:val="none" w:sz="0" w:space="0" w:color="auto"/>
                <w:right w:val="none" w:sz="0" w:space="0" w:color="auto"/>
              </w:divBdr>
              <w:divsChild>
                <w:div w:id="2092041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533257">
      <w:bodyDiv w:val="1"/>
      <w:marLeft w:val="0"/>
      <w:marRight w:val="0"/>
      <w:marTop w:val="0"/>
      <w:marBottom w:val="0"/>
      <w:divBdr>
        <w:top w:val="none" w:sz="0" w:space="0" w:color="auto"/>
        <w:left w:val="none" w:sz="0" w:space="0" w:color="auto"/>
        <w:bottom w:val="none" w:sz="0" w:space="0" w:color="auto"/>
        <w:right w:val="none" w:sz="0" w:space="0" w:color="auto"/>
      </w:divBdr>
      <w:divsChild>
        <w:div w:id="582683121">
          <w:marLeft w:val="0"/>
          <w:marRight w:val="0"/>
          <w:marTop w:val="0"/>
          <w:marBottom w:val="0"/>
          <w:divBdr>
            <w:top w:val="none" w:sz="0" w:space="0" w:color="auto"/>
            <w:left w:val="none" w:sz="0" w:space="0" w:color="auto"/>
            <w:bottom w:val="none" w:sz="0" w:space="0" w:color="auto"/>
            <w:right w:val="none" w:sz="0" w:space="0" w:color="auto"/>
          </w:divBdr>
          <w:divsChild>
            <w:div w:id="196160713">
              <w:marLeft w:val="0"/>
              <w:marRight w:val="0"/>
              <w:marTop w:val="0"/>
              <w:marBottom w:val="0"/>
              <w:divBdr>
                <w:top w:val="none" w:sz="0" w:space="0" w:color="auto"/>
                <w:left w:val="none" w:sz="0" w:space="0" w:color="auto"/>
                <w:bottom w:val="none" w:sz="0" w:space="0" w:color="auto"/>
                <w:right w:val="none" w:sz="0" w:space="0" w:color="auto"/>
              </w:divBdr>
              <w:divsChild>
                <w:div w:id="483206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6009629">
      <w:bodyDiv w:val="1"/>
      <w:marLeft w:val="0"/>
      <w:marRight w:val="0"/>
      <w:marTop w:val="0"/>
      <w:marBottom w:val="0"/>
      <w:divBdr>
        <w:top w:val="none" w:sz="0" w:space="0" w:color="auto"/>
        <w:left w:val="none" w:sz="0" w:space="0" w:color="auto"/>
        <w:bottom w:val="none" w:sz="0" w:space="0" w:color="auto"/>
        <w:right w:val="none" w:sz="0" w:space="0" w:color="auto"/>
      </w:divBdr>
    </w:div>
    <w:div w:id="1946886844">
      <w:bodyDiv w:val="1"/>
      <w:marLeft w:val="0"/>
      <w:marRight w:val="0"/>
      <w:marTop w:val="0"/>
      <w:marBottom w:val="0"/>
      <w:divBdr>
        <w:top w:val="none" w:sz="0" w:space="0" w:color="auto"/>
        <w:left w:val="none" w:sz="0" w:space="0" w:color="auto"/>
        <w:bottom w:val="none" w:sz="0" w:space="0" w:color="auto"/>
        <w:right w:val="none" w:sz="0" w:space="0" w:color="auto"/>
      </w:divBdr>
      <w:divsChild>
        <w:div w:id="892429562">
          <w:marLeft w:val="0"/>
          <w:marRight w:val="0"/>
          <w:marTop w:val="0"/>
          <w:marBottom w:val="0"/>
          <w:divBdr>
            <w:top w:val="none" w:sz="0" w:space="0" w:color="auto"/>
            <w:left w:val="none" w:sz="0" w:space="0" w:color="auto"/>
            <w:bottom w:val="none" w:sz="0" w:space="0" w:color="auto"/>
            <w:right w:val="none" w:sz="0" w:space="0" w:color="auto"/>
          </w:divBdr>
          <w:divsChild>
            <w:div w:id="509568619">
              <w:marLeft w:val="0"/>
              <w:marRight w:val="0"/>
              <w:marTop w:val="0"/>
              <w:marBottom w:val="0"/>
              <w:divBdr>
                <w:top w:val="none" w:sz="0" w:space="0" w:color="auto"/>
                <w:left w:val="none" w:sz="0" w:space="0" w:color="auto"/>
                <w:bottom w:val="none" w:sz="0" w:space="0" w:color="auto"/>
                <w:right w:val="none" w:sz="0" w:space="0" w:color="auto"/>
              </w:divBdr>
              <w:divsChild>
                <w:div w:id="6510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776892">
      <w:bodyDiv w:val="1"/>
      <w:marLeft w:val="0"/>
      <w:marRight w:val="0"/>
      <w:marTop w:val="0"/>
      <w:marBottom w:val="0"/>
      <w:divBdr>
        <w:top w:val="none" w:sz="0" w:space="0" w:color="auto"/>
        <w:left w:val="none" w:sz="0" w:space="0" w:color="auto"/>
        <w:bottom w:val="none" w:sz="0" w:space="0" w:color="auto"/>
        <w:right w:val="none" w:sz="0" w:space="0" w:color="auto"/>
      </w:divBdr>
      <w:divsChild>
        <w:div w:id="1517380181">
          <w:marLeft w:val="0"/>
          <w:marRight w:val="0"/>
          <w:marTop w:val="0"/>
          <w:marBottom w:val="0"/>
          <w:divBdr>
            <w:top w:val="none" w:sz="0" w:space="0" w:color="auto"/>
            <w:left w:val="none" w:sz="0" w:space="0" w:color="auto"/>
            <w:bottom w:val="none" w:sz="0" w:space="0" w:color="auto"/>
            <w:right w:val="none" w:sz="0" w:space="0" w:color="auto"/>
          </w:divBdr>
          <w:divsChild>
            <w:div w:id="43339557">
              <w:marLeft w:val="0"/>
              <w:marRight w:val="0"/>
              <w:marTop w:val="0"/>
              <w:marBottom w:val="0"/>
              <w:divBdr>
                <w:top w:val="none" w:sz="0" w:space="0" w:color="auto"/>
                <w:left w:val="none" w:sz="0" w:space="0" w:color="auto"/>
                <w:bottom w:val="none" w:sz="0" w:space="0" w:color="auto"/>
                <w:right w:val="none" w:sz="0" w:space="0" w:color="auto"/>
              </w:divBdr>
              <w:divsChild>
                <w:div w:id="1360155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323042">
      <w:bodyDiv w:val="1"/>
      <w:marLeft w:val="0"/>
      <w:marRight w:val="0"/>
      <w:marTop w:val="0"/>
      <w:marBottom w:val="0"/>
      <w:divBdr>
        <w:top w:val="none" w:sz="0" w:space="0" w:color="auto"/>
        <w:left w:val="none" w:sz="0" w:space="0" w:color="auto"/>
        <w:bottom w:val="none" w:sz="0" w:space="0" w:color="auto"/>
        <w:right w:val="none" w:sz="0" w:space="0" w:color="auto"/>
      </w:divBdr>
      <w:divsChild>
        <w:div w:id="103615922">
          <w:marLeft w:val="0"/>
          <w:marRight w:val="0"/>
          <w:marTop w:val="0"/>
          <w:marBottom w:val="0"/>
          <w:divBdr>
            <w:top w:val="none" w:sz="0" w:space="0" w:color="auto"/>
            <w:left w:val="none" w:sz="0" w:space="0" w:color="auto"/>
            <w:bottom w:val="none" w:sz="0" w:space="0" w:color="auto"/>
            <w:right w:val="none" w:sz="0" w:space="0" w:color="auto"/>
          </w:divBdr>
          <w:divsChild>
            <w:div w:id="154030663">
              <w:marLeft w:val="0"/>
              <w:marRight w:val="0"/>
              <w:marTop w:val="0"/>
              <w:marBottom w:val="0"/>
              <w:divBdr>
                <w:top w:val="none" w:sz="0" w:space="0" w:color="auto"/>
                <w:left w:val="none" w:sz="0" w:space="0" w:color="auto"/>
                <w:bottom w:val="none" w:sz="0" w:space="0" w:color="auto"/>
                <w:right w:val="none" w:sz="0" w:space="0" w:color="auto"/>
              </w:divBdr>
              <w:divsChild>
                <w:div w:id="319694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292773">
      <w:bodyDiv w:val="1"/>
      <w:marLeft w:val="0"/>
      <w:marRight w:val="0"/>
      <w:marTop w:val="0"/>
      <w:marBottom w:val="0"/>
      <w:divBdr>
        <w:top w:val="none" w:sz="0" w:space="0" w:color="auto"/>
        <w:left w:val="none" w:sz="0" w:space="0" w:color="auto"/>
        <w:bottom w:val="none" w:sz="0" w:space="0" w:color="auto"/>
        <w:right w:val="none" w:sz="0" w:space="0" w:color="auto"/>
      </w:divBdr>
      <w:divsChild>
        <w:div w:id="503282813">
          <w:marLeft w:val="0"/>
          <w:marRight w:val="0"/>
          <w:marTop w:val="0"/>
          <w:marBottom w:val="0"/>
          <w:divBdr>
            <w:top w:val="none" w:sz="0" w:space="0" w:color="auto"/>
            <w:left w:val="none" w:sz="0" w:space="0" w:color="auto"/>
            <w:bottom w:val="none" w:sz="0" w:space="0" w:color="auto"/>
            <w:right w:val="none" w:sz="0" w:space="0" w:color="auto"/>
          </w:divBdr>
          <w:divsChild>
            <w:div w:id="1567111910">
              <w:marLeft w:val="0"/>
              <w:marRight w:val="0"/>
              <w:marTop w:val="0"/>
              <w:marBottom w:val="0"/>
              <w:divBdr>
                <w:top w:val="none" w:sz="0" w:space="0" w:color="auto"/>
                <w:left w:val="none" w:sz="0" w:space="0" w:color="auto"/>
                <w:bottom w:val="none" w:sz="0" w:space="0" w:color="auto"/>
                <w:right w:val="none" w:sz="0" w:space="0" w:color="auto"/>
              </w:divBdr>
              <w:divsChild>
                <w:div w:id="1230459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1126709">
      <w:bodyDiv w:val="1"/>
      <w:marLeft w:val="0"/>
      <w:marRight w:val="0"/>
      <w:marTop w:val="0"/>
      <w:marBottom w:val="0"/>
      <w:divBdr>
        <w:top w:val="none" w:sz="0" w:space="0" w:color="auto"/>
        <w:left w:val="none" w:sz="0" w:space="0" w:color="auto"/>
        <w:bottom w:val="none" w:sz="0" w:space="0" w:color="auto"/>
        <w:right w:val="none" w:sz="0" w:space="0" w:color="auto"/>
      </w:divBdr>
    </w:div>
    <w:div w:id="1980988586">
      <w:bodyDiv w:val="1"/>
      <w:marLeft w:val="0"/>
      <w:marRight w:val="0"/>
      <w:marTop w:val="0"/>
      <w:marBottom w:val="0"/>
      <w:divBdr>
        <w:top w:val="none" w:sz="0" w:space="0" w:color="auto"/>
        <w:left w:val="none" w:sz="0" w:space="0" w:color="auto"/>
        <w:bottom w:val="none" w:sz="0" w:space="0" w:color="auto"/>
        <w:right w:val="none" w:sz="0" w:space="0" w:color="auto"/>
      </w:divBdr>
      <w:divsChild>
        <w:div w:id="234977605">
          <w:marLeft w:val="0"/>
          <w:marRight w:val="0"/>
          <w:marTop w:val="0"/>
          <w:marBottom w:val="0"/>
          <w:divBdr>
            <w:top w:val="none" w:sz="0" w:space="0" w:color="auto"/>
            <w:left w:val="none" w:sz="0" w:space="0" w:color="auto"/>
            <w:bottom w:val="none" w:sz="0" w:space="0" w:color="auto"/>
            <w:right w:val="none" w:sz="0" w:space="0" w:color="auto"/>
          </w:divBdr>
          <w:divsChild>
            <w:div w:id="214853910">
              <w:marLeft w:val="0"/>
              <w:marRight w:val="0"/>
              <w:marTop w:val="0"/>
              <w:marBottom w:val="0"/>
              <w:divBdr>
                <w:top w:val="none" w:sz="0" w:space="0" w:color="auto"/>
                <w:left w:val="none" w:sz="0" w:space="0" w:color="auto"/>
                <w:bottom w:val="none" w:sz="0" w:space="0" w:color="auto"/>
                <w:right w:val="none" w:sz="0" w:space="0" w:color="auto"/>
              </w:divBdr>
              <w:divsChild>
                <w:div w:id="717631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5815967">
      <w:bodyDiv w:val="1"/>
      <w:marLeft w:val="0"/>
      <w:marRight w:val="0"/>
      <w:marTop w:val="0"/>
      <w:marBottom w:val="0"/>
      <w:divBdr>
        <w:top w:val="none" w:sz="0" w:space="0" w:color="auto"/>
        <w:left w:val="none" w:sz="0" w:space="0" w:color="auto"/>
        <w:bottom w:val="none" w:sz="0" w:space="0" w:color="auto"/>
        <w:right w:val="none" w:sz="0" w:space="0" w:color="auto"/>
      </w:divBdr>
      <w:divsChild>
        <w:div w:id="1591432454">
          <w:marLeft w:val="0"/>
          <w:marRight w:val="0"/>
          <w:marTop w:val="0"/>
          <w:marBottom w:val="0"/>
          <w:divBdr>
            <w:top w:val="none" w:sz="0" w:space="0" w:color="auto"/>
            <w:left w:val="none" w:sz="0" w:space="0" w:color="auto"/>
            <w:bottom w:val="none" w:sz="0" w:space="0" w:color="auto"/>
            <w:right w:val="none" w:sz="0" w:space="0" w:color="auto"/>
          </w:divBdr>
          <w:divsChild>
            <w:div w:id="522787567">
              <w:marLeft w:val="0"/>
              <w:marRight w:val="0"/>
              <w:marTop w:val="0"/>
              <w:marBottom w:val="0"/>
              <w:divBdr>
                <w:top w:val="none" w:sz="0" w:space="0" w:color="auto"/>
                <w:left w:val="none" w:sz="0" w:space="0" w:color="auto"/>
                <w:bottom w:val="none" w:sz="0" w:space="0" w:color="auto"/>
                <w:right w:val="none" w:sz="0" w:space="0" w:color="auto"/>
              </w:divBdr>
              <w:divsChild>
                <w:div w:id="161844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6010912">
      <w:bodyDiv w:val="1"/>
      <w:marLeft w:val="0"/>
      <w:marRight w:val="0"/>
      <w:marTop w:val="0"/>
      <w:marBottom w:val="0"/>
      <w:divBdr>
        <w:top w:val="none" w:sz="0" w:space="0" w:color="auto"/>
        <w:left w:val="none" w:sz="0" w:space="0" w:color="auto"/>
        <w:bottom w:val="none" w:sz="0" w:space="0" w:color="auto"/>
        <w:right w:val="none" w:sz="0" w:space="0" w:color="auto"/>
      </w:divBdr>
      <w:divsChild>
        <w:div w:id="687105231">
          <w:marLeft w:val="0"/>
          <w:marRight w:val="0"/>
          <w:marTop w:val="0"/>
          <w:marBottom w:val="0"/>
          <w:divBdr>
            <w:top w:val="none" w:sz="0" w:space="0" w:color="auto"/>
            <w:left w:val="none" w:sz="0" w:space="0" w:color="auto"/>
            <w:bottom w:val="none" w:sz="0" w:space="0" w:color="auto"/>
            <w:right w:val="none" w:sz="0" w:space="0" w:color="auto"/>
          </w:divBdr>
          <w:divsChild>
            <w:div w:id="1743289851">
              <w:marLeft w:val="0"/>
              <w:marRight w:val="0"/>
              <w:marTop w:val="0"/>
              <w:marBottom w:val="0"/>
              <w:divBdr>
                <w:top w:val="none" w:sz="0" w:space="0" w:color="auto"/>
                <w:left w:val="none" w:sz="0" w:space="0" w:color="auto"/>
                <w:bottom w:val="none" w:sz="0" w:space="0" w:color="auto"/>
                <w:right w:val="none" w:sz="0" w:space="0" w:color="auto"/>
              </w:divBdr>
              <w:divsChild>
                <w:div w:id="2088577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4525566">
      <w:bodyDiv w:val="1"/>
      <w:marLeft w:val="0"/>
      <w:marRight w:val="0"/>
      <w:marTop w:val="0"/>
      <w:marBottom w:val="0"/>
      <w:divBdr>
        <w:top w:val="none" w:sz="0" w:space="0" w:color="auto"/>
        <w:left w:val="none" w:sz="0" w:space="0" w:color="auto"/>
        <w:bottom w:val="none" w:sz="0" w:space="0" w:color="auto"/>
        <w:right w:val="none" w:sz="0" w:space="0" w:color="auto"/>
      </w:divBdr>
      <w:divsChild>
        <w:div w:id="925841615">
          <w:marLeft w:val="0"/>
          <w:marRight w:val="0"/>
          <w:marTop w:val="0"/>
          <w:marBottom w:val="0"/>
          <w:divBdr>
            <w:top w:val="none" w:sz="0" w:space="0" w:color="auto"/>
            <w:left w:val="none" w:sz="0" w:space="0" w:color="auto"/>
            <w:bottom w:val="none" w:sz="0" w:space="0" w:color="auto"/>
            <w:right w:val="none" w:sz="0" w:space="0" w:color="auto"/>
          </w:divBdr>
          <w:divsChild>
            <w:div w:id="2111272132">
              <w:marLeft w:val="0"/>
              <w:marRight w:val="0"/>
              <w:marTop w:val="0"/>
              <w:marBottom w:val="0"/>
              <w:divBdr>
                <w:top w:val="none" w:sz="0" w:space="0" w:color="auto"/>
                <w:left w:val="none" w:sz="0" w:space="0" w:color="auto"/>
                <w:bottom w:val="none" w:sz="0" w:space="0" w:color="auto"/>
                <w:right w:val="none" w:sz="0" w:space="0" w:color="auto"/>
              </w:divBdr>
              <w:divsChild>
                <w:div w:id="406146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4608424">
      <w:bodyDiv w:val="1"/>
      <w:marLeft w:val="0"/>
      <w:marRight w:val="0"/>
      <w:marTop w:val="0"/>
      <w:marBottom w:val="0"/>
      <w:divBdr>
        <w:top w:val="none" w:sz="0" w:space="0" w:color="auto"/>
        <w:left w:val="none" w:sz="0" w:space="0" w:color="auto"/>
        <w:bottom w:val="none" w:sz="0" w:space="0" w:color="auto"/>
        <w:right w:val="none" w:sz="0" w:space="0" w:color="auto"/>
      </w:divBdr>
      <w:divsChild>
        <w:div w:id="1289241875">
          <w:marLeft w:val="0"/>
          <w:marRight w:val="0"/>
          <w:marTop w:val="0"/>
          <w:marBottom w:val="0"/>
          <w:divBdr>
            <w:top w:val="none" w:sz="0" w:space="0" w:color="auto"/>
            <w:left w:val="none" w:sz="0" w:space="0" w:color="auto"/>
            <w:bottom w:val="none" w:sz="0" w:space="0" w:color="auto"/>
            <w:right w:val="none" w:sz="0" w:space="0" w:color="auto"/>
          </w:divBdr>
          <w:divsChild>
            <w:div w:id="1191989225">
              <w:marLeft w:val="0"/>
              <w:marRight w:val="0"/>
              <w:marTop w:val="0"/>
              <w:marBottom w:val="0"/>
              <w:divBdr>
                <w:top w:val="none" w:sz="0" w:space="0" w:color="auto"/>
                <w:left w:val="none" w:sz="0" w:space="0" w:color="auto"/>
                <w:bottom w:val="none" w:sz="0" w:space="0" w:color="auto"/>
                <w:right w:val="none" w:sz="0" w:space="0" w:color="auto"/>
              </w:divBdr>
              <w:divsChild>
                <w:div w:id="1529097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304209">
      <w:bodyDiv w:val="1"/>
      <w:marLeft w:val="0"/>
      <w:marRight w:val="0"/>
      <w:marTop w:val="0"/>
      <w:marBottom w:val="0"/>
      <w:divBdr>
        <w:top w:val="none" w:sz="0" w:space="0" w:color="auto"/>
        <w:left w:val="none" w:sz="0" w:space="0" w:color="auto"/>
        <w:bottom w:val="none" w:sz="0" w:space="0" w:color="auto"/>
        <w:right w:val="none" w:sz="0" w:space="0" w:color="auto"/>
      </w:divBdr>
      <w:divsChild>
        <w:div w:id="1655067737">
          <w:marLeft w:val="0"/>
          <w:marRight w:val="0"/>
          <w:marTop w:val="0"/>
          <w:marBottom w:val="0"/>
          <w:divBdr>
            <w:top w:val="none" w:sz="0" w:space="0" w:color="auto"/>
            <w:left w:val="none" w:sz="0" w:space="0" w:color="auto"/>
            <w:bottom w:val="none" w:sz="0" w:space="0" w:color="auto"/>
            <w:right w:val="none" w:sz="0" w:space="0" w:color="auto"/>
          </w:divBdr>
          <w:divsChild>
            <w:div w:id="1983776501">
              <w:marLeft w:val="0"/>
              <w:marRight w:val="0"/>
              <w:marTop w:val="0"/>
              <w:marBottom w:val="0"/>
              <w:divBdr>
                <w:top w:val="none" w:sz="0" w:space="0" w:color="auto"/>
                <w:left w:val="none" w:sz="0" w:space="0" w:color="auto"/>
                <w:bottom w:val="none" w:sz="0" w:space="0" w:color="auto"/>
                <w:right w:val="none" w:sz="0" w:space="0" w:color="auto"/>
              </w:divBdr>
              <w:divsChild>
                <w:div w:id="1832603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674137">
      <w:bodyDiv w:val="1"/>
      <w:marLeft w:val="0"/>
      <w:marRight w:val="0"/>
      <w:marTop w:val="0"/>
      <w:marBottom w:val="0"/>
      <w:divBdr>
        <w:top w:val="none" w:sz="0" w:space="0" w:color="auto"/>
        <w:left w:val="none" w:sz="0" w:space="0" w:color="auto"/>
        <w:bottom w:val="none" w:sz="0" w:space="0" w:color="auto"/>
        <w:right w:val="none" w:sz="0" w:space="0" w:color="auto"/>
      </w:divBdr>
      <w:divsChild>
        <w:div w:id="1432772865">
          <w:marLeft w:val="0"/>
          <w:marRight w:val="0"/>
          <w:marTop w:val="0"/>
          <w:marBottom w:val="0"/>
          <w:divBdr>
            <w:top w:val="none" w:sz="0" w:space="0" w:color="auto"/>
            <w:left w:val="none" w:sz="0" w:space="0" w:color="auto"/>
            <w:bottom w:val="none" w:sz="0" w:space="0" w:color="auto"/>
            <w:right w:val="none" w:sz="0" w:space="0" w:color="auto"/>
          </w:divBdr>
          <w:divsChild>
            <w:div w:id="232355013">
              <w:marLeft w:val="0"/>
              <w:marRight w:val="0"/>
              <w:marTop w:val="0"/>
              <w:marBottom w:val="0"/>
              <w:divBdr>
                <w:top w:val="none" w:sz="0" w:space="0" w:color="auto"/>
                <w:left w:val="none" w:sz="0" w:space="0" w:color="auto"/>
                <w:bottom w:val="none" w:sz="0" w:space="0" w:color="auto"/>
                <w:right w:val="none" w:sz="0" w:space="0" w:color="auto"/>
              </w:divBdr>
              <w:divsChild>
                <w:div w:id="1102993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639973">
      <w:bodyDiv w:val="1"/>
      <w:marLeft w:val="0"/>
      <w:marRight w:val="0"/>
      <w:marTop w:val="0"/>
      <w:marBottom w:val="0"/>
      <w:divBdr>
        <w:top w:val="none" w:sz="0" w:space="0" w:color="auto"/>
        <w:left w:val="none" w:sz="0" w:space="0" w:color="auto"/>
        <w:bottom w:val="none" w:sz="0" w:space="0" w:color="auto"/>
        <w:right w:val="none" w:sz="0" w:space="0" w:color="auto"/>
      </w:divBdr>
    </w:div>
    <w:div w:id="2036691523">
      <w:bodyDiv w:val="1"/>
      <w:marLeft w:val="0"/>
      <w:marRight w:val="0"/>
      <w:marTop w:val="0"/>
      <w:marBottom w:val="0"/>
      <w:divBdr>
        <w:top w:val="none" w:sz="0" w:space="0" w:color="auto"/>
        <w:left w:val="none" w:sz="0" w:space="0" w:color="auto"/>
        <w:bottom w:val="none" w:sz="0" w:space="0" w:color="auto"/>
        <w:right w:val="none" w:sz="0" w:space="0" w:color="auto"/>
      </w:divBdr>
      <w:divsChild>
        <w:div w:id="492257401">
          <w:marLeft w:val="0"/>
          <w:marRight w:val="0"/>
          <w:marTop w:val="0"/>
          <w:marBottom w:val="0"/>
          <w:divBdr>
            <w:top w:val="none" w:sz="0" w:space="0" w:color="auto"/>
            <w:left w:val="none" w:sz="0" w:space="0" w:color="auto"/>
            <w:bottom w:val="none" w:sz="0" w:space="0" w:color="auto"/>
            <w:right w:val="none" w:sz="0" w:space="0" w:color="auto"/>
          </w:divBdr>
          <w:divsChild>
            <w:div w:id="792754328">
              <w:marLeft w:val="0"/>
              <w:marRight w:val="0"/>
              <w:marTop w:val="0"/>
              <w:marBottom w:val="0"/>
              <w:divBdr>
                <w:top w:val="none" w:sz="0" w:space="0" w:color="auto"/>
                <w:left w:val="none" w:sz="0" w:space="0" w:color="auto"/>
                <w:bottom w:val="none" w:sz="0" w:space="0" w:color="auto"/>
                <w:right w:val="none" w:sz="0" w:space="0" w:color="auto"/>
              </w:divBdr>
              <w:divsChild>
                <w:div w:id="149868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778242">
      <w:bodyDiv w:val="1"/>
      <w:marLeft w:val="0"/>
      <w:marRight w:val="0"/>
      <w:marTop w:val="0"/>
      <w:marBottom w:val="0"/>
      <w:divBdr>
        <w:top w:val="none" w:sz="0" w:space="0" w:color="auto"/>
        <w:left w:val="none" w:sz="0" w:space="0" w:color="auto"/>
        <w:bottom w:val="none" w:sz="0" w:space="0" w:color="auto"/>
        <w:right w:val="none" w:sz="0" w:space="0" w:color="auto"/>
      </w:divBdr>
    </w:div>
    <w:div w:id="2066756891">
      <w:bodyDiv w:val="1"/>
      <w:marLeft w:val="0"/>
      <w:marRight w:val="0"/>
      <w:marTop w:val="0"/>
      <w:marBottom w:val="0"/>
      <w:divBdr>
        <w:top w:val="none" w:sz="0" w:space="0" w:color="auto"/>
        <w:left w:val="none" w:sz="0" w:space="0" w:color="auto"/>
        <w:bottom w:val="none" w:sz="0" w:space="0" w:color="auto"/>
        <w:right w:val="none" w:sz="0" w:space="0" w:color="auto"/>
      </w:divBdr>
      <w:divsChild>
        <w:div w:id="952708316">
          <w:marLeft w:val="0"/>
          <w:marRight w:val="0"/>
          <w:marTop w:val="0"/>
          <w:marBottom w:val="0"/>
          <w:divBdr>
            <w:top w:val="none" w:sz="0" w:space="0" w:color="auto"/>
            <w:left w:val="none" w:sz="0" w:space="0" w:color="auto"/>
            <w:bottom w:val="none" w:sz="0" w:space="0" w:color="auto"/>
            <w:right w:val="none" w:sz="0" w:space="0" w:color="auto"/>
          </w:divBdr>
          <w:divsChild>
            <w:div w:id="528881380">
              <w:marLeft w:val="0"/>
              <w:marRight w:val="0"/>
              <w:marTop w:val="0"/>
              <w:marBottom w:val="0"/>
              <w:divBdr>
                <w:top w:val="none" w:sz="0" w:space="0" w:color="auto"/>
                <w:left w:val="none" w:sz="0" w:space="0" w:color="auto"/>
                <w:bottom w:val="none" w:sz="0" w:space="0" w:color="auto"/>
                <w:right w:val="none" w:sz="0" w:space="0" w:color="auto"/>
              </w:divBdr>
              <w:divsChild>
                <w:div w:id="1822766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682470">
      <w:bodyDiv w:val="1"/>
      <w:marLeft w:val="0"/>
      <w:marRight w:val="0"/>
      <w:marTop w:val="0"/>
      <w:marBottom w:val="0"/>
      <w:divBdr>
        <w:top w:val="none" w:sz="0" w:space="0" w:color="auto"/>
        <w:left w:val="none" w:sz="0" w:space="0" w:color="auto"/>
        <w:bottom w:val="none" w:sz="0" w:space="0" w:color="auto"/>
        <w:right w:val="none" w:sz="0" w:space="0" w:color="auto"/>
      </w:divBdr>
    </w:div>
    <w:div w:id="2068454271">
      <w:bodyDiv w:val="1"/>
      <w:marLeft w:val="0"/>
      <w:marRight w:val="0"/>
      <w:marTop w:val="0"/>
      <w:marBottom w:val="0"/>
      <w:divBdr>
        <w:top w:val="none" w:sz="0" w:space="0" w:color="auto"/>
        <w:left w:val="none" w:sz="0" w:space="0" w:color="auto"/>
        <w:bottom w:val="none" w:sz="0" w:space="0" w:color="auto"/>
        <w:right w:val="none" w:sz="0" w:space="0" w:color="auto"/>
      </w:divBdr>
    </w:div>
    <w:div w:id="2076589189">
      <w:bodyDiv w:val="1"/>
      <w:marLeft w:val="0"/>
      <w:marRight w:val="0"/>
      <w:marTop w:val="0"/>
      <w:marBottom w:val="0"/>
      <w:divBdr>
        <w:top w:val="none" w:sz="0" w:space="0" w:color="auto"/>
        <w:left w:val="none" w:sz="0" w:space="0" w:color="auto"/>
        <w:bottom w:val="none" w:sz="0" w:space="0" w:color="auto"/>
        <w:right w:val="none" w:sz="0" w:space="0" w:color="auto"/>
      </w:divBdr>
    </w:div>
    <w:div w:id="2082293064">
      <w:bodyDiv w:val="1"/>
      <w:marLeft w:val="0"/>
      <w:marRight w:val="0"/>
      <w:marTop w:val="0"/>
      <w:marBottom w:val="0"/>
      <w:divBdr>
        <w:top w:val="none" w:sz="0" w:space="0" w:color="auto"/>
        <w:left w:val="none" w:sz="0" w:space="0" w:color="auto"/>
        <w:bottom w:val="none" w:sz="0" w:space="0" w:color="auto"/>
        <w:right w:val="none" w:sz="0" w:space="0" w:color="auto"/>
      </w:divBdr>
    </w:div>
    <w:div w:id="2093233348">
      <w:bodyDiv w:val="1"/>
      <w:marLeft w:val="0"/>
      <w:marRight w:val="0"/>
      <w:marTop w:val="0"/>
      <w:marBottom w:val="0"/>
      <w:divBdr>
        <w:top w:val="none" w:sz="0" w:space="0" w:color="auto"/>
        <w:left w:val="none" w:sz="0" w:space="0" w:color="auto"/>
        <w:bottom w:val="none" w:sz="0" w:space="0" w:color="auto"/>
        <w:right w:val="none" w:sz="0" w:space="0" w:color="auto"/>
      </w:divBdr>
    </w:div>
    <w:div w:id="2093619466">
      <w:bodyDiv w:val="1"/>
      <w:marLeft w:val="0"/>
      <w:marRight w:val="0"/>
      <w:marTop w:val="0"/>
      <w:marBottom w:val="0"/>
      <w:divBdr>
        <w:top w:val="none" w:sz="0" w:space="0" w:color="auto"/>
        <w:left w:val="none" w:sz="0" w:space="0" w:color="auto"/>
        <w:bottom w:val="none" w:sz="0" w:space="0" w:color="auto"/>
        <w:right w:val="none" w:sz="0" w:space="0" w:color="auto"/>
      </w:divBdr>
    </w:div>
    <w:div w:id="2096198634">
      <w:bodyDiv w:val="1"/>
      <w:marLeft w:val="0"/>
      <w:marRight w:val="0"/>
      <w:marTop w:val="0"/>
      <w:marBottom w:val="0"/>
      <w:divBdr>
        <w:top w:val="none" w:sz="0" w:space="0" w:color="auto"/>
        <w:left w:val="none" w:sz="0" w:space="0" w:color="auto"/>
        <w:bottom w:val="none" w:sz="0" w:space="0" w:color="auto"/>
        <w:right w:val="none" w:sz="0" w:space="0" w:color="auto"/>
      </w:divBdr>
    </w:div>
    <w:div w:id="2104495395">
      <w:bodyDiv w:val="1"/>
      <w:marLeft w:val="0"/>
      <w:marRight w:val="0"/>
      <w:marTop w:val="0"/>
      <w:marBottom w:val="0"/>
      <w:divBdr>
        <w:top w:val="none" w:sz="0" w:space="0" w:color="auto"/>
        <w:left w:val="none" w:sz="0" w:space="0" w:color="auto"/>
        <w:bottom w:val="none" w:sz="0" w:space="0" w:color="auto"/>
        <w:right w:val="none" w:sz="0" w:space="0" w:color="auto"/>
      </w:divBdr>
    </w:div>
    <w:div w:id="2106728990">
      <w:bodyDiv w:val="1"/>
      <w:marLeft w:val="0"/>
      <w:marRight w:val="0"/>
      <w:marTop w:val="0"/>
      <w:marBottom w:val="0"/>
      <w:divBdr>
        <w:top w:val="none" w:sz="0" w:space="0" w:color="auto"/>
        <w:left w:val="none" w:sz="0" w:space="0" w:color="auto"/>
        <w:bottom w:val="none" w:sz="0" w:space="0" w:color="auto"/>
        <w:right w:val="none" w:sz="0" w:space="0" w:color="auto"/>
      </w:divBdr>
    </w:div>
    <w:div w:id="2108115399">
      <w:bodyDiv w:val="1"/>
      <w:marLeft w:val="0"/>
      <w:marRight w:val="0"/>
      <w:marTop w:val="0"/>
      <w:marBottom w:val="0"/>
      <w:divBdr>
        <w:top w:val="none" w:sz="0" w:space="0" w:color="auto"/>
        <w:left w:val="none" w:sz="0" w:space="0" w:color="auto"/>
        <w:bottom w:val="none" w:sz="0" w:space="0" w:color="auto"/>
        <w:right w:val="none" w:sz="0" w:space="0" w:color="auto"/>
      </w:divBdr>
    </w:div>
    <w:div w:id="2111663701">
      <w:bodyDiv w:val="1"/>
      <w:marLeft w:val="0"/>
      <w:marRight w:val="0"/>
      <w:marTop w:val="0"/>
      <w:marBottom w:val="0"/>
      <w:divBdr>
        <w:top w:val="none" w:sz="0" w:space="0" w:color="auto"/>
        <w:left w:val="none" w:sz="0" w:space="0" w:color="auto"/>
        <w:bottom w:val="none" w:sz="0" w:space="0" w:color="auto"/>
        <w:right w:val="none" w:sz="0" w:space="0" w:color="auto"/>
      </w:divBdr>
    </w:div>
    <w:div w:id="2113745915">
      <w:bodyDiv w:val="1"/>
      <w:marLeft w:val="0"/>
      <w:marRight w:val="0"/>
      <w:marTop w:val="0"/>
      <w:marBottom w:val="0"/>
      <w:divBdr>
        <w:top w:val="none" w:sz="0" w:space="0" w:color="auto"/>
        <w:left w:val="none" w:sz="0" w:space="0" w:color="auto"/>
        <w:bottom w:val="none" w:sz="0" w:space="0" w:color="auto"/>
        <w:right w:val="none" w:sz="0" w:space="0" w:color="auto"/>
      </w:divBdr>
    </w:div>
    <w:div w:id="2114010853">
      <w:bodyDiv w:val="1"/>
      <w:marLeft w:val="0"/>
      <w:marRight w:val="0"/>
      <w:marTop w:val="0"/>
      <w:marBottom w:val="0"/>
      <w:divBdr>
        <w:top w:val="none" w:sz="0" w:space="0" w:color="auto"/>
        <w:left w:val="none" w:sz="0" w:space="0" w:color="auto"/>
        <w:bottom w:val="none" w:sz="0" w:space="0" w:color="auto"/>
        <w:right w:val="none" w:sz="0" w:space="0" w:color="auto"/>
      </w:divBdr>
    </w:div>
    <w:div w:id="2128039163">
      <w:bodyDiv w:val="1"/>
      <w:marLeft w:val="0"/>
      <w:marRight w:val="0"/>
      <w:marTop w:val="0"/>
      <w:marBottom w:val="0"/>
      <w:divBdr>
        <w:top w:val="none" w:sz="0" w:space="0" w:color="auto"/>
        <w:left w:val="none" w:sz="0" w:space="0" w:color="auto"/>
        <w:bottom w:val="none" w:sz="0" w:space="0" w:color="auto"/>
        <w:right w:val="none" w:sz="0" w:space="0" w:color="auto"/>
      </w:divBdr>
    </w:div>
    <w:div w:id="2128305669">
      <w:bodyDiv w:val="1"/>
      <w:marLeft w:val="0"/>
      <w:marRight w:val="0"/>
      <w:marTop w:val="0"/>
      <w:marBottom w:val="0"/>
      <w:divBdr>
        <w:top w:val="none" w:sz="0" w:space="0" w:color="auto"/>
        <w:left w:val="none" w:sz="0" w:space="0" w:color="auto"/>
        <w:bottom w:val="none" w:sz="0" w:space="0" w:color="auto"/>
        <w:right w:val="none" w:sz="0" w:space="0" w:color="auto"/>
      </w:divBdr>
    </w:div>
    <w:div w:id="2128771565">
      <w:bodyDiv w:val="1"/>
      <w:marLeft w:val="0"/>
      <w:marRight w:val="0"/>
      <w:marTop w:val="0"/>
      <w:marBottom w:val="0"/>
      <w:divBdr>
        <w:top w:val="none" w:sz="0" w:space="0" w:color="auto"/>
        <w:left w:val="none" w:sz="0" w:space="0" w:color="auto"/>
        <w:bottom w:val="none" w:sz="0" w:space="0" w:color="auto"/>
        <w:right w:val="none" w:sz="0" w:space="0" w:color="auto"/>
      </w:divBdr>
    </w:div>
    <w:div w:id="2131242882">
      <w:bodyDiv w:val="1"/>
      <w:marLeft w:val="0"/>
      <w:marRight w:val="0"/>
      <w:marTop w:val="0"/>
      <w:marBottom w:val="0"/>
      <w:divBdr>
        <w:top w:val="none" w:sz="0" w:space="0" w:color="auto"/>
        <w:left w:val="none" w:sz="0" w:space="0" w:color="auto"/>
        <w:bottom w:val="none" w:sz="0" w:space="0" w:color="auto"/>
        <w:right w:val="none" w:sz="0" w:space="0" w:color="auto"/>
      </w:divBdr>
    </w:div>
    <w:div w:id="2131969661">
      <w:bodyDiv w:val="1"/>
      <w:marLeft w:val="0"/>
      <w:marRight w:val="0"/>
      <w:marTop w:val="0"/>
      <w:marBottom w:val="0"/>
      <w:divBdr>
        <w:top w:val="none" w:sz="0" w:space="0" w:color="auto"/>
        <w:left w:val="none" w:sz="0" w:space="0" w:color="auto"/>
        <w:bottom w:val="none" w:sz="0" w:space="0" w:color="auto"/>
        <w:right w:val="none" w:sz="0" w:space="0" w:color="auto"/>
      </w:divBdr>
      <w:divsChild>
        <w:div w:id="2146005547">
          <w:marLeft w:val="0"/>
          <w:marRight w:val="0"/>
          <w:marTop w:val="0"/>
          <w:marBottom w:val="0"/>
          <w:divBdr>
            <w:top w:val="none" w:sz="0" w:space="0" w:color="auto"/>
            <w:left w:val="none" w:sz="0" w:space="0" w:color="auto"/>
            <w:bottom w:val="none" w:sz="0" w:space="0" w:color="auto"/>
            <w:right w:val="none" w:sz="0" w:space="0" w:color="auto"/>
          </w:divBdr>
          <w:divsChild>
            <w:div w:id="1641227613">
              <w:marLeft w:val="0"/>
              <w:marRight w:val="0"/>
              <w:marTop w:val="0"/>
              <w:marBottom w:val="0"/>
              <w:divBdr>
                <w:top w:val="none" w:sz="0" w:space="0" w:color="auto"/>
                <w:left w:val="none" w:sz="0" w:space="0" w:color="auto"/>
                <w:bottom w:val="none" w:sz="0" w:space="0" w:color="auto"/>
                <w:right w:val="none" w:sz="0" w:space="0" w:color="auto"/>
              </w:divBdr>
              <w:divsChild>
                <w:div w:id="230652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4519653">
      <w:bodyDiv w:val="1"/>
      <w:marLeft w:val="0"/>
      <w:marRight w:val="0"/>
      <w:marTop w:val="0"/>
      <w:marBottom w:val="0"/>
      <w:divBdr>
        <w:top w:val="none" w:sz="0" w:space="0" w:color="auto"/>
        <w:left w:val="none" w:sz="0" w:space="0" w:color="auto"/>
        <w:bottom w:val="none" w:sz="0" w:space="0" w:color="auto"/>
        <w:right w:val="none" w:sz="0" w:space="0" w:color="auto"/>
      </w:divBdr>
    </w:div>
    <w:div w:id="2140605462">
      <w:bodyDiv w:val="1"/>
      <w:marLeft w:val="0"/>
      <w:marRight w:val="0"/>
      <w:marTop w:val="0"/>
      <w:marBottom w:val="0"/>
      <w:divBdr>
        <w:top w:val="none" w:sz="0" w:space="0" w:color="auto"/>
        <w:left w:val="none" w:sz="0" w:space="0" w:color="auto"/>
        <w:bottom w:val="none" w:sz="0" w:space="0" w:color="auto"/>
        <w:right w:val="none" w:sz="0" w:space="0" w:color="auto"/>
      </w:divBdr>
    </w:div>
    <w:div w:id="21450777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rteidh.or.cr/ver_ficha_tecnica.cfm?nId_Ficha=342&amp;lang=e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mdh.gov.br/navegue-por-temas/atuacao-internacional/editais-2018-1/Sentena_Caso%20Herzog.pdf" TargetMode="External"/><Relationship Id="rId7" Type="http://schemas.openxmlformats.org/officeDocument/2006/relationships/hyperlink" Target="https://www.mdh.gov.br/navegue-por-temas/atuacao-internacional/editais-2018-1/Sentena_Caso%20Herzog.pdf" TargetMode="External"/><Relationship Id="rId2" Type="http://schemas.openxmlformats.org/officeDocument/2006/relationships/hyperlink" Target="https://www.mdh.qov.br/navegue-por-temas/atuacao-internacional/editais-2018-1/Resumo_Caso_Herzog.pdf/view" TargetMode="External"/><Relationship Id="rId1" Type="http://schemas.openxmlformats.org/officeDocument/2006/relationships/hyperlink" Target="http://www.corteidh.or.cr/docs/casos/articulos/Seriec_149_esp.pdf" TargetMode="External"/><Relationship Id="rId6" Type="http://schemas.openxmlformats.org/officeDocument/2006/relationships/hyperlink" Target="https://www.mdh.qov.br/navegue-por-temas/atuacao-internacional/editais-2018-1/Resumo_Caso_Herzog.pdf/view" TargetMode="External"/><Relationship Id="rId5" Type="http://schemas.openxmlformats.org/officeDocument/2006/relationships/hyperlink" Target="http://www.corteidh.or.cr/tablas/informe2019/espanol.pdf" TargetMode="External"/><Relationship Id="rId4" Type="http://schemas.openxmlformats.org/officeDocument/2006/relationships/hyperlink" Target="https://www.gov.br/mdh/pt-br/navegue-por-temas/atuacao-internacional/sentencas-da-corte-interamerica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FC1DED-BA2C-4FE8-9039-1D46B4A248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6158</Words>
  <Characters>33874</Characters>
  <Application>Microsoft Office Word</Application>
  <DocSecurity>0</DocSecurity>
  <Lines>282</Lines>
  <Paragraphs>79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39953</CharactersWithSpaces>
  <SharedDoc>false</SharedDoc>
  <HLinks>
    <vt:vector size="48" baseType="variant">
      <vt:variant>
        <vt:i4>1048628</vt:i4>
      </vt:variant>
      <vt:variant>
        <vt:i4>38</vt:i4>
      </vt:variant>
      <vt:variant>
        <vt:i4>0</vt:i4>
      </vt:variant>
      <vt:variant>
        <vt:i4>5</vt:i4>
      </vt:variant>
      <vt:variant>
        <vt:lpwstr/>
      </vt:variant>
      <vt:variant>
        <vt:lpwstr>_Toc20493917</vt:lpwstr>
      </vt:variant>
      <vt:variant>
        <vt:i4>1114164</vt:i4>
      </vt:variant>
      <vt:variant>
        <vt:i4>32</vt:i4>
      </vt:variant>
      <vt:variant>
        <vt:i4>0</vt:i4>
      </vt:variant>
      <vt:variant>
        <vt:i4>5</vt:i4>
      </vt:variant>
      <vt:variant>
        <vt:lpwstr/>
      </vt:variant>
      <vt:variant>
        <vt:lpwstr>_Toc20493916</vt:lpwstr>
      </vt:variant>
      <vt:variant>
        <vt:i4>1179700</vt:i4>
      </vt:variant>
      <vt:variant>
        <vt:i4>26</vt:i4>
      </vt:variant>
      <vt:variant>
        <vt:i4>0</vt:i4>
      </vt:variant>
      <vt:variant>
        <vt:i4>5</vt:i4>
      </vt:variant>
      <vt:variant>
        <vt:lpwstr/>
      </vt:variant>
      <vt:variant>
        <vt:lpwstr>_Toc20493915</vt:lpwstr>
      </vt:variant>
      <vt:variant>
        <vt:i4>1245236</vt:i4>
      </vt:variant>
      <vt:variant>
        <vt:i4>20</vt:i4>
      </vt:variant>
      <vt:variant>
        <vt:i4>0</vt:i4>
      </vt:variant>
      <vt:variant>
        <vt:i4>5</vt:i4>
      </vt:variant>
      <vt:variant>
        <vt:lpwstr/>
      </vt:variant>
      <vt:variant>
        <vt:lpwstr>_Toc20493914</vt:lpwstr>
      </vt:variant>
      <vt:variant>
        <vt:i4>1310772</vt:i4>
      </vt:variant>
      <vt:variant>
        <vt:i4>14</vt:i4>
      </vt:variant>
      <vt:variant>
        <vt:i4>0</vt:i4>
      </vt:variant>
      <vt:variant>
        <vt:i4>5</vt:i4>
      </vt:variant>
      <vt:variant>
        <vt:lpwstr/>
      </vt:variant>
      <vt:variant>
        <vt:lpwstr>_Toc20493913</vt:lpwstr>
      </vt:variant>
      <vt:variant>
        <vt:i4>1376308</vt:i4>
      </vt:variant>
      <vt:variant>
        <vt:i4>8</vt:i4>
      </vt:variant>
      <vt:variant>
        <vt:i4>0</vt:i4>
      </vt:variant>
      <vt:variant>
        <vt:i4>5</vt:i4>
      </vt:variant>
      <vt:variant>
        <vt:lpwstr/>
      </vt:variant>
      <vt:variant>
        <vt:lpwstr>_Toc20493912</vt:lpwstr>
      </vt:variant>
      <vt:variant>
        <vt:i4>1441844</vt:i4>
      </vt:variant>
      <vt:variant>
        <vt:i4>2</vt:i4>
      </vt:variant>
      <vt:variant>
        <vt:i4>0</vt:i4>
      </vt:variant>
      <vt:variant>
        <vt:i4>5</vt:i4>
      </vt:variant>
      <vt:variant>
        <vt:lpwstr/>
      </vt:variant>
      <vt:variant>
        <vt:lpwstr>_Toc20493911</vt:lpwstr>
      </vt:variant>
      <vt:variant>
        <vt:i4>5308468</vt:i4>
      </vt:variant>
      <vt:variant>
        <vt:i4>0</vt:i4>
      </vt:variant>
      <vt:variant>
        <vt:i4>0</vt:i4>
      </vt:variant>
      <vt:variant>
        <vt:i4>5</vt:i4>
      </vt:variant>
      <vt:variant>
        <vt:lpwstr>http://www.corteidh.or.cr/docs/casos/articulos/seriec_315_esp.pdf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Corte IDH</dc:creator>
  <cp:keywords/>
  <dc:description/>
  <cp:lastModifiedBy>Liliana Tojo</cp:lastModifiedBy>
  <cp:revision>2</cp:revision>
  <cp:lastPrinted>2021-05-19T23:11:00Z</cp:lastPrinted>
  <dcterms:created xsi:type="dcterms:W3CDTF">2021-07-07T19:26:00Z</dcterms:created>
  <dcterms:modified xsi:type="dcterms:W3CDTF">2021-07-07T19:26:00Z</dcterms:modified>
</cp:coreProperties>
</file>