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74863" w14:textId="77777777" w:rsidR="009F4883" w:rsidRPr="00067D4C" w:rsidRDefault="009F4883" w:rsidP="008B644A">
      <w:pPr>
        <w:suppressAutoHyphens/>
        <w:spacing w:after="0" w:line="240" w:lineRule="auto"/>
        <w:jc w:val="right"/>
        <w:rPr>
          <w:rFonts w:ascii="Cambria" w:hAnsi="Cambria" w:cs="Arial"/>
          <w:sz w:val="20"/>
          <w:szCs w:val="20"/>
          <w:lang w:val="es-ES"/>
        </w:rPr>
      </w:pPr>
      <w:r w:rsidRPr="00067D4C">
        <w:rPr>
          <w:rFonts w:ascii="Cambria" w:hAnsi="Cambria" w:cs="Arial"/>
          <w:sz w:val="20"/>
          <w:szCs w:val="20"/>
          <w:lang w:val="es-ES"/>
        </w:rPr>
        <w:t xml:space="preserve"> </w:t>
      </w:r>
    </w:p>
    <w:p w14:paraId="1570E704" w14:textId="77777777" w:rsidR="009C28B6" w:rsidRPr="00067D4C" w:rsidRDefault="00726093" w:rsidP="008B644A">
      <w:pPr>
        <w:suppressAutoHyphens/>
        <w:spacing w:after="0" w:line="240" w:lineRule="auto"/>
        <w:jc w:val="right"/>
        <w:rPr>
          <w:rFonts w:ascii="Cambria" w:hAnsi="Cambria" w:cs="Arial"/>
          <w:sz w:val="20"/>
          <w:szCs w:val="20"/>
          <w:lang w:val="es-ES"/>
        </w:rPr>
      </w:pPr>
      <w:r w:rsidRPr="00067D4C">
        <w:rPr>
          <w:rFonts w:ascii="Cambria" w:hAnsi="Cambria" w:cs="Arial"/>
          <w:sz w:val="20"/>
          <w:szCs w:val="20"/>
          <w:lang w:val="es-ES"/>
        </w:rPr>
        <w:t>11 de marzo</w:t>
      </w:r>
      <w:r w:rsidR="00E016F2" w:rsidRPr="00067D4C">
        <w:rPr>
          <w:rFonts w:ascii="Cambria" w:hAnsi="Cambria" w:cs="Arial"/>
          <w:sz w:val="20"/>
          <w:szCs w:val="20"/>
          <w:lang w:val="es-ES"/>
        </w:rPr>
        <w:t xml:space="preserve"> de 20</w:t>
      </w:r>
      <w:r w:rsidR="009F4883" w:rsidRPr="00067D4C">
        <w:rPr>
          <w:rFonts w:ascii="Cambria" w:hAnsi="Cambria" w:cs="Arial"/>
          <w:sz w:val="20"/>
          <w:szCs w:val="20"/>
          <w:lang w:val="es-ES"/>
        </w:rPr>
        <w:t>21</w:t>
      </w:r>
    </w:p>
    <w:p w14:paraId="275B5142" w14:textId="77777777" w:rsidR="009F4883" w:rsidRPr="00067D4C" w:rsidRDefault="009F4883" w:rsidP="008B644A">
      <w:pPr>
        <w:suppressAutoHyphens/>
        <w:spacing w:after="0" w:line="240" w:lineRule="auto"/>
        <w:jc w:val="right"/>
        <w:rPr>
          <w:rFonts w:ascii="Cambria" w:hAnsi="Cambria" w:cs="Arial"/>
          <w:b/>
          <w:sz w:val="20"/>
          <w:szCs w:val="20"/>
          <w:lang w:val="es-ES"/>
        </w:rPr>
      </w:pPr>
    </w:p>
    <w:p w14:paraId="75490B6B" w14:textId="77777777" w:rsidR="00726093" w:rsidRPr="00067D4C" w:rsidRDefault="00726093" w:rsidP="008B644A">
      <w:pPr>
        <w:suppressAutoHyphens/>
        <w:spacing w:after="0" w:line="240" w:lineRule="auto"/>
        <w:jc w:val="right"/>
        <w:rPr>
          <w:rFonts w:ascii="Cambria" w:hAnsi="Cambria" w:cs="Arial"/>
          <w:b/>
          <w:sz w:val="20"/>
          <w:szCs w:val="20"/>
          <w:lang w:val="es-ES"/>
        </w:rPr>
      </w:pPr>
    </w:p>
    <w:p w14:paraId="0E47FBCA" w14:textId="77777777" w:rsidR="009C28B6" w:rsidRPr="00067D4C" w:rsidRDefault="00C7444C" w:rsidP="008B644A">
      <w:pPr>
        <w:tabs>
          <w:tab w:val="left" w:pos="720"/>
          <w:tab w:val="center" w:pos="6480"/>
        </w:tabs>
        <w:spacing w:after="0" w:line="240" w:lineRule="auto"/>
        <w:jc w:val="both"/>
        <w:rPr>
          <w:rFonts w:ascii="Cambria" w:hAnsi="Cambria" w:cs="Arial"/>
          <w:b/>
          <w:sz w:val="20"/>
          <w:szCs w:val="20"/>
          <w:lang w:val="es-ES"/>
        </w:rPr>
      </w:pPr>
      <w:r w:rsidRPr="00067D4C">
        <w:rPr>
          <w:rFonts w:ascii="Cambria" w:hAnsi="Cambria" w:cs="Arial"/>
          <w:b/>
          <w:sz w:val="20"/>
          <w:szCs w:val="20"/>
          <w:lang w:val="es-ES"/>
        </w:rPr>
        <w:t>REF</w:t>
      </w:r>
      <w:r w:rsidR="009C28B6" w:rsidRPr="00067D4C">
        <w:rPr>
          <w:rFonts w:ascii="Cambria" w:hAnsi="Cambria" w:cs="Arial"/>
          <w:b/>
          <w:sz w:val="20"/>
          <w:szCs w:val="20"/>
          <w:lang w:val="es-ES"/>
        </w:rPr>
        <w:t>.:</w:t>
      </w:r>
      <w:bookmarkStart w:id="0" w:name="Peticion_n"/>
      <w:bookmarkEnd w:id="0"/>
      <w:r w:rsidRPr="00067D4C">
        <w:rPr>
          <w:rFonts w:ascii="Cambria" w:hAnsi="Cambria" w:cs="Arial"/>
          <w:b/>
          <w:sz w:val="20"/>
          <w:szCs w:val="20"/>
          <w:lang w:val="es-ES"/>
        </w:rPr>
        <w:tab/>
        <w:t>Caso Nº</w:t>
      </w:r>
      <w:r w:rsidR="009C28B6" w:rsidRPr="00067D4C">
        <w:rPr>
          <w:rFonts w:ascii="Cambria" w:hAnsi="Cambria" w:cs="Arial"/>
          <w:b/>
          <w:sz w:val="20"/>
          <w:szCs w:val="20"/>
          <w:lang w:val="es-ES"/>
        </w:rPr>
        <w:t xml:space="preserve"> </w:t>
      </w:r>
      <w:r w:rsidR="00726093" w:rsidRPr="00067D4C">
        <w:rPr>
          <w:rFonts w:ascii="Cambria" w:hAnsi="Cambria"/>
          <w:b/>
          <w:sz w:val="20"/>
          <w:szCs w:val="20"/>
          <w:lang w:val="es-ES"/>
        </w:rPr>
        <w:t>12.963</w:t>
      </w:r>
    </w:p>
    <w:p w14:paraId="7A9327DB" w14:textId="77777777" w:rsidR="009F4883" w:rsidRPr="00067D4C" w:rsidRDefault="00726093" w:rsidP="008B644A">
      <w:pPr>
        <w:tabs>
          <w:tab w:val="left" w:pos="720"/>
          <w:tab w:val="center" w:pos="6480"/>
        </w:tabs>
        <w:spacing w:after="0" w:line="240" w:lineRule="auto"/>
        <w:ind w:left="720"/>
        <w:jc w:val="both"/>
        <w:rPr>
          <w:rFonts w:ascii="Cambria" w:hAnsi="Cambria"/>
          <w:b/>
          <w:sz w:val="20"/>
          <w:szCs w:val="20"/>
          <w:lang w:val="es-ES"/>
        </w:rPr>
      </w:pPr>
      <w:r w:rsidRPr="00067D4C">
        <w:rPr>
          <w:rFonts w:ascii="Cambria" w:eastAsia="Arial Unicode MS" w:hAnsi="Cambria"/>
          <w:b/>
          <w:spacing w:val="-3"/>
          <w:sz w:val="20"/>
          <w:szCs w:val="20"/>
          <w:bdr w:val="nil"/>
          <w:lang w:val="es-US"/>
        </w:rPr>
        <w:t>Alejandro Nissen Pessolani</w:t>
      </w:r>
      <w:r w:rsidR="009F4883" w:rsidRPr="00067D4C">
        <w:rPr>
          <w:rFonts w:ascii="Cambria" w:hAnsi="Cambria"/>
          <w:b/>
          <w:sz w:val="20"/>
          <w:szCs w:val="20"/>
          <w:lang w:val="es-ES"/>
        </w:rPr>
        <w:t xml:space="preserve"> </w:t>
      </w:r>
    </w:p>
    <w:p w14:paraId="7A6CF497" w14:textId="77777777" w:rsidR="009C28B6" w:rsidRPr="00067D4C" w:rsidRDefault="009C28B6" w:rsidP="008B644A">
      <w:pPr>
        <w:tabs>
          <w:tab w:val="left" w:pos="720"/>
          <w:tab w:val="center" w:pos="6480"/>
        </w:tabs>
        <w:spacing w:after="0" w:line="240" w:lineRule="auto"/>
        <w:ind w:left="720"/>
        <w:jc w:val="both"/>
        <w:rPr>
          <w:rFonts w:ascii="Cambria" w:hAnsi="Cambria"/>
          <w:b/>
          <w:sz w:val="20"/>
          <w:szCs w:val="20"/>
          <w:lang w:val="es-ES"/>
        </w:rPr>
      </w:pPr>
      <w:r w:rsidRPr="00067D4C">
        <w:rPr>
          <w:rFonts w:ascii="Cambria" w:hAnsi="Cambria"/>
          <w:b/>
          <w:sz w:val="20"/>
          <w:szCs w:val="20"/>
          <w:lang w:val="es-ES"/>
        </w:rPr>
        <w:t xml:space="preserve">Paraguay </w:t>
      </w:r>
    </w:p>
    <w:p w14:paraId="40F044C2" w14:textId="77777777" w:rsidR="009C28B6" w:rsidRPr="00067D4C" w:rsidRDefault="009C28B6" w:rsidP="008B644A">
      <w:pPr>
        <w:tabs>
          <w:tab w:val="left" w:pos="720"/>
          <w:tab w:val="center" w:pos="6480"/>
        </w:tabs>
        <w:spacing w:after="0" w:line="240" w:lineRule="auto"/>
        <w:jc w:val="both"/>
        <w:rPr>
          <w:rFonts w:ascii="Cambria" w:hAnsi="Cambria" w:cs="Arial"/>
          <w:sz w:val="20"/>
          <w:szCs w:val="20"/>
          <w:lang w:val="es-PE"/>
        </w:rPr>
      </w:pPr>
    </w:p>
    <w:p w14:paraId="5C8AA2B6" w14:textId="77777777" w:rsidR="00726093" w:rsidRPr="00067D4C" w:rsidRDefault="00726093" w:rsidP="008B644A">
      <w:pPr>
        <w:tabs>
          <w:tab w:val="left" w:pos="720"/>
          <w:tab w:val="center" w:pos="6480"/>
        </w:tabs>
        <w:spacing w:after="0" w:line="240" w:lineRule="auto"/>
        <w:jc w:val="both"/>
        <w:rPr>
          <w:rFonts w:ascii="Cambria" w:hAnsi="Cambria" w:cs="Arial"/>
          <w:sz w:val="20"/>
          <w:szCs w:val="20"/>
          <w:lang w:val="es-PE"/>
        </w:rPr>
      </w:pPr>
    </w:p>
    <w:p w14:paraId="4D9110F5" w14:textId="77777777" w:rsidR="009C28B6" w:rsidRPr="00067D4C" w:rsidRDefault="009C28B6" w:rsidP="008B644A">
      <w:pPr>
        <w:tabs>
          <w:tab w:val="left" w:pos="720"/>
          <w:tab w:val="center" w:pos="6480"/>
        </w:tabs>
        <w:spacing w:after="0" w:line="240" w:lineRule="auto"/>
        <w:jc w:val="both"/>
        <w:rPr>
          <w:rFonts w:ascii="Cambria" w:hAnsi="Cambria" w:cs="Arial"/>
          <w:sz w:val="20"/>
          <w:szCs w:val="20"/>
          <w:lang w:val="es-PE"/>
        </w:rPr>
      </w:pPr>
      <w:r w:rsidRPr="00067D4C">
        <w:rPr>
          <w:rFonts w:ascii="Cambria" w:hAnsi="Cambria" w:cs="Arial"/>
          <w:sz w:val="20"/>
          <w:szCs w:val="20"/>
          <w:lang w:val="es-PE"/>
        </w:rPr>
        <w:t>Señor Secretario:</w:t>
      </w:r>
    </w:p>
    <w:p w14:paraId="514475F9" w14:textId="77777777" w:rsidR="009C28B6" w:rsidRPr="00067D4C" w:rsidRDefault="009C28B6" w:rsidP="008B644A">
      <w:pPr>
        <w:spacing w:after="0" w:line="240" w:lineRule="auto"/>
        <w:rPr>
          <w:rFonts w:ascii="Cambria" w:hAnsi="Cambria" w:cs="Arial"/>
          <w:sz w:val="20"/>
          <w:szCs w:val="20"/>
          <w:lang w:val="es-CO"/>
        </w:rPr>
      </w:pPr>
    </w:p>
    <w:p w14:paraId="4A6EABAC" w14:textId="77777777" w:rsidR="00726093" w:rsidRPr="00067D4C" w:rsidRDefault="009C28B6" w:rsidP="00726093">
      <w:pPr>
        <w:spacing w:after="0" w:line="240" w:lineRule="auto"/>
        <w:jc w:val="both"/>
        <w:rPr>
          <w:rFonts w:ascii="Cambria" w:hAnsi="Cambria"/>
          <w:sz w:val="20"/>
          <w:szCs w:val="20"/>
          <w:lang w:val="es-ES"/>
        </w:rPr>
      </w:pPr>
      <w:r w:rsidRPr="00067D4C">
        <w:rPr>
          <w:rFonts w:ascii="Cambria" w:hAnsi="Cambria"/>
          <w:sz w:val="20"/>
          <w:szCs w:val="20"/>
          <w:lang w:val="es-CO"/>
        </w:rPr>
        <w:tab/>
        <w:t>Tengo el agrado de dirigirme a usted</w:t>
      </w:r>
      <w:r w:rsidR="00C7444C" w:rsidRPr="00067D4C">
        <w:rPr>
          <w:rFonts w:ascii="Cambria" w:hAnsi="Cambria"/>
          <w:sz w:val="20"/>
          <w:szCs w:val="20"/>
          <w:lang w:val="es-CO"/>
        </w:rPr>
        <w:t>,</w:t>
      </w:r>
      <w:r w:rsidRPr="00067D4C">
        <w:rPr>
          <w:rFonts w:ascii="Cambria" w:hAnsi="Cambria"/>
          <w:sz w:val="20"/>
          <w:szCs w:val="20"/>
          <w:lang w:val="es-CO"/>
        </w:rPr>
        <w:t xml:space="preserve"> en nombre de la Comisión Interamericana de Derechos Humanos</w:t>
      </w:r>
      <w:r w:rsidR="00C7444C" w:rsidRPr="00067D4C">
        <w:rPr>
          <w:rFonts w:ascii="Cambria" w:hAnsi="Cambria"/>
          <w:sz w:val="20"/>
          <w:szCs w:val="20"/>
          <w:lang w:val="es-CO"/>
        </w:rPr>
        <w:t>,</w:t>
      </w:r>
      <w:r w:rsidRPr="00067D4C">
        <w:rPr>
          <w:rFonts w:ascii="Cambria" w:hAnsi="Cambria"/>
          <w:sz w:val="20"/>
          <w:szCs w:val="20"/>
          <w:lang w:val="es-CO"/>
        </w:rPr>
        <w:t xml:space="preserve"> con el objeto</w:t>
      </w:r>
      <w:r w:rsidRPr="00067D4C">
        <w:rPr>
          <w:rFonts w:ascii="Cambria" w:hAnsi="Cambria" w:cs="Arial"/>
          <w:sz w:val="20"/>
          <w:szCs w:val="20"/>
          <w:lang w:val="es-CO"/>
        </w:rPr>
        <w:t xml:space="preserve"> de someter a la jurisdicción de la Honorable Corte Interame</w:t>
      </w:r>
      <w:r w:rsidR="00C7444C" w:rsidRPr="00067D4C">
        <w:rPr>
          <w:rFonts w:ascii="Cambria" w:hAnsi="Cambria" w:cs="Arial"/>
          <w:sz w:val="20"/>
          <w:szCs w:val="20"/>
          <w:lang w:val="es-CO"/>
        </w:rPr>
        <w:t>ricana de Derechos Humanos, el C</w:t>
      </w:r>
      <w:r w:rsidRPr="00067D4C">
        <w:rPr>
          <w:rFonts w:ascii="Cambria" w:hAnsi="Cambria" w:cs="Arial"/>
          <w:sz w:val="20"/>
          <w:szCs w:val="20"/>
          <w:lang w:val="es-CO"/>
        </w:rPr>
        <w:t xml:space="preserve">aso </w:t>
      </w:r>
      <w:r w:rsidR="00C7444C" w:rsidRPr="00067D4C">
        <w:rPr>
          <w:rFonts w:ascii="Cambria" w:hAnsi="Cambria" w:cs="Arial"/>
          <w:sz w:val="20"/>
          <w:szCs w:val="20"/>
          <w:lang w:val="es-CO"/>
        </w:rPr>
        <w:t xml:space="preserve">Nº </w:t>
      </w:r>
      <w:r w:rsidR="00726093" w:rsidRPr="00067D4C">
        <w:rPr>
          <w:rFonts w:ascii="Cambria" w:hAnsi="Cambria" w:cs="Arial"/>
          <w:sz w:val="20"/>
          <w:szCs w:val="20"/>
          <w:lang w:val="es-CO"/>
        </w:rPr>
        <w:t>12.963</w:t>
      </w:r>
      <w:r w:rsidRPr="00067D4C">
        <w:rPr>
          <w:rFonts w:ascii="Cambria" w:hAnsi="Cambria" w:cs="Arial"/>
          <w:sz w:val="20"/>
          <w:szCs w:val="20"/>
          <w:lang w:val="es-CO"/>
        </w:rPr>
        <w:t xml:space="preserve"> – </w:t>
      </w:r>
      <w:r w:rsidR="00726093" w:rsidRPr="00067D4C">
        <w:rPr>
          <w:rFonts w:ascii="Cambria" w:eastAsia="Arial Unicode MS" w:hAnsi="Cambria"/>
          <w:spacing w:val="-3"/>
          <w:sz w:val="20"/>
          <w:szCs w:val="20"/>
          <w:bdr w:val="nil"/>
          <w:lang w:val="es-US"/>
        </w:rPr>
        <w:t>Alejandro Nissen Pessolani</w:t>
      </w:r>
      <w:r w:rsidR="00726093" w:rsidRPr="00067D4C">
        <w:rPr>
          <w:rFonts w:ascii="Cambria" w:hAnsi="Cambria" w:cs="Arial"/>
          <w:sz w:val="20"/>
          <w:szCs w:val="20"/>
          <w:lang w:val="es-CO"/>
        </w:rPr>
        <w:t xml:space="preserve"> </w:t>
      </w:r>
      <w:r w:rsidRPr="00067D4C">
        <w:rPr>
          <w:rFonts w:ascii="Cambria" w:hAnsi="Cambria" w:cs="Arial"/>
          <w:sz w:val="20"/>
          <w:szCs w:val="20"/>
          <w:lang w:val="es-CO"/>
        </w:rPr>
        <w:t>respecto de la República de Paraguay (en adelante “el Estado”, “el Estado paraguayo” o “Paraguay”)</w:t>
      </w:r>
      <w:r w:rsidR="009F4883" w:rsidRPr="00067D4C">
        <w:rPr>
          <w:rFonts w:ascii="Cambria" w:hAnsi="Cambria" w:cs="Arial"/>
          <w:sz w:val="20"/>
          <w:szCs w:val="20"/>
          <w:lang w:val="es-CO"/>
        </w:rPr>
        <w:t xml:space="preserve">. El presente caso </w:t>
      </w:r>
      <w:r w:rsidR="009F4883" w:rsidRPr="00067D4C">
        <w:rPr>
          <w:rFonts w:ascii="Cambria" w:hAnsi="Cambria"/>
          <w:spacing w:val="-2"/>
          <w:sz w:val="20"/>
          <w:szCs w:val="20"/>
          <w:lang w:val="es-ES_tradnl"/>
        </w:rPr>
        <w:t>se refiere</w:t>
      </w:r>
      <w:r w:rsidR="009F4883" w:rsidRPr="00067D4C">
        <w:rPr>
          <w:rFonts w:ascii="Cambria" w:hAnsi="Cambria"/>
          <w:sz w:val="20"/>
          <w:szCs w:val="20"/>
          <w:lang w:val="es-CO"/>
        </w:rPr>
        <w:t xml:space="preserve"> a </w:t>
      </w:r>
      <w:r w:rsidR="009F4883" w:rsidRPr="00067D4C">
        <w:rPr>
          <w:rFonts w:ascii="Cambria" w:hAnsi="Cambria"/>
          <w:spacing w:val="-2"/>
          <w:sz w:val="20"/>
          <w:szCs w:val="20"/>
          <w:lang w:val="es-ES_tradnl"/>
        </w:rPr>
        <w:t xml:space="preserve">la </w:t>
      </w:r>
      <w:r w:rsidR="00726093" w:rsidRPr="00067D4C">
        <w:rPr>
          <w:rFonts w:ascii="Cambria" w:hAnsi="Cambria"/>
          <w:sz w:val="20"/>
          <w:szCs w:val="20"/>
          <w:lang w:val="es-ES"/>
        </w:rPr>
        <w:t xml:space="preserve">la responsabilidad del Estado de Paraguay por la violación de garantías judiciales del señor Alejandro Nissen Pessolani en el marco de procesos seguidos en su contra por el Jurado de Enjuiciamiento de Magistrados </w:t>
      </w:r>
      <w:r w:rsidR="006205D1" w:rsidRPr="00067D4C">
        <w:rPr>
          <w:rFonts w:ascii="Cambria" w:hAnsi="Cambria"/>
          <w:sz w:val="20"/>
          <w:szCs w:val="20"/>
          <w:lang w:val="es-ES"/>
        </w:rPr>
        <w:t xml:space="preserve">(JEM) </w:t>
      </w:r>
      <w:r w:rsidR="00726093" w:rsidRPr="00067D4C">
        <w:rPr>
          <w:rFonts w:ascii="Cambria" w:hAnsi="Cambria"/>
          <w:sz w:val="20"/>
          <w:szCs w:val="20"/>
          <w:lang w:val="es-ES"/>
        </w:rPr>
        <w:t>que determinó la remoción de su cargo como Agente Fiscal Penal.</w:t>
      </w:r>
    </w:p>
    <w:p w14:paraId="12BCB3A3" w14:textId="77777777" w:rsidR="00726093" w:rsidRPr="00067D4C" w:rsidRDefault="00726093" w:rsidP="00726093">
      <w:pPr>
        <w:spacing w:after="0" w:line="240" w:lineRule="auto"/>
        <w:jc w:val="both"/>
        <w:rPr>
          <w:rFonts w:ascii="Cambria" w:hAnsi="Cambria"/>
          <w:sz w:val="20"/>
          <w:szCs w:val="20"/>
          <w:lang w:val="es-ES"/>
        </w:rPr>
      </w:pPr>
    </w:p>
    <w:p w14:paraId="6C4438FF" w14:textId="77777777" w:rsidR="00726093" w:rsidRPr="00067D4C" w:rsidRDefault="00726093" w:rsidP="00726093">
      <w:pPr>
        <w:spacing w:after="0" w:line="240" w:lineRule="auto"/>
        <w:ind w:firstLine="720"/>
        <w:jc w:val="both"/>
        <w:rPr>
          <w:rFonts w:ascii="Cambria" w:hAnsi="Cambria"/>
          <w:sz w:val="20"/>
          <w:szCs w:val="20"/>
          <w:lang w:val="es-ES"/>
        </w:rPr>
      </w:pPr>
      <w:r w:rsidRPr="00067D4C">
        <w:rPr>
          <w:rFonts w:ascii="Cambria" w:hAnsi="Cambria"/>
          <w:sz w:val="20"/>
          <w:szCs w:val="20"/>
          <w:lang w:val="es-ES"/>
        </w:rPr>
        <w:t>El señor Nissen era fiscal en la ciudad de Asunción y desarrollaba principalmente investigaciones relacionadas con casos de corrupción. En marzo de 2002 se presentó una denuncia en su contra alegando mal desempeño en sus funciones. El Jurado de Enjuiciamiento emitió una sentencia sancionatoria disponiendo su destitución del cargo en abril de 2003 y en 2004 la Corte Suprema de Justicia rechazó una acción de inconstitucionalidad presentada por la presunta víctima.</w:t>
      </w:r>
    </w:p>
    <w:p w14:paraId="104B851A" w14:textId="77777777" w:rsidR="00726093" w:rsidRPr="00067D4C" w:rsidRDefault="00726093" w:rsidP="00726093">
      <w:pPr>
        <w:spacing w:after="0" w:line="240" w:lineRule="auto"/>
        <w:jc w:val="both"/>
        <w:rPr>
          <w:rFonts w:ascii="Cambria" w:hAnsi="Cambria"/>
          <w:sz w:val="20"/>
          <w:szCs w:val="20"/>
          <w:lang w:val="es-ES"/>
        </w:rPr>
      </w:pPr>
    </w:p>
    <w:p w14:paraId="3C3DF0AA" w14:textId="77777777" w:rsidR="00726093" w:rsidRPr="00067D4C" w:rsidRDefault="00726093" w:rsidP="00726093">
      <w:pPr>
        <w:spacing w:after="0" w:line="240" w:lineRule="auto"/>
        <w:ind w:firstLine="720"/>
        <w:jc w:val="both"/>
        <w:rPr>
          <w:rFonts w:ascii="Cambria" w:hAnsi="Cambria"/>
          <w:sz w:val="20"/>
          <w:szCs w:val="20"/>
          <w:lang w:val="es-ES"/>
        </w:rPr>
      </w:pPr>
      <w:r w:rsidRPr="00067D4C">
        <w:rPr>
          <w:rFonts w:ascii="Cambria" w:hAnsi="Cambria"/>
          <w:sz w:val="20"/>
          <w:szCs w:val="20"/>
          <w:lang w:val="es-ES"/>
        </w:rPr>
        <w:t xml:space="preserve">En su Informe de Fondo la CIDH realizó un análisis de los siguientes componentes de las garantías judiciales aplicables a los procesos disciplinarios seguidos contra fiscales: (i) el derecho a contar con juez competente, independiente e imparcial; (ii) el derecho de defensa y el principio de congruencia; (iii) el derecho a contar con decisiones debidamente motivadas, principio de legalidad y el derecho a la libertad de expresión; y (iv) el derecho a recurrir el fallo y a la protección judicial. </w:t>
      </w:r>
    </w:p>
    <w:p w14:paraId="2F4688C5" w14:textId="77777777" w:rsidR="00726093" w:rsidRPr="00067D4C" w:rsidRDefault="00726093" w:rsidP="00726093">
      <w:pPr>
        <w:spacing w:after="0" w:line="240" w:lineRule="auto"/>
        <w:jc w:val="both"/>
        <w:rPr>
          <w:rFonts w:ascii="Cambria" w:hAnsi="Cambria"/>
          <w:sz w:val="20"/>
          <w:szCs w:val="20"/>
          <w:lang w:val="es-ES"/>
        </w:rPr>
      </w:pPr>
    </w:p>
    <w:p w14:paraId="3FF9AD55" w14:textId="77777777" w:rsidR="00726093" w:rsidRPr="00067D4C" w:rsidRDefault="00726093" w:rsidP="00726093">
      <w:pPr>
        <w:spacing w:after="0" w:line="240" w:lineRule="auto"/>
        <w:ind w:firstLine="720"/>
        <w:jc w:val="both"/>
        <w:rPr>
          <w:rFonts w:ascii="Cambria" w:hAnsi="Cambria"/>
          <w:sz w:val="20"/>
          <w:szCs w:val="20"/>
          <w:lang w:val="es-ES"/>
        </w:rPr>
      </w:pPr>
      <w:r w:rsidRPr="00067D4C">
        <w:rPr>
          <w:rFonts w:ascii="Cambria" w:hAnsi="Cambria"/>
          <w:sz w:val="20"/>
          <w:szCs w:val="20"/>
          <w:lang w:val="es-ES"/>
        </w:rPr>
        <w:t xml:space="preserve">La Comisión estableció que no se cuenta con suficiente información que indique que los integrantes del Jurado de Enjuiciamiento tendrían una subordinación o relación de dependencia con las partes en el proceso, o bien, carecieran de garantías de estabilidad que se tradujera en una falta de independencia, ni para determinar una violación a la garantía de imparcialidad. </w:t>
      </w:r>
    </w:p>
    <w:p w14:paraId="687B5F75" w14:textId="77777777" w:rsidR="00726093" w:rsidRPr="00067D4C" w:rsidRDefault="00726093" w:rsidP="00726093">
      <w:pPr>
        <w:spacing w:after="0" w:line="240" w:lineRule="auto"/>
        <w:jc w:val="both"/>
        <w:rPr>
          <w:rFonts w:ascii="Cambria" w:hAnsi="Cambria"/>
          <w:sz w:val="20"/>
          <w:szCs w:val="20"/>
          <w:lang w:val="es-ES"/>
        </w:rPr>
      </w:pPr>
    </w:p>
    <w:p w14:paraId="6009F394" w14:textId="77777777" w:rsidR="00726093" w:rsidRPr="00067D4C" w:rsidRDefault="00726093" w:rsidP="00692229">
      <w:pPr>
        <w:spacing w:after="0" w:line="240" w:lineRule="auto"/>
        <w:ind w:firstLine="720"/>
        <w:jc w:val="both"/>
        <w:rPr>
          <w:rFonts w:ascii="Cambria" w:hAnsi="Cambria"/>
          <w:sz w:val="20"/>
          <w:szCs w:val="20"/>
          <w:lang w:val="es-ES"/>
        </w:rPr>
      </w:pPr>
      <w:r w:rsidRPr="00067D4C">
        <w:rPr>
          <w:rFonts w:ascii="Cambria" w:hAnsi="Cambria"/>
          <w:sz w:val="20"/>
          <w:szCs w:val="20"/>
          <w:lang w:val="es-ES"/>
        </w:rPr>
        <w:t xml:space="preserve">En cuanto al derecho de defensa y al principio de congruencia, la Comisión determinó que la sentencia sancionatoria emitida por el JEM modificó la base fáctica de la acusación presentada contra el señor Nissen incorporando nuevos hechos en relación con dos causales, </w:t>
      </w:r>
      <w:r w:rsidR="00692229" w:rsidRPr="00067D4C">
        <w:rPr>
          <w:rFonts w:ascii="Cambria" w:hAnsi="Cambria"/>
          <w:sz w:val="20"/>
          <w:szCs w:val="20"/>
          <w:lang w:val="es-ES"/>
        </w:rPr>
        <w:t>por lo que la víctima no pudo ejercer defensa alguna al respecto. La Comisión observó que dicha modificación sustancial trajo consigo la posibilidad de imponer, como efectivamente se hizo, la máxima sanción contra el señor Nissen. Además, la Comisión consideró que se incumplieron los plazos legales establecidos para el juzgamiento por parte del Jurado.</w:t>
      </w:r>
    </w:p>
    <w:p w14:paraId="78D25A11" w14:textId="77777777" w:rsidR="00726093" w:rsidRPr="00067D4C" w:rsidRDefault="00726093" w:rsidP="00726093">
      <w:pPr>
        <w:spacing w:after="0" w:line="240" w:lineRule="auto"/>
        <w:jc w:val="both"/>
        <w:rPr>
          <w:rFonts w:ascii="Cambria" w:hAnsi="Cambria"/>
          <w:sz w:val="20"/>
          <w:szCs w:val="20"/>
          <w:lang w:val="es-ES"/>
        </w:rPr>
      </w:pPr>
    </w:p>
    <w:p w14:paraId="38D62E32" w14:textId="77777777" w:rsidR="00726093" w:rsidRPr="00067D4C" w:rsidRDefault="00726093" w:rsidP="00726093">
      <w:pPr>
        <w:spacing w:after="0" w:line="240" w:lineRule="auto"/>
        <w:jc w:val="both"/>
        <w:rPr>
          <w:rFonts w:ascii="Cambria" w:hAnsi="Cambria"/>
          <w:sz w:val="20"/>
          <w:szCs w:val="20"/>
          <w:lang w:val="es-ES"/>
        </w:rPr>
      </w:pPr>
    </w:p>
    <w:p w14:paraId="0BB6FCEC" w14:textId="77777777" w:rsidR="00443216" w:rsidRPr="00067D4C" w:rsidRDefault="00443216" w:rsidP="00726093">
      <w:pPr>
        <w:spacing w:after="0" w:line="240" w:lineRule="auto"/>
        <w:jc w:val="both"/>
        <w:rPr>
          <w:rFonts w:ascii="Cambria" w:hAnsi="Cambria"/>
          <w:sz w:val="20"/>
          <w:szCs w:val="20"/>
          <w:lang w:val="es-ES"/>
        </w:rPr>
      </w:pPr>
    </w:p>
    <w:p w14:paraId="0611AB86" w14:textId="77777777" w:rsidR="00443216" w:rsidRPr="00067D4C" w:rsidRDefault="00443216" w:rsidP="00726093">
      <w:pPr>
        <w:spacing w:after="0" w:line="240" w:lineRule="auto"/>
        <w:jc w:val="both"/>
        <w:rPr>
          <w:rFonts w:ascii="Cambria" w:hAnsi="Cambria"/>
          <w:sz w:val="20"/>
          <w:szCs w:val="20"/>
          <w:lang w:val="es-ES"/>
        </w:rPr>
      </w:pPr>
    </w:p>
    <w:p w14:paraId="6EEDF996" w14:textId="77777777" w:rsidR="00726093" w:rsidRPr="00067D4C" w:rsidRDefault="00726093" w:rsidP="00726093">
      <w:pPr>
        <w:spacing w:after="0" w:line="240" w:lineRule="auto"/>
        <w:jc w:val="both"/>
        <w:rPr>
          <w:rFonts w:ascii="Cambria" w:hAnsi="Cambria" w:cs="Calibri"/>
          <w:sz w:val="20"/>
          <w:szCs w:val="20"/>
          <w:lang w:val="es-ES"/>
        </w:rPr>
      </w:pPr>
      <w:r w:rsidRPr="00067D4C">
        <w:rPr>
          <w:rFonts w:ascii="Cambria" w:hAnsi="Cambria" w:cs="Calibri"/>
          <w:sz w:val="20"/>
          <w:szCs w:val="20"/>
          <w:lang w:val="es-ES"/>
        </w:rPr>
        <w:t>Señor</w:t>
      </w:r>
    </w:p>
    <w:p w14:paraId="3A8CDB64" w14:textId="77777777" w:rsidR="00726093" w:rsidRPr="00067D4C" w:rsidRDefault="00726093" w:rsidP="00726093">
      <w:pPr>
        <w:spacing w:after="0" w:line="240" w:lineRule="auto"/>
        <w:jc w:val="both"/>
        <w:rPr>
          <w:rFonts w:ascii="Cambria" w:hAnsi="Cambria" w:cs="Calibri"/>
          <w:sz w:val="20"/>
          <w:szCs w:val="20"/>
          <w:lang w:val="es-ES"/>
        </w:rPr>
      </w:pPr>
      <w:r w:rsidRPr="00067D4C">
        <w:rPr>
          <w:rFonts w:ascii="Cambria" w:hAnsi="Cambria" w:cs="Calibri"/>
          <w:sz w:val="20"/>
          <w:szCs w:val="20"/>
          <w:lang w:val="es-ES"/>
        </w:rPr>
        <w:t>Pablo Saavedra Alessandri</w:t>
      </w:r>
    </w:p>
    <w:p w14:paraId="48C95462" w14:textId="77777777" w:rsidR="00726093" w:rsidRPr="00067D4C" w:rsidRDefault="00726093" w:rsidP="00726093">
      <w:pPr>
        <w:spacing w:after="0" w:line="240" w:lineRule="auto"/>
        <w:jc w:val="both"/>
        <w:rPr>
          <w:rFonts w:ascii="Cambria" w:hAnsi="Cambria" w:cs="Calibri"/>
          <w:sz w:val="20"/>
          <w:szCs w:val="20"/>
          <w:lang w:val="es-ES"/>
        </w:rPr>
      </w:pPr>
      <w:r w:rsidRPr="00067D4C">
        <w:rPr>
          <w:rFonts w:ascii="Cambria" w:hAnsi="Cambria" w:cs="Calibri"/>
          <w:sz w:val="20"/>
          <w:szCs w:val="20"/>
          <w:lang w:val="es-ES"/>
        </w:rPr>
        <w:t>Secretario</w:t>
      </w:r>
    </w:p>
    <w:p w14:paraId="6EB71142" w14:textId="77777777" w:rsidR="00726093" w:rsidRPr="00067D4C" w:rsidRDefault="00726093" w:rsidP="00726093">
      <w:pPr>
        <w:spacing w:after="0" w:line="240" w:lineRule="auto"/>
        <w:jc w:val="both"/>
        <w:rPr>
          <w:rFonts w:ascii="Cambria" w:hAnsi="Cambria" w:cs="Calibri"/>
          <w:sz w:val="20"/>
          <w:szCs w:val="20"/>
          <w:lang w:val="es-ES"/>
        </w:rPr>
      </w:pPr>
      <w:r w:rsidRPr="00067D4C">
        <w:rPr>
          <w:rFonts w:ascii="Cambria" w:hAnsi="Cambria" w:cs="Calibri"/>
          <w:sz w:val="20"/>
          <w:szCs w:val="20"/>
          <w:lang w:val="es-ES"/>
        </w:rPr>
        <w:t>Corte Interamericana de Derechos Humanos</w:t>
      </w:r>
    </w:p>
    <w:p w14:paraId="001E1322" w14:textId="77777777" w:rsidR="00726093" w:rsidRPr="00067D4C" w:rsidRDefault="00726093" w:rsidP="00726093">
      <w:pPr>
        <w:spacing w:after="0" w:line="240" w:lineRule="auto"/>
        <w:jc w:val="both"/>
        <w:rPr>
          <w:rFonts w:ascii="Cambria" w:hAnsi="Cambria" w:cs="Calibri"/>
          <w:sz w:val="20"/>
          <w:szCs w:val="20"/>
          <w:lang w:val="es-ES"/>
        </w:rPr>
      </w:pPr>
      <w:r w:rsidRPr="00067D4C">
        <w:rPr>
          <w:rFonts w:ascii="Cambria" w:hAnsi="Cambria" w:cs="Calibri"/>
          <w:sz w:val="20"/>
          <w:szCs w:val="20"/>
          <w:lang w:val="es-ES"/>
        </w:rPr>
        <w:t>San José, Costa Rica</w:t>
      </w:r>
    </w:p>
    <w:p w14:paraId="1CD0A019" w14:textId="77777777" w:rsidR="00726093" w:rsidRPr="00067D4C" w:rsidRDefault="00726093" w:rsidP="00726093">
      <w:pPr>
        <w:spacing w:after="0" w:line="240" w:lineRule="auto"/>
        <w:jc w:val="both"/>
        <w:rPr>
          <w:rFonts w:ascii="Cambria" w:hAnsi="Cambria" w:cs="Calibri"/>
          <w:sz w:val="20"/>
          <w:szCs w:val="20"/>
          <w:lang w:val="es-ES"/>
        </w:rPr>
      </w:pPr>
    </w:p>
    <w:p w14:paraId="0A9AA106" w14:textId="77777777" w:rsidR="00972478" w:rsidRPr="00067D4C" w:rsidRDefault="00726093" w:rsidP="00972478">
      <w:pPr>
        <w:spacing w:after="0" w:line="240" w:lineRule="auto"/>
        <w:ind w:firstLine="720"/>
        <w:jc w:val="both"/>
        <w:rPr>
          <w:rFonts w:ascii="Cambria" w:hAnsi="Cambria"/>
          <w:sz w:val="20"/>
          <w:szCs w:val="20"/>
          <w:lang w:val="es-ES"/>
        </w:rPr>
      </w:pPr>
      <w:r w:rsidRPr="00067D4C">
        <w:rPr>
          <w:rFonts w:ascii="Cambria" w:hAnsi="Cambria"/>
          <w:sz w:val="20"/>
          <w:szCs w:val="20"/>
          <w:lang w:val="es-ES"/>
        </w:rPr>
        <w:br w:type="page"/>
      </w:r>
      <w:r w:rsidRPr="00067D4C">
        <w:rPr>
          <w:rFonts w:ascii="Cambria" w:hAnsi="Cambria"/>
          <w:sz w:val="20"/>
          <w:szCs w:val="20"/>
          <w:lang w:val="es-ES"/>
        </w:rPr>
        <w:lastRenderedPageBreak/>
        <w:t>Respecto al principio de legalidad, la debida motivación y la libertad de expresión</w:t>
      </w:r>
      <w:r w:rsidR="006B7047" w:rsidRPr="00067D4C">
        <w:rPr>
          <w:rFonts w:ascii="Cambria" w:hAnsi="Cambria"/>
          <w:sz w:val="20"/>
          <w:szCs w:val="20"/>
          <w:lang w:val="es-ES"/>
        </w:rPr>
        <w:t>,</w:t>
      </w:r>
      <w:r w:rsidRPr="00067D4C">
        <w:rPr>
          <w:rFonts w:ascii="Cambria" w:hAnsi="Cambria"/>
          <w:sz w:val="20"/>
          <w:szCs w:val="20"/>
          <w:lang w:val="es-ES"/>
        </w:rPr>
        <w:t xml:space="preserve"> </w:t>
      </w:r>
      <w:r w:rsidR="006205D1" w:rsidRPr="00067D4C">
        <w:rPr>
          <w:rFonts w:ascii="Cambria" w:hAnsi="Cambria"/>
          <w:sz w:val="20"/>
          <w:szCs w:val="20"/>
          <w:lang w:val="es-ES"/>
        </w:rPr>
        <w:t xml:space="preserve">la </w:t>
      </w:r>
      <w:r w:rsidR="006B7047" w:rsidRPr="00067D4C">
        <w:rPr>
          <w:rFonts w:ascii="Cambria" w:hAnsi="Cambria"/>
          <w:sz w:val="20"/>
          <w:szCs w:val="20"/>
          <w:lang w:val="es-ES"/>
        </w:rPr>
        <w:t xml:space="preserve">Comisión </w:t>
      </w:r>
      <w:r w:rsidR="00972478" w:rsidRPr="00067D4C">
        <w:rPr>
          <w:rFonts w:ascii="Cambria" w:hAnsi="Cambria"/>
          <w:sz w:val="20"/>
          <w:szCs w:val="20"/>
          <w:lang w:val="es-ES"/>
        </w:rPr>
        <w:t xml:space="preserve"> notó que  la víctima fue destituida de su cargo, conforme la causal prevista en el artículo 14 inciso n) de la Ley N°1084 que sanciona proporcionar información o formular declaraciones o comentarios a la prensa o a terceros, sobre los juicios a su cargo, cuando ellos puedan perturbar su tramitación o afectar el honor, la reputación o la presunción de inocencia establecida en la Constitución Nacional; o mantener polémicas sobre juicios en trámite.</w:t>
      </w:r>
    </w:p>
    <w:p w14:paraId="69201F0C" w14:textId="77777777" w:rsidR="00972478" w:rsidRPr="00067D4C" w:rsidRDefault="00972478" w:rsidP="00972478">
      <w:pPr>
        <w:spacing w:after="0" w:line="240" w:lineRule="auto"/>
        <w:jc w:val="both"/>
        <w:rPr>
          <w:rFonts w:ascii="Cambria" w:hAnsi="Cambria"/>
          <w:sz w:val="20"/>
          <w:szCs w:val="20"/>
          <w:lang w:val="es-ES"/>
        </w:rPr>
      </w:pPr>
    </w:p>
    <w:p w14:paraId="1053EE39" w14:textId="77777777" w:rsidR="006B7047" w:rsidRPr="00067D4C" w:rsidRDefault="00972478" w:rsidP="00726093">
      <w:pPr>
        <w:spacing w:after="0" w:line="240" w:lineRule="auto"/>
        <w:ind w:firstLine="720"/>
        <w:jc w:val="both"/>
        <w:rPr>
          <w:rFonts w:ascii="Cambria" w:hAnsi="Cambria"/>
          <w:sz w:val="20"/>
          <w:szCs w:val="20"/>
          <w:lang w:val="es-ES"/>
        </w:rPr>
      </w:pPr>
      <w:r w:rsidRPr="00067D4C">
        <w:rPr>
          <w:rFonts w:ascii="Cambria" w:hAnsi="Cambria"/>
          <w:sz w:val="20"/>
          <w:szCs w:val="20"/>
          <w:lang w:val="es-ES"/>
        </w:rPr>
        <w:t xml:space="preserve">La Comisión </w:t>
      </w:r>
      <w:r w:rsidR="006B7047" w:rsidRPr="00067D4C">
        <w:rPr>
          <w:rFonts w:ascii="Cambria" w:hAnsi="Cambria"/>
          <w:sz w:val="20"/>
          <w:szCs w:val="20"/>
          <w:lang w:val="es-ES"/>
        </w:rPr>
        <w:t>reiteró que, para que una restricción a la libertad de expresión sea permisible, debe cumplir con las tres condiciones básicas establecidas en el artículo 13.2 de la Convención Americana. Esto es, estar definida de manera clara y precisa en una ley; tener un objetivo legítimo justificado por la Convención; y ser necesaria en una sociedad democrática para el logro de los fines que se buscan, idónea para lograr el objetivo que se pretende, y estrictamente proporcional a la finalidad perseguida.</w:t>
      </w:r>
    </w:p>
    <w:p w14:paraId="7EE6B288" w14:textId="77777777" w:rsidR="006B7047" w:rsidRPr="00067D4C" w:rsidRDefault="006B7047" w:rsidP="00726093">
      <w:pPr>
        <w:spacing w:after="0" w:line="240" w:lineRule="auto"/>
        <w:ind w:firstLine="720"/>
        <w:jc w:val="both"/>
        <w:rPr>
          <w:rFonts w:ascii="Cambria" w:hAnsi="Cambria"/>
          <w:sz w:val="20"/>
          <w:szCs w:val="20"/>
          <w:lang w:val="es-ES"/>
        </w:rPr>
      </w:pPr>
    </w:p>
    <w:p w14:paraId="735C0397" w14:textId="77777777" w:rsidR="00610AF7" w:rsidRPr="00067D4C" w:rsidRDefault="006B7047" w:rsidP="00610AF7">
      <w:pPr>
        <w:tabs>
          <w:tab w:val="left" w:pos="2430"/>
        </w:tabs>
        <w:spacing w:after="0" w:line="240" w:lineRule="auto"/>
        <w:ind w:firstLine="720"/>
        <w:jc w:val="both"/>
        <w:rPr>
          <w:rFonts w:ascii="Cambria" w:hAnsi="Cambria"/>
          <w:sz w:val="20"/>
          <w:szCs w:val="20"/>
          <w:lang w:val="es-ES"/>
        </w:rPr>
      </w:pPr>
      <w:r w:rsidRPr="00067D4C">
        <w:rPr>
          <w:rFonts w:ascii="Cambria" w:hAnsi="Cambria"/>
          <w:sz w:val="20"/>
          <w:szCs w:val="20"/>
          <w:lang w:val="es-ES"/>
        </w:rPr>
        <w:t>La Comisión co</w:t>
      </w:r>
      <w:r w:rsidR="00210ACF" w:rsidRPr="00067D4C">
        <w:rPr>
          <w:rFonts w:ascii="Cambria" w:hAnsi="Cambria"/>
          <w:sz w:val="20"/>
          <w:szCs w:val="20"/>
          <w:lang w:val="es-ES"/>
        </w:rPr>
        <w:t xml:space="preserve">ncluyó, en primer lugar, que </w:t>
      </w:r>
      <w:r w:rsidR="00C10641" w:rsidRPr="00067D4C">
        <w:rPr>
          <w:rFonts w:ascii="Cambria" w:hAnsi="Cambria"/>
          <w:sz w:val="20"/>
          <w:szCs w:val="20"/>
          <w:lang w:val="es-ES"/>
        </w:rPr>
        <w:t>el artículo 14 inciso n) de la Ley N° 1084</w:t>
      </w:r>
      <w:r w:rsidR="000D5786" w:rsidRPr="00067D4C">
        <w:rPr>
          <w:rFonts w:ascii="Cambria" w:hAnsi="Cambria"/>
          <w:sz w:val="20"/>
          <w:szCs w:val="20"/>
          <w:lang w:val="es-ES"/>
        </w:rPr>
        <w:t>/97</w:t>
      </w:r>
      <w:r w:rsidR="00210ACF" w:rsidRPr="00067D4C">
        <w:rPr>
          <w:rFonts w:ascii="Cambria" w:hAnsi="Cambria"/>
          <w:sz w:val="20"/>
          <w:szCs w:val="20"/>
          <w:lang w:val="es-ES"/>
        </w:rPr>
        <w:t xml:space="preserve"> que fue utilizado para sancionar</w:t>
      </w:r>
      <w:r w:rsidR="00972478" w:rsidRPr="00067D4C">
        <w:rPr>
          <w:rFonts w:ascii="Cambria" w:hAnsi="Cambria"/>
          <w:sz w:val="20"/>
          <w:szCs w:val="20"/>
          <w:lang w:val="es-ES"/>
        </w:rPr>
        <w:t xml:space="preserve"> a la víctima</w:t>
      </w:r>
      <w:r w:rsidR="00C10641" w:rsidRPr="00067D4C">
        <w:rPr>
          <w:rFonts w:ascii="Cambria" w:hAnsi="Cambria"/>
          <w:sz w:val="20"/>
          <w:szCs w:val="20"/>
          <w:lang w:val="es-ES"/>
        </w:rPr>
        <w:t>,</w:t>
      </w:r>
      <w:r w:rsidR="00FA7332" w:rsidRPr="00067D4C">
        <w:rPr>
          <w:rFonts w:ascii="Cambria" w:hAnsi="Cambria"/>
          <w:sz w:val="20"/>
          <w:szCs w:val="20"/>
          <w:lang w:val="es-ES"/>
        </w:rPr>
        <w:t xml:space="preserve"> estaba formulada en términos vagos y ambiguos</w:t>
      </w:r>
      <w:r w:rsidR="00972478" w:rsidRPr="00067D4C">
        <w:rPr>
          <w:rFonts w:ascii="Cambria" w:hAnsi="Cambria"/>
          <w:sz w:val="20"/>
          <w:szCs w:val="20"/>
          <w:lang w:val="es-ES"/>
        </w:rPr>
        <w:t>, de forma incompatible con el principio de legalidad</w:t>
      </w:r>
      <w:r w:rsidR="00FA7332" w:rsidRPr="00067D4C">
        <w:rPr>
          <w:rFonts w:ascii="Cambria" w:hAnsi="Cambria"/>
          <w:sz w:val="20"/>
          <w:szCs w:val="20"/>
          <w:lang w:val="es-ES"/>
        </w:rPr>
        <w:t xml:space="preserve">. Señaló asimismo que decisión </w:t>
      </w:r>
      <w:r w:rsidR="00972478" w:rsidRPr="00067D4C">
        <w:rPr>
          <w:rFonts w:ascii="Cambria" w:hAnsi="Cambria"/>
          <w:sz w:val="20"/>
          <w:szCs w:val="20"/>
          <w:lang w:val="es-ES"/>
        </w:rPr>
        <w:t xml:space="preserve">que lo separó del cargo </w:t>
      </w:r>
      <w:r w:rsidR="00FA7332" w:rsidRPr="00067D4C">
        <w:rPr>
          <w:rFonts w:ascii="Cambria" w:hAnsi="Cambria"/>
          <w:sz w:val="20"/>
          <w:szCs w:val="20"/>
          <w:lang w:val="es-ES"/>
        </w:rPr>
        <w:t>no individualizó</w:t>
      </w:r>
      <w:r w:rsidRPr="00067D4C">
        <w:rPr>
          <w:rFonts w:ascii="Cambria" w:hAnsi="Cambria"/>
          <w:sz w:val="20"/>
          <w:szCs w:val="20"/>
          <w:lang w:val="es-ES"/>
        </w:rPr>
        <w:t xml:space="preserve"> de manera específica y clara los hechos y pruebas, </w:t>
      </w:r>
      <w:r w:rsidR="00FA7332" w:rsidRPr="00067D4C">
        <w:rPr>
          <w:rFonts w:ascii="Cambria" w:hAnsi="Cambria"/>
          <w:sz w:val="20"/>
          <w:szCs w:val="20"/>
          <w:lang w:val="es-ES"/>
        </w:rPr>
        <w:t xml:space="preserve">lo cual </w:t>
      </w:r>
      <w:r w:rsidRPr="00067D4C">
        <w:rPr>
          <w:rFonts w:ascii="Cambria" w:hAnsi="Cambria"/>
          <w:sz w:val="20"/>
          <w:szCs w:val="20"/>
          <w:lang w:val="es-ES"/>
        </w:rPr>
        <w:t>resulta incompatible con el deber de motivación, toda vez que impid</w:t>
      </w:r>
      <w:r w:rsidR="000D5786" w:rsidRPr="00067D4C">
        <w:rPr>
          <w:rFonts w:ascii="Cambria" w:hAnsi="Cambria"/>
          <w:sz w:val="20"/>
          <w:szCs w:val="20"/>
          <w:lang w:val="es-ES"/>
        </w:rPr>
        <w:t>ió</w:t>
      </w:r>
      <w:r w:rsidRPr="00067D4C">
        <w:rPr>
          <w:rFonts w:ascii="Cambria" w:hAnsi="Cambria"/>
          <w:sz w:val="20"/>
          <w:szCs w:val="20"/>
          <w:lang w:val="es-ES"/>
        </w:rPr>
        <w:t xml:space="preserve"> comprender</w:t>
      </w:r>
      <w:r w:rsidR="00972478" w:rsidRPr="00067D4C">
        <w:rPr>
          <w:rFonts w:ascii="Cambria" w:hAnsi="Cambria"/>
          <w:sz w:val="20"/>
          <w:szCs w:val="20"/>
          <w:lang w:val="es-ES"/>
        </w:rPr>
        <w:t xml:space="preserve"> de manera adecuada</w:t>
      </w:r>
      <w:r w:rsidRPr="00067D4C">
        <w:rPr>
          <w:rFonts w:ascii="Cambria" w:hAnsi="Cambria"/>
          <w:sz w:val="20"/>
          <w:szCs w:val="20"/>
          <w:lang w:val="es-ES"/>
        </w:rPr>
        <w:t xml:space="preserve"> la valoración que realizó el JEM y las razones que determinaron la destitución.</w:t>
      </w:r>
      <w:r w:rsidR="00FA7332" w:rsidRPr="00067D4C">
        <w:rPr>
          <w:rFonts w:ascii="Cambria" w:hAnsi="Cambria"/>
          <w:sz w:val="20"/>
          <w:szCs w:val="20"/>
          <w:lang w:val="es-ES"/>
        </w:rPr>
        <w:t xml:space="preserve"> </w:t>
      </w:r>
    </w:p>
    <w:p w14:paraId="2C029F2F" w14:textId="77777777" w:rsidR="00610AF7" w:rsidRPr="00067D4C" w:rsidRDefault="00610AF7" w:rsidP="00610AF7">
      <w:pPr>
        <w:tabs>
          <w:tab w:val="left" w:pos="2430"/>
        </w:tabs>
        <w:spacing w:after="0" w:line="240" w:lineRule="auto"/>
        <w:ind w:firstLine="720"/>
        <w:jc w:val="both"/>
        <w:rPr>
          <w:rFonts w:ascii="Cambria" w:hAnsi="Cambria"/>
          <w:sz w:val="20"/>
          <w:szCs w:val="20"/>
          <w:lang w:val="es-ES"/>
        </w:rPr>
      </w:pPr>
    </w:p>
    <w:p w14:paraId="7BA19421" w14:textId="77777777" w:rsidR="006B7047" w:rsidRPr="00067D4C" w:rsidRDefault="00C971DE" w:rsidP="00E234BA">
      <w:pPr>
        <w:tabs>
          <w:tab w:val="left" w:pos="2430"/>
        </w:tabs>
        <w:spacing w:after="0" w:line="240" w:lineRule="auto"/>
        <w:ind w:firstLine="720"/>
        <w:jc w:val="both"/>
        <w:rPr>
          <w:rFonts w:ascii="Cambria" w:hAnsi="Cambria"/>
          <w:sz w:val="20"/>
          <w:szCs w:val="20"/>
          <w:lang w:val="es-ES"/>
        </w:rPr>
      </w:pPr>
      <w:r w:rsidRPr="00067D4C">
        <w:rPr>
          <w:rFonts w:ascii="Cambria" w:hAnsi="Cambria"/>
          <w:sz w:val="20"/>
          <w:szCs w:val="20"/>
          <w:lang w:val="es-ES"/>
        </w:rPr>
        <w:t>En segundo lugar</w:t>
      </w:r>
      <w:r w:rsidR="00610AF7" w:rsidRPr="00067D4C">
        <w:rPr>
          <w:rFonts w:ascii="Cambria" w:hAnsi="Cambria"/>
          <w:sz w:val="20"/>
          <w:szCs w:val="20"/>
          <w:lang w:val="es-ES"/>
        </w:rPr>
        <w:t>, l</w:t>
      </w:r>
      <w:r w:rsidR="00776F52" w:rsidRPr="00067D4C">
        <w:rPr>
          <w:rFonts w:ascii="Cambria" w:hAnsi="Cambria"/>
          <w:sz w:val="20"/>
          <w:szCs w:val="20"/>
          <w:lang w:val="es-ES"/>
        </w:rPr>
        <w:t xml:space="preserve">a Comisión consideró que </w:t>
      </w:r>
      <w:r w:rsidR="00610AF7" w:rsidRPr="00067D4C">
        <w:rPr>
          <w:rFonts w:ascii="Cambria" w:hAnsi="Cambria"/>
          <w:sz w:val="20"/>
          <w:szCs w:val="20"/>
          <w:lang w:val="es-ES"/>
        </w:rPr>
        <w:t xml:space="preserve">la amplitud de la norma aplicada </w:t>
      </w:r>
      <w:r w:rsidR="00776F52" w:rsidRPr="00067D4C">
        <w:rPr>
          <w:rFonts w:ascii="Cambria" w:hAnsi="Cambria"/>
          <w:sz w:val="20"/>
          <w:szCs w:val="20"/>
          <w:lang w:val="es-ES"/>
        </w:rPr>
        <w:t>no permit</w:t>
      </w:r>
      <w:r w:rsidR="000D5786" w:rsidRPr="00067D4C">
        <w:rPr>
          <w:rFonts w:ascii="Cambria" w:hAnsi="Cambria"/>
          <w:sz w:val="20"/>
          <w:szCs w:val="20"/>
          <w:lang w:val="es-ES"/>
        </w:rPr>
        <w:t>ió</w:t>
      </w:r>
      <w:r w:rsidR="00972478" w:rsidRPr="00067D4C">
        <w:rPr>
          <w:rFonts w:ascii="Cambria" w:hAnsi="Cambria"/>
          <w:sz w:val="20"/>
          <w:szCs w:val="20"/>
          <w:lang w:val="es-ES"/>
        </w:rPr>
        <w:t xml:space="preserve"> tampoco</w:t>
      </w:r>
      <w:r w:rsidR="00776F52" w:rsidRPr="00067D4C">
        <w:rPr>
          <w:rFonts w:ascii="Cambria" w:hAnsi="Cambria"/>
          <w:sz w:val="20"/>
          <w:szCs w:val="20"/>
          <w:lang w:val="es-ES"/>
        </w:rPr>
        <w:t xml:space="preserve"> observar un balance adecuado entre el derecho </w:t>
      </w:r>
      <w:r w:rsidR="00610AF7" w:rsidRPr="00067D4C">
        <w:rPr>
          <w:rFonts w:ascii="Cambria" w:hAnsi="Cambria"/>
          <w:sz w:val="20"/>
          <w:szCs w:val="20"/>
          <w:lang w:val="es-ES"/>
        </w:rPr>
        <w:t xml:space="preserve">a la libertad </w:t>
      </w:r>
      <w:r w:rsidR="00776F52" w:rsidRPr="00067D4C">
        <w:rPr>
          <w:rFonts w:ascii="Cambria" w:hAnsi="Cambria"/>
          <w:sz w:val="20"/>
          <w:szCs w:val="20"/>
          <w:lang w:val="es-ES"/>
        </w:rPr>
        <w:t xml:space="preserve">de expresión y el deber de reserva y prudencia de los fiscales, necesaria para proteger la independencia de su función. </w:t>
      </w:r>
      <w:r w:rsidR="00E234BA" w:rsidRPr="00067D4C">
        <w:rPr>
          <w:rFonts w:ascii="Cambria" w:hAnsi="Cambria"/>
          <w:sz w:val="20"/>
          <w:szCs w:val="20"/>
          <w:lang w:val="es-ES"/>
        </w:rPr>
        <w:t xml:space="preserve">En tercer lugar, la Comisión constató que </w:t>
      </w:r>
      <w:r w:rsidR="005E5597" w:rsidRPr="00067D4C">
        <w:rPr>
          <w:rFonts w:ascii="Cambria" w:hAnsi="Cambria"/>
          <w:sz w:val="20"/>
          <w:szCs w:val="20"/>
          <w:lang w:val="es-ES"/>
        </w:rPr>
        <w:t>el JEM n</w:t>
      </w:r>
      <w:r w:rsidR="00E234BA" w:rsidRPr="00067D4C">
        <w:rPr>
          <w:rFonts w:ascii="Cambria" w:hAnsi="Cambria"/>
          <w:sz w:val="20"/>
          <w:szCs w:val="20"/>
          <w:lang w:val="es-ES"/>
        </w:rPr>
        <w:t>o determinó</w:t>
      </w:r>
      <w:r w:rsidR="005E5597" w:rsidRPr="00067D4C">
        <w:rPr>
          <w:rFonts w:ascii="Cambria" w:hAnsi="Cambria"/>
          <w:sz w:val="20"/>
          <w:szCs w:val="20"/>
          <w:lang w:val="es-ES"/>
        </w:rPr>
        <w:t xml:space="preserve"> en su decisión,</w:t>
      </w:r>
      <w:r w:rsidR="00E234BA" w:rsidRPr="00067D4C">
        <w:rPr>
          <w:rFonts w:ascii="Cambria" w:hAnsi="Cambria"/>
          <w:sz w:val="20"/>
          <w:szCs w:val="20"/>
          <w:lang w:val="es-ES"/>
        </w:rPr>
        <w:t xml:space="preserve"> cuáles fueron las declaraciones brindadas por la víctima, las fechas, contextos y medios ante los cuáles fueron emitidas, y de qué manera las mismas violarían los derechos de las personas involucradas en las investigaciones desarrolladas por el señor Nissen Pessolani. </w:t>
      </w:r>
    </w:p>
    <w:p w14:paraId="00BCAFD3" w14:textId="77777777" w:rsidR="00C971DE" w:rsidRPr="00067D4C" w:rsidRDefault="00C971DE" w:rsidP="00E234BA">
      <w:pPr>
        <w:tabs>
          <w:tab w:val="left" w:pos="2430"/>
        </w:tabs>
        <w:spacing w:after="0" w:line="240" w:lineRule="auto"/>
        <w:ind w:firstLine="720"/>
        <w:jc w:val="both"/>
        <w:rPr>
          <w:rFonts w:ascii="Cambria" w:hAnsi="Cambria"/>
          <w:sz w:val="20"/>
          <w:szCs w:val="20"/>
          <w:lang w:val="es-ES"/>
        </w:rPr>
      </w:pPr>
    </w:p>
    <w:p w14:paraId="61B1F29D" w14:textId="77777777" w:rsidR="00C971DE" w:rsidRPr="00067D4C" w:rsidRDefault="00C971DE" w:rsidP="00C971DE">
      <w:pPr>
        <w:tabs>
          <w:tab w:val="left" w:pos="2430"/>
        </w:tabs>
        <w:spacing w:after="0" w:line="240" w:lineRule="auto"/>
        <w:ind w:firstLine="720"/>
        <w:jc w:val="both"/>
        <w:rPr>
          <w:rFonts w:ascii="Cambria" w:hAnsi="Cambria"/>
          <w:sz w:val="20"/>
          <w:szCs w:val="20"/>
          <w:lang w:val="es-ES"/>
        </w:rPr>
      </w:pPr>
      <w:r w:rsidRPr="00067D4C">
        <w:rPr>
          <w:rFonts w:ascii="Cambria" w:hAnsi="Cambria"/>
          <w:sz w:val="20"/>
          <w:szCs w:val="20"/>
          <w:lang w:val="es-ES"/>
        </w:rPr>
        <w:t xml:space="preserve">Por último, la Comisión destacó que la escasa fundamentación de la decisión sancionatoria no permitió acreditar que la restricción de la libertad de expresión fuera legítima, idónea, necesaria y estrictamente proporcional a la finalidad perseguida. En consecuencia, la Comisión concluyó que se impuso una restricción arbitraria al ejercicio de la libertad de expresión, mediante la imposición de una responsabilidad ulterior que incumplió con los requisitos previstos en la Convención.  </w:t>
      </w:r>
    </w:p>
    <w:p w14:paraId="02B55D63" w14:textId="77777777" w:rsidR="000D5786" w:rsidRPr="00067D4C" w:rsidRDefault="000D5786" w:rsidP="00C971DE">
      <w:pPr>
        <w:tabs>
          <w:tab w:val="left" w:pos="2430"/>
        </w:tabs>
        <w:spacing w:after="0" w:line="240" w:lineRule="auto"/>
        <w:ind w:firstLine="720"/>
        <w:jc w:val="both"/>
        <w:rPr>
          <w:rFonts w:ascii="Cambria" w:hAnsi="Cambria"/>
          <w:sz w:val="20"/>
          <w:szCs w:val="20"/>
          <w:lang w:val="es-ES"/>
        </w:rPr>
      </w:pPr>
    </w:p>
    <w:p w14:paraId="02CC5092" w14:textId="77777777" w:rsidR="000D5786" w:rsidRPr="00067D4C" w:rsidRDefault="000D5786" w:rsidP="00C971DE">
      <w:pPr>
        <w:tabs>
          <w:tab w:val="left" w:pos="2430"/>
        </w:tabs>
        <w:spacing w:after="0" w:line="240" w:lineRule="auto"/>
        <w:ind w:firstLine="720"/>
        <w:jc w:val="both"/>
        <w:rPr>
          <w:rFonts w:ascii="Cambria" w:hAnsi="Cambria"/>
          <w:sz w:val="20"/>
          <w:szCs w:val="20"/>
          <w:lang w:val="es-ES"/>
        </w:rPr>
      </w:pPr>
      <w:r w:rsidRPr="00067D4C">
        <w:rPr>
          <w:rFonts w:ascii="Cambria" w:hAnsi="Cambria"/>
          <w:sz w:val="20"/>
          <w:szCs w:val="20"/>
          <w:lang w:val="es-ES"/>
        </w:rPr>
        <w:t xml:space="preserve">Con base en dichos fundamentos, la Comisión estableció </w:t>
      </w:r>
      <w:r w:rsidR="002B1CE3" w:rsidRPr="00067D4C">
        <w:rPr>
          <w:rFonts w:ascii="Cambria" w:hAnsi="Cambria"/>
          <w:sz w:val="20"/>
          <w:szCs w:val="20"/>
          <w:lang w:val="es-ES"/>
        </w:rPr>
        <w:t>que el Estado de Paraguay</w:t>
      </w:r>
      <w:r w:rsidRPr="00067D4C">
        <w:rPr>
          <w:rFonts w:ascii="Cambria" w:hAnsi="Cambria"/>
          <w:sz w:val="20"/>
          <w:szCs w:val="20"/>
          <w:lang w:val="es-ES"/>
        </w:rPr>
        <w:t xml:space="preserve"> </w:t>
      </w:r>
      <w:r w:rsidR="002B1CE3" w:rsidRPr="00067D4C">
        <w:rPr>
          <w:rFonts w:ascii="Cambria" w:hAnsi="Cambria"/>
          <w:sz w:val="20"/>
          <w:szCs w:val="20"/>
          <w:lang w:val="es-ES"/>
        </w:rPr>
        <w:t>violó los derechos del señor Nissen Pessolani a contar con decisiones motivadas, al principio de legalidad y a la libertad de expresión.</w:t>
      </w:r>
    </w:p>
    <w:p w14:paraId="733BADF5" w14:textId="77777777" w:rsidR="00E234BA" w:rsidRPr="00067D4C" w:rsidRDefault="00E234BA" w:rsidP="00E234BA">
      <w:pPr>
        <w:tabs>
          <w:tab w:val="left" w:pos="2430"/>
        </w:tabs>
        <w:spacing w:after="0" w:line="240" w:lineRule="auto"/>
        <w:ind w:firstLine="720"/>
        <w:jc w:val="both"/>
        <w:rPr>
          <w:rStyle w:val="Refdecomentario"/>
          <w:lang w:val="es-VE"/>
        </w:rPr>
      </w:pPr>
    </w:p>
    <w:p w14:paraId="538D7454" w14:textId="77777777" w:rsidR="002B1CE3" w:rsidRPr="00067D4C" w:rsidRDefault="00726093" w:rsidP="00726093">
      <w:pPr>
        <w:spacing w:after="0" w:line="240" w:lineRule="auto"/>
        <w:ind w:firstLine="720"/>
        <w:jc w:val="both"/>
        <w:rPr>
          <w:rFonts w:ascii="Cambria" w:hAnsi="Cambria"/>
          <w:sz w:val="20"/>
          <w:szCs w:val="20"/>
          <w:lang w:val="es-ES"/>
        </w:rPr>
      </w:pPr>
      <w:r w:rsidRPr="00067D4C">
        <w:rPr>
          <w:rFonts w:ascii="Cambria" w:hAnsi="Cambria"/>
          <w:sz w:val="20"/>
          <w:szCs w:val="20"/>
          <w:lang w:val="es-ES"/>
        </w:rPr>
        <w:t xml:space="preserve">Por </w:t>
      </w:r>
      <w:r w:rsidR="002B1CE3" w:rsidRPr="00067D4C">
        <w:rPr>
          <w:rFonts w:ascii="Cambria" w:hAnsi="Cambria"/>
          <w:sz w:val="20"/>
          <w:szCs w:val="20"/>
          <w:lang w:val="es-ES"/>
        </w:rPr>
        <w:t>otra parte</w:t>
      </w:r>
      <w:r w:rsidRPr="00067D4C">
        <w:rPr>
          <w:rFonts w:ascii="Cambria" w:hAnsi="Cambria"/>
          <w:sz w:val="20"/>
          <w:szCs w:val="20"/>
          <w:lang w:val="es-ES"/>
        </w:rPr>
        <w:t xml:space="preserve">, en relación con el derecho a recurrir el fallo y la protección judicial, la Comisión observó </w:t>
      </w:r>
      <w:r w:rsidR="002B1CE3" w:rsidRPr="00067D4C">
        <w:rPr>
          <w:rFonts w:ascii="Cambria" w:hAnsi="Cambria"/>
          <w:sz w:val="20"/>
          <w:szCs w:val="20"/>
          <w:lang w:val="es-ES"/>
        </w:rPr>
        <w:t xml:space="preserve">que, </w:t>
      </w:r>
      <w:r w:rsidR="005E5597" w:rsidRPr="00067D4C">
        <w:rPr>
          <w:rFonts w:ascii="Cambria" w:hAnsi="Cambria"/>
          <w:sz w:val="20"/>
          <w:szCs w:val="20"/>
          <w:lang w:val="es-ES"/>
        </w:rPr>
        <w:t xml:space="preserve">el recurso de reposición y aclaratoria, previsto en la normativa, no permitía una revisión integral de las resoluciones del JEM. Además, la Comisión consideró que </w:t>
      </w:r>
      <w:r w:rsidR="002B1CE3" w:rsidRPr="00067D4C">
        <w:rPr>
          <w:rFonts w:ascii="Cambria" w:hAnsi="Cambria"/>
          <w:sz w:val="20"/>
          <w:szCs w:val="20"/>
          <w:lang w:val="es-ES"/>
        </w:rPr>
        <w:t>si bien el señor Nissen Pessolani interpuso una acción de inconstitucionalidad, dicho recurso fue inefectiv</w:t>
      </w:r>
      <w:r w:rsidR="00972478" w:rsidRPr="00067D4C">
        <w:rPr>
          <w:rFonts w:ascii="Cambria" w:hAnsi="Cambria"/>
          <w:sz w:val="20"/>
          <w:szCs w:val="20"/>
          <w:lang w:val="es-ES"/>
        </w:rPr>
        <w:t xml:space="preserve">o para proteger los derechos </w:t>
      </w:r>
      <w:r w:rsidR="002B1CE3" w:rsidRPr="00067D4C">
        <w:rPr>
          <w:rFonts w:ascii="Cambria" w:hAnsi="Cambria"/>
          <w:sz w:val="20"/>
          <w:szCs w:val="20"/>
          <w:lang w:val="es-ES"/>
        </w:rPr>
        <w:t xml:space="preserve">de la víctima. </w:t>
      </w:r>
    </w:p>
    <w:p w14:paraId="74B4951A" w14:textId="77777777" w:rsidR="008A3F04" w:rsidRPr="00067D4C" w:rsidRDefault="008A3F04" w:rsidP="00726093">
      <w:pPr>
        <w:spacing w:after="0" w:line="240" w:lineRule="auto"/>
        <w:ind w:firstLine="720"/>
        <w:jc w:val="both"/>
        <w:rPr>
          <w:rFonts w:ascii="Cambria" w:hAnsi="Cambria"/>
          <w:sz w:val="20"/>
          <w:szCs w:val="20"/>
          <w:lang w:val="es-ES"/>
        </w:rPr>
      </w:pPr>
    </w:p>
    <w:p w14:paraId="4EC8F770" w14:textId="77777777" w:rsidR="00B817D2" w:rsidRPr="00067D4C" w:rsidRDefault="008A3F04" w:rsidP="00B817D2">
      <w:pPr>
        <w:spacing w:after="0" w:line="240" w:lineRule="auto"/>
        <w:ind w:firstLine="720"/>
        <w:jc w:val="both"/>
        <w:rPr>
          <w:rFonts w:ascii="Cambria" w:hAnsi="Cambria"/>
          <w:sz w:val="20"/>
          <w:szCs w:val="20"/>
          <w:lang w:val="es-ES"/>
        </w:rPr>
      </w:pPr>
      <w:r w:rsidRPr="00067D4C">
        <w:rPr>
          <w:rFonts w:ascii="Cambria" w:hAnsi="Cambria"/>
          <w:sz w:val="20"/>
          <w:szCs w:val="20"/>
          <w:lang w:val="es-ES"/>
        </w:rPr>
        <w:t xml:space="preserve">Por último, la Comisión </w:t>
      </w:r>
      <w:r w:rsidR="00B817D2" w:rsidRPr="00067D4C">
        <w:rPr>
          <w:rFonts w:ascii="Cambria" w:hAnsi="Cambria"/>
          <w:sz w:val="20"/>
          <w:szCs w:val="20"/>
          <w:lang w:val="es-ES"/>
        </w:rPr>
        <w:t xml:space="preserve">reiteró que, cuando se afecta en forma arbitraria la permanencia de los jueces y las juezas en su cargo, se vulnera el derecho a la independencia judicial en conjunción con el derecho de acceso y permanencia en condiciones generales de igualdad en un cargo público, establecido en el artículo 23.1.c. Recordó asimismo que las garantías de estabilidad reforzada de jueces y juezas también son aplicables a fiscales para garantizar la independencia en el ejercicio de sus cargos. Con base en ello, y teniendo en cuenta las violaciones establecidas en el proceso disciplinario contra el señor Nissen Pessolani, la Comisión concluyó que el Estado violó el derecho de la víctima de acceder a cargos públicos en condiciones de igualdad. </w:t>
      </w:r>
    </w:p>
    <w:p w14:paraId="0EC95A3C" w14:textId="77777777" w:rsidR="002B1CE3" w:rsidRPr="00067D4C" w:rsidRDefault="002B1CE3" w:rsidP="00726093">
      <w:pPr>
        <w:tabs>
          <w:tab w:val="left" w:pos="360"/>
          <w:tab w:val="left" w:pos="720"/>
          <w:tab w:val="left" w:pos="1440"/>
        </w:tabs>
        <w:spacing w:after="0" w:line="240" w:lineRule="auto"/>
        <w:jc w:val="both"/>
        <w:rPr>
          <w:rFonts w:ascii="Cambria" w:hAnsi="Cambria"/>
          <w:sz w:val="20"/>
          <w:szCs w:val="20"/>
          <w:lang w:val="es-ES"/>
        </w:rPr>
      </w:pPr>
    </w:p>
    <w:p w14:paraId="5D975B67" w14:textId="77777777" w:rsidR="0019423F" w:rsidRPr="00067D4C" w:rsidRDefault="0019423F" w:rsidP="0016342D">
      <w:pPr>
        <w:tabs>
          <w:tab w:val="left" w:pos="720"/>
          <w:tab w:val="left" w:pos="2880"/>
        </w:tabs>
        <w:spacing w:after="0" w:line="240" w:lineRule="auto"/>
        <w:jc w:val="both"/>
        <w:rPr>
          <w:rFonts w:ascii="Cambria" w:hAnsi="Cambria" w:cs="Arial"/>
          <w:sz w:val="20"/>
          <w:szCs w:val="20"/>
          <w:lang w:val="es-CO"/>
        </w:rPr>
      </w:pPr>
      <w:r w:rsidRPr="00067D4C">
        <w:rPr>
          <w:rFonts w:ascii="Cambria" w:hAnsi="Cambria" w:cs="Arial"/>
          <w:sz w:val="20"/>
          <w:szCs w:val="20"/>
          <w:lang w:val="es-CO"/>
        </w:rPr>
        <w:tab/>
        <w:t xml:space="preserve">El Estado ratificó la Convención Americana sobre Derechos Humanos el 24 de agosto de 1989 y aceptó la competencia contenciosa de la Corte el 26 de marzo de 1993. </w:t>
      </w:r>
    </w:p>
    <w:p w14:paraId="129A73AF" w14:textId="77777777" w:rsidR="009C28B6" w:rsidRPr="00067D4C" w:rsidRDefault="009C28B6" w:rsidP="008B644A">
      <w:pPr>
        <w:spacing w:after="0" w:line="240" w:lineRule="auto"/>
        <w:jc w:val="both"/>
        <w:rPr>
          <w:rFonts w:ascii="Cambria" w:hAnsi="Cambria" w:cs="Arial"/>
          <w:snapToGrid w:val="0"/>
          <w:sz w:val="20"/>
          <w:szCs w:val="20"/>
          <w:lang w:val="es-CO"/>
        </w:rPr>
      </w:pPr>
    </w:p>
    <w:p w14:paraId="4A54BE51" w14:textId="77777777" w:rsidR="009472CB" w:rsidRPr="00067D4C" w:rsidRDefault="009F4883" w:rsidP="0032396B">
      <w:pPr>
        <w:spacing w:after="0" w:line="240" w:lineRule="auto"/>
        <w:ind w:firstLine="720"/>
        <w:jc w:val="both"/>
        <w:rPr>
          <w:rFonts w:ascii="Cambria" w:hAnsi="Cambria" w:cs="Calibri"/>
          <w:sz w:val="20"/>
          <w:szCs w:val="20"/>
          <w:lang w:val="es-ES"/>
        </w:rPr>
      </w:pPr>
      <w:r w:rsidRPr="00067D4C">
        <w:rPr>
          <w:rFonts w:ascii="Cambria" w:hAnsi="Cambria"/>
          <w:sz w:val="20"/>
          <w:szCs w:val="20"/>
          <w:lang w:val="es-CO"/>
        </w:rPr>
        <w:lastRenderedPageBreak/>
        <w:t>L</w:t>
      </w:r>
      <w:r w:rsidR="009C28B6" w:rsidRPr="00067D4C">
        <w:rPr>
          <w:rFonts w:ascii="Cambria" w:hAnsi="Cambria"/>
          <w:sz w:val="20"/>
          <w:szCs w:val="20"/>
          <w:lang w:val="es-CO"/>
        </w:rPr>
        <w:t xml:space="preserve">a Comisión ha designado al Comisionado </w:t>
      </w:r>
      <w:r w:rsidRPr="00067D4C">
        <w:rPr>
          <w:rFonts w:ascii="Cambria" w:hAnsi="Cambria"/>
          <w:sz w:val="20"/>
          <w:szCs w:val="20"/>
          <w:lang w:val="es-CO"/>
        </w:rPr>
        <w:t>Edgar Stuardo Ralón Orellana</w:t>
      </w:r>
      <w:r w:rsidR="009C28B6" w:rsidRPr="00067D4C">
        <w:rPr>
          <w:rFonts w:ascii="Cambria" w:hAnsi="Cambria"/>
          <w:sz w:val="20"/>
          <w:szCs w:val="20"/>
          <w:lang w:val="es-CO"/>
        </w:rPr>
        <w:t xml:space="preserve"> como su delegado. Asimismo, </w:t>
      </w:r>
      <w:r w:rsidR="009472CB" w:rsidRPr="00067D4C">
        <w:rPr>
          <w:rFonts w:ascii="Cambria" w:hAnsi="Cambria"/>
          <w:sz w:val="20"/>
          <w:szCs w:val="20"/>
          <w:lang w:val="es-CO"/>
        </w:rPr>
        <w:t>Marisol Blanchard</w:t>
      </w:r>
      <w:r w:rsidR="00D514FC" w:rsidRPr="00067D4C">
        <w:rPr>
          <w:rFonts w:ascii="Cambria" w:hAnsi="Cambria"/>
          <w:sz w:val="20"/>
          <w:szCs w:val="20"/>
          <w:lang w:val="es-CO"/>
        </w:rPr>
        <w:t xml:space="preserve"> Vera</w:t>
      </w:r>
      <w:r w:rsidR="009472CB" w:rsidRPr="00067D4C">
        <w:rPr>
          <w:rFonts w:ascii="Cambria" w:hAnsi="Cambria"/>
          <w:sz w:val="20"/>
          <w:szCs w:val="20"/>
          <w:lang w:val="es-CO"/>
        </w:rPr>
        <w:t xml:space="preserve">, Secretaria Ejecutiva Adjunta, Jorge Meza Flores y </w:t>
      </w:r>
      <w:r w:rsidR="00726093" w:rsidRPr="00067D4C">
        <w:rPr>
          <w:rFonts w:ascii="Cambria" w:hAnsi="Cambria"/>
          <w:sz w:val="20"/>
          <w:szCs w:val="20"/>
          <w:lang w:val="es-CO"/>
        </w:rPr>
        <w:t>Daniela Saavedra Murillo</w:t>
      </w:r>
      <w:r w:rsidR="009472CB" w:rsidRPr="00067D4C">
        <w:rPr>
          <w:rFonts w:ascii="Cambria" w:hAnsi="Cambria"/>
          <w:sz w:val="20"/>
          <w:szCs w:val="20"/>
          <w:lang w:val="es-CO"/>
        </w:rPr>
        <w:t xml:space="preserve">, </w:t>
      </w:r>
      <w:r w:rsidRPr="00067D4C">
        <w:rPr>
          <w:rFonts w:ascii="Cambria" w:hAnsi="Cambria" w:cs="Calibri"/>
          <w:sz w:val="20"/>
          <w:szCs w:val="20"/>
          <w:lang w:val="es-ES"/>
        </w:rPr>
        <w:t xml:space="preserve">especialistas de la Secretaría Ejecutiva de la CIDH, actuarán como asesoras y asesor legales. </w:t>
      </w:r>
    </w:p>
    <w:p w14:paraId="3015F6AE" w14:textId="77777777" w:rsidR="009C28B6" w:rsidRPr="00067D4C" w:rsidRDefault="009C28B6" w:rsidP="008B644A">
      <w:pPr>
        <w:tabs>
          <w:tab w:val="left" w:pos="709"/>
          <w:tab w:val="left" w:pos="1134"/>
        </w:tabs>
        <w:spacing w:after="0" w:line="240" w:lineRule="auto"/>
        <w:jc w:val="both"/>
        <w:rPr>
          <w:rFonts w:ascii="Cambria" w:hAnsi="Cambria" w:cs="Arial"/>
          <w:sz w:val="20"/>
          <w:szCs w:val="20"/>
          <w:lang w:val="es-CO"/>
        </w:rPr>
      </w:pPr>
    </w:p>
    <w:p w14:paraId="55A52F1A" w14:textId="77777777" w:rsidR="00783971" w:rsidRPr="00067D4C" w:rsidRDefault="009C28B6" w:rsidP="0032723E">
      <w:pPr>
        <w:spacing w:after="0" w:line="240" w:lineRule="auto"/>
        <w:ind w:firstLine="720"/>
        <w:jc w:val="both"/>
        <w:rPr>
          <w:rFonts w:ascii="Cambria" w:hAnsi="Cambria"/>
          <w:sz w:val="20"/>
          <w:szCs w:val="20"/>
          <w:lang w:val="es-CO"/>
        </w:rPr>
      </w:pPr>
      <w:r w:rsidRPr="00067D4C">
        <w:rPr>
          <w:rFonts w:ascii="Cambria" w:hAnsi="Cambria" w:cs="Arial"/>
          <w:sz w:val="20"/>
          <w:szCs w:val="20"/>
          <w:lang w:val="es-CO"/>
        </w:rPr>
        <w:t xml:space="preserve">De conformidad con el artículo 35 del Reglamento de la Corte Interamericana, la Comisión adjunta </w:t>
      </w:r>
      <w:r w:rsidR="00C7444C" w:rsidRPr="00067D4C">
        <w:rPr>
          <w:rFonts w:ascii="Cambria" w:hAnsi="Cambria"/>
          <w:sz w:val="20"/>
          <w:szCs w:val="20"/>
          <w:lang w:val="es-CO"/>
        </w:rPr>
        <w:t>copia del I</w:t>
      </w:r>
      <w:r w:rsidRPr="00067D4C">
        <w:rPr>
          <w:rFonts w:ascii="Cambria" w:hAnsi="Cambria"/>
          <w:sz w:val="20"/>
          <w:szCs w:val="20"/>
          <w:lang w:val="es-CO"/>
        </w:rPr>
        <w:t>nforme</w:t>
      </w:r>
      <w:r w:rsidR="006A44FD" w:rsidRPr="00067D4C">
        <w:rPr>
          <w:rFonts w:ascii="Cambria" w:hAnsi="Cambria"/>
          <w:sz w:val="20"/>
          <w:szCs w:val="20"/>
          <w:lang w:val="es-CO"/>
        </w:rPr>
        <w:t xml:space="preserve"> de Fondo</w:t>
      </w:r>
      <w:r w:rsidRPr="00067D4C">
        <w:rPr>
          <w:rFonts w:ascii="Cambria" w:hAnsi="Cambria"/>
          <w:sz w:val="20"/>
          <w:szCs w:val="20"/>
          <w:lang w:val="es-CO"/>
        </w:rPr>
        <w:t xml:space="preserve"> </w:t>
      </w:r>
      <w:r w:rsidR="00C7444C" w:rsidRPr="00067D4C">
        <w:rPr>
          <w:rFonts w:ascii="Cambria" w:hAnsi="Cambria"/>
          <w:sz w:val="20"/>
          <w:szCs w:val="20"/>
          <w:lang w:val="es-CO"/>
        </w:rPr>
        <w:t xml:space="preserve">Nº </w:t>
      </w:r>
      <w:r w:rsidR="00726093" w:rsidRPr="00067D4C">
        <w:rPr>
          <w:rFonts w:ascii="Cambria" w:hAnsi="Cambria"/>
          <w:sz w:val="20"/>
          <w:szCs w:val="20"/>
          <w:lang w:val="es-CO"/>
        </w:rPr>
        <w:t>301</w:t>
      </w:r>
      <w:r w:rsidR="00C860D8" w:rsidRPr="00067D4C">
        <w:rPr>
          <w:rFonts w:ascii="Cambria" w:hAnsi="Cambria"/>
          <w:sz w:val="20"/>
          <w:szCs w:val="20"/>
          <w:lang w:val="es-CO"/>
        </w:rPr>
        <w:t>/20</w:t>
      </w:r>
      <w:r w:rsidRPr="00067D4C">
        <w:rPr>
          <w:rFonts w:ascii="Cambria" w:hAnsi="Cambria"/>
          <w:sz w:val="20"/>
          <w:szCs w:val="20"/>
          <w:lang w:val="es-CO"/>
        </w:rPr>
        <w:t xml:space="preserve"> elaborado en observancia del artículo 50 de la Convención, así como copia de la totalidad del expediente ante la Comisión Interamericana (Apéndice I) y los anexos ut</w:t>
      </w:r>
      <w:r w:rsidR="00C7444C" w:rsidRPr="00067D4C">
        <w:rPr>
          <w:rFonts w:ascii="Cambria" w:hAnsi="Cambria"/>
          <w:sz w:val="20"/>
          <w:szCs w:val="20"/>
          <w:lang w:val="es-CO"/>
        </w:rPr>
        <w:t>ilizados en la elaboración del I</w:t>
      </w:r>
      <w:r w:rsidRPr="00067D4C">
        <w:rPr>
          <w:rFonts w:ascii="Cambria" w:hAnsi="Cambria"/>
          <w:sz w:val="20"/>
          <w:szCs w:val="20"/>
          <w:lang w:val="es-CO"/>
        </w:rPr>
        <w:t>nforme</w:t>
      </w:r>
      <w:r w:rsidR="006A44FD" w:rsidRPr="00067D4C">
        <w:rPr>
          <w:rFonts w:ascii="Cambria" w:hAnsi="Cambria"/>
          <w:sz w:val="20"/>
          <w:szCs w:val="20"/>
          <w:lang w:val="es-CO"/>
        </w:rPr>
        <w:t xml:space="preserve"> de Fondo</w:t>
      </w:r>
      <w:r w:rsidR="00140494" w:rsidRPr="00067D4C">
        <w:rPr>
          <w:rFonts w:ascii="Cambria" w:hAnsi="Cambria"/>
          <w:sz w:val="20"/>
          <w:szCs w:val="20"/>
          <w:lang w:val="es-CO"/>
        </w:rPr>
        <w:t xml:space="preserve"> </w:t>
      </w:r>
      <w:r w:rsidR="00C7444C" w:rsidRPr="00067D4C">
        <w:rPr>
          <w:rFonts w:ascii="Cambria" w:hAnsi="Cambria"/>
          <w:sz w:val="20"/>
          <w:szCs w:val="20"/>
          <w:lang w:val="es-CO"/>
        </w:rPr>
        <w:t xml:space="preserve">Nº </w:t>
      </w:r>
      <w:r w:rsidR="00726093" w:rsidRPr="00067D4C">
        <w:rPr>
          <w:rFonts w:ascii="Cambria" w:hAnsi="Cambria"/>
          <w:sz w:val="20"/>
          <w:szCs w:val="20"/>
          <w:lang w:val="es-CO"/>
        </w:rPr>
        <w:t>301</w:t>
      </w:r>
      <w:r w:rsidR="00C860D8" w:rsidRPr="00067D4C">
        <w:rPr>
          <w:rFonts w:ascii="Cambria" w:hAnsi="Cambria"/>
          <w:sz w:val="20"/>
          <w:szCs w:val="20"/>
          <w:lang w:val="es-CO"/>
        </w:rPr>
        <w:t>/20</w:t>
      </w:r>
      <w:r w:rsidRPr="00067D4C">
        <w:rPr>
          <w:rFonts w:ascii="Cambria" w:hAnsi="Cambria"/>
          <w:sz w:val="20"/>
          <w:szCs w:val="20"/>
          <w:lang w:val="es-CO"/>
        </w:rPr>
        <w:t xml:space="preserve"> (Anexos). Dicho informe de fondo </w:t>
      </w:r>
      <w:r w:rsidRPr="00067D4C">
        <w:rPr>
          <w:rFonts w:ascii="Cambria" w:hAnsi="Cambria"/>
          <w:sz w:val="20"/>
          <w:szCs w:val="20"/>
          <w:lang w:val="es-AR"/>
        </w:rPr>
        <w:t>fue notificado al Estado de P</w:t>
      </w:r>
      <w:r w:rsidR="00037EDE" w:rsidRPr="00067D4C">
        <w:rPr>
          <w:rFonts w:ascii="Cambria" w:hAnsi="Cambria"/>
          <w:sz w:val="20"/>
          <w:szCs w:val="20"/>
          <w:lang w:val="es-AR"/>
        </w:rPr>
        <w:t xml:space="preserve">araguay </w:t>
      </w:r>
      <w:r w:rsidR="00C860D8" w:rsidRPr="00067D4C">
        <w:rPr>
          <w:rFonts w:ascii="Cambria" w:hAnsi="Cambria"/>
          <w:sz w:val="20"/>
          <w:szCs w:val="20"/>
          <w:lang w:val="es-AR"/>
        </w:rPr>
        <w:t xml:space="preserve">el </w:t>
      </w:r>
      <w:r w:rsidR="00726093" w:rsidRPr="00067D4C">
        <w:rPr>
          <w:rFonts w:ascii="Cambria" w:hAnsi="Cambria"/>
          <w:sz w:val="20"/>
          <w:szCs w:val="20"/>
          <w:lang w:val="es-AR"/>
        </w:rPr>
        <w:t>11 de diciembre</w:t>
      </w:r>
      <w:r w:rsidR="00C860D8" w:rsidRPr="00067D4C">
        <w:rPr>
          <w:rFonts w:ascii="Cambria" w:hAnsi="Cambria"/>
          <w:sz w:val="20"/>
          <w:szCs w:val="20"/>
          <w:lang w:val="es-AR"/>
        </w:rPr>
        <w:t xml:space="preserve"> de 2020</w:t>
      </w:r>
      <w:r w:rsidRPr="00067D4C">
        <w:rPr>
          <w:rFonts w:ascii="Cambria" w:hAnsi="Cambria"/>
          <w:sz w:val="20"/>
          <w:szCs w:val="20"/>
          <w:lang w:val="es-AR"/>
        </w:rPr>
        <w:t xml:space="preserve">, otorgándole un plazo de dos meses para informar sobre el cumplimiento de las recomendaciones. </w:t>
      </w:r>
      <w:r w:rsidR="006A44FD" w:rsidRPr="00067D4C">
        <w:rPr>
          <w:rFonts w:ascii="Cambria" w:hAnsi="Cambria"/>
          <w:sz w:val="20"/>
          <w:szCs w:val="20"/>
          <w:lang w:val="es-AR"/>
        </w:rPr>
        <w:t>En su respuesta al Informe de Fondo</w:t>
      </w:r>
      <w:r w:rsidR="009F0964" w:rsidRPr="00067D4C">
        <w:rPr>
          <w:rFonts w:ascii="Cambria" w:hAnsi="Cambria"/>
          <w:sz w:val="20"/>
          <w:szCs w:val="20"/>
          <w:lang w:val="es-AR"/>
        </w:rPr>
        <w:t>,</w:t>
      </w:r>
      <w:r w:rsidR="006A44FD" w:rsidRPr="00067D4C">
        <w:rPr>
          <w:rFonts w:ascii="Cambria" w:hAnsi="Cambria"/>
          <w:sz w:val="20"/>
          <w:szCs w:val="20"/>
          <w:lang w:val="es-AR"/>
        </w:rPr>
        <w:t xml:space="preserve"> el Estado de Paraguay </w:t>
      </w:r>
      <w:r w:rsidR="009F0964" w:rsidRPr="00067D4C">
        <w:rPr>
          <w:rFonts w:ascii="Cambria" w:hAnsi="Cambria"/>
          <w:sz w:val="20"/>
          <w:szCs w:val="20"/>
          <w:lang w:val="es-AR"/>
        </w:rPr>
        <w:t xml:space="preserve">rechazó </w:t>
      </w:r>
      <w:r w:rsidR="009F0964" w:rsidRPr="00067D4C">
        <w:rPr>
          <w:rFonts w:ascii="Cambria" w:hAnsi="Cambria"/>
          <w:sz w:val="20"/>
          <w:szCs w:val="20"/>
          <w:lang w:val="es-US"/>
        </w:rPr>
        <w:t xml:space="preserve">las conclusiones y recomendaciones de la CIDH por considerar que las actuaciones del Estado en el marco de los hechos del presente caso se ajustan a las normas legales y constitucionales aplicables. </w:t>
      </w:r>
      <w:r w:rsidRPr="00067D4C">
        <w:rPr>
          <w:rFonts w:ascii="Cambria" w:hAnsi="Cambria"/>
          <w:sz w:val="20"/>
          <w:szCs w:val="20"/>
          <w:lang w:val="es-AR"/>
        </w:rPr>
        <w:t xml:space="preserve">En virtud de lo anterior, la </w:t>
      </w:r>
      <w:r w:rsidRPr="00067D4C">
        <w:rPr>
          <w:rFonts w:ascii="Cambria" w:hAnsi="Cambria"/>
          <w:sz w:val="20"/>
          <w:szCs w:val="20"/>
          <w:lang w:val="es-CO"/>
        </w:rPr>
        <w:t>Comisión decidió enviar el caso a la Corte Interamericana ante la necesidad de obtención de justicia</w:t>
      </w:r>
      <w:r w:rsidR="007C5CB5" w:rsidRPr="00067D4C">
        <w:rPr>
          <w:rFonts w:ascii="Cambria" w:hAnsi="Cambria"/>
          <w:sz w:val="20"/>
          <w:szCs w:val="20"/>
          <w:lang w:val="es-CO"/>
        </w:rPr>
        <w:t xml:space="preserve"> y reparación</w:t>
      </w:r>
      <w:r w:rsidRPr="00067D4C">
        <w:rPr>
          <w:rFonts w:ascii="Cambria" w:hAnsi="Cambria"/>
          <w:sz w:val="20"/>
          <w:szCs w:val="20"/>
          <w:lang w:val="es-CO"/>
        </w:rPr>
        <w:t xml:space="preserve"> para la víctima. </w:t>
      </w:r>
    </w:p>
    <w:p w14:paraId="3D0CD3A2" w14:textId="77777777" w:rsidR="0032723E" w:rsidRPr="00067D4C" w:rsidRDefault="0032723E" w:rsidP="0032723E">
      <w:pPr>
        <w:spacing w:after="0" w:line="240" w:lineRule="auto"/>
        <w:ind w:firstLine="720"/>
        <w:jc w:val="both"/>
        <w:rPr>
          <w:rFonts w:ascii="Cambria" w:hAnsi="Cambria"/>
          <w:sz w:val="20"/>
          <w:szCs w:val="20"/>
          <w:lang w:val="es-CO"/>
        </w:rPr>
      </w:pPr>
    </w:p>
    <w:p w14:paraId="301FC9DD" w14:textId="77777777" w:rsidR="00726093" w:rsidRPr="00067D4C" w:rsidRDefault="00726093" w:rsidP="00726093">
      <w:pPr>
        <w:tabs>
          <w:tab w:val="left" w:pos="360"/>
          <w:tab w:val="left" w:pos="720"/>
          <w:tab w:val="left" w:pos="1440"/>
        </w:tabs>
        <w:spacing w:after="0" w:line="240" w:lineRule="auto"/>
        <w:jc w:val="both"/>
        <w:rPr>
          <w:rFonts w:ascii="Cambria" w:hAnsi="Cambria"/>
          <w:sz w:val="20"/>
          <w:szCs w:val="20"/>
          <w:lang w:val="es-ES"/>
        </w:rPr>
      </w:pPr>
      <w:r w:rsidRPr="00067D4C">
        <w:rPr>
          <w:rFonts w:ascii="Cambria" w:hAnsi="Cambria"/>
          <w:sz w:val="20"/>
          <w:szCs w:val="20"/>
          <w:lang w:val="es-CO"/>
        </w:rPr>
        <w:tab/>
      </w:r>
      <w:r w:rsidRPr="00067D4C">
        <w:rPr>
          <w:rFonts w:ascii="Cambria" w:hAnsi="Cambria"/>
          <w:sz w:val="20"/>
          <w:szCs w:val="20"/>
          <w:lang w:val="es-CO"/>
        </w:rPr>
        <w:tab/>
      </w:r>
      <w:r w:rsidR="009C28B6" w:rsidRPr="00067D4C">
        <w:rPr>
          <w:rFonts w:ascii="Cambria" w:hAnsi="Cambria"/>
          <w:sz w:val="20"/>
          <w:szCs w:val="20"/>
          <w:lang w:val="es-CO"/>
        </w:rPr>
        <w:t>En ese sentido, la Comisión solicita a la Corte que concluya y declare la responsabilidad internacional del</w:t>
      </w:r>
      <w:r w:rsidR="009C28B6" w:rsidRPr="00067D4C">
        <w:rPr>
          <w:rFonts w:ascii="Cambria" w:hAnsi="Cambria" w:cs="Arial"/>
          <w:sz w:val="20"/>
          <w:szCs w:val="20"/>
          <w:lang w:val="es-CL"/>
        </w:rPr>
        <w:t xml:space="preserve"> Estado de </w:t>
      </w:r>
      <w:r w:rsidR="003D7387" w:rsidRPr="00067D4C">
        <w:rPr>
          <w:rFonts w:ascii="Cambria" w:hAnsi="Cambria" w:cs="Arial"/>
          <w:sz w:val="20"/>
          <w:szCs w:val="20"/>
          <w:lang w:val="es-CL"/>
        </w:rPr>
        <w:t xml:space="preserve">Paraguay </w:t>
      </w:r>
      <w:r w:rsidR="00783971" w:rsidRPr="00067D4C">
        <w:rPr>
          <w:rFonts w:ascii="Cambria" w:hAnsi="Cambria"/>
          <w:sz w:val="20"/>
          <w:szCs w:val="20"/>
          <w:lang w:val="es-CL"/>
        </w:rPr>
        <w:t xml:space="preserve">por la violación de los </w:t>
      </w:r>
      <w:r w:rsidRPr="00067D4C">
        <w:rPr>
          <w:rFonts w:ascii="Cambria" w:hAnsi="Cambria"/>
          <w:sz w:val="20"/>
          <w:szCs w:val="20"/>
          <w:lang w:val="es-ES"/>
        </w:rPr>
        <w:t>derechos a las garantías judiciales, principio de legalidad, libertad de expresión y a la protección judicial, consagrados en los artículos 8.1, 8.2 b), 8.2 c), 8.2 h) 9, 13.1, 13.2, 23.1 c) y 25.1 de la Convención Americana sobre Derechos Humanos, en relación con las obligaciones establecidas en los artículos 1.1 y 2 del mismo instrumento, en perjuicio de Alejandro Nissen Pessolani.</w:t>
      </w:r>
    </w:p>
    <w:p w14:paraId="4E8FFF39" w14:textId="77777777" w:rsidR="00C7444C" w:rsidRPr="00067D4C" w:rsidRDefault="00C7444C" w:rsidP="002A348D">
      <w:pPr>
        <w:spacing w:after="0" w:line="240" w:lineRule="auto"/>
        <w:ind w:firstLine="720"/>
        <w:jc w:val="both"/>
        <w:rPr>
          <w:rFonts w:ascii="Cambria" w:hAnsi="Cambria"/>
          <w:sz w:val="20"/>
          <w:szCs w:val="20"/>
          <w:lang w:val="es-ES"/>
        </w:rPr>
      </w:pPr>
    </w:p>
    <w:p w14:paraId="053F02AE" w14:textId="77777777" w:rsidR="00F93C52" w:rsidRPr="00067D4C" w:rsidRDefault="009C28B6" w:rsidP="00F93C52">
      <w:pPr>
        <w:autoSpaceDE w:val="0"/>
        <w:autoSpaceDN w:val="0"/>
        <w:adjustRightInd w:val="0"/>
        <w:spacing w:after="0" w:line="240" w:lineRule="auto"/>
        <w:ind w:firstLine="720"/>
        <w:jc w:val="both"/>
        <w:rPr>
          <w:rFonts w:ascii="Cambria" w:hAnsi="Cambria"/>
          <w:sz w:val="20"/>
          <w:szCs w:val="20"/>
          <w:lang w:val="es-CO"/>
        </w:rPr>
      </w:pPr>
      <w:r w:rsidRPr="00067D4C">
        <w:rPr>
          <w:rFonts w:ascii="Cambria" w:hAnsi="Cambria"/>
          <w:sz w:val="20"/>
          <w:szCs w:val="20"/>
          <w:lang w:val="es-CO"/>
        </w:rPr>
        <w:t>La Comisión solicita a la Corte que establezca las si</w:t>
      </w:r>
      <w:r w:rsidR="00F93C52" w:rsidRPr="00067D4C">
        <w:rPr>
          <w:rFonts w:ascii="Cambria" w:hAnsi="Cambria"/>
          <w:sz w:val="20"/>
          <w:szCs w:val="20"/>
          <w:lang w:val="es-CO"/>
        </w:rPr>
        <w:t>guientes medidas de reparación:</w:t>
      </w:r>
    </w:p>
    <w:p w14:paraId="5D567FF0" w14:textId="77777777" w:rsidR="00F93C52" w:rsidRPr="00067D4C" w:rsidRDefault="00F93C52" w:rsidP="00F93C52">
      <w:pPr>
        <w:autoSpaceDE w:val="0"/>
        <w:autoSpaceDN w:val="0"/>
        <w:adjustRightInd w:val="0"/>
        <w:spacing w:after="0" w:line="240" w:lineRule="auto"/>
        <w:ind w:firstLine="720"/>
        <w:jc w:val="both"/>
        <w:rPr>
          <w:rFonts w:ascii="Cambria" w:hAnsi="Cambria"/>
          <w:sz w:val="20"/>
          <w:szCs w:val="20"/>
          <w:lang w:val="es-CO"/>
        </w:rPr>
      </w:pPr>
    </w:p>
    <w:p w14:paraId="5A76F2E7" w14:textId="77777777" w:rsidR="00726093" w:rsidRPr="00067D4C" w:rsidRDefault="00726093" w:rsidP="00726093">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 w:val="left" w:pos="1440"/>
        </w:tabs>
        <w:ind w:left="720" w:right="720" w:firstLine="0"/>
        <w:jc w:val="both"/>
        <w:rPr>
          <w:color w:val="auto"/>
          <w:spacing w:val="-2"/>
          <w:sz w:val="20"/>
          <w:szCs w:val="20"/>
          <w:lang w:val="es-CO"/>
        </w:rPr>
      </w:pPr>
      <w:r w:rsidRPr="00067D4C">
        <w:rPr>
          <w:rFonts w:eastAsia="Times New Roman"/>
          <w:color w:val="auto"/>
          <w:sz w:val="15"/>
          <w:szCs w:val="15"/>
          <w:bdr w:val="none" w:sz="0" w:space="0" w:color="auto"/>
          <w:lang w:val="es-US"/>
        </w:rPr>
        <w:t> </w:t>
      </w:r>
      <w:r w:rsidRPr="00067D4C">
        <w:rPr>
          <w:color w:val="auto"/>
          <w:spacing w:val="-2"/>
          <w:sz w:val="20"/>
          <w:szCs w:val="20"/>
          <w:lang w:val="es-CO"/>
        </w:rPr>
        <w:t xml:space="preserve">Reincorporar a la víctima en un cargo similar al que desempeñaba, con la misma remuneración, beneficios sociales y rango equiparable al que le correspondería el día de hoy si no hubiera sido cesada. En caso de que esta no sea la voluntad de la víctima o que existan razones objetivas que impidan la reincorporación, el Estado deberá pagar una indemnización por este motivo, que es independiente de las reparaciones relativas al daño material y moral incluidas en la recomendación número dos. </w:t>
      </w:r>
    </w:p>
    <w:p w14:paraId="20516428" w14:textId="77777777" w:rsidR="00726093" w:rsidRPr="00067D4C" w:rsidRDefault="00726093" w:rsidP="00726093">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080"/>
          <w:tab w:val="left" w:pos="1440"/>
        </w:tabs>
        <w:ind w:right="720"/>
        <w:jc w:val="both"/>
        <w:rPr>
          <w:color w:val="auto"/>
          <w:spacing w:val="-2"/>
          <w:sz w:val="20"/>
          <w:szCs w:val="20"/>
          <w:lang w:val="es-CO"/>
        </w:rPr>
      </w:pPr>
    </w:p>
    <w:p w14:paraId="6D7C1D02" w14:textId="77777777" w:rsidR="00726093" w:rsidRPr="00067D4C" w:rsidRDefault="00726093" w:rsidP="00726093">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 w:val="left" w:pos="1440"/>
        </w:tabs>
        <w:ind w:left="720" w:right="720" w:firstLine="0"/>
        <w:jc w:val="both"/>
        <w:rPr>
          <w:color w:val="auto"/>
          <w:spacing w:val="-2"/>
          <w:sz w:val="20"/>
          <w:szCs w:val="20"/>
          <w:lang w:val="es-CO"/>
        </w:rPr>
      </w:pPr>
      <w:r w:rsidRPr="00067D4C">
        <w:rPr>
          <w:color w:val="auto"/>
          <w:spacing w:val="-2"/>
          <w:sz w:val="20"/>
          <w:szCs w:val="20"/>
          <w:lang w:val="es-CO"/>
        </w:rPr>
        <w:t xml:space="preserve">Reparar integralmente las consecuencias de las violaciones declaradas en el </w:t>
      </w:r>
      <w:r w:rsidR="00443216" w:rsidRPr="00067D4C">
        <w:rPr>
          <w:color w:val="auto"/>
          <w:spacing w:val="-2"/>
          <w:sz w:val="20"/>
          <w:szCs w:val="20"/>
          <w:lang w:val="es-CO"/>
        </w:rPr>
        <w:t>I</w:t>
      </w:r>
      <w:r w:rsidRPr="00067D4C">
        <w:rPr>
          <w:color w:val="auto"/>
          <w:spacing w:val="-2"/>
          <w:sz w:val="20"/>
          <w:szCs w:val="20"/>
          <w:lang w:val="es-CO"/>
        </w:rPr>
        <w:t>nforme</w:t>
      </w:r>
      <w:r w:rsidR="00443216" w:rsidRPr="00067D4C">
        <w:rPr>
          <w:color w:val="auto"/>
          <w:spacing w:val="-2"/>
          <w:sz w:val="20"/>
          <w:szCs w:val="20"/>
          <w:lang w:val="es-CO"/>
        </w:rPr>
        <w:t xml:space="preserve"> de Fondo</w:t>
      </w:r>
      <w:r w:rsidRPr="00067D4C">
        <w:rPr>
          <w:color w:val="auto"/>
          <w:spacing w:val="-2"/>
          <w:sz w:val="20"/>
          <w:szCs w:val="20"/>
          <w:lang w:val="es-CO"/>
        </w:rPr>
        <w:t xml:space="preserve">, incluyendo tanto el daño material como el daño inmaterial. </w:t>
      </w:r>
    </w:p>
    <w:p w14:paraId="4D71C4B2" w14:textId="77777777" w:rsidR="00726093" w:rsidRPr="00067D4C" w:rsidRDefault="00726093" w:rsidP="00726093">
      <w:pPr>
        <w:pStyle w:val="Prrafodelista"/>
        <w:tabs>
          <w:tab w:val="left" w:pos="1080"/>
        </w:tabs>
        <w:ind w:right="720"/>
        <w:rPr>
          <w:color w:val="auto"/>
          <w:spacing w:val="-2"/>
          <w:sz w:val="20"/>
          <w:szCs w:val="20"/>
          <w:lang w:val="es-CO"/>
        </w:rPr>
      </w:pPr>
    </w:p>
    <w:p w14:paraId="2093BAF4" w14:textId="77777777" w:rsidR="00726093" w:rsidRPr="00067D4C" w:rsidRDefault="00726093" w:rsidP="00726093">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 w:val="left" w:pos="1440"/>
        </w:tabs>
        <w:ind w:left="720" w:right="720" w:firstLine="0"/>
        <w:jc w:val="both"/>
        <w:rPr>
          <w:color w:val="auto"/>
          <w:sz w:val="20"/>
          <w:szCs w:val="20"/>
          <w:lang w:val="es-VE"/>
        </w:rPr>
      </w:pPr>
      <w:r w:rsidRPr="00067D4C">
        <w:rPr>
          <w:color w:val="auto"/>
          <w:sz w:val="20"/>
          <w:szCs w:val="20"/>
          <w:lang w:val="es-VE"/>
        </w:rPr>
        <w:t>Realizar capacitaciones en el ámbito del Jurado de Enjuiciamiento de Magistrados en relación con la garantía de defensa, el principio de legalidad y libertad de expresión que sean relevantes en el ejercicio de su función disciplinaria, en los términos señalados en el informe.</w:t>
      </w:r>
    </w:p>
    <w:p w14:paraId="5E77F7C2" w14:textId="77777777" w:rsidR="00726093" w:rsidRPr="00067D4C" w:rsidRDefault="00726093" w:rsidP="00726093">
      <w:pPr>
        <w:tabs>
          <w:tab w:val="left" w:pos="1080"/>
          <w:tab w:val="left" w:pos="1440"/>
        </w:tabs>
        <w:ind w:left="720" w:right="720"/>
        <w:rPr>
          <w:rFonts w:ascii="Cambria" w:hAnsi="Cambria"/>
          <w:sz w:val="20"/>
          <w:szCs w:val="20"/>
          <w:lang w:val="es-VE"/>
        </w:rPr>
      </w:pPr>
    </w:p>
    <w:p w14:paraId="3B68B481" w14:textId="77777777" w:rsidR="00726093" w:rsidRPr="00067D4C" w:rsidRDefault="00726093" w:rsidP="00726093">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 w:val="left" w:pos="1440"/>
        </w:tabs>
        <w:ind w:left="720" w:right="720" w:firstLine="0"/>
        <w:jc w:val="both"/>
        <w:rPr>
          <w:color w:val="auto"/>
          <w:spacing w:val="-2"/>
          <w:sz w:val="20"/>
          <w:szCs w:val="20"/>
          <w:lang w:val="es-CO"/>
        </w:rPr>
      </w:pPr>
      <w:r w:rsidRPr="00067D4C">
        <w:rPr>
          <w:color w:val="auto"/>
          <w:sz w:val="20"/>
          <w:szCs w:val="20"/>
          <w:lang w:val="es-VE"/>
        </w:rPr>
        <w:t>Adoptar las medidas legislativas, administrativas o de cualquier otra índole que sean necesarias para asegurar que los procesos disciplinarios en contra de agentes fiscales sean compatibles con los estándares en materia de debido proceso de las y los operadores de justicia. Específicamente, se deben tomar las medidas necesarias para que los procesos garanticen el derecho a recurrir el fallo sancionatorio y la protección judicial.</w:t>
      </w:r>
    </w:p>
    <w:p w14:paraId="3AE18956" w14:textId="77777777" w:rsidR="00F93C52" w:rsidRPr="00067D4C" w:rsidRDefault="00F93C52" w:rsidP="00F93C52">
      <w:pPr>
        <w:tabs>
          <w:tab w:val="left" w:pos="720"/>
        </w:tabs>
        <w:autoSpaceDE w:val="0"/>
        <w:autoSpaceDN w:val="0"/>
        <w:adjustRightInd w:val="0"/>
        <w:spacing w:after="0" w:line="240" w:lineRule="auto"/>
        <w:ind w:right="720"/>
        <w:jc w:val="both"/>
        <w:rPr>
          <w:rFonts w:ascii="Cambria" w:hAnsi="Cambria"/>
          <w:sz w:val="20"/>
          <w:szCs w:val="20"/>
          <w:lang w:val="es-CO"/>
        </w:rPr>
      </w:pPr>
    </w:p>
    <w:p w14:paraId="795E853A" w14:textId="77777777" w:rsidR="00CC3266" w:rsidRPr="00067D4C" w:rsidRDefault="00443216" w:rsidP="006A44FD">
      <w:pPr>
        <w:spacing w:after="0" w:line="240" w:lineRule="auto"/>
        <w:jc w:val="both"/>
        <w:rPr>
          <w:rFonts w:ascii="Cambria" w:hAnsi="Cambria" w:cs="Arial"/>
          <w:sz w:val="20"/>
          <w:szCs w:val="20"/>
          <w:lang w:val="es-CL"/>
        </w:rPr>
      </w:pPr>
      <w:r w:rsidRPr="00067D4C">
        <w:rPr>
          <w:rFonts w:cs="Arial"/>
          <w:sz w:val="20"/>
          <w:szCs w:val="20"/>
          <w:lang w:val="es-CO"/>
        </w:rPr>
        <w:tab/>
      </w:r>
      <w:r w:rsidR="009C28B6" w:rsidRPr="00067D4C">
        <w:rPr>
          <w:rFonts w:ascii="Cambria" w:hAnsi="Cambria" w:cs="Arial"/>
          <w:sz w:val="20"/>
          <w:szCs w:val="20"/>
          <w:lang w:val="es-CL"/>
        </w:rPr>
        <w:t xml:space="preserve">Además de la necesidad de obtención de justicia, la Comisión destaca que el presente caso involucra cuestiones de orden público interamericano. </w:t>
      </w:r>
      <w:r w:rsidR="009F1A91" w:rsidRPr="00067D4C">
        <w:rPr>
          <w:rFonts w:ascii="Cambria" w:hAnsi="Cambria" w:cs="Arial"/>
          <w:sz w:val="20"/>
          <w:szCs w:val="20"/>
          <w:lang w:val="es-CL"/>
        </w:rPr>
        <w:t xml:space="preserve">Específicamente, el caso permitirá a la </w:t>
      </w:r>
      <w:r w:rsidRPr="00067D4C">
        <w:rPr>
          <w:rFonts w:ascii="Cambria" w:hAnsi="Cambria" w:cs="Arial"/>
          <w:sz w:val="20"/>
          <w:szCs w:val="20"/>
          <w:lang w:val="es-CL"/>
        </w:rPr>
        <w:t xml:space="preserve">Honorable </w:t>
      </w:r>
      <w:r w:rsidR="009F1A91" w:rsidRPr="00067D4C">
        <w:rPr>
          <w:rFonts w:ascii="Cambria" w:hAnsi="Cambria" w:cs="Arial"/>
          <w:sz w:val="20"/>
          <w:szCs w:val="20"/>
          <w:lang w:val="es-CL"/>
        </w:rPr>
        <w:t xml:space="preserve">Corte </w:t>
      </w:r>
      <w:r w:rsidRPr="00067D4C">
        <w:rPr>
          <w:rFonts w:ascii="Cambria" w:hAnsi="Cambria" w:cs="Arial"/>
          <w:sz w:val="20"/>
          <w:szCs w:val="20"/>
          <w:lang w:val="es-CL"/>
        </w:rPr>
        <w:t>continuar desarrollando los estándares relativos a las obligaciones de los Estados en materia de garantías judiciales aplicables a los procesos disciplinarios seguidos contra fiscales</w:t>
      </w:r>
      <w:r w:rsidR="00CC3266" w:rsidRPr="00067D4C">
        <w:rPr>
          <w:rFonts w:ascii="Cambria" w:hAnsi="Cambria" w:cs="Arial"/>
          <w:sz w:val="20"/>
          <w:szCs w:val="20"/>
          <w:lang w:val="es-CL"/>
        </w:rPr>
        <w:t xml:space="preserve">. En </w:t>
      </w:r>
      <w:r w:rsidRPr="00067D4C">
        <w:rPr>
          <w:rFonts w:ascii="Cambria" w:hAnsi="Cambria" w:cs="Arial"/>
          <w:sz w:val="20"/>
          <w:szCs w:val="20"/>
          <w:lang w:val="es-CL"/>
        </w:rPr>
        <w:t xml:space="preserve">particular, </w:t>
      </w:r>
      <w:r w:rsidR="00B65190" w:rsidRPr="00067D4C">
        <w:rPr>
          <w:rFonts w:ascii="Cambria" w:hAnsi="Cambria" w:cs="Arial"/>
          <w:sz w:val="20"/>
          <w:szCs w:val="20"/>
          <w:lang w:val="es-CL"/>
        </w:rPr>
        <w:t xml:space="preserve">entre otras garantías </w:t>
      </w:r>
      <w:r w:rsidR="00CC3266" w:rsidRPr="00067D4C">
        <w:rPr>
          <w:rFonts w:ascii="Cambria" w:hAnsi="Cambria" w:cs="Arial"/>
          <w:sz w:val="20"/>
          <w:szCs w:val="20"/>
          <w:lang w:val="es-CL"/>
        </w:rPr>
        <w:t>el Tribunal podrá profundizar los estándares relativos a</w:t>
      </w:r>
      <w:r w:rsidR="004D1A9A" w:rsidRPr="00067D4C">
        <w:rPr>
          <w:rFonts w:ascii="Cambria" w:hAnsi="Cambria" w:cs="Arial"/>
          <w:sz w:val="20"/>
          <w:szCs w:val="20"/>
          <w:lang w:val="es-CL"/>
        </w:rPr>
        <w:t xml:space="preserve"> </w:t>
      </w:r>
      <w:r w:rsidR="00CC3266" w:rsidRPr="00067D4C">
        <w:rPr>
          <w:rFonts w:ascii="Cambria" w:hAnsi="Cambria" w:cs="Arial"/>
          <w:sz w:val="20"/>
          <w:szCs w:val="20"/>
          <w:lang w:val="es-CL"/>
        </w:rPr>
        <w:t>l</w:t>
      </w:r>
      <w:r w:rsidR="004D1A9A" w:rsidRPr="00067D4C">
        <w:rPr>
          <w:rFonts w:ascii="Cambria" w:hAnsi="Cambria" w:cs="Arial"/>
          <w:sz w:val="20"/>
          <w:szCs w:val="20"/>
          <w:lang w:val="es-CL"/>
        </w:rPr>
        <w:t>os</w:t>
      </w:r>
      <w:r w:rsidR="00CC3266" w:rsidRPr="00067D4C">
        <w:rPr>
          <w:rFonts w:ascii="Cambria" w:hAnsi="Cambria" w:cs="Arial"/>
          <w:sz w:val="20"/>
          <w:szCs w:val="20"/>
          <w:lang w:val="es-CL"/>
        </w:rPr>
        <w:t xml:space="preserve"> derecho</w:t>
      </w:r>
      <w:r w:rsidR="004D1A9A" w:rsidRPr="00067D4C">
        <w:rPr>
          <w:rFonts w:ascii="Cambria" w:hAnsi="Cambria" w:cs="Arial"/>
          <w:sz w:val="20"/>
          <w:szCs w:val="20"/>
          <w:lang w:val="es-CL"/>
        </w:rPr>
        <w:t>s</w:t>
      </w:r>
      <w:r w:rsidR="00CC3266" w:rsidRPr="00067D4C">
        <w:rPr>
          <w:rFonts w:ascii="Cambria" w:hAnsi="Cambria" w:cs="Arial"/>
          <w:sz w:val="20"/>
          <w:szCs w:val="20"/>
          <w:lang w:val="es-CL"/>
        </w:rPr>
        <w:t xml:space="preserve"> de defensa</w:t>
      </w:r>
      <w:r w:rsidR="00800C7F" w:rsidRPr="00067D4C">
        <w:rPr>
          <w:rFonts w:ascii="Cambria" w:hAnsi="Cambria" w:cs="Arial"/>
          <w:sz w:val="20"/>
          <w:szCs w:val="20"/>
          <w:lang w:val="es-CL"/>
        </w:rPr>
        <w:t xml:space="preserve"> </w:t>
      </w:r>
      <w:r w:rsidR="00B65190" w:rsidRPr="00067D4C">
        <w:rPr>
          <w:rFonts w:ascii="Cambria" w:hAnsi="Cambria" w:cs="Arial"/>
          <w:sz w:val="20"/>
          <w:szCs w:val="20"/>
          <w:lang w:val="es-CL"/>
        </w:rPr>
        <w:t>y las implicaciones que tiene el principio de congruencia en dicho ámbito, el derecho a</w:t>
      </w:r>
      <w:r w:rsidR="00CC3266" w:rsidRPr="00067D4C">
        <w:rPr>
          <w:rFonts w:ascii="Cambria" w:hAnsi="Cambria" w:cs="Arial"/>
          <w:sz w:val="20"/>
          <w:szCs w:val="20"/>
          <w:lang w:val="es-CL"/>
        </w:rPr>
        <w:t xml:space="preserve"> contar con decisiones debidamente motivadas</w:t>
      </w:r>
      <w:r w:rsidR="004D1A9A" w:rsidRPr="00067D4C">
        <w:rPr>
          <w:rFonts w:ascii="Cambria" w:hAnsi="Cambria" w:cs="Arial"/>
          <w:sz w:val="20"/>
          <w:szCs w:val="20"/>
          <w:lang w:val="es-CL"/>
        </w:rPr>
        <w:t xml:space="preserve"> y</w:t>
      </w:r>
      <w:r w:rsidR="00B65190" w:rsidRPr="00067D4C">
        <w:rPr>
          <w:rFonts w:ascii="Cambria" w:hAnsi="Cambria" w:cs="Arial"/>
          <w:sz w:val="20"/>
          <w:szCs w:val="20"/>
          <w:lang w:val="es-CL"/>
        </w:rPr>
        <w:t xml:space="preserve"> a contar con una revisión judicial de la sanción</w:t>
      </w:r>
      <w:r w:rsidR="00CC3266" w:rsidRPr="00067D4C">
        <w:rPr>
          <w:rFonts w:ascii="Cambria" w:hAnsi="Cambria" w:cs="Arial"/>
          <w:sz w:val="20"/>
          <w:szCs w:val="20"/>
          <w:lang w:val="es-CL"/>
        </w:rPr>
        <w:t xml:space="preserve">. Asimismo, el caso presenta la oportunidad de </w:t>
      </w:r>
      <w:r w:rsidR="00811A90" w:rsidRPr="00067D4C">
        <w:rPr>
          <w:rFonts w:ascii="Cambria" w:hAnsi="Cambria" w:cs="Arial"/>
          <w:sz w:val="20"/>
          <w:szCs w:val="20"/>
          <w:lang w:val="es-CL"/>
        </w:rPr>
        <w:t>pronunciarse sobre l</w:t>
      </w:r>
      <w:r w:rsidR="004D1A9A" w:rsidRPr="00067D4C">
        <w:rPr>
          <w:rFonts w:ascii="Cambria" w:hAnsi="Cambria" w:cs="Arial"/>
          <w:sz w:val="20"/>
          <w:szCs w:val="20"/>
          <w:lang w:val="es-CL"/>
        </w:rPr>
        <w:t>os estándares en materia de</w:t>
      </w:r>
      <w:r w:rsidR="00811A90" w:rsidRPr="00067D4C">
        <w:rPr>
          <w:rFonts w:ascii="Cambria" w:hAnsi="Cambria" w:cs="Arial"/>
          <w:sz w:val="20"/>
          <w:szCs w:val="20"/>
          <w:lang w:val="es-CL"/>
        </w:rPr>
        <w:t xml:space="preserve"> restricciones a la libertad de expresión de fiscales </w:t>
      </w:r>
      <w:r w:rsidR="004D1A9A" w:rsidRPr="00067D4C">
        <w:rPr>
          <w:rFonts w:ascii="Cambria" w:hAnsi="Cambria" w:cs="Arial"/>
          <w:sz w:val="20"/>
          <w:szCs w:val="20"/>
          <w:lang w:val="es-CL"/>
        </w:rPr>
        <w:t>en</w:t>
      </w:r>
      <w:r w:rsidR="00811A90" w:rsidRPr="00067D4C">
        <w:rPr>
          <w:rFonts w:ascii="Cambria" w:hAnsi="Cambria" w:cs="Arial"/>
          <w:sz w:val="20"/>
          <w:szCs w:val="20"/>
          <w:lang w:val="es-CL"/>
        </w:rPr>
        <w:t xml:space="preserve"> </w:t>
      </w:r>
      <w:r w:rsidR="004D1A9A" w:rsidRPr="00067D4C">
        <w:rPr>
          <w:rFonts w:ascii="Cambria" w:hAnsi="Cambria" w:cs="Arial"/>
          <w:sz w:val="20"/>
          <w:szCs w:val="20"/>
          <w:lang w:val="es-CL"/>
        </w:rPr>
        <w:t>el marco de investigaciones de interés público que estén realizando.</w:t>
      </w:r>
    </w:p>
    <w:p w14:paraId="3A29EBDF" w14:textId="77777777" w:rsidR="00CC3266" w:rsidRPr="00067D4C" w:rsidRDefault="00CC3266" w:rsidP="006A44FD">
      <w:pPr>
        <w:spacing w:after="0" w:line="240" w:lineRule="auto"/>
        <w:jc w:val="both"/>
        <w:rPr>
          <w:rFonts w:ascii="Cambria" w:hAnsi="Cambria"/>
          <w:b/>
          <w:sz w:val="20"/>
          <w:szCs w:val="20"/>
          <w:lang w:val="es-CO"/>
        </w:rPr>
      </w:pPr>
    </w:p>
    <w:p w14:paraId="754A8FC4" w14:textId="77777777" w:rsidR="009C28B6" w:rsidRPr="00067D4C" w:rsidRDefault="009C28B6" w:rsidP="006A44FD">
      <w:pPr>
        <w:autoSpaceDE w:val="0"/>
        <w:autoSpaceDN w:val="0"/>
        <w:adjustRightInd w:val="0"/>
        <w:spacing w:after="0" w:line="240" w:lineRule="auto"/>
        <w:ind w:firstLine="720"/>
        <w:jc w:val="both"/>
        <w:rPr>
          <w:rFonts w:ascii="Cambria" w:hAnsi="Cambria" w:cs="Arial"/>
          <w:sz w:val="20"/>
          <w:szCs w:val="20"/>
          <w:lang w:val="es-CL"/>
        </w:rPr>
      </w:pPr>
      <w:r w:rsidRPr="00067D4C">
        <w:rPr>
          <w:rFonts w:ascii="Cambria" w:hAnsi="Cambria" w:cs="Arial"/>
          <w:sz w:val="20"/>
          <w:szCs w:val="20"/>
          <w:lang w:val="es-CL"/>
        </w:rPr>
        <w:lastRenderedPageBreak/>
        <w:t>En virtud de que estas cuestiones afectan de manera relevante el orden público interamericano, de conformidad con el artículo 35.1 f) del Reglamento de la Corte Interamericana, la Comisión se permite ofrecer la siguiente declaración pericial:</w:t>
      </w:r>
    </w:p>
    <w:p w14:paraId="487A5687" w14:textId="77777777" w:rsidR="0067062E" w:rsidRPr="00067D4C" w:rsidRDefault="0067062E" w:rsidP="006A44FD">
      <w:pPr>
        <w:autoSpaceDE w:val="0"/>
        <w:autoSpaceDN w:val="0"/>
        <w:adjustRightInd w:val="0"/>
        <w:spacing w:after="0" w:line="240" w:lineRule="auto"/>
        <w:ind w:right="480"/>
        <w:jc w:val="both"/>
        <w:rPr>
          <w:rFonts w:ascii="Cambria" w:eastAsia="Times New Roman" w:hAnsi="Cambria" w:cs="Cambria"/>
          <w:sz w:val="20"/>
          <w:szCs w:val="20"/>
          <w:u w:color="000000"/>
          <w:bdr w:val="nil"/>
          <w:lang w:val="es-CO" w:eastAsia="es-ES"/>
        </w:rPr>
      </w:pPr>
    </w:p>
    <w:p w14:paraId="18564A7E" w14:textId="77777777" w:rsidR="006A44FD" w:rsidRPr="00067D4C" w:rsidRDefault="00537FF5" w:rsidP="006A44FD">
      <w:pPr>
        <w:spacing w:after="0" w:line="240" w:lineRule="auto"/>
        <w:jc w:val="both"/>
        <w:rPr>
          <w:rFonts w:ascii="Cambria" w:eastAsia="Times New Roman" w:hAnsi="Cambria" w:cs="Cambria"/>
          <w:sz w:val="20"/>
          <w:szCs w:val="20"/>
          <w:u w:color="000000"/>
          <w:bdr w:val="nil"/>
          <w:lang w:val="es-CO" w:eastAsia="es-ES"/>
        </w:rPr>
      </w:pPr>
      <w:r w:rsidRPr="00067D4C">
        <w:rPr>
          <w:rFonts w:eastAsia="Times New Roman"/>
          <w:b/>
          <w:sz w:val="20"/>
          <w:szCs w:val="20"/>
          <w:lang w:val="es-CO"/>
        </w:rPr>
        <w:tab/>
      </w:r>
      <w:r w:rsidR="0013622E" w:rsidRPr="00067D4C">
        <w:rPr>
          <w:rFonts w:ascii="Cambria" w:eastAsia="Times New Roman" w:hAnsi="Cambria" w:cs="Cambria"/>
          <w:b/>
          <w:sz w:val="20"/>
          <w:szCs w:val="20"/>
          <w:u w:color="000000"/>
          <w:bdr w:val="nil"/>
          <w:lang w:val="es-CO" w:eastAsia="es-ES"/>
        </w:rPr>
        <w:t>Perito/a cuyo nombre será informado a la brevedad</w:t>
      </w:r>
      <w:r w:rsidR="0013622E" w:rsidRPr="00067D4C">
        <w:rPr>
          <w:rFonts w:ascii="Cambria" w:eastAsia="Times New Roman" w:hAnsi="Cambria" w:cs="Cambria"/>
          <w:sz w:val="20"/>
          <w:szCs w:val="20"/>
          <w:u w:color="000000"/>
          <w:bdr w:val="nil"/>
          <w:lang w:val="es-CO" w:eastAsia="es-ES"/>
        </w:rPr>
        <w:t xml:space="preserve">, quien declarará sobre </w:t>
      </w:r>
      <w:r w:rsidR="00CC3266" w:rsidRPr="00067D4C">
        <w:rPr>
          <w:rFonts w:ascii="Cambria" w:eastAsia="Times New Roman" w:hAnsi="Cambria" w:cs="Cambria"/>
          <w:sz w:val="20"/>
          <w:szCs w:val="20"/>
          <w:u w:color="000000"/>
          <w:bdr w:val="nil"/>
          <w:lang w:val="es-CO" w:eastAsia="es-ES"/>
        </w:rPr>
        <w:t xml:space="preserve">las </w:t>
      </w:r>
      <w:r w:rsidRPr="00067D4C">
        <w:rPr>
          <w:rFonts w:ascii="Cambria" w:eastAsia="Times New Roman" w:hAnsi="Cambria" w:cs="Cambria"/>
          <w:sz w:val="20"/>
          <w:szCs w:val="20"/>
          <w:u w:color="000000"/>
          <w:bdr w:val="nil"/>
          <w:lang w:val="es-CO" w:eastAsia="es-ES"/>
        </w:rPr>
        <w:t>garantías judiciales aplicables a los procesos disciplinarios seguidos contra fiscales</w:t>
      </w:r>
      <w:r w:rsidR="00B65190" w:rsidRPr="00067D4C">
        <w:rPr>
          <w:rFonts w:ascii="Cambria" w:eastAsia="Times New Roman" w:hAnsi="Cambria" w:cs="Cambria"/>
          <w:sz w:val="20"/>
          <w:szCs w:val="20"/>
          <w:u w:color="000000"/>
          <w:bdr w:val="nil"/>
          <w:lang w:val="es-CO" w:eastAsia="es-ES"/>
        </w:rPr>
        <w:t xml:space="preserve">.  </w:t>
      </w:r>
      <w:r w:rsidR="00B65190" w:rsidRPr="00067D4C">
        <w:rPr>
          <w:rFonts w:ascii="Cambria" w:hAnsi="Cambria" w:cs="Arial"/>
          <w:sz w:val="20"/>
          <w:szCs w:val="20"/>
          <w:lang w:val="es-CL"/>
        </w:rPr>
        <w:t xml:space="preserve">En particular, el/la perito/a declarará sobre los estándares relativos a los derechos de defensa y las implicaciones que tiene el principio de congruencia en dicho ámbito, el derecho a contar con decisiones debidamente motivadas y contar con una revisión judicial </w:t>
      </w:r>
      <w:r w:rsidR="00395E4A" w:rsidRPr="00067D4C">
        <w:rPr>
          <w:rFonts w:ascii="Cambria" w:hAnsi="Cambria" w:cs="Arial"/>
          <w:sz w:val="20"/>
          <w:szCs w:val="20"/>
          <w:lang w:val="es-CL"/>
        </w:rPr>
        <w:t xml:space="preserve">efectiva </w:t>
      </w:r>
      <w:r w:rsidR="00B65190" w:rsidRPr="00067D4C">
        <w:rPr>
          <w:rFonts w:ascii="Cambria" w:hAnsi="Cambria" w:cs="Arial"/>
          <w:sz w:val="20"/>
          <w:szCs w:val="20"/>
          <w:lang w:val="es-CL"/>
        </w:rPr>
        <w:t>de la sanción.</w:t>
      </w:r>
      <w:r w:rsidR="00B65190" w:rsidRPr="00067D4C">
        <w:rPr>
          <w:rFonts w:ascii="Cambria" w:eastAsia="Times New Roman" w:hAnsi="Cambria" w:cs="Cambria"/>
          <w:sz w:val="20"/>
          <w:szCs w:val="20"/>
          <w:u w:color="000000"/>
          <w:bdr w:val="nil"/>
          <w:lang w:val="es-CO" w:eastAsia="es-ES"/>
        </w:rPr>
        <w:t xml:space="preserve"> </w:t>
      </w:r>
      <w:r w:rsidR="006A44FD" w:rsidRPr="00067D4C">
        <w:rPr>
          <w:rFonts w:ascii="Cambria" w:eastAsia="Times New Roman" w:hAnsi="Cambria" w:cs="Cambria"/>
          <w:sz w:val="20"/>
          <w:szCs w:val="20"/>
          <w:u w:color="000000"/>
          <w:bdr w:val="nil"/>
          <w:lang w:val="es-CO" w:eastAsia="es-ES"/>
        </w:rPr>
        <w:t>Por otra parte, el/la perito/a se referirá a los deberes del Estado en materia de restricciones a la libertad de expresión de fiscales en el marco de investigaciones de interés público que estén realizando.</w:t>
      </w:r>
    </w:p>
    <w:p w14:paraId="41748842" w14:textId="77777777" w:rsidR="001A5867" w:rsidRPr="00067D4C" w:rsidRDefault="001A5867" w:rsidP="006A44FD">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 w:val="left" w:pos="1440"/>
        </w:tabs>
        <w:ind w:left="0"/>
        <w:jc w:val="both"/>
        <w:rPr>
          <w:color w:val="auto"/>
          <w:lang w:val="es-ES"/>
        </w:rPr>
      </w:pPr>
    </w:p>
    <w:p w14:paraId="2E9C2691" w14:textId="77777777" w:rsidR="0067062E" w:rsidRPr="00067D4C" w:rsidRDefault="009C28B6" w:rsidP="00443216">
      <w:pPr>
        <w:tabs>
          <w:tab w:val="left" w:pos="0"/>
        </w:tabs>
        <w:spacing w:after="0" w:line="240" w:lineRule="auto"/>
        <w:ind w:firstLine="720"/>
        <w:jc w:val="both"/>
        <w:rPr>
          <w:rFonts w:ascii="Cambria" w:hAnsi="Cambria"/>
          <w:sz w:val="20"/>
          <w:szCs w:val="20"/>
          <w:lang w:val="es-CO"/>
        </w:rPr>
      </w:pPr>
      <w:r w:rsidRPr="00067D4C">
        <w:rPr>
          <w:rFonts w:ascii="Cambria" w:hAnsi="Cambria"/>
          <w:sz w:val="20"/>
          <w:szCs w:val="20"/>
          <w:lang w:val="es-AR"/>
        </w:rPr>
        <w:t xml:space="preserve">El CV del/a perito/a ofrecido/a </w:t>
      </w:r>
      <w:r w:rsidRPr="00067D4C">
        <w:rPr>
          <w:rFonts w:ascii="Cambria" w:hAnsi="Cambria"/>
          <w:sz w:val="20"/>
          <w:szCs w:val="20"/>
          <w:lang w:val="es-CO"/>
        </w:rPr>
        <w:t xml:space="preserve">será incluido en los anexos al </w:t>
      </w:r>
      <w:r w:rsidR="0067062E" w:rsidRPr="00067D4C">
        <w:rPr>
          <w:rFonts w:ascii="Cambria" w:hAnsi="Cambria"/>
          <w:sz w:val="20"/>
          <w:szCs w:val="20"/>
          <w:lang w:val="es-CO"/>
        </w:rPr>
        <w:t>Informe de F</w:t>
      </w:r>
      <w:r w:rsidRPr="00067D4C">
        <w:rPr>
          <w:rFonts w:ascii="Cambria" w:hAnsi="Cambria"/>
          <w:sz w:val="20"/>
          <w:szCs w:val="20"/>
          <w:lang w:val="es-CO"/>
        </w:rPr>
        <w:t xml:space="preserve">ondo </w:t>
      </w:r>
      <w:r w:rsidR="0070555A" w:rsidRPr="00067D4C">
        <w:rPr>
          <w:rFonts w:ascii="Cambria" w:hAnsi="Cambria"/>
          <w:sz w:val="20"/>
          <w:szCs w:val="20"/>
          <w:lang w:val="es-CO"/>
        </w:rPr>
        <w:t xml:space="preserve">No. </w:t>
      </w:r>
      <w:r w:rsidR="00726093" w:rsidRPr="00067D4C">
        <w:rPr>
          <w:rFonts w:ascii="Cambria" w:hAnsi="Cambria"/>
          <w:sz w:val="20"/>
          <w:szCs w:val="20"/>
          <w:lang w:val="es-CO"/>
        </w:rPr>
        <w:t>301</w:t>
      </w:r>
      <w:r w:rsidR="006F13F9" w:rsidRPr="00067D4C">
        <w:rPr>
          <w:rFonts w:ascii="Cambria" w:hAnsi="Cambria"/>
          <w:sz w:val="20"/>
          <w:szCs w:val="20"/>
          <w:lang w:val="es-CO"/>
        </w:rPr>
        <w:t>/20</w:t>
      </w:r>
      <w:r w:rsidR="0067062E" w:rsidRPr="00067D4C">
        <w:rPr>
          <w:rFonts w:ascii="Cambria" w:hAnsi="Cambria"/>
          <w:sz w:val="20"/>
          <w:szCs w:val="20"/>
          <w:lang w:val="es-CO"/>
        </w:rPr>
        <w:t>.</w:t>
      </w:r>
    </w:p>
    <w:p w14:paraId="3780534E" w14:textId="77777777" w:rsidR="0067062E" w:rsidRPr="00067D4C" w:rsidRDefault="0067062E" w:rsidP="008B644A">
      <w:pPr>
        <w:tabs>
          <w:tab w:val="left" w:pos="0"/>
        </w:tabs>
        <w:spacing w:after="0" w:line="240" w:lineRule="auto"/>
        <w:ind w:firstLine="720"/>
        <w:jc w:val="both"/>
        <w:rPr>
          <w:rFonts w:ascii="Cambria" w:hAnsi="Cambria"/>
          <w:sz w:val="20"/>
          <w:szCs w:val="20"/>
          <w:lang w:val="es-CO"/>
        </w:rPr>
      </w:pPr>
    </w:p>
    <w:p w14:paraId="5108ADE1" w14:textId="77777777" w:rsidR="009C28B6" w:rsidRPr="00067D4C" w:rsidRDefault="0067062E" w:rsidP="008B644A">
      <w:pPr>
        <w:tabs>
          <w:tab w:val="left" w:pos="0"/>
        </w:tabs>
        <w:spacing w:after="0" w:line="240" w:lineRule="auto"/>
        <w:ind w:firstLine="720"/>
        <w:jc w:val="both"/>
        <w:rPr>
          <w:rFonts w:ascii="Cambria" w:hAnsi="Cambria"/>
          <w:sz w:val="20"/>
          <w:szCs w:val="20"/>
          <w:lang w:val="es-ES_tradnl"/>
        </w:rPr>
      </w:pPr>
      <w:r w:rsidRPr="00067D4C">
        <w:rPr>
          <w:rFonts w:ascii="Cambria" w:hAnsi="Cambria"/>
          <w:sz w:val="20"/>
          <w:szCs w:val="20"/>
          <w:lang w:val="es-CO"/>
        </w:rPr>
        <w:t>Finalmente, l</w:t>
      </w:r>
      <w:r w:rsidR="009C28B6" w:rsidRPr="00067D4C">
        <w:rPr>
          <w:rFonts w:ascii="Cambria" w:hAnsi="Cambria"/>
          <w:sz w:val="20"/>
          <w:szCs w:val="20"/>
          <w:lang w:val="es-ES_tradnl"/>
        </w:rPr>
        <w:t xml:space="preserve">a Comisión pone en conocimiento de la Corte la siguiente información sobre quienes actuaron como peticionarios a lo largo del trámite del caso: </w:t>
      </w:r>
    </w:p>
    <w:p w14:paraId="550362B5" w14:textId="77777777" w:rsidR="00834230" w:rsidRPr="00067D4C" w:rsidRDefault="00834230" w:rsidP="00F047B0">
      <w:pPr>
        <w:autoSpaceDE w:val="0"/>
        <w:autoSpaceDN w:val="0"/>
        <w:adjustRightInd w:val="0"/>
        <w:spacing w:after="0" w:line="240" w:lineRule="auto"/>
        <w:rPr>
          <w:rFonts w:ascii="Cambria" w:hAnsi="Cambria" w:cs="Arial"/>
          <w:sz w:val="20"/>
          <w:szCs w:val="20"/>
          <w:lang w:val="es-ES_tradnl"/>
        </w:rPr>
      </w:pPr>
    </w:p>
    <w:p w14:paraId="7DEEAF03" w14:textId="77777777" w:rsidR="00F047B0" w:rsidRPr="00067D4C" w:rsidRDefault="006F13F9" w:rsidP="00F047B0">
      <w:pPr>
        <w:autoSpaceDE w:val="0"/>
        <w:autoSpaceDN w:val="0"/>
        <w:adjustRightInd w:val="0"/>
        <w:spacing w:after="0" w:line="240" w:lineRule="auto"/>
        <w:jc w:val="center"/>
        <w:rPr>
          <w:rFonts w:ascii="Cambria" w:hAnsi="Cambria" w:cs="Arial"/>
          <w:sz w:val="20"/>
          <w:szCs w:val="20"/>
          <w:lang w:val="pt-BR"/>
        </w:rPr>
      </w:pPr>
      <w:r w:rsidRPr="00067D4C">
        <w:rPr>
          <w:rFonts w:ascii="Cambria" w:hAnsi="Cambria"/>
          <w:bCs/>
          <w:iCs/>
          <w:sz w:val="20"/>
          <w:szCs w:val="20"/>
          <w:lang w:val="es-VE"/>
        </w:rPr>
        <w:t>XXX</w:t>
      </w:r>
    </w:p>
    <w:p w14:paraId="48BD108F" w14:textId="77777777" w:rsidR="00F047B0" w:rsidRPr="00067D4C" w:rsidRDefault="00F047B0" w:rsidP="00F047B0">
      <w:pPr>
        <w:autoSpaceDE w:val="0"/>
        <w:autoSpaceDN w:val="0"/>
        <w:adjustRightInd w:val="0"/>
        <w:spacing w:after="0" w:line="240" w:lineRule="auto"/>
        <w:jc w:val="center"/>
        <w:rPr>
          <w:rFonts w:ascii="Cambria" w:hAnsi="Cambria" w:cs="Arial"/>
          <w:sz w:val="20"/>
          <w:szCs w:val="20"/>
          <w:lang w:val="pt-BR"/>
        </w:rPr>
      </w:pPr>
    </w:p>
    <w:p w14:paraId="18310B34" w14:textId="77777777" w:rsidR="009C28B6" w:rsidRPr="00067D4C" w:rsidRDefault="009C28B6" w:rsidP="008B644A">
      <w:pPr>
        <w:tabs>
          <w:tab w:val="left" w:pos="0"/>
        </w:tabs>
        <w:spacing w:after="0" w:line="240" w:lineRule="auto"/>
        <w:ind w:firstLine="720"/>
        <w:jc w:val="both"/>
        <w:rPr>
          <w:rFonts w:ascii="Cambria" w:hAnsi="Cambria" w:cs="Arial"/>
          <w:sz w:val="20"/>
          <w:szCs w:val="20"/>
          <w:lang w:val="es-CO"/>
        </w:rPr>
      </w:pPr>
      <w:r w:rsidRPr="00067D4C">
        <w:rPr>
          <w:rFonts w:ascii="Cambria" w:hAnsi="Cambria" w:cs="Arial"/>
          <w:sz w:val="20"/>
          <w:szCs w:val="20"/>
          <w:lang w:val="es-CO"/>
        </w:rPr>
        <w:t>Aprovecho la oportunidad para saludar a usted muy atentamente,</w:t>
      </w:r>
    </w:p>
    <w:p w14:paraId="2C8787C8" w14:textId="77777777" w:rsidR="006F13F9" w:rsidRPr="00067D4C" w:rsidRDefault="006F13F9" w:rsidP="008B644A">
      <w:pPr>
        <w:tabs>
          <w:tab w:val="left" w:pos="0"/>
        </w:tabs>
        <w:spacing w:after="0" w:line="240" w:lineRule="auto"/>
        <w:ind w:firstLine="720"/>
        <w:jc w:val="both"/>
        <w:rPr>
          <w:rFonts w:ascii="Cambria" w:hAnsi="Cambria" w:cs="Arial"/>
          <w:sz w:val="20"/>
          <w:szCs w:val="20"/>
          <w:lang w:val="es-CO"/>
        </w:rPr>
      </w:pPr>
    </w:p>
    <w:p w14:paraId="6670DED8" w14:textId="77777777" w:rsidR="006F13F9" w:rsidRPr="00067D4C" w:rsidRDefault="006F13F9" w:rsidP="008B644A">
      <w:pPr>
        <w:tabs>
          <w:tab w:val="left" w:pos="0"/>
        </w:tabs>
        <w:spacing w:after="0" w:line="240" w:lineRule="auto"/>
        <w:ind w:firstLine="720"/>
        <w:jc w:val="both"/>
        <w:rPr>
          <w:rFonts w:ascii="Cambria" w:hAnsi="Cambria" w:cs="Arial"/>
          <w:sz w:val="20"/>
          <w:szCs w:val="20"/>
          <w:lang w:val="es-CO"/>
        </w:rPr>
      </w:pPr>
    </w:p>
    <w:p w14:paraId="1321E07C" w14:textId="77777777" w:rsidR="006F13F9" w:rsidRPr="00067D4C" w:rsidRDefault="006F13F9" w:rsidP="008B644A">
      <w:pPr>
        <w:tabs>
          <w:tab w:val="left" w:pos="0"/>
        </w:tabs>
        <w:spacing w:after="0" w:line="240" w:lineRule="auto"/>
        <w:ind w:firstLine="720"/>
        <w:jc w:val="both"/>
        <w:rPr>
          <w:rFonts w:ascii="Cambria" w:hAnsi="Cambria" w:cs="Arial"/>
          <w:sz w:val="20"/>
          <w:szCs w:val="20"/>
          <w:lang w:val="es-CO"/>
        </w:rPr>
      </w:pPr>
    </w:p>
    <w:p w14:paraId="15ADAAA0" w14:textId="77777777" w:rsidR="006F13F9" w:rsidRPr="00067D4C" w:rsidRDefault="006F13F9" w:rsidP="008B644A">
      <w:pPr>
        <w:tabs>
          <w:tab w:val="left" w:pos="0"/>
        </w:tabs>
        <w:spacing w:after="0" w:line="240" w:lineRule="auto"/>
        <w:ind w:firstLine="720"/>
        <w:jc w:val="both"/>
        <w:rPr>
          <w:rFonts w:ascii="Cambria" w:hAnsi="Cambria" w:cs="Arial"/>
          <w:sz w:val="20"/>
          <w:szCs w:val="20"/>
          <w:lang w:val="es-CO"/>
        </w:rPr>
      </w:pPr>
    </w:p>
    <w:p w14:paraId="42776ABB" w14:textId="77777777" w:rsidR="006F13F9" w:rsidRPr="00067D4C" w:rsidRDefault="006F13F9" w:rsidP="008B644A">
      <w:pPr>
        <w:tabs>
          <w:tab w:val="left" w:pos="0"/>
        </w:tabs>
        <w:spacing w:after="0" w:line="240" w:lineRule="auto"/>
        <w:ind w:firstLine="720"/>
        <w:jc w:val="both"/>
        <w:rPr>
          <w:rFonts w:ascii="Cambria" w:hAnsi="Cambria" w:cs="Arial"/>
          <w:sz w:val="20"/>
          <w:szCs w:val="20"/>
          <w:lang w:val="es-CO"/>
        </w:rPr>
      </w:pPr>
    </w:p>
    <w:p w14:paraId="7A466105" w14:textId="77777777" w:rsidR="006F13F9" w:rsidRPr="00067D4C" w:rsidRDefault="006F13F9" w:rsidP="006F13F9">
      <w:pPr>
        <w:tabs>
          <w:tab w:val="left" w:pos="0"/>
        </w:tabs>
        <w:spacing w:after="0" w:line="240" w:lineRule="auto"/>
        <w:jc w:val="center"/>
        <w:rPr>
          <w:rFonts w:ascii="Cambria" w:hAnsi="Cambria" w:cs="Calibri"/>
          <w:sz w:val="20"/>
          <w:szCs w:val="20"/>
          <w:lang w:val="es-ES"/>
        </w:rPr>
      </w:pPr>
      <w:r w:rsidRPr="00067D4C">
        <w:rPr>
          <w:rFonts w:ascii="Cambria" w:hAnsi="Cambria" w:cs="Calibri"/>
          <w:sz w:val="20"/>
          <w:szCs w:val="20"/>
          <w:lang w:val="es-ES"/>
        </w:rPr>
        <w:t>Marisol Blanchard Vera</w:t>
      </w:r>
    </w:p>
    <w:p w14:paraId="7904FBE4" w14:textId="77777777" w:rsidR="006F13F9" w:rsidRPr="00067D4C" w:rsidRDefault="006F13F9" w:rsidP="006F13F9">
      <w:pPr>
        <w:tabs>
          <w:tab w:val="left" w:pos="810"/>
        </w:tabs>
        <w:suppressAutoHyphens/>
        <w:spacing w:after="0" w:line="240" w:lineRule="auto"/>
        <w:jc w:val="center"/>
        <w:rPr>
          <w:rFonts w:ascii="Cambria" w:hAnsi="Cambria" w:cs="Calibri"/>
          <w:sz w:val="20"/>
          <w:szCs w:val="20"/>
          <w:lang w:val="es-ES"/>
        </w:rPr>
      </w:pPr>
      <w:r w:rsidRPr="00067D4C">
        <w:rPr>
          <w:rFonts w:ascii="Cambria" w:hAnsi="Cambria" w:cs="Calibri"/>
          <w:sz w:val="20"/>
          <w:szCs w:val="20"/>
          <w:lang w:val="es-ES"/>
        </w:rPr>
        <w:t>Secretaria Ejecutiva Adjunta</w:t>
      </w:r>
    </w:p>
    <w:p w14:paraId="4F405C6D" w14:textId="77777777" w:rsidR="006F13F9" w:rsidRPr="00067D4C" w:rsidRDefault="006F13F9" w:rsidP="008B644A">
      <w:pPr>
        <w:tabs>
          <w:tab w:val="left" w:pos="0"/>
        </w:tabs>
        <w:spacing w:after="0" w:line="240" w:lineRule="auto"/>
        <w:ind w:firstLine="720"/>
        <w:jc w:val="both"/>
        <w:rPr>
          <w:rFonts w:ascii="Cambria" w:hAnsi="Cambria" w:cs="Arial"/>
          <w:sz w:val="20"/>
          <w:szCs w:val="20"/>
          <w:lang w:val="es-ES"/>
        </w:rPr>
      </w:pPr>
    </w:p>
    <w:p w14:paraId="7326B283" w14:textId="77777777" w:rsidR="009C28B6" w:rsidRPr="00067D4C" w:rsidRDefault="009C28B6" w:rsidP="008B644A">
      <w:pPr>
        <w:suppressAutoHyphens/>
        <w:spacing w:after="0" w:line="240" w:lineRule="auto"/>
        <w:rPr>
          <w:rFonts w:ascii="Cambria" w:hAnsi="Cambria" w:cs="Arial"/>
          <w:snapToGrid w:val="0"/>
          <w:sz w:val="20"/>
          <w:szCs w:val="20"/>
          <w:lang w:val="es-CO"/>
        </w:rPr>
      </w:pPr>
    </w:p>
    <w:p w14:paraId="2E9B4187" w14:textId="77777777" w:rsidR="009C28B6" w:rsidRPr="00067D4C" w:rsidRDefault="009C28B6" w:rsidP="008B644A">
      <w:pPr>
        <w:suppressAutoHyphens/>
        <w:spacing w:after="0" w:line="240" w:lineRule="auto"/>
        <w:jc w:val="center"/>
        <w:rPr>
          <w:rFonts w:ascii="Cambria" w:hAnsi="Cambria" w:cs="Arial"/>
          <w:snapToGrid w:val="0"/>
          <w:sz w:val="20"/>
          <w:szCs w:val="20"/>
          <w:lang w:val="es-CO"/>
        </w:rPr>
      </w:pPr>
    </w:p>
    <w:p w14:paraId="152DAE4A" w14:textId="77777777" w:rsidR="00731D76" w:rsidRPr="00067D4C" w:rsidRDefault="00731D76" w:rsidP="008B644A">
      <w:pPr>
        <w:suppressAutoHyphens/>
        <w:spacing w:after="0" w:line="240" w:lineRule="auto"/>
        <w:jc w:val="center"/>
        <w:rPr>
          <w:rFonts w:ascii="Cambria" w:hAnsi="Cambria" w:cs="Arial"/>
          <w:snapToGrid w:val="0"/>
          <w:sz w:val="20"/>
          <w:szCs w:val="20"/>
          <w:lang w:val="es-CO"/>
        </w:rPr>
      </w:pPr>
    </w:p>
    <w:p w14:paraId="148402FC" w14:textId="77777777" w:rsidR="009C28B6" w:rsidRPr="00067D4C" w:rsidRDefault="009C28B6" w:rsidP="008B644A">
      <w:pPr>
        <w:spacing w:after="0" w:line="240" w:lineRule="auto"/>
        <w:rPr>
          <w:rFonts w:ascii="Cambria" w:hAnsi="Cambria"/>
          <w:sz w:val="20"/>
          <w:szCs w:val="20"/>
          <w:lang w:val="es-ES"/>
        </w:rPr>
      </w:pPr>
    </w:p>
    <w:p w14:paraId="27733692" w14:textId="77777777" w:rsidR="009C28B6" w:rsidRPr="00067D4C" w:rsidRDefault="009C28B6" w:rsidP="008B644A">
      <w:pPr>
        <w:spacing w:after="0" w:line="240" w:lineRule="auto"/>
        <w:rPr>
          <w:rFonts w:ascii="Cambria" w:hAnsi="Cambria"/>
          <w:sz w:val="20"/>
          <w:szCs w:val="20"/>
          <w:lang w:val="es-CO"/>
        </w:rPr>
      </w:pPr>
    </w:p>
    <w:p w14:paraId="0A013B49" w14:textId="77777777" w:rsidR="00A354CA" w:rsidRPr="00067D4C" w:rsidRDefault="00A354CA" w:rsidP="008B644A">
      <w:pPr>
        <w:spacing w:after="0" w:line="240" w:lineRule="auto"/>
        <w:rPr>
          <w:rFonts w:ascii="Cambria" w:hAnsi="Cambria"/>
          <w:sz w:val="20"/>
          <w:szCs w:val="20"/>
          <w:lang w:val="es-VE"/>
        </w:rPr>
      </w:pPr>
    </w:p>
    <w:sectPr w:rsidR="00A354CA" w:rsidRPr="00067D4C" w:rsidSect="006D6AA5">
      <w:headerReference w:type="default" r:id="rId8"/>
      <w:footerReference w:type="default" r:id="rId9"/>
      <w:headerReference w:type="first" r:id="rId10"/>
      <w:footerReference w:type="first" r:id="rId11"/>
      <w:pgSz w:w="12240" w:h="15840"/>
      <w:pgMar w:top="1440" w:right="1440" w:bottom="81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CACAA" w14:textId="77777777" w:rsidR="007E1750" w:rsidRDefault="007E1750">
      <w:pPr>
        <w:spacing w:after="0" w:line="240" w:lineRule="auto"/>
      </w:pPr>
      <w:r>
        <w:separator/>
      </w:r>
    </w:p>
  </w:endnote>
  <w:endnote w:type="continuationSeparator" w:id="0">
    <w:p w14:paraId="606CA365" w14:textId="77777777" w:rsidR="007E1750" w:rsidRDefault="007E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DEC64" w14:textId="77777777" w:rsidR="006D6AA5" w:rsidRPr="00A72869" w:rsidRDefault="006D6AA5">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24013C">
      <w:rPr>
        <w:noProof/>
        <w:color w:val="7F7F7F"/>
        <w:sz w:val="16"/>
      </w:rPr>
      <w:t>3</w:t>
    </w:r>
    <w:r w:rsidRPr="00A72869">
      <w:rPr>
        <w:noProof/>
        <w:color w:val="7F7F7F"/>
        <w:sz w:val="16"/>
      </w:rPr>
      <w:fldChar w:fldCharType="end"/>
    </w:r>
  </w:p>
  <w:p w14:paraId="3572A979" w14:textId="77777777" w:rsidR="006D6AA5" w:rsidRDefault="006D6AA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A22B8" w14:textId="77777777" w:rsidR="006D6AA5" w:rsidRDefault="006D6AA5" w:rsidP="006D6AA5">
    <w:pPr>
      <w:pStyle w:val="Piedepgina"/>
      <w:spacing w:line="360" w:lineRule="auto"/>
    </w:pPr>
    <w:r>
      <w:pict w14:anchorId="25D1FE3D">
        <v:rect id="_x0000_i1026" style="width:0;height:1.5pt" o:hralign="center" o:hrstd="t" o:hr="t" fillcolor="#a0a0a0" stroked="f"/>
      </w:pict>
    </w:r>
  </w:p>
  <w:p w14:paraId="3552AE7B" w14:textId="1C64EB90" w:rsidR="006D6AA5" w:rsidRDefault="00667483" w:rsidP="006D6AA5">
    <w:pPr>
      <w:pStyle w:val="Piedepgina"/>
      <w:jc w:val="center"/>
    </w:pPr>
    <w:r w:rsidRPr="008A5CB5">
      <w:rPr>
        <w:noProof/>
      </w:rPr>
      <w:drawing>
        <wp:inline distT="0" distB="0" distL="0" distR="0" wp14:anchorId="694D98A1" wp14:editId="1D31D92A">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3D265" w14:textId="77777777" w:rsidR="007E1750" w:rsidRDefault="007E1750">
      <w:pPr>
        <w:spacing w:after="0" w:line="240" w:lineRule="auto"/>
      </w:pPr>
      <w:r>
        <w:separator/>
      </w:r>
    </w:p>
  </w:footnote>
  <w:footnote w:type="continuationSeparator" w:id="0">
    <w:p w14:paraId="0839E990" w14:textId="77777777" w:rsidR="007E1750" w:rsidRDefault="007E1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C5310" w14:textId="00BB7011" w:rsidR="006D6AA5" w:rsidRPr="0058688A" w:rsidRDefault="00667483" w:rsidP="006D6AA5">
    <w:pPr>
      <w:pStyle w:val="Encabezado"/>
      <w:jc w:val="center"/>
      <w:rPr>
        <w:lang w:val="es-ES_tradnl"/>
      </w:rPr>
    </w:pPr>
    <w:r>
      <w:rPr>
        <w:noProof/>
        <w:lang w:val="es-ES_tradnl"/>
      </w:rPr>
      <w:drawing>
        <wp:inline distT="0" distB="0" distL="0" distR="0" wp14:anchorId="60E53E2A" wp14:editId="4FD6DBCF">
          <wp:extent cx="2286000" cy="1238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750B569D" w14:textId="77777777" w:rsidR="006D6AA5" w:rsidRDefault="006D6AA5">
    <w:pPr>
      <w:pStyle w:val="Encabezado"/>
    </w:pPr>
    <w:r>
      <w:pict w14:anchorId="58F7A386">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2B3A2" w14:textId="04623DFB" w:rsidR="006D6AA5" w:rsidRDefault="00667483" w:rsidP="006D6AA5">
    <w:pPr>
      <w:pStyle w:val="Encabezado"/>
    </w:pPr>
    <w:r w:rsidRPr="008A5CB5">
      <w:rPr>
        <w:noProof/>
      </w:rPr>
      <w:drawing>
        <wp:inline distT="0" distB="0" distL="0" distR="0" wp14:anchorId="555E6FC9" wp14:editId="362D56A8">
          <wp:extent cx="2352675" cy="457200"/>
          <wp:effectExtent l="0" t="0" r="0" b="0"/>
          <wp:docPr id="4"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6D6AA5">
      <w:tab/>
    </w:r>
    <w:r w:rsidR="006D6AA5">
      <w:tab/>
    </w:r>
    <w:r w:rsidRPr="008A5CB5">
      <w:rPr>
        <w:noProof/>
      </w:rPr>
      <w:drawing>
        <wp:inline distT="0" distB="0" distL="0" distR="0" wp14:anchorId="22F34292" wp14:editId="11215687">
          <wp:extent cx="1647825" cy="476250"/>
          <wp:effectExtent l="0" t="0" r="0" b="0"/>
          <wp:docPr id="5"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62C21D80" w14:textId="77777777" w:rsidR="006D6AA5" w:rsidRDefault="006D6AA5" w:rsidP="006D6AA5">
    <w:pPr>
      <w:pStyle w:val="Encabezado"/>
    </w:pPr>
    <w:r>
      <w:pict w14:anchorId="2F493062">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C5B1D"/>
    <w:multiLevelType w:val="hybridMultilevel"/>
    <w:tmpl w:val="ABF2DEFC"/>
    <w:lvl w:ilvl="0" w:tplc="90CC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446790"/>
    <w:multiLevelType w:val="hybridMultilevel"/>
    <w:tmpl w:val="EDE8738E"/>
    <w:lvl w:ilvl="0" w:tplc="0409000F">
      <w:start w:val="1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C61ECD"/>
    <w:multiLevelType w:val="hybridMultilevel"/>
    <w:tmpl w:val="97C85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195813"/>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D7D4B9D"/>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E2E53"/>
    <w:multiLevelType w:val="hybridMultilevel"/>
    <w:tmpl w:val="ABFA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B16F05"/>
    <w:multiLevelType w:val="hybridMultilevel"/>
    <w:tmpl w:val="55E8350C"/>
    <w:lvl w:ilvl="0" w:tplc="95D0D9E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8"/>
  </w:num>
  <w:num w:numId="5">
    <w:abstractNumId w:val="5"/>
  </w:num>
  <w:num w:numId="6">
    <w:abstractNumId w:val="6"/>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B6"/>
    <w:rsid w:val="00037EDE"/>
    <w:rsid w:val="000622BB"/>
    <w:rsid w:val="00067D4C"/>
    <w:rsid w:val="00072372"/>
    <w:rsid w:val="000943B8"/>
    <w:rsid w:val="000A17E8"/>
    <w:rsid w:val="000D20A0"/>
    <w:rsid w:val="000D5786"/>
    <w:rsid w:val="000E32EC"/>
    <w:rsid w:val="000E5F71"/>
    <w:rsid w:val="0013622E"/>
    <w:rsid w:val="00140494"/>
    <w:rsid w:val="00142DBC"/>
    <w:rsid w:val="0016342D"/>
    <w:rsid w:val="0016638E"/>
    <w:rsid w:val="001740CA"/>
    <w:rsid w:val="0019385E"/>
    <w:rsid w:val="0019423F"/>
    <w:rsid w:val="001A5867"/>
    <w:rsid w:val="001B0CAC"/>
    <w:rsid w:val="001B2F85"/>
    <w:rsid w:val="001B3D4F"/>
    <w:rsid w:val="001C28E1"/>
    <w:rsid w:val="00210ACF"/>
    <w:rsid w:val="002239DB"/>
    <w:rsid w:val="00232FB2"/>
    <w:rsid w:val="0024013C"/>
    <w:rsid w:val="0025346B"/>
    <w:rsid w:val="002651B3"/>
    <w:rsid w:val="002808CF"/>
    <w:rsid w:val="00295CF9"/>
    <w:rsid w:val="002A348D"/>
    <w:rsid w:val="002A46DA"/>
    <w:rsid w:val="002B1CE3"/>
    <w:rsid w:val="002E59D8"/>
    <w:rsid w:val="00305906"/>
    <w:rsid w:val="003128AA"/>
    <w:rsid w:val="0032118B"/>
    <w:rsid w:val="0032396B"/>
    <w:rsid w:val="0032723E"/>
    <w:rsid w:val="003733E1"/>
    <w:rsid w:val="00395E4A"/>
    <w:rsid w:val="003D7387"/>
    <w:rsid w:val="00401206"/>
    <w:rsid w:val="00401E2C"/>
    <w:rsid w:val="004105FE"/>
    <w:rsid w:val="00410A8E"/>
    <w:rsid w:val="004361BE"/>
    <w:rsid w:val="00443216"/>
    <w:rsid w:val="004851CB"/>
    <w:rsid w:val="004A3156"/>
    <w:rsid w:val="004B1161"/>
    <w:rsid w:val="004B2FD1"/>
    <w:rsid w:val="004C1163"/>
    <w:rsid w:val="004C2818"/>
    <w:rsid w:val="004D1A9A"/>
    <w:rsid w:val="004D2893"/>
    <w:rsid w:val="004D7C4A"/>
    <w:rsid w:val="005131D7"/>
    <w:rsid w:val="00537FF5"/>
    <w:rsid w:val="00550360"/>
    <w:rsid w:val="005B217E"/>
    <w:rsid w:val="005C6FC6"/>
    <w:rsid w:val="005D0FC6"/>
    <w:rsid w:val="005E5597"/>
    <w:rsid w:val="005E5C58"/>
    <w:rsid w:val="005F7A49"/>
    <w:rsid w:val="00601231"/>
    <w:rsid w:val="006013DE"/>
    <w:rsid w:val="00605302"/>
    <w:rsid w:val="00610AF7"/>
    <w:rsid w:val="006205D1"/>
    <w:rsid w:val="00621167"/>
    <w:rsid w:val="006270D1"/>
    <w:rsid w:val="006513B8"/>
    <w:rsid w:val="00657105"/>
    <w:rsid w:val="00667483"/>
    <w:rsid w:val="0067062E"/>
    <w:rsid w:val="00671AF2"/>
    <w:rsid w:val="0068371F"/>
    <w:rsid w:val="00692229"/>
    <w:rsid w:val="006A2BFF"/>
    <w:rsid w:val="006A44FD"/>
    <w:rsid w:val="006A4FD0"/>
    <w:rsid w:val="006B7047"/>
    <w:rsid w:val="006C20D3"/>
    <w:rsid w:val="006D6AA5"/>
    <w:rsid w:val="006E31EA"/>
    <w:rsid w:val="006F13F9"/>
    <w:rsid w:val="0070555A"/>
    <w:rsid w:val="00726093"/>
    <w:rsid w:val="0073137C"/>
    <w:rsid w:val="00731D76"/>
    <w:rsid w:val="00765C01"/>
    <w:rsid w:val="00767CBA"/>
    <w:rsid w:val="00776F52"/>
    <w:rsid w:val="00783971"/>
    <w:rsid w:val="00797FAB"/>
    <w:rsid w:val="007C076C"/>
    <w:rsid w:val="007C4E06"/>
    <w:rsid w:val="007C5CB5"/>
    <w:rsid w:val="007E1750"/>
    <w:rsid w:val="007F19FA"/>
    <w:rsid w:val="00800C7F"/>
    <w:rsid w:val="00811A90"/>
    <w:rsid w:val="00834230"/>
    <w:rsid w:val="008652D6"/>
    <w:rsid w:val="00865D83"/>
    <w:rsid w:val="00875BCF"/>
    <w:rsid w:val="008A3F04"/>
    <w:rsid w:val="008A7A87"/>
    <w:rsid w:val="008B644A"/>
    <w:rsid w:val="00934735"/>
    <w:rsid w:val="00940399"/>
    <w:rsid w:val="009472CB"/>
    <w:rsid w:val="00972478"/>
    <w:rsid w:val="0099313D"/>
    <w:rsid w:val="009A03B6"/>
    <w:rsid w:val="009C28B6"/>
    <w:rsid w:val="009F0964"/>
    <w:rsid w:val="009F1A91"/>
    <w:rsid w:val="009F4883"/>
    <w:rsid w:val="00A13143"/>
    <w:rsid w:val="00A13E11"/>
    <w:rsid w:val="00A354CA"/>
    <w:rsid w:val="00A6008A"/>
    <w:rsid w:val="00A93CF5"/>
    <w:rsid w:val="00AB3066"/>
    <w:rsid w:val="00AD3D1E"/>
    <w:rsid w:val="00B02CDD"/>
    <w:rsid w:val="00B05C59"/>
    <w:rsid w:val="00B07EBB"/>
    <w:rsid w:val="00B46B25"/>
    <w:rsid w:val="00B538A0"/>
    <w:rsid w:val="00B56794"/>
    <w:rsid w:val="00B65190"/>
    <w:rsid w:val="00B74BDB"/>
    <w:rsid w:val="00B817D2"/>
    <w:rsid w:val="00BE7D7D"/>
    <w:rsid w:val="00C10641"/>
    <w:rsid w:val="00C2305F"/>
    <w:rsid w:val="00C5181A"/>
    <w:rsid w:val="00C63344"/>
    <w:rsid w:val="00C7444C"/>
    <w:rsid w:val="00C860D8"/>
    <w:rsid w:val="00C971DE"/>
    <w:rsid w:val="00CB035C"/>
    <w:rsid w:val="00CC1F99"/>
    <w:rsid w:val="00CC3266"/>
    <w:rsid w:val="00CC767F"/>
    <w:rsid w:val="00CD3643"/>
    <w:rsid w:val="00CE1B4D"/>
    <w:rsid w:val="00D04F35"/>
    <w:rsid w:val="00D1445D"/>
    <w:rsid w:val="00D514FC"/>
    <w:rsid w:val="00D84315"/>
    <w:rsid w:val="00D84DA4"/>
    <w:rsid w:val="00D95954"/>
    <w:rsid w:val="00DB5BCB"/>
    <w:rsid w:val="00DB70A8"/>
    <w:rsid w:val="00DC302F"/>
    <w:rsid w:val="00DD45D8"/>
    <w:rsid w:val="00E016F2"/>
    <w:rsid w:val="00E052EE"/>
    <w:rsid w:val="00E234BA"/>
    <w:rsid w:val="00E4001D"/>
    <w:rsid w:val="00E4412D"/>
    <w:rsid w:val="00E62E51"/>
    <w:rsid w:val="00E73F9A"/>
    <w:rsid w:val="00E81964"/>
    <w:rsid w:val="00E872FC"/>
    <w:rsid w:val="00EB3DA0"/>
    <w:rsid w:val="00EC0706"/>
    <w:rsid w:val="00F047B0"/>
    <w:rsid w:val="00F30B3B"/>
    <w:rsid w:val="00F93C52"/>
    <w:rsid w:val="00F93FD8"/>
    <w:rsid w:val="00FA7332"/>
    <w:rsid w:val="00FC18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4C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C28B6"/>
    <w:pPr>
      <w:tabs>
        <w:tab w:val="center" w:pos="4680"/>
        <w:tab w:val="right" w:pos="9360"/>
      </w:tabs>
      <w:spacing w:after="0" w:line="240" w:lineRule="auto"/>
    </w:pPr>
    <w:rPr>
      <w:rFonts w:eastAsia="MS Mincho"/>
    </w:rPr>
  </w:style>
  <w:style w:type="character" w:customStyle="1" w:styleId="EncabezadoCar">
    <w:name w:val="Encabezado Car"/>
    <w:link w:val="Encabezado"/>
    <w:rsid w:val="009C28B6"/>
    <w:rPr>
      <w:rFonts w:eastAsia="MS Mincho"/>
      <w:sz w:val="22"/>
      <w:szCs w:val="22"/>
    </w:rPr>
  </w:style>
  <w:style w:type="paragraph" w:styleId="Piedepgina">
    <w:name w:val="footer"/>
    <w:basedOn w:val="Normal"/>
    <w:link w:val="PiedepginaCar"/>
    <w:unhideWhenUsed/>
    <w:rsid w:val="009C28B6"/>
    <w:pPr>
      <w:tabs>
        <w:tab w:val="center" w:pos="4680"/>
        <w:tab w:val="right" w:pos="9360"/>
      </w:tabs>
      <w:spacing w:after="0" w:line="240" w:lineRule="auto"/>
    </w:pPr>
    <w:rPr>
      <w:rFonts w:eastAsia="MS Mincho"/>
    </w:rPr>
  </w:style>
  <w:style w:type="character" w:customStyle="1" w:styleId="PiedepginaCar">
    <w:name w:val="Pie de página Car"/>
    <w:link w:val="Piedepgina"/>
    <w:rsid w:val="009C28B6"/>
    <w:rPr>
      <w:rFonts w:eastAsia="MS Mincho"/>
      <w:sz w:val="22"/>
      <w:szCs w:val="22"/>
    </w:rPr>
  </w:style>
  <w:style w:type="paragraph" w:styleId="Sangradetextonormal">
    <w:name w:val="Body Text Indent"/>
    <w:link w:val="SangradetextonormalCar"/>
    <w:rsid w:val="009C28B6"/>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9C28B6"/>
    <w:rPr>
      <w:rFonts w:ascii="Times New Roman" w:eastAsia="Times New Roman" w:hAnsi="Times New Roman"/>
      <w:color w:val="000000"/>
      <w:sz w:val="24"/>
      <w:szCs w:val="24"/>
      <w:u w:color="000000"/>
      <w:bdr w:val="nil"/>
      <w:lang w:val="es-ES_tradnl" w:eastAsia="es-ES"/>
    </w:rPr>
  </w:style>
  <w:style w:type="paragraph" w:styleId="Prrafodelista">
    <w:name w:val="List Paragraph"/>
    <w:aliases w:val="Párrafo de lista1,List Paragraph1,List Paragraph11,List Paragraph2,Lista vistosa - Énfasis 11,Colorful List - Accent 11,Medium Grid 1 - Accent 21,Colorful List - Accent 12"/>
    <w:link w:val="PrrafodelistaCar"/>
    <w:qFormat/>
    <w:rsid w:val="009C28B6"/>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List Paragraph11 Car,List Paragraph2 Car,Lista vistosa - Énfasis 11 Car,Colorful List - Accent 11 Car,Medium Grid 1 - Accent 21 Car,Colorful List - Accent 12 Car"/>
    <w:link w:val="Prrafodelista"/>
    <w:locked/>
    <w:rsid w:val="009C28B6"/>
    <w:rPr>
      <w:rFonts w:ascii="Cambria" w:eastAsia="Cambria" w:hAnsi="Cambria" w:cs="Cambria"/>
      <w:color w:val="000000"/>
      <w:sz w:val="24"/>
      <w:szCs w:val="24"/>
      <w:u w:color="000000"/>
      <w:bdr w:val="nil"/>
      <w:lang w:eastAsia="es-ES"/>
    </w:rPr>
  </w:style>
  <w:style w:type="character" w:styleId="Hipervnculo">
    <w:name w:val="Hyperlink"/>
    <w:uiPriority w:val="99"/>
    <w:unhideWhenUsed/>
    <w:rsid w:val="009C28B6"/>
    <w:rPr>
      <w:color w:val="0000FF"/>
      <w:u w:val="single"/>
    </w:rPr>
  </w:style>
  <w:style w:type="paragraph" w:styleId="Textoindependiente">
    <w:name w:val="Body Text"/>
    <w:basedOn w:val="Normal"/>
    <w:link w:val="TextoindependienteCar"/>
    <w:uiPriority w:val="99"/>
    <w:unhideWhenUsed/>
    <w:rsid w:val="00783971"/>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rsid w:val="00783971"/>
    <w:rPr>
      <w:rFonts w:ascii="Times New Roman" w:eastAsia="Arial Unicode MS" w:hAnsi="Times New Roman"/>
      <w:sz w:val="24"/>
      <w:szCs w:val="24"/>
      <w:bdr w:val="nil"/>
    </w:rPr>
  </w:style>
  <w:style w:type="paragraph" w:styleId="Textodeglobo">
    <w:name w:val="Balloon Text"/>
    <w:basedOn w:val="Normal"/>
    <w:link w:val="TextodegloboCar"/>
    <w:uiPriority w:val="99"/>
    <w:semiHidden/>
    <w:unhideWhenUsed/>
    <w:rsid w:val="0067062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7062E"/>
    <w:rPr>
      <w:rFonts w:ascii="Tahoma" w:hAnsi="Tahoma" w:cs="Tahoma"/>
      <w:sz w:val="16"/>
      <w:szCs w:val="16"/>
    </w:rPr>
  </w:style>
  <w:style w:type="paragraph" w:styleId="Textoindependiente3">
    <w:name w:val="Body Text 3"/>
    <w:basedOn w:val="Normal"/>
    <w:link w:val="Textoindependiente3Car"/>
    <w:uiPriority w:val="99"/>
    <w:unhideWhenUsed/>
    <w:rsid w:val="00F93C52"/>
    <w:pPr>
      <w:pBdr>
        <w:top w:val="nil"/>
        <w:left w:val="nil"/>
        <w:bottom w:val="nil"/>
        <w:right w:val="nil"/>
        <w:between w:val="nil"/>
        <w:bar w:val="nil"/>
      </w:pBdr>
      <w:spacing w:after="120" w:line="240" w:lineRule="auto"/>
    </w:pPr>
    <w:rPr>
      <w:rFonts w:ascii="Times New Roman" w:eastAsia="Arial Unicode MS" w:hAnsi="Times New Roman"/>
      <w:sz w:val="16"/>
      <w:szCs w:val="16"/>
      <w:bdr w:val="nil"/>
    </w:rPr>
  </w:style>
  <w:style w:type="character" w:customStyle="1" w:styleId="Textoindependiente3Car">
    <w:name w:val="Texto independiente 3 Car"/>
    <w:link w:val="Textoindependiente3"/>
    <w:uiPriority w:val="99"/>
    <w:rsid w:val="00F93C52"/>
    <w:rPr>
      <w:rFonts w:ascii="Times New Roman" w:eastAsia="Arial Unicode MS" w:hAnsi="Times New Roman"/>
      <w:sz w:val="16"/>
      <w:szCs w:val="16"/>
      <w:bdr w:val="nil"/>
    </w:rPr>
  </w:style>
  <w:style w:type="paragraph" w:customStyle="1" w:styleId="parrafos">
    <w:name w:val="parrafos"/>
    <w:basedOn w:val="Normal"/>
    <w:link w:val="parrafosChar"/>
    <w:qFormat/>
    <w:rsid w:val="009F4883"/>
    <w:pPr>
      <w:tabs>
        <w:tab w:val="left" w:pos="360"/>
      </w:tabs>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9F4883"/>
    <w:rPr>
      <w:rFonts w:ascii="Cambria" w:eastAsia="Arial Unicode MS" w:hAnsi="Cambria"/>
      <w:color w:val="000000"/>
      <w:bdr w:val="nil"/>
      <w:lang w:val="es-VE"/>
    </w:rPr>
  </w:style>
  <w:style w:type="character" w:styleId="Textoennegrita">
    <w:name w:val="Strong"/>
    <w:uiPriority w:val="22"/>
    <w:qFormat/>
    <w:rsid w:val="009F4883"/>
    <w:rPr>
      <w:b/>
      <w:bC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CB035C"/>
    <w:pPr>
      <w:pBdr>
        <w:top w:val="nil"/>
        <w:left w:val="nil"/>
        <w:bottom w:val="nil"/>
        <w:right w:val="nil"/>
        <w:between w:val="nil"/>
        <w:bar w:val="nil"/>
      </w:pBdr>
    </w:pPr>
    <w:rPr>
      <w:rFonts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CB035C"/>
    <w:rPr>
      <w:rFonts w:cs="Calibri"/>
      <w:color w:val="000000"/>
      <w:u w:color="000000"/>
      <w:bdr w:val="nil"/>
      <w:lang w:eastAsia="es-E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 de nota al pi,Ref,R"/>
    <w:link w:val="1"/>
    <w:unhideWhenUsed/>
    <w:qFormat/>
    <w:rsid w:val="00CB035C"/>
    <w:rPr>
      <w:vertAlign w:val="superscript"/>
    </w:rPr>
  </w:style>
  <w:style w:type="paragraph" w:customStyle="1" w:styleId="1">
    <w:name w:val="1"/>
    <w:basedOn w:val="Normal"/>
    <w:link w:val="Refdenotaalpie"/>
    <w:rsid w:val="00CB035C"/>
    <w:pPr>
      <w:spacing w:after="160" w:line="240" w:lineRule="exact"/>
    </w:pPr>
    <w:rPr>
      <w:sz w:val="20"/>
      <w:szCs w:val="20"/>
      <w:vertAlign w:val="superscript"/>
    </w:rPr>
  </w:style>
  <w:style w:type="character" w:styleId="Refdecomentario">
    <w:name w:val="annotation reference"/>
    <w:uiPriority w:val="99"/>
    <w:semiHidden/>
    <w:unhideWhenUsed/>
    <w:rsid w:val="006205D1"/>
    <w:rPr>
      <w:sz w:val="16"/>
      <w:szCs w:val="16"/>
    </w:rPr>
  </w:style>
  <w:style w:type="paragraph" w:styleId="Textocomentario">
    <w:name w:val="annotation text"/>
    <w:basedOn w:val="Normal"/>
    <w:link w:val="TextocomentarioCar"/>
    <w:uiPriority w:val="99"/>
    <w:semiHidden/>
    <w:unhideWhenUsed/>
    <w:rsid w:val="006205D1"/>
    <w:rPr>
      <w:sz w:val="20"/>
      <w:szCs w:val="20"/>
    </w:rPr>
  </w:style>
  <w:style w:type="character" w:customStyle="1" w:styleId="TextocomentarioCar">
    <w:name w:val="Texto comentario Car"/>
    <w:basedOn w:val="Fuentedeprrafopredeter"/>
    <w:link w:val="Textocomentario"/>
    <w:uiPriority w:val="99"/>
    <w:semiHidden/>
    <w:rsid w:val="006205D1"/>
  </w:style>
  <w:style w:type="paragraph" w:styleId="Asuntodelcomentario">
    <w:name w:val="annotation subject"/>
    <w:basedOn w:val="Textocomentario"/>
    <w:next w:val="Textocomentario"/>
    <w:link w:val="AsuntodelcomentarioCar"/>
    <w:uiPriority w:val="99"/>
    <w:semiHidden/>
    <w:unhideWhenUsed/>
    <w:rsid w:val="006205D1"/>
    <w:rPr>
      <w:b/>
      <w:bCs/>
    </w:rPr>
  </w:style>
  <w:style w:type="character" w:customStyle="1" w:styleId="AsuntodelcomentarioCar">
    <w:name w:val="Asunto del comentario Car"/>
    <w:link w:val="Asuntodelcomentario"/>
    <w:uiPriority w:val="99"/>
    <w:semiHidden/>
    <w:rsid w:val="006205D1"/>
    <w:rPr>
      <w:b/>
      <w:bC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6B7047"/>
    <w:pPr>
      <w:spacing w:after="160" w:line="240" w:lineRule="exact"/>
    </w:pPr>
    <w:rPr>
      <w:rFonts w:ascii="Times New Roman" w:eastAsia="Arial Unicode MS" w:hAnsi="Times New Roman"/>
      <w:sz w:val="20"/>
      <w:szCs w:val="20"/>
      <w:bdr w:val="nil"/>
      <w:vertAlign w:val="superscript"/>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06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6D65B-9253-416B-BA82-C82AC954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1938</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2021-07-12T19:36:00Z</dcterms:created>
  <dcterms:modified xsi:type="dcterms:W3CDTF">2021-07-12T19:36:00Z</dcterms:modified>
</cp:coreProperties>
</file>