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39875" w14:textId="54EAC48D" w:rsidR="00F5757E" w:rsidRPr="003C7A6C" w:rsidRDefault="00B00C1E" w:rsidP="00D40BC7">
      <w:pPr>
        <w:pStyle w:val="Footnotes"/>
        <w:spacing w:before="0" w:after="0"/>
        <w:rPr>
          <w:spacing w:val="0"/>
          <w:sz w:val="20"/>
          <w:szCs w:val="20"/>
          <w:lang w:val="es-CR"/>
        </w:rPr>
      </w:pPr>
      <w:r w:rsidRPr="003C7A6C">
        <w:rPr>
          <w:spacing w:val="0"/>
          <w:sz w:val="20"/>
          <w:szCs w:val="20"/>
          <w:lang w:val="es-CR"/>
        </w:rPr>
        <w:t xml:space="preserve"> </w:t>
      </w:r>
    </w:p>
    <w:p w14:paraId="054CA151" w14:textId="77777777" w:rsidR="00F5757E" w:rsidRPr="003C7A6C" w:rsidRDefault="00F5757E" w:rsidP="00D40BC7">
      <w:pPr>
        <w:widowControl w:val="0"/>
        <w:tabs>
          <w:tab w:val="left" w:pos="567"/>
        </w:tabs>
        <w:adjustRightInd w:val="0"/>
        <w:textAlignment w:val="baseline"/>
        <w:rPr>
          <w:rFonts w:cs="Verdana Bold"/>
          <w:b/>
          <w:bCs/>
          <w:caps/>
          <w:szCs w:val="20"/>
          <w:lang w:val="es-CR"/>
        </w:rPr>
      </w:pPr>
    </w:p>
    <w:p w14:paraId="67D5479C" w14:textId="77777777" w:rsidR="00F5757E" w:rsidRPr="003C7A6C" w:rsidRDefault="00F5757E" w:rsidP="00D40BC7">
      <w:pPr>
        <w:widowControl w:val="0"/>
        <w:tabs>
          <w:tab w:val="left" w:pos="567"/>
        </w:tabs>
        <w:adjustRightInd w:val="0"/>
        <w:textAlignment w:val="baseline"/>
        <w:rPr>
          <w:rFonts w:cs="Verdana Bold"/>
          <w:b/>
          <w:bCs/>
          <w:caps/>
          <w:szCs w:val="20"/>
          <w:lang w:val="es-CR"/>
        </w:rPr>
      </w:pPr>
    </w:p>
    <w:p w14:paraId="7C292BCC" w14:textId="77777777" w:rsidR="00F5757E" w:rsidRPr="003C7A6C" w:rsidRDefault="00F5757E" w:rsidP="00D40BC7">
      <w:pPr>
        <w:widowControl w:val="0"/>
        <w:tabs>
          <w:tab w:val="left" w:pos="567"/>
        </w:tabs>
        <w:adjustRightInd w:val="0"/>
        <w:textAlignment w:val="baseline"/>
        <w:rPr>
          <w:rFonts w:cs="Verdana Bold"/>
          <w:b/>
          <w:bCs/>
          <w:caps/>
          <w:szCs w:val="20"/>
          <w:lang w:val="es-CR"/>
        </w:rPr>
      </w:pPr>
    </w:p>
    <w:p w14:paraId="5282222D" w14:textId="77777777" w:rsidR="00F5757E" w:rsidRPr="003C7A6C" w:rsidRDefault="00F5757E" w:rsidP="00D40BC7">
      <w:pPr>
        <w:widowControl w:val="0"/>
        <w:tabs>
          <w:tab w:val="left" w:pos="567"/>
        </w:tabs>
        <w:adjustRightInd w:val="0"/>
        <w:textAlignment w:val="baseline"/>
        <w:rPr>
          <w:rFonts w:cs="Verdana Bold"/>
          <w:b/>
          <w:bCs/>
          <w:caps/>
          <w:szCs w:val="20"/>
          <w:lang w:val="es-CR"/>
        </w:rPr>
      </w:pPr>
    </w:p>
    <w:p w14:paraId="6565F5EE" w14:textId="77777777" w:rsidR="00F5757E" w:rsidRPr="003C7A6C" w:rsidRDefault="00F5757E" w:rsidP="00D40BC7">
      <w:pPr>
        <w:widowControl w:val="0"/>
        <w:tabs>
          <w:tab w:val="left" w:pos="567"/>
        </w:tabs>
        <w:adjustRightInd w:val="0"/>
        <w:textAlignment w:val="baseline"/>
        <w:rPr>
          <w:rFonts w:cs="Verdana Bold"/>
          <w:b/>
          <w:bCs/>
          <w:caps/>
          <w:szCs w:val="20"/>
          <w:lang w:val="es-CR"/>
        </w:rPr>
      </w:pPr>
    </w:p>
    <w:p w14:paraId="1398A6A5" w14:textId="77777777" w:rsidR="00F5757E" w:rsidRPr="003C7A6C" w:rsidRDefault="00F5757E" w:rsidP="00D40BC7">
      <w:pPr>
        <w:widowControl w:val="0"/>
        <w:tabs>
          <w:tab w:val="left" w:pos="567"/>
        </w:tabs>
        <w:adjustRightInd w:val="0"/>
        <w:textAlignment w:val="baseline"/>
        <w:rPr>
          <w:rFonts w:cs="Verdana Bold"/>
          <w:b/>
          <w:bCs/>
          <w:caps/>
          <w:szCs w:val="20"/>
          <w:lang w:val="es-CR"/>
        </w:rPr>
      </w:pPr>
    </w:p>
    <w:p w14:paraId="7FA1C6B4" w14:textId="79DDAF2E" w:rsidR="001F73BD" w:rsidRPr="003C7A6C" w:rsidRDefault="001F73BD" w:rsidP="00D40BC7">
      <w:pPr>
        <w:widowControl w:val="0"/>
        <w:tabs>
          <w:tab w:val="left" w:pos="567"/>
        </w:tabs>
        <w:adjustRightInd w:val="0"/>
        <w:textAlignment w:val="baseline"/>
        <w:rPr>
          <w:rFonts w:cs="Verdana Bold"/>
          <w:b/>
          <w:bCs/>
          <w:caps/>
          <w:szCs w:val="20"/>
          <w:lang w:val="es-CR"/>
        </w:rPr>
      </w:pPr>
    </w:p>
    <w:p w14:paraId="7C50DD40" w14:textId="77777777" w:rsidR="005745B7" w:rsidRPr="003C7A6C" w:rsidRDefault="005745B7" w:rsidP="00D40BC7">
      <w:pPr>
        <w:widowControl w:val="0"/>
        <w:tabs>
          <w:tab w:val="left" w:pos="567"/>
        </w:tabs>
        <w:adjustRightInd w:val="0"/>
        <w:textAlignment w:val="baseline"/>
        <w:rPr>
          <w:rFonts w:cs="Verdana Bold"/>
          <w:b/>
          <w:bCs/>
          <w:caps/>
          <w:szCs w:val="20"/>
          <w:lang w:val="es-CR"/>
        </w:rPr>
      </w:pPr>
    </w:p>
    <w:p w14:paraId="7EF34D6B" w14:textId="123402F8" w:rsidR="00F5757E" w:rsidRPr="003C7A6C" w:rsidRDefault="00F5757E" w:rsidP="00D40BC7">
      <w:pPr>
        <w:widowControl w:val="0"/>
        <w:tabs>
          <w:tab w:val="left" w:pos="567"/>
        </w:tabs>
        <w:adjustRightInd w:val="0"/>
        <w:textAlignment w:val="baseline"/>
        <w:rPr>
          <w:b/>
          <w:szCs w:val="20"/>
          <w:lang w:val="es-CR" w:eastAsia="es-CR"/>
        </w:rPr>
      </w:pPr>
    </w:p>
    <w:p w14:paraId="56EDFA5B" w14:textId="77777777" w:rsidR="00F5757E" w:rsidRPr="003C7A6C" w:rsidRDefault="00F5757E" w:rsidP="00D40BC7">
      <w:pPr>
        <w:widowControl w:val="0"/>
        <w:tabs>
          <w:tab w:val="left" w:pos="567"/>
        </w:tabs>
        <w:adjustRightInd w:val="0"/>
        <w:jc w:val="center"/>
        <w:textAlignment w:val="baseline"/>
        <w:rPr>
          <w:b/>
          <w:szCs w:val="20"/>
          <w:lang w:val="es-CR" w:eastAsia="es-CR"/>
        </w:rPr>
      </w:pPr>
    </w:p>
    <w:p w14:paraId="02AA51E6" w14:textId="71BB6D40" w:rsidR="00F5757E" w:rsidRPr="003C7A6C" w:rsidRDefault="00F5757E" w:rsidP="00D40BC7">
      <w:pPr>
        <w:pStyle w:val="Ttulo"/>
        <w:tabs>
          <w:tab w:val="left" w:pos="567"/>
        </w:tabs>
        <w:spacing w:before="0" w:after="0"/>
        <w:outlineLvl w:val="9"/>
        <w:rPr>
          <w:sz w:val="20"/>
        </w:rPr>
      </w:pPr>
      <w:r w:rsidRPr="003C7A6C">
        <w:rPr>
          <w:sz w:val="20"/>
        </w:rPr>
        <w:t>CORTE INTERAMERICANA DE DERECHOS HUMANOS</w:t>
      </w:r>
    </w:p>
    <w:p w14:paraId="5B149A0D" w14:textId="77777777" w:rsidR="00F5757E" w:rsidRPr="003C7A6C" w:rsidRDefault="00F5757E" w:rsidP="00D40BC7">
      <w:pPr>
        <w:jc w:val="center"/>
        <w:rPr>
          <w:b/>
          <w:bCs/>
          <w:szCs w:val="20"/>
          <w:lang w:val="es-CR"/>
        </w:rPr>
      </w:pPr>
    </w:p>
    <w:p w14:paraId="4066D917" w14:textId="410DAD3E" w:rsidR="00F5757E" w:rsidRPr="003C7A6C" w:rsidRDefault="00F5757E" w:rsidP="00D40BC7">
      <w:pPr>
        <w:jc w:val="center"/>
        <w:rPr>
          <w:b/>
          <w:bCs/>
          <w:szCs w:val="20"/>
          <w:lang w:val="es-CR"/>
        </w:rPr>
      </w:pPr>
      <w:r w:rsidRPr="003C7A6C">
        <w:rPr>
          <w:b/>
          <w:bCs/>
          <w:szCs w:val="20"/>
          <w:lang w:val="es-CR"/>
        </w:rPr>
        <w:t xml:space="preserve">CASO </w:t>
      </w:r>
      <w:r w:rsidR="00C54CF1" w:rsidRPr="003C7A6C">
        <w:rPr>
          <w:b/>
          <w:bCs/>
          <w:szCs w:val="20"/>
          <w:lang w:val="es-CR"/>
        </w:rPr>
        <w:t>MARTÍNEZ ESQUIVIA VS. COLOMBIA</w:t>
      </w:r>
    </w:p>
    <w:p w14:paraId="44A31535" w14:textId="77777777" w:rsidR="00F5757E" w:rsidRPr="003C7A6C" w:rsidRDefault="00F5757E" w:rsidP="00D40BC7">
      <w:pPr>
        <w:jc w:val="center"/>
        <w:rPr>
          <w:b/>
          <w:szCs w:val="20"/>
          <w:lang w:val="es-CR"/>
        </w:rPr>
      </w:pPr>
    </w:p>
    <w:p w14:paraId="3F716187" w14:textId="5EC6E107" w:rsidR="00F5757E" w:rsidRPr="003C7A6C" w:rsidRDefault="00123E04" w:rsidP="00D40BC7">
      <w:pPr>
        <w:jc w:val="center"/>
        <w:rPr>
          <w:b/>
          <w:szCs w:val="20"/>
          <w:lang w:val="es-CR"/>
        </w:rPr>
      </w:pPr>
      <w:bookmarkStart w:id="0" w:name="_Toc424833992"/>
      <w:bookmarkStart w:id="1" w:name="_Toc424834593"/>
      <w:bookmarkStart w:id="2" w:name="_Toc424834676"/>
      <w:bookmarkStart w:id="3" w:name="_Toc424834743"/>
      <w:r w:rsidRPr="003C7A6C">
        <w:rPr>
          <w:b/>
          <w:szCs w:val="20"/>
          <w:lang w:val="es-CR"/>
        </w:rPr>
        <w:t xml:space="preserve">SENTENCIA DE </w:t>
      </w:r>
      <w:r w:rsidR="000F7AA1" w:rsidRPr="003C7A6C">
        <w:rPr>
          <w:b/>
          <w:szCs w:val="20"/>
          <w:lang w:val="es-CR"/>
        </w:rPr>
        <w:t>21</w:t>
      </w:r>
      <w:r w:rsidRPr="003C7A6C">
        <w:rPr>
          <w:b/>
          <w:szCs w:val="20"/>
          <w:lang w:val="es-CR"/>
        </w:rPr>
        <w:t xml:space="preserve"> DE </w:t>
      </w:r>
      <w:r w:rsidR="000F7AA1" w:rsidRPr="003C7A6C">
        <w:rPr>
          <w:b/>
          <w:szCs w:val="20"/>
          <w:lang w:val="es-CR"/>
        </w:rPr>
        <w:t>JUNIO</w:t>
      </w:r>
      <w:r w:rsidR="00F5757E" w:rsidRPr="003C7A6C">
        <w:rPr>
          <w:b/>
          <w:szCs w:val="20"/>
          <w:lang w:val="es-CR"/>
        </w:rPr>
        <w:t xml:space="preserve"> DE </w:t>
      </w:r>
      <w:bookmarkEnd w:id="0"/>
      <w:bookmarkEnd w:id="1"/>
      <w:bookmarkEnd w:id="2"/>
      <w:bookmarkEnd w:id="3"/>
      <w:r w:rsidR="007E6965" w:rsidRPr="003C7A6C">
        <w:rPr>
          <w:b/>
          <w:szCs w:val="20"/>
          <w:lang w:val="es-CR"/>
        </w:rPr>
        <w:t>2021</w:t>
      </w:r>
    </w:p>
    <w:p w14:paraId="7BB7589F" w14:textId="77777777" w:rsidR="00F5757E" w:rsidRPr="003C7A6C" w:rsidRDefault="00F5757E" w:rsidP="00D40BC7">
      <w:pPr>
        <w:jc w:val="center"/>
        <w:rPr>
          <w:szCs w:val="20"/>
          <w:lang w:val="es-CR"/>
        </w:rPr>
      </w:pPr>
    </w:p>
    <w:p w14:paraId="43CFD122" w14:textId="41A677F5" w:rsidR="00F5757E" w:rsidRPr="003C7A6C" w:rsidRDefault="00F5757E" w:rsidP="00D40BC7">
      <w:pPr>
        <w:jc w:val="center"/>
        <w:rPr>
          <w:rFonts w:cs="Verdana"/>
          <w:b/>
          <w:bCs/>
          <w:caps/>
          <w:snapToGrid w:val="0"/>
          <w:szCs w:val="20"/>
          <w:lang w:val="es-CR" w:eastAsia="es-ES"/>
        </w:rPr>
      </w:pPr>
      <w:bookmarkStart w:id="4" w:name="_Toc424833993"/>
      <w:bookmarkStart w:id="5" w:name="_Toc424834594"/>
      <w:bookmarkStart w:id="6" w:name="_Toc424834677"/>
      <w:bookmarkStart w:id="7" w:name="_Toc424834744"/>
      <w:r w:rsidRPr="003C7A6C">
        <w:rPr>
          <w:b/>
          <w:szCs w:val="20"/>
          <w:lang w:val="es-CR"/>
        </w:rPr>
        <w:t>(</w:t>
      </w:r>
      <w:r w:rsidR="007E6965" w:rsidRPr="003C7A6C">
        <w:rPr>
          <w:b/>
          <w:i/>
          <w:szCs w:val="20"/>
          <w:lang w:val="es-CR"/>
        </w:rPr>
        <w:t>Interpretación de la</w:t>
      </w:r>
      <w:r w:rsidR="00EA629E" w:rsidRPr="003C7A6C">
        <w:rPr>
          <w:b/>
          <w:i/>
          <w:szCs w:val="20"/>
          <w:lang w:val="es-CR"/>
        </w:rPr>
        <w:t xml:space="preserve"> Sentencia de </w:t>
      </w:r>
      <w:r w:rsidR="00C54CF1" w:rsidRPr="003C7A6C">
        <w:rPr>
          <w:b/>
          <w:i/>
          <w:szCs w:val="20"/>
          <w:lang w:val="es-CR"/>
        </w:rPr>
        <w:t xml:space="preserve">Excepciones preliminares, </w:t>
      </w:r>
      <w:r w:rsidRPr="003C7A6C">
        <w:rPr>
          <w:b/>
          <w:i/>
          <w:szCs w:val="20"/>
          <w:lang w:val="es-CR"/>
        </w:rPr>
        <w:t>Fondo</w:t>
      </w:r>
      <w:r w:rsidR="00BE24A8" w:rsidRPr="003C7A6C">
        <w:rPr>
          <w:b/>
          <w:i/>
          <w:szCs w:val="20"/>
          <w:lang w:val="es-CR"/>
        </w:rPr>
        <w:t xml:space="preserve"> y</w:t>
      </w:r>
      <w:r w:rsidR="00EA7C37" w:rsidRPr="003C7A6C">
        <w:rPr>
          <w:b/>
          <w:i/>
          <w:szCs w:val="20"/>
          <w:lang w:val="es-CR"/>
        </w:rPr>
        <w:t xml:space="preserve"> Reparaciones</w:t>
      </w:r>
      <w:r w:rsidRPr="003C7A6C">
        <w:rPr>
          <w:b/>
          <w:szCs w:val="20"/>
          <w:lang w:val="es-CR"/>
        </w:rPr>
        <w:t>)</w:t>
      </w:r>
      <w:bookmarkEnd w:id="4"/>
      <w:bookmarkEnd w:id="5"/>
      <w:bookmarkEnd w:id="6"/>
      <w:bookmarkEnd w:id="7"/>
    </w:p>
    <w:p w14:paraId="1696EB7B" w14:textId="77777777" w:rsidR="00F5757E" w:rsidRPr="003C7A6C" w:rsidRDefault="00F5757E" w:rsidP="00D40BC7">
      <w:pPr>
        <w:widowControl w:val="0"/>
        <w:tabs>
          <w:tab w:val="left" w:pos="567"/>
          <w:tab w:val="left" w:pos="720"/>
        </w:tabs>
        <w:adjustRightInd w:val="0"/>
        <w:textAlignment w:val="baseline"/>
        <w:rPr>
          <w:rFonts w:cs="Verdana"/>
          <w:szCs w:val="20"/>
          <w:lang w:val="es-CR" w:eastAsia="es-CR"/>
        </w:rPr>
      </w:pPr>
    </w:p>
    <w:p w14:paraId="36D49744" w14:textId="77777777" w:rsidR="00F5757E" w:rsidRPr="003C7A6C" w:rsidRDefault="00F5757E" w:rsidP="00D40BC7">
      <w:pPr>
        <w:widowControl w:val="0"/>
        <w:tabs>
          <w:tab w:val="left" w:pos="6932"/>
        </w:tabs>
        <w:adjustRightInd w:val="0"/>
        <w:textAlignment w:val="baseline"/>
        <w:rPr>
          <w:rFonts w:cs="Verdana"/>
          <w:b/>
          <w:bCs/>
          <w:szCs w:val="20"/>
          <w:lang w:val="es-CR" w:eastAsia="es-CR"/>
        </w:rPr>
      </w:pPr>
      <w:r w:rsidRPr="003C7A6C">
        <w:rPr>
          <w:rFonts w:cs="Verdana"/>
          <w:b/>
          <w:bCs/>
          <w:szCs w:val="20"/>
          <w:lang w:val="es-CR" w:eastAsia="es-CR"/>
        </w:rPr>
        <w:tab/>
      </w:r>
    </w:p>
    <w:p w14:paraId="14BBCD6B" w14:textId="77777777" w:rsidR="00F5757E" w:rsidRPr="003C7A6C" w:rsidRDefault="00F5757E" w:rsidP="00D40BC7">
      <w:pPr>
        <w:widowControl w:val="0"/>
        <w:tabs>
          <w:tab w:val="left" w:pos="567"/>
          <w:tab w:val="left" w:pos="720"/>
        </w:tabs>
        <w:adjustRightInd w:val="0"/>
        <w:textAlignment w:val="baseline"/>
        <w:rPr>
          <w:rFonts w:cs="Verdana"/>
          <w:szCs w:val="20"/>
          <w:lang w:val="es-CR" w:eastAsia="es-CR"/>
        </w:rPr>
      </w:pPr>
    </w:p>
    <w:p w14:paraId="03C440D1" w14:textId="2ED0E3A2" w:rsidR="00F5757E" w:rsidRPr="003C7A6C" w:rsidRDefault="00F5757E" w:rsidP="00D40BC7">
      <w:pPr>
        <w:widowControl w:val="0"/>
        <w:tabs>
          <w:tab w:val="left" w:pos="567"/>
          <w:tab w:val="left" w:pos="720"/>
        </w:tabs>
        <w:adjustRightInd w:val="0"/>
        <w:textAlignment w:val="baseline"/>
        <w:rPr>
          <w:rFonts w:cs="Verdana"/>
          <w:i/>
          <w:iCs/>
          <w:szCs w:val="20"/>
          <w:lang w:val="es-CR" w:eastAsia="es-CR"/>
        </w:rPr>
      </w:pPr>
      <w:r w:rsidRPr="003C7A6C">
        <w:rPr>
          <w:rFonts w:cs="Verdana"/>
          <w:szCs w:val="20"/>
          <w:lang w:val="es-CR" w:eastAsia="es-CR"/>
        </w:rPr>
        <w:t>En el caso</w:t>
      </w:r>
      <w:r w:rsidRPr="003C7A6C">
        <w:rPr>
          <w:rFonts w:cs="Verdana"/>
          <w:i/>
          <w:iCs/>
          <w:szCs w:val="20"/>
          <w:lang w:val="es-CR" w:eastAsia="es-CR"/>
        </w:rPr>
        <w:t xml:space="preserve"> </w:t>
      </w:r>
      <w:r w:rsidR="00C54CF1" w:rsidRPr="003C7A6C">
        <w:rPr>
          <w:rFonts w:cs="Verdana"/>
          <w:i/>
          <w:iCs/>
          <w:szCs w:val="20"/>
          <w:lang w:val="es-CR" w:eastAsia="es-CR"/>
        </w:rPr>
        <w:t>Martínez Esquivia</w:t>
      </w:r>
      <w:r w:rsidR="00AB7835" w:rsidRPr="003C7A6C">
        <w:rPr>
          <w:rFonts w:cs="Verdana"/>
          <w:i/>
          <w:iCs/>
          <w:szCs w:val="20"/>
          <w:lang w:val="es-CR" w:eastAsia="es-CR"/>
        </w:rPr>
        <w:t xml:space="preserve"> V</w:t>
      </w:r>
      <w:r w:rsidR="00123E04" w:rsidRPr="003C7A6C">
        <w:rPr>
          <w:rFonts w:cs="Verdana"/>
          <w:i/>
          <w:iCs/>
          <w:szCs w:val="20"/>
          <w:lang w:val="es-CR" w:eastAsia="es-CR"/>
        </w:rPr>
        <w:t xml:space="preserve">s. </w:t>
      </w:r>
      <w:r w:rsidR="00C54CF1" w:rsidRPr="003C7A6C">
        <w:rPr>
          <w:rFonts w:cs="Verdana"/>
          <w:i/>
          <w:iCs/>
          <w:szCs w:val="20"/>
          <w:lang w:val="es-CR" w:eastAsia="es-CR"/>
        </w:rPr>
        <w:t>Colombia</w:t>
      </w:r>
      <w:r w:rsidRPr="003C7A6C">
        <w:rPr>
          <w:rFonts w:cs="Verdana"/>
          <w:i/>
          <w:iCs/>
          <w:szCs w:val="20"/>
          <w:lang w:val="es-CR" w:eastAsia="es-CR"/>
        </w:rPr>
        <w:t xml:space="preserve">, </w:t>
      </w:r>
    </w:p>
    <w:p w14:paraId="1AF73538" w14:textId="77777777" w:rsidR="00F5757E" w:rsidRPr="003C7A6C" w:rsidRDefault="00F5757E" w:rsidP="00D40BC7">
      <w:pPr>
        <w:widowControl w:val="0"/>
        <w:tabs>
          <w:tab w:val="left" w:pos="567"/>
          <w:tab w:val="left" w:pos="720"/>
        </w:tabs>
        <w:adjustRightInd w:val="0"/>
        <w:textAlignment w:val="baseline"/>
        <w:rPr>
          <w:rFonts w:cs="Verdana"/>
          <w:szCs w:val="20"/>
          <w:lang w:val="es-CR" w:eastAsia="es-CR"/>
        </w:rPr>
      </w:pPr>
    </w:p>
    <w:p w14:paraId="18C16E07" w14:textId="3CE5C642" w:rsidR="00F5757E" w:rsidRPr="003C7A6C" w:rsidRDefault="00F5757E" w:rsidP="00D40BC7">
      <w:pPr>
        <w:widowControl w:val="0"/>
        <w:tabs>
          <w:tab w:val="left" w:pos="567"/>
          <w:tab w:val="left" w:pos="720"/>
        </w:tabs>
        <w:adjustRightInd w:val="0"/>
        <w:textAlignment w:val="baseline"/>
        <w:rPr>
          <w:rFonts w:cs="Verdana"/>
          <w:szCs w:val="20"/>
          <w:lang w:val="es-CR" w:eastAsia="es-CR"/>
        </w:rPr>
      </w:pPr>
      <w:r w:rsidRPr="003C7A6C">
        <w:rPr>
          <w:rFonts w:cs="Verdana"/>
          <w:szCs w:val="20"/>
          <w:lang w:val="es-CR" w:eastAsia="es-CR"/>
        </w:rPr>
        <w:t>la Corte Interamericana de Derechos Humanos (en adelante “la Corte Interamericana”, “la Corte” o “</w:t>
      </w:r>
      <w:r w:rsidR="00493CE0" w:rsidRPr="003C7A6C">
        <w:rPr>
          <w:rFonts w:cs="Verdana"/>
          <w:szCs w:val="20"/>
          <w:lang w:val="es-CR" w:eastAsia="es-CR"/>
        </w:rPr>
        <w:t xml:space="preserve">el </w:t>
      </w:r>
      <w:r w:rsidRPr="003C7A6C">
        <w:rPr>
          <w:rFonts w:cs="Verdana"/>
          <w:szCs w:val="20"/>
          <w:lang w:val="es-CR" w:eastAsia="es-CR"/>
        </w:rPr>
        <w:t>Tribunal”), integrada por los siguientes jueces</w:t>
      </w:r>
      <w:r w:rsidR="00040D1E" w:rsidRPr="003C7A6C">
        <w:rPr>
          <w:rStyle w:val="Refdenotaalpie"/>
          <w:lang w:val="es-CR"/>
        </w:rPr>
        <w:footnoteReference w:customMarkFollows="1" w:id="1"/>
        <w:t>*</w:t>
      </w:r>
      <w:r w:rsidRPr="003C7A6C">
        <w:rPr>
          <w:rFonts w:cs="Verdana"/>
          <w:szCs w:val="20"/>
          <w:lang w:val="es-CR" w:eastAsia="es-CR"/>
        </w:rPr>
        <w:t>:</w:t>
      </w:r>
    </w:p>
    <w:p w14:paraId="23699121" w14:textId="094BCB8F" w:rsidR="00123E04" w:rsidRPr="003C7A6C" w:rsidRDefault="00123E04" w:rsidP="00D40BC7">
      <w:pPr>
        <w:widowControl w:val="0"/>
        <w:tabs>
          <w:tab w:val="left" w:pos="567"/>
          <w:tab w:val="left" w:pos="720"/>
        </w:tabs>
        <w:adjustRightInd w:val="0"/>
        <w:textAlignment w:val="baseline"/>
        <w:rPr>
          <w:rFonts w:cs="Verdana"/>
          <w:szCs w:val="20"/>
          <w:lang w:val="es-CR" w:eastAsia="es-CR"/>
        </w:rPr>
      </w:pPr>
    </w:p>
    <w:p w14:paraId="3BCCD0C4" w14:textId="0E0ABAC2" w:rsidR="00123E04" w:rsidRPr="003C7A6C" w:rsidRDefault="00123E04" w:rsidP="00D40BC7">
      <w:pPr>
        <w:widowControl w:val="0"/>
        <w:tabs>
          <w:tab w:val="left" w:pos="567"/>
          <w:tab w:val="left" w:pos="720"/>
        </w:tabs>
        <w:adjustRightInd w:val="0"/>
        <w:textAlignment w:val="baseline"/>
        <w:rPr>
          <w:rFonts w:cs="Verdana"/>
          <w:szCs w:val="20"/>
          <w:lang w:val="es-CR" w:eastAsia="es-CR"/>
        </w:rPr>
      </w:pPr>
      <w:r w:rsidRPr="003C7A6C">
        <w:rPr>
          <w:rFonts w:cs="Verdana"/>
          <w:szCs w:val="20"/>
          <w:lang w:val="es-CR" w:eastAsia="es-CR"/>
        </w:rPr>
        <w:t>Elizabeth Odio Benito, Presidenta;</w:t>
      </w:r>
    </w:p>
    <w:p w14:paraId="4CAB6F08" w14:textId="3D678FB3" w:rsidR="00123E04" w:rsidRPr="003C7A6C" w:rsidRDefault="00123E04" w:rsidP="00D40BC7">
      <w:pPr>
        <w:widowControl w:val="0"/>
        <w:tabs>
          <w:tab w:val="left" w:pos="567"/>
          <w:tab w:val="left" w:pos="720"/>
        </w:tabs>
        <w:adjustRightInd w:val="0"/>
        <w:textAlignment w:val="baseline"/>
        <w:rPr>
          <w:rFonts w:cs="Verdana"/>
          <w:szCs w:val="20"/>
          <w:lang w:val="es-CR" w:eastAsia="es-CR"/>
        </w:rPr>
      </w:pPr>
      <w:r w:rsidRPr="003C7A6C">
        <w:rPr>
          <w:rFonts w:cs="Verdana"/>
          <w:szCs w:val="20"/>
          <w:lang w:val="es-CR" w:eastAsia="es-CR"/>
        </w:rPr>
        <w:t>Patricio Pazmiño Freire, Vicepresidente;</w:t>
      </w:r>
    </w:p>
    <w:p w14:paraId="49009154" w14:textId="4CFF7FCC" w:rsidR="00123E04" w:rsidRPr="003C7A6C" w:rsidRDefault="00123E04" w:rsidP="00D40BC7">
      <w:pPr>
        <w:widowControl w:val="0"/>
        <w:tabs>
          <w:tab w:val="left" w:pos="567"/>
          <w:tab w:val="left" w:pos="720"/>
        </w:tabs>
        <w:adjustRightInd w:val="0"/>
        <w:textAlignment w:val="baseline"/>
        <w:rPr>
          <w:rFonts w:cs="Verdana"/>
          <w:szCs w:val="20"/>
          <w:lang w:val="es-CR" w:eastAsia="es-CR"/>
        </w:rPr>
      </w:pPr>
      <w:r w:rsidRPr="003C7A6C">
        <w:rPr>
          <w:rFonts w:cs="Verdana"/>
          <w:szCs w:val="20"/>
          <w:lang w:val="es-CR" w:eastAsia="es-CR"/>
        </w:rPr>
        <w:t>Eduardo Vio Grossi, Juez;</w:t>
      </w:r>
    </w:p>
    <w:p w14:paraId="35A6547D" w14:textId="77777777" w:rsidR="00540B6B" w:rsidRPr="003C7A6C" w:rsidRDefault="00097AC6" w:rsidP="00D40BC7">
      <w:pPr>
        <w:pStyle w:val="citaindirecta"/>
        <w:tabs>
          <w:tab w:val="left" w:pos="567"/>
          <w:tab w:val="left" w:pos="851"/>
          <w:tab w:val="left" w:pos="7213"/>
        </w:tabs>
        <w:ind w:left="0" w:right="-174"/>
        <w:rPr>
          <w:lang w:val="es-CR"/>
        </w:rPr>
      </w:pPr>
      <w:r w:rsidRPr="003C7A6C">
        <w:rPr>
          <w:lang w:val="es-CR"/>
        </w:rPr>
        <w:t>Eduardo F</w:t>
      </w:r>
      <w:r w:rsidR="00540B6B" w:rsidRPr="003C7A6C">
        <w:rPr>
          <w:lang w:val="es-CR"/>
        </w:rPr>
        <w:t>errer Mac-</w:t>
      </w:r>
      <w:proofErr w:type="spellStart"/>
      <w:r w:rsidR="00540B6B" w:rsidRPr="003C7A6C">
        <w:rPr>
          <w:lang w:val="es-CR"/>
        </w:rPr>
        <w:t>Gregor</w:t>
      </w:r>
      <w:proofErr w:type="spellEnd"/>
      <w:r w:rsidR="00540B6B" w:rsidRPr="003C7A6C">
        <w:rPr>
          <w:lang w:val="es-CR"/>
        </w:rPr>
        <w:t xml:space="preserve"> </w:t>
      </w:r>
      <w:proofErr w:type="spellStart"/>
      <w:r w:rsidR="00540B6B" w:rsidRPr="003C7A6C">
        <w:rPr>
          <w:lang w:val="es-CR"/>
        </w:rPr>
        <w:t>Poisot</w:t>
      </w:r>
      <w:proofErr w:type="spellEnd"/>
      <w:r w:rsidR="00540B6B" w:rsidRPr="003C7A6C">
        <w:rPr>
          <w:lang w:val="es-CR"/>
        </w:rPr>
        <w:t>, Juez;</w:t>
      </w:r>
    </w:p>
    <w:p w14:paraId="27F86592" w14:textId="68012D27" w:rsidR="00F5757E" w:rsidRPr="003C7A6C" w:rsidRDefault="00540B6B" w:rsidP="00D40BC7">
      <w:pPr>
        <w:pStyle w:val="citaindirecta"/>
        <w:tabs>
          <w:tab w:val="left" w:pos="567"/>
          <w:tab w:val="left" w:pos="851"/>
          <w:tab w:val="left" w:pos="7213"/>
        </w:tabs>
        <w:ind w:left="0" w:right="-174"/>
        <w:rPr>
          <w:lang w:val="es-CR"/>
        </w:rPr>
      </w:pPr>
      <w:r w:rsidRPr="003C7A6C">
        <w:rPr>
          <w:lang w:val="es-CR"/>
        </w:rPr>
        <w:t>Eugenio Raúl Zaffaroni, Juez, y</w:t>
      </w:r>
      <w:r w:rsidR="005745B7" w:rsidRPr="003C7A6C">
        <w:rPr>
          <w:lang w:val="es-CR"/>
        </w:rPr>
        <w:tab/>
      </w:r>
    </w:p>
    <w:p w14:paraId="11896DE0" w14:textId="2844F963" w:rsidR="00F5757E" w:rsidRPr="003C7A6C" w:rsidRDefault="00F5757E" w:rsidP="00D40BC7">
      <w:pPr>
        <w:tabs>
          <w:tab w:val="left" w:pos="567"/>
          <w:tab w:val="left" w:pos="720"/>
          <w:tab w:val="left" w:pos="851"/>
        </w:tabs>
        <w:ind w:right="-174"/>
        <w:rPr>
          <w:rFonts w:cs="Verdana"/>
          <w:szCs w:val="20"/>
          <w:lang w:val="es-CR"/>
        </w:rPr>
      </w:pPr>
      <w:r w:rsidRPr="003C7A6C">
        <w:rPr>
          <w:szCs w:val="20"/>
          <w:lang w:val="es-CR"/>
        </w:rPr>
        <w:t>Ricardo Pérez Manrique, Juez</w:t>
      </w:r>
      <w:r w:rsidR="00540B6B" w:rsidRPr="003C7A6C">
        <w:rPr>
          <w:szCs w:val="20"/>
          <w:lang w:val="es-CR"/>
        </w:rPr>
        <w:t>,</w:t>
      </w:r>
    </w:p>
    <w:p w14:paraId="6048D947" w14:textId="77777777" w:rsidR="00F5757E" w:rsidRPr="003C7A6C" w:rsidRDefault="00F5757E" w:rsidP="00D40BC7">
      <w:pPr>
        <w:widowControl w:val="0"/>
        <w:tabs>
          <w:tab w:val="left" w:pos="567"/>
          <w:tab w:val="left" w:pos="720"/>
        </w:tabs>
        <w:adjustRightInd w:val="0"/>
        <w:textAlignment w:val="baseline"/>
        <w:rPr>
          <w:rFonts w:cs="Verdana"/>
          <w:szCs w:val="20"/>
          <w:highlight w:val="yellow"/>
          <w:lang w:val="es-CR" w:eastAsia="es-CR"/>
        </w:rPr>
      </w:pPr>
    </w:p>
    <w:p w14:paraId="65C46DC1" w14:textId="41F080AA" w:rsidR="00F5757E" w:rsidRPr="003C7A6C" w:rsidRDefault="00F5757E" w:rsidP="00D40BC7">
      <w:pPr>
        <w:pStyle w:val="PrrafodeSentencia"/>
        <w:widowControl w:val="0"/>
        <w:numPr>
          <w:ilvl w:val="0"/>
          <w:numId w:val="0"/>
        </w:numPr>
        <w:tabs>
          <w:tab w:val="left" w:pos="720"/>
        </w:tabs>
        <w:adjustRightInd w:val="0"/>
        <w:textAlignment w:val="baseline"/>
        <w:rPr>
          <w:rFonts w:eastAsia="MS Mincho" w:cs="Verdana"/>
          <w:spacing w:val="0"/>
          <w:szCs w:val="20"/>
          <w:lang w:eastAsia="es-CR"/>
        </w:rPr>
      </w:pPr>
      <w:r w:rsidRPr="003C7A6C">
        <w:rPr>
          <w:rFonts w:eastAsia="MS Mincho" w:cs="Verdana"/>
          <w:spacing w:val="0"/>
          <w:szCs w:val="20"/>
          <w:lang w:eastAsia="es-CR"/>
        </w:rPr>
        <w:t>presente</w:t>
      </w:r>
      <w:r w:rsidR="00C613D2" w:rsidRPr="003C7A6C">
        <w:rPr>
          <w:rFonts w:eastAsia="MS Mincho" w:cs="Verdana"/>
          <w:spacing w:val="0"/>
          <w:szCs w:val="20"/>
          <w:lang w:eastAsia="es-CR"/>
        </w:rPr>
        <w:t>,</w:t>
      </w:r>
      <w:r w:rsidRPr="003C7A6C">
        <w:rPr>
          <w:rFonts w:eastAsia="MS Mincho" w:cs="Verdana"/>
          <w:spacing w:val="0"/>
          <w:szCs w:val="20"/>
          <w:lang w:eastAsia="es-CR"/>
        </w:rPr>
        <w:t xml:space="preserve"> además,</w:t>
      </w:r>
    </w:p>
    <w:p w14:paraId="3BB373B5" w14:textId="77777777" w:rsidR="00F5757E" w:rsidRPr="003C7A6C" w:rsidRDefault="00F5757E" w:rsidP="00D40BC7">
      <w:pPr>
        <w:widowControl w:val="0"/>
        <w:tabs>
          <w:tab w:val="left" w:pos="567"/>
          <w:tab w:val="left" w:pos="720"/>
        </w:tabs>
        <w:adjustRightInd w:val="0"/>
        <w:textAlignment w:val="baseline"/>
        <w:rPr>
          <w:rFonts w:cs="Verdana"/>
          <w:szCs w:val="20"/>
          <w:highlight w:val="yellow"/>
          <w:lang w:val="es-CR" w:eastAsia="es-CR"/>
        </w:rPr>
      </w:pPr>
    </w:p>
    <w:p w14:paraId="024CDFBF" w14:textId="7416D921" w:rsidR="00D05B5A" w:rsidRPr="003C7A6C" w:rsidRDefault="00540B6B" w:rsidP="00D40BC7">
      <w:pPr>
        <w:widowControl w:val="0"/>
        <w:tabs>
          <w:tab w:val="left" w:pos="567"/>
          <w:tab w:val="left" w:pos="720"/>
        </w:tabs>
        <w:adjustRightInd w:val="0"/>
        <w:textAlignment w:val="baseline"/>
        <w:rPr>
          <w:rFonts w:cs="Verdana"/>
          <w:szCs w:val="20"/>
          <w:lang w:val="es-CR" w:eastAsia="es-CR"/>
        </w:rPr>
      </w:pPr>
      <w:r w:rsidRPr="003C7A6C">
        <w:rPr>
          <w:rFonts w:cs="Verdana"/>
          <w:szCs w:val="20"/>
          <w:lang w:val="es-CR" w:eastAsia="es-CR"/>
        </w:rPr>
        <w:t xml:space="preserve">Romina I. </w:t>
      </w:r>
      <w:proofErr w:type="spellStart"/>
      <w:r w:rsidRPr="003C7A6C">
        <w:rPr>
          <w:rFonts w:cs="Verdana"/>
          <w:szCs w:val="20"/>
          <w:lang w:val="es-CR" w:eastAsia="es-CR"/>
        </w:rPr>
        <w:t>Sijniensky</w:t>
      </w:r>
      <w:proofErr w:type="spellEnd"/>
      <w:r w:rsidRPr="003C7A6C">
        <w:rPr>
          <w:rFonts w:cs="Verdana"/>
          <w:szCs w:val="20"/>
          <w:lang w:val="es-CR" w:eastAsia="es-CR"/>
        </w:rPr>
        <w:t>, Secretaria Adjunta</w:t>
      </w:r>
      <w:r w:rsidR="00A57383" w:rsidRPr="003C7A6C">
        <w:rPr>
          <w:rStyle w:val="Refdenotaalpie"/>
          <w:rFonts w:cs="Verdana"/>
          <w:lang w:val="es-CR" w:eastAsia="es-CR"/>
        </w:rPr>
        <w:footnoteReference w:customMarkFollows="1" w:id="2"/>
        <w:t>**</w:t>
      </w:r>
      <w:r w:rsidR="00DC4C3E" w:rsidRPr="003C7A6C">
        <w:rPr>
          <w:rFonts w:cs="Verdana"/>
          <w:lang w:val="es-CR" w:eastAsia="es-CR"/>
        </w:rPr>
        <w:t>,</w:t>
      </w:r>
    </w:p>
    <w:p w14:paraId="1100D22B" w14:textId="77777777" w:rsidR="00F5757E" w:rsidRPr="003C7A6C" w:rsidRDefault="00F5757E" w:rsidP="00D40BC7">
      <w:pPr>
        <w:pStyle w:val="Textocomentario"/>
        <w:widowControl w:val="0"/>
        <w:tabs>
          <w:tab w:val="left" w:pos="567"/>
          <w:tab w:val="left" w:pos="720"/>
        </w:tabs>
        <w:adjustRightInd w:val="0"/>
        <w:textAlignment w:val="baseline"/>
        <w:rPr>
          <w:rFonts w:cs="Verdana"/>
          <w:strike/>
          <w:lang w:val="es-CR" w:eastAsia="es-MX"/>
        </w:rPr>
      </w:pPr>
    </w:p>
    <w:p w14:paraId="04F67EF5" w14:textId="3551498A" w:rsidR="00097AC6" w:rsidRPr="003C7A6C" w:rsidRDefault="00F5757E" w:rsidP="00D40BC7">
      <w:pPr>
        <w:pStyle w:val="Textoindependiente1"/>
        <w:tabs>
          <w:tab w:val="left" w:pos="567"/>
          <w:tab w:val="left" w:pos="720"/>
        </w:tabs>
        <w:adjustRightInd w:val="0"/>
        <w:textAlignment w:val="baseline"/>
        <w:rPr>
          <w:rFonts w:ascii="Verdana" w:hAnsi="Verdana" w:cs="Verdana"/>
          <w:lang w:val="es-CR" w:eastAsia="es-CR"/>
        </w:rPr>
      </w:pPr>
      <w:r w:rsidRPr="003C7A6C">
        <w:rPr>
          <w:rFonts w:ascii="Verdana" w:hAnsi="Verdana" w:cs="Verdana"/>
          <w:lang w:val="es-CR" w:eastAsia="es-CR"/>
        </w:rPr>
        <w:t xml:space="preserve">de conformidad con </w:t>
      </w:r>
      <w:r w:rsidR="007E6965" w:rsidRPr="003C7A6C">
        <w:rPr>
          <w:rFonts w:ascii="Verdana" w:hAnsi="Verdana" w:cs="Verdana"/>
          <w:lang w:val="es-CR" w:eastAsia="es-CR"/>
        </w:rPr>
        <w:t>el artículo 67 de la Convención Americana sobre Derechos Humanos (en adelante también “la Convención Americana” o “la Convención”) y el artículo 68 del Reglamento de la Corte (en adelante también “el Reglamento”), resuelve la solicitud de interpretación de la S</w:t>
      </w:r>
      <w:bookmarkStart w:id="8" w:name="_Toc424833995"/>
      <w:bookmarkStart w:id="9" w:name="_Toc424834679"/>
      <w:bookmarkStart w:id="10" w:name="_Toc424834746"/>
      <w:bookmarkStart w:id="11" w:name="_Toc427234534"/>
      <w:bookmarkStart w:id="12" w:name="_Toc427342823"/>
      <w:bookmarkStart w:id="13" w:name="_Toc427663809"/>
      <w:bookmarkStart w:id="14" w:name="_Toc427932785"/>
      <w:bookmarkStart w:id="15" w:name="_Toc427943548"/>
      <w:bookmarkStart w:id="16" w:name="_Toc427943722"/>
      <w:bookmarkStart w:id="17" w:name="_Toc431584602"/>
      <w:bookmarkStart w:id="18" w:name="_Toc431584718"/>
      <w:bookmarkStart w:id="19" w:name="_Toc431585023"/>
      <w:bookmarkStart w:id="20" w:name="_Toc431646540"/>
      <w:bookmarkStart w:id="21" w:name="_Toc431834523"/>
      <w:bookmarkStart w:id="22" w:name="_Toc431834619"/>
      <w:bookmarkStart w:id="23" w:name="_Toc308537924"/>
      <w:bookmarkStart w:id="24" w:name="_Toc308538144"/>
      <w:bookmarkStart w:id="25" w:name="_Toc434849616"/>
      <w:bookmarkStart w:id="26" w:name="_Toc434849911"/>
      <w:bookmarkStart w:id="27" w:name="_Toc434850390"/>
      <w:bookmarkStart w:id="28" w:name="_Toc469594898"/>
      <w:bookmarkStart w:id="29" w:name="_Toc469664207"/>
      <w:bookmarkStart w:id="30" w:name="_Toc469664469"/>
      <w:bookmarkStart w:id="31" w:name="_Toc469940914"/>
      <w:r w:rsidR="007E6965" w:rsidRPr="003C7A6C">
        <w:rPr>
          <w:rFonts w:ascii="Verdana" w:hAnsi="Verdana" w:cs="Verdana"/>
          <w:lang w:val="es-CR" w:eastAsia="es-CR"/>
        </w:rPr>
        <w:t>entencia sobre Excepciones Preliminares, Fondo y Reparaciones emitida por este Tribunal el 6 de octubre de 2020</w:t>
      </w:r>
      <w:r w:rsidR="002C6071" w:rsidRPr="003C7A6C">
        <w:rPr>
          <w:rFonts w:ascii="Verdana" w:hAnsi="Verdana" w:cs="Verdana"/>
          <w:lang w:val="es-CR" w:eastAsia="es-CR"/>
        </w:rPr>
        <w:t>, in</w:t>
      </w:r>
      <w:r w:rsidR="00C7527C" w:rsidRPr="003C7A6C">
        <w:rPr>
          <w:rFonts w:ascii="Verdana" w:hAnsi="Verdana" w:cs="Verdana"/>
          <w:lang w:val="es-CR" w:eastAsia="es-CR"/>
        </w:rPr>
        <w:t>terpuesta el 15 de marzo de 2021</w:t>
      </w:r>
      <w:r w:rsidR="00BC5678" w:rsidRPr="003C7A6C">
        <w:rPr>
          <w:rFonts w:ascii="Verdana" w:hAnsi="Verdana" w:cs="Verdana"/>
          <w:lang w:val="es-CR" w:eastAsia="es-CR"/>
        </w:rPr>
        <w:t xml:space="preserve"> por la República de Colombia (en adelante también “el Estado” o “Colombia”).</w:t>
      </w:r>
      <w:bookmarkStart w:id="32" w:name="_Toc4402698"/>
      <w:bookmarkStart w:id="33" w:name="_Toc4402937"/>
      <w:bookmarkStart w:id="34" w:name="_Toc8209824"/>
    </w:p>
    <w:p w14:paraId="04EA039B" w14:textId="77777777" w:rsidR="00E423DF" w:rsidRPr="003C7A6C" w:rsidRDefault="00F5757E" w:rsidP="00D40BC7">
      <w:pPr>
        <w:pStyle w:val="Ttulo1"/>
        <w:spacing w:before="0" w:after="0"/>
        <w:rPr>
          <w:lang w:val="es-CR"/>
        </w:rPr>
      </w:pPr>
      <w:bookmarkStart w:id="35" w:name="_Toc48736672"/>
      <w:bookmarkStart w:id="36" w:name="_Toc57872373"/>
      <w:r w:rsidRPr="003C7A6C">
        <w:rPr>
          <w:lang w:val="es-CR"/>
        </w:rPr>
        <w:lastRenderedPageBreak/>
        <w:t>I</w:t>
      </w:r>
      <w:r w:rsidRPr="003C7A6C">
        <w:rPr>
          <w:lang w:val="es-CR"/>
        </w:rPr>
        <w:br/>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00BC5678" w:rsidRPr="003C7A6C">
        <w:rPr>
          <w:lang w:val="es-CR"/>
        </w:rPr>
        <w:t xml:space="preserve">SOLICITUD DE INTERPRETACIÓN </w:t>
      </w:r>
    </w:p>
    <w:p w14:paraId="72632A6A" w14:textId="6085B7D3" w:rsidR="00BC5678" w:rsidRPr="003C7A6C" w:rsidRDefault="00BC5678" w:rsidP="00D40BC7">
      <w:pPr>
        <w:pStyle w:val="Ttulo1"/>
        <w:spacing w:before="0" w:after="0"/>
        <w:rPr>
          <w:lang w:val="es-CR"/>
        </w:rPr>
      </w:pPr>
      <w:r w:rsidRPr="003C7A6C">
        <w:rPr>
          <w:lang w:val="es-CR"/>
        </w:rPr>
        <w:t>Y PROCEDIMIENTO ANTE LA CORTE</w:t>
      </w:r>
    </w:p>
    <w:p w14:paraId="15188AD8" w14:textId="77777777" w:rsidR="00F5757E" w:rsidRPr="003C7A6C" w:rsidRDefault="00F5757E" w:rsidP="00D40BC7">
      <w:pPr>
        <w:pStyle w:val="Sinespaciado"/>
        <w:tabs>
          <w:tab w:val="left" w:pos="567"/>
        </w:tabs>
        <w:contextualSpacing/>
        <w:jc w:val="both"/>
        <w:rPr>
          <w:rFonts w:ascii="Verdana" w:hAnsi="Verdana"/>
          <w:sz w:val="20"/>
          <w:szCs w:val="20"/>
          <w:lang w:val="es-CR"/>
        </w:rPr>
      </w:pPr>
    </w:p>
    <w:p w14:paraId="4050AB45" w14:textId="3F460EEE" w:rsidR="009F74B1" w:rsidRPr="003C7A6C" w:rsidRDefault="00BC5678" w:rsidP="00D40BC7">
      <w:pPr>
        <w:pStyle w:val="PrrafodeSentencia"/>
        <w:rPr>
          <w:b/>
          <w:spacing w:val="0"/>
          <w:szCs w:val="20"/>
        </w:rPr>
      </w:pPr>
      <w:r w:rsidRPr="003C7A6C">
        <w:rPr>
          <w:spacing w:val="0"/>
          <w:szCs w:val="20"/>
        </w:rPr>
        <w:t>El 6 de octubre de 2020 la Corte Interamericana emitió la Sentencia en el presente caso, la cual fue notificada a las partes y a la Comisión Interamericana de Derechos Humanos (en adelante también “la Comisión”) el</w:t>
      </w:r>
      <w:r w:rsidR="005268FA" w:rsidRPr="003C7A6C">
        <w:rPr>
          <w:spacing w:val="0"/>
          <w:szCs w:val="20"/>
        </w:rPr>
        <w:t xml:space="preserve"> 14 de diciembre del mismo año.</w:t>
      </w:r>
    </w:p>
    <w:p w14:paraId="28F612A8" w14:textId="4D40A513" w:rsidR="00B119FD" w:rsidRPr="003C7A6C" w:rsidRDefault="00B119FD" w:rsidP="00D40BC7">
      <w:pPr>
        <w:rPr>
          <w:lang w:val="es-CR" w:eastAsia="es-MX"/>
        </w:rPr>
      </w:pPr>
    </w:p>
    <w:p w14:paraId="44099654" w14:textId="023FF64B" w:rsidR="00B119FD" w:rsidRPr="00BF60C5" w:rsidRDefault="00B119FD" w:rsidP="00D40BC7">
      <w:pPr>
        <w:pStyle w:val="PrrafodeSentencia"/>
        <w:rPr>
          <w:spacing w:val="0"/>
        </w:rPr>
      </w:pPr>
      <w:r w:rsidRPr="00BF60C5">
        <w:rPr>
          <w:spacing w:val="0"/>
        </w:rPr>
        <w:t>El 15 de marzo de 2021 el Estado sometió una solicitud de</w:t>
      </w:r>
      <w:r w:rsidR="005935E7" w:rsidRPr="00BF60C5">
        <w:rPr>
          <w:spacing w:val="0"/>
        </w:rPr>
        <w:t xml:space="preserve"> anulación de la sentencia por “</w:t>
      </w:r>
      <w:r w:rsidR="005268FA" w:rsidRPr="00BF60C5">
        <w:rPr>
          <w:spacing w:val="0"/>
        </w:rPr>
        <w:t xml:space="preserve">la </w:t>
      </w:r>
      <w:r w:rsidR="005935E7" w:rsidRPr="00BF60C5">
        <w:rPr>
          <w:spacing w:val="0"/>
        </w:rPr>
        <w:t>violación al debido proceso y equidad procesal durante el trámite” y, de forma subsidiaria, solicitó una</w:t>
      </w:r>
      <w:r w:rsidRPr="00BF60C5">
        <w:rPr>
          <w:spacing w:val="0"/>
        </w:rPr>
        <w:t xml:space="preserve"> interpretación relacionada con el alcance de dos puntos resolutivos de la Sentencia. En primer lugar, </w:t>
      </w:r>
      <w:r w:rsidR="003F0D73" w:rsidRPr="00BF60C5">
        <w:rPr>
          <w:spacing w:val="0"/>
        </w:rPr>
        <w:t xml:space="preserve">solicitó que se interpretara el punto resolutivo 7 sobre la obligación del Estado de cubrir los aportes a la pensión de la señora </w:t>
      </w:r>
      <w:proofErr w:type="spellStart"/>
      <w:r w:rsidR="003F0D73" w:rsidRPr="00BF60C5">
        <w:rPr>
          <w:spacing w:val="0"/>
        </w:rPr>
        <w:t>Yenina</w:t>
      </w:r>
      <w:proofErr w:type="spellEnd"/>
      <w:r w:rsidR="003F0D73" w:rsidRPr="00BF60C5">
        <w:rPr>
          <w:spacing w:val="0"/>
        </w:rPr>
        <w:t xml:space="preserve"> Esther Martínez Esquivia, precisando si el Estado está exceptuado de cubrir los aportes a la pensión </w:t>
      </w:r>
      <w:r w:rsidR="000F7AA1" w:rsidRPr="00BF60C5">
        <w:rPr>
          <w:spacing w:val="0"/>
        </w:rPr>
        <w:t>correspondientes al</w:t>
      </w:r>
      <w:r w:rsidR="003F0D73" w:rsidRPr="00BF60C5">
        <w:rPr>
          <w:spacing w:val="0"/>
        </w:rPr>
        <w:t xml:space="preserve"> período en el cual la víctima fue reintegrada a su cargo. Asimismo, solicitó que se interpretara el punto resolutivo 9 sobre la necesidad de adecuar la normativa interna con el fin de garantizar la estabilidad de las y los fiscales nombrados en provisionalidad.</w:t>
      </w:r>
    </w:p>
    <w:p w14:paraId="65256253" w14:textId="252575A7" w:rsidR="003F0D73" w:rsidRPr="003C7A6C" w:rsidRDefault="003F0D73" w:rsidP="00D40BC7">
      <w:pPr>
        <w:rPr>
          <w:lang w:val="es-CR" w:eastAsia="es-MX"/>
        </w:rPr>
      </w:pPr>
    </w:p>
    <w:p w14:paraId="291F52F9" w14:textId="69ED3FD2" w:rsidR="003F0D73" w:rsidRPr="00BF60C5" w:rsidRDefault="003F0D73" w:rsidP="00D40BC7">
      <w:pPr>
        <w:pStyle w:val="PrrafodeSentencia"/>
        <w:rPr>
          <w:spacing w:val="0"/>
        </w:rPr>
      </w:pPr>
      <w:r w:rsidRPr="00BF60C5">
        <w:rPr>
          <w:spacing w:val="0"/>
        </w:rPr>
        <w:t>El 24 de marzo de 2021, de conformidad con el artículo 68.2 del Reglamento y siguiendo instrucciones de la Presidenta de la Corte, la Secretaría de la Corte transmitió la referida solicitud de interpretación a los representantes de la víctima (en adelante “los representantes”)</w:t>
      </w:r>
      <w:r w:rsidRPr="00BF60C5">
        <w:rPr>
          <w:rStyle w:val="Refdenotaalpie"/>
          <w:spacing w:val="0"/>
        </w:rPr>
        <w:footnoteReference w:id="3"/>
      </w:r>
      <w:r w:rsidRPr="00BF60C5">
        <w:rPr>
          <w:spacing w:val="0"/>
        </w:rPr>
        <w:t xml:space="preserve"> y a la Comisión, y les otorgó un plazo para que, a más tardar el 26 de abril de 2021, presentaran por escrito las observaciones que estimaran pertinentes. Los días 30 de marzo y 26 de abril de 2021, los representantes y la Comisión, respectivamente, remitieron sus observaciones.</w:t>
      </w:r>
    </w:p>
    <w:p w14:paraId="50700E79" w14:textId="77777777" w:rsidR="00AF4B48" w:rsidRPr="003C7A6C" w:rsidRDefault="00AF4B48" w:rsidP="00D40BC7">
      <w:pPr>
        <w:rPr>
          <w:szCs w:val="20"/>
          <w:lang w:val="es-CR" w:eastAsia="es-MX"/>
        </w:rPr>
      </w:pPr>
    </w:p>
    <w:p w14:paraId="75E819A9" w14:textId="3504EF6D" w:rsidR="00F5757E" w:rsidRPr="003C7A6C" w:rsidRDefault="00F5757E" w:rsidP="00D40BC7">
      <w:pPr>
        <w:pStyle w:val="Ttulo1"/>
        <w:spacing w:before="0" w:after="0"/>
        <w:rPr>
          <w:lang w:val="es-CR"/>
        </w:rPr>
      </w:pPr>
      <w:bookmarkStart w:id="37" w:name="_Toc424834680"/>
      <w:bookmarkStart w:id="38" w:name="_Toc427932786"/>
      <w:bookmarkStart w:id="39" w:name="_Toc431584603"/>
      <w:bookmarkStart w:id="40" w:name="_Toc434850391"/>
      <w:bookmarkStart w:id="41" w:name="_Toc469593448"/>
      <w:bookmarkStart w:id="42" w:name="_Toc469594431"/>
      <w:bookmarkStart w:id="43" w:name="_Toc469594533"/>
      <w:bookmarkStart w:id="44" w:name="_Toc469594796"/>
      <w:bookmarkStart w:id="45" w:name="_Toc469594899"/>
      <w:bookmarkStart w:id="46" w:name="_Toc469940915"/>
      <w:bookmarkStart w:id="47" w:name="_Toc4402699"/>
      <w:bookmarkStart w:id="48" w:name="_Toc4402938"/>
      <w:bookmarkStart w:id="49" w:name="_Toc8209825"/>
      <w:bookmarkStart w:id="50" w:name="_Toc48736673"/>
      <w:bookmarkStart w:id="51" w:name="_Toc57872374"/>
      <w:r w:rsidRPr="003C7A6C">
        <w:rPr>
          <w:lang w:val="es-CR"/>
        </w:rPr>
        <w:t>II</w:t>
      </w:r>
      <w:bookmarkStart w:id="52" w:name="_Toc424833997"/>
      <w:bookmarkStart w:id="53" w:name="_Toc424834681"/>
      <w:bookmarkStart w:id="54" w:name="_Toc424834748"/>
      <w:bookmarkStart w:id="55" w:name="_Toc427342825"/>
      <w:bookmarkStart w:id="56" w:name="_Toc427663811"/>
      <w:bookmarkStart w:id="57" w:name="_Toc427932787"/>
      <w:bookmarkStart w:id="58" w:name="_Toc427943550"/>
      <w:bookmarkStart w:id="59" w:name="_Toc427943724"/>
      <w:bookmarkStart w:id="60" w:name="_Toc431584604"/>
      <w:bookmarkStart w:id="61" w:name="_Toc431584720"/>
      <w:bookmarkStart w:id="62" w:name="_Toc431585025"/>
      <w:bookmarkStart w:id="63" w:name="_Toc431646542"/>
      <w:bookmarkStart w:id="64" w:name="_Toc431834525"/>
      <w:bookmarkStart w:id="65" w:name="_Toc431834621"/>
      <w:bookmarkStart w:id="66" w:name="_Toc308537926"/>
      <w:bookmarkStart w:id="67" w:name="_Toc308538146"/>
      <w:bookmarkStart w:id="68" w:name="_Toc434849913"/>
      <w:bookmarkStart w:id="69" w:name="_Toc434850392"/>
      <w:bookmarkStart w:id="70" w:name="_Toc469594900"/>
      <w:bookmarkStart w:id="71" w:name="_Toc469664209"/>
      <w:bookmarkStart w:id="72" w:name="_Toc469664471"/>
      <w:bookmarkStart w:id="73" w:name="_Toc469940916"/>
      <w:bookmarkEnd w:id="37"/>
      <w:bookmarkEnd w:id="38"/>
      <w:bookmarkEnd w:id="39"/>
      <w:bookmarkEnd w:id="40"/>
      <w:bookmarkEnd w:id="41"/>
      <w:bookmarkEnd w:id="42"/>
      <w:bookmarkEnd w:id="43"/>
      <w:bookmarkEnd w:id="44"/>
      <w:bookmarkEnd w:id="45"/>
      <w:bookmarkEnd w:id="46"/>
      <w:r w:rsidRPr="003C7A6C">
        <w:rPr>
          <w:lang w:val="es-CR"/>
        </w:rPr>
        <w:br/>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3F0D73" w:rsidRPr="003C7A6C">
        <w:rPr>
          <w:lang w:val="es-CR"/>
        </w:rPr>
        <w:t>Competencia</w:t>
      </w:r>
    </w:p>
    <w:p w14:paraId="642D6333" w14:textId="77777777" w:rsidR="00F5757E" w:rsidRPr="003C7A6C" w:rsidRDefault="00F5757E" w:rsidP="00D40BC7">
      <w:pPr>
        <w:contextualSpacing/>
        <w:rPr>
          <w:szCs w:val="20"/>
          <w:lang w:val="es-CR"/>
        </w:rPr>
      </w:pPr>
    </w:p>
    <w:p w14:paraId="74A15525" w14:textId="7771E98E" w:rsidR="00040D1E" w:rsidRPr="003C7A6C" w:rsidRDefault="008025B6" w:rsidP="00D40BC7">
      <w:pPr>
        <w:pStyle w:val="PrrafodeSentencia"/>
        <w:rPr>
          <w:spacing w:val="0"/>
          <w:szCs w:val="20"/>
        </w:rPr>
      </w:pPr>
      <w:bookmarkStart w:id="74" w:name="_Ref308343867"/>
      <w:bookmarkStart w:id="75" w:name="_Ref357172044"/>
      <w:bookmarkStart w:id="76" w:name="_Ref464815038"/>
      <w:r w:rsidRPr="003C7A6C">
        <w:rPr>
          <w:spacing w:val="0"/>
          <w:szCs w:val="20"/>
        </w:rPr>
        <w:t>El artículo 67 de la Convención Americana establece:</w:t>
      </w:r>
    </w:p>
    <w:p w14:paraId="6819F182" w14:textId="56FDC252" w:rsidR="008025B6" w:rsidRPr="003C7A6C" w:rsidRDefault="008025B6" w:rsidP="00D40BC7">
      <w:pPr>
        <w:rPr>
          <w:lang w:val="es-CR" w:eastAsia="es-MX"/>
        </w:rPr>
      </w:pPr>
    </w:p>
    <w:p w14:paraId="6014BA66" w14:textId="19DE38A1" w:rsidR="008025B6" w:rsidRPr="003C7A6C" w:rsidRDefault="008025B6" w:rsidP="00D40BC7">
      <w:pPr>
        <w:ind w:left="567" w:right="567"/>
        <w:rPr>
          <w:sz w:val="18"/>
          <w:szCs w:val="18"/>
          <w:lang w:val="es-CR" w:eastAsia="es-MX"/>
        </w:rPr>
      </w:pPr>
      <w:r w:rsidRPr="003C7A6C">
        <w:rPr>
          <w:sz w:val="18"/>
          <w:szCs w:val="18"/>
          <w:lang w:val="es-CR" w:eastAsia="es-MX"/>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14:paraId="0710B9C0" w14:textId="4AC7F8D1" w:rsidR="00F5757E" w:rsidRPr="003C7A6C" w:rsidRDefault="001854C1" w:rsidP="00D40BC7">
      <w:pPr>
        <w:pStyle w:val="PrrafodeSentencia"/>
        <w:numPr>
          <w:ilvl w:val="0"/>
          <w:numId w:val="0"/>
        </w:numPr>
        <w:rPr>
          <w:b/>
          <w:spacing w:val="0"/>
          <w:szCs w:val="20"/>
        </w:rPr>
      </w:pPr>
      <w:r w:rsidRPr="003C7A6C">
        <w:rPr>
          <w:spacing w:val="0"/>
          <w:szCs w:val="20"/>
        </w:rPr>
        <w:tab/>
      </w:r>
    </w:p>
    <w:bookmarkEnd w:id="74"/>
    <w:bookmarkEnd w:id="75"/>
    <w:bookmarkEnd w:id="76"/>
    <w:p w14:paraId="0C2C003F" w14:textId="0B8EC33A" w:rsidR="00F5757E" w:rsidRPr="003C7A6C" w:rsidRDefault="008025B6" w:rsidP="00D40BC7">
      <w:pPr>
        <w:pStyle w:val="PrrafodeSentencia"/>
        <w:rPr>
          <w:b/>
          <w:spacing w:val="0"/>
          <w:szCs w:val="20"/>
        </w:rPr>
      </w:pPr>
      <w:r w:rsidRPr="003C7A6C">
        <w:rPr>
          <w:spacing w:val="0"/>
          <w:szCs w:val="20"/>
        </w:rPr>
        <w:t>De conformidad con el artículo citado, la Corte Interamericana es competente para interpretar sus fallos. Para realizar el examen de las solicitudes de interpretación y resolver lo que a este respecto corresponda, este Tribunal debe tener, si es posible, la misma composición que tenía al dictar la Sentencia respectiva, de acuerdo con el artículo 68.3 del Reglamento. En esta ocasión, la Corte está integrada por los mismos Jueces que dictaron la Sentencia cuya interpretación ha sido solicitada</w:t>
      </w:r>
      <w:r w:rsidRPr="003C7A6C">
        <w:rPr>
          <w:rStyle w:val="Refdenotaalpie"/>
          <w:spacing w:val="0"/>
        </w:rPr>
        <w:footnoteReference w:id="4"/>
      </w:r>
      <w:r w:rsidRPr="003C7A6C">
        <w:rPr>
          <w:spacing w:val="0"/>
          <w:szCs w:val="20"/>
        </w:rPr>
        <w:t>.</w:t>
      </w:r>
    </w:p>
    <w:p w14:paraId="3BDDED77" w14:textId="77777777" w:rsidR="009A13FA" w:rsidRPr="003C7A6C" w:rsidRDefault="009A13FA" w:rsidP="00D40BC7">
      <w:pPr>
        <w:rPr>
          <w:lang w:val="es-CR" w:eastAsia="es-MX"/>
        </w:rPr>
      </w:pPr>
    </w:p>
    <w:p w14:paraId="5632D49E" w14:textId="5EA97720" w:rsidR="00F5757E" w:rsidRPr="003C7A6C" w:rsidRDefault="00F5757E" w:rsidP="00D40BC7">
      <w:pPr>
        <w:pStyle w:val="Ttulo1"/>
        <w:spacing w:before="0" w:after="0"/>
        <w:rPr>
          <w:snapToGrid w:val="0"/>
          <w:szCs w:val="20"/>
          <w:lang w:val="es-CR"/>
        </w:rPr>
      </w:pPr>
      <w:bookmarkStart w:id="77" w:name="_Toc424834682"/>
      <w:bookmarkStart w:id="78" w:name="_Toc427932788"/>
      <w:bookmarkStart w:id="79" w:name="_Toc431584605"/>
      <w:bookmarkStart w:id="80" w:name="_Toc434850393"/>
      <w:bookmarkStart w:id="81" w:name="_Toc469593450"/>
      <w:bookmarkStart w:id="82" w:name="_Toc469594433"/>
      <w:bookmarkStart w:id="83" w:name="_Toc469594535"/>
      <w:bookmarkStart w:id="84" w:name="_Toc469594798"/>
      <w:bookmarkStart w:id="85" w:name="_Toc469594901"/>
      <w:bookmarkStart w:id="86" w:name="_Toc469940917"/>
      <w:bookmarkStart w:id="87" w:name="_Toc4402700"/>
      <w:bookmarkStart w:id="88" w:name="_Toc4402939"/>
      <w:bookmarkStart w:id="89" w:name="_Toc8209826"/>
      <w:bookmarkStart w:id="90" w:name="_Toc48736674"/>
      <w:bookmarkStart w:id="91" w:name="_Toc57872375"/>
      <w:r w:rsidRPr="003C7A6C">
        <w:rPr>
          <w:snapToGrid w:val="0"/>
          <w:szCs w:val="20"/>
          <w:lang w:val="es-CR"/>
        </w:rPr>
        <w:t>III</w:t>
      </w:r>
      <w:bookmarkStart w:id="92" w:name="_Toc375062724"/>
      <w:bookmarkStart w:id="93" w:name="_Toc375140874"/>
      <w:bookmarkStart w:id="94" w:name="_Toc375504833"/>
      <w:bookmarkStart w:id="95" w:name="_Toc375560907"/>
      <w:bookmarkStart w:id="96" w:name="_Toc395213493"/>
      <w:bookmarkStart w:id="97" w:name="_Toc396514850"/>
      <w:bookmarkStart w:id="98" w:name="_Toc396515126"/>
      <w:bookmarkStart w:id="99" w:name="_Toc402039405"/>
      <w:bookmarkStart w:id="100" w:name="_Toc403670648"/>
      <w:bookmarkStart w:id="101" w:name="_Toc403671384"/>
      <w:bookmarkStart w:id="102" w:name="_Toc405774576"/>
      <w:bookmarkStart w:id="103" w:name="_Toc405857779"/>
      <w:bookmarkStart w:id="104" w:name="_Toc424833999"/>
      <w:bookmarkStart w:id="105" w:name="_Toc424834683"/>
      <w:bookmarkStart w:id="106" w:name="_Toc424834750"/>
      <w:bookmarkStart w:id="107" w:name="_Toc427234538"/>
      <w:bookmarkStart w:id="108" w:name="_Toc427342827"/>
      <w:bookmarkStart w:id="109" w:name="_Toc427663813"/>
      <w:bookmarkStart w:id="110" w:name="_Toc427932789"/>
      <w:bookmarkStart w:id="111" w:name="_Toc427943552"/>
      <w:bookmarkStart w:id="112" w:name="_Toc427943726"/>
      <w:bookmarkStart w:id="113" w:name="_Toc431584606"/>
      <w:bookmarkStart w:id="114" w:name="_Toc431584722"/>
      <w:bookmarkStart w:id="115" w:name="_Toc431585027"/>
      <w:bookmarkStart w:id="116" w:name="_Toc431646544"/>
      <w:bookmarkStart w:id="117" w:name="_Toc431834623"/>
      <w:bookmarkStart w:id="118" w:name="_Toc308537928"/>
      <w:bookmarkStart w:id="119" w:name="_Toc308538148"/>
      <w:bookmarkStart w:id="120" w:name="_Toc434849915"/>
      <w:bookmarkStart w:id="121" w:name="_Toc434850394"/>
      <w:bookmarkStart w:id="122" w:name="_Toc469594902"/>
      <w:bookmarkStart w:id="123" w:name="_Toc469664211"/>
      <w:bookmarkStart w:id="124" w:name="_Toc469664473"/>
      <w:bookmarkStart w:id="125" w:name="_Toc469940918"/>
      <w:bookmarkEnd w:id="77"/>
      <w:bookmarkEnd w:id="78"/>
      <w:bookmarkEnd w:id="79"/>
      <w:bookmarkEnd w:id="80"/>
      <w:bookmarkEnd w:id="81"/>
      <w:bookmarkEnd w:id="82"/>
      <w:bookmarkEnd w:id="83"/>
      <w:bookmarkEnd w:id="84"/>
      <w:bookmarkEnd w:id="85"/>
      <w:bookmarkEnd w:id="86"/>
      <w:r w:rsidRPr="003C7A6C">
        <w:rPr>
          <w:snapToGrid w:val="0"/>
          <w:szCs w:val="20"/>
          <w:lang w:val="es-CR"/>
        </w:rPr>
        <w:br/>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8025B6" w:rsidRPr="003C7A6C">
        <w:rPr>
          <w:snapToGrid w:val="0"/>
          <w:szCs w:val="20"/>
          <w:lang w:val="es-CR"/>
        </w:rPr>
        <w:t>Admisibilidad</w:t>
      </w:r>
    </w:p>
    <w:p w14:paraId="666AF02F" w14:textId="77777777" w:rsidR="009A13FA" w:rsidRPr="003C7A6C" w:rsidRDefault="009A13FA" w:rsidP="00D40BC7">
      <w:pPr>
        <w:rPr>
          <w:lang w:val="es-CR"/>
        </w:rPr>
      </w:pPr>
    </w:p>
    <w:p w14:paraId="77138F95" w14:textId="704E70D6" w:rsidR="00F5757E" w:rsidRPr="003C7A6C" w:rsidRDefault="008025B6" w:rsidP="00D40BC7">
      <w:pPr>
        <w:pStyle w:val="PrrafodeSentencia"/>
        <w:rPr>
          <w:spacing w:val="0"/>
          <w:szCs w:val="20"/>
        </w:rPr>
      </w:pPr>
      <w:r w:rsidRPr="003C7A6C">
        <w:rPr>
          <w:spacing w:val="0"/>
          <w:szCs w:val="20"/>
        </w:rPr>
        <w:lastRenderedPageBreak/>
        <w:t xml:space="preserve">Corresponde a la Corte verificar si la solicitud presentada por </w:t>
      </w:r>
      <w:r w:rsidR="007C3A7B" w:rsidRPr="003C7A6C">
        <w:rPr>
          <w:spacing w:val="0"/>
          <w:szCs w:val="20"/>
        </w:rPr>
        <w:t>el Estado</w:t>
      </w:r>
      <w:r w:rsidRPr="003C7A6C">
        <w:rPr>
          <w:spacing w:val="0"/>
          <w:szCs w:val="20"/>
        </w:rPr>
        <w:t xml:space="preserve"> cumple con los requisitos establecidos en las normas aplicables a una solicitud de interpretación de Sentencia, a saber, el artículo 67 de la Convención anteriormente citado, y el artículo 68 del Reglamento. Asimismo, el artículo 31.3 del Reglamento establece que “[c]</w:t>
      </w:r>
      <w:proofErr w:type="spellStart"/>
      <w:r w:rsidRPr="003C7A6C">
        <w:rPr>
          <w:spacing w:val="0"/>
          <w:szCs w:val="20"/>
        </w:rPr>
        <w:t>ontra</w:t>
      </w:r>
      <w:proofErr w:type="spellEnd"/>
      <w:r w:rsidRPr="003C7A6C">
        <w:rPr>
          <w:spacing w:val="0"/>
          <w:szCs w:val="20"/>
        </w:rPr>
        <w:t xml:space="preserve"> las sentencias y resoluciones de la Corte no procede ningún medio de impugnación”.</w:t>
      </w:r>
    </w:p>
    <w:p w14:paraId="0C4BB55C" w14:textId="5B7A0454" w:rsidR="00852FFC" w:rsidRPr="003C7A6C" w:rsidRDefault="00852FFC" w:rsidP="00D40BC7">
      <w:pPr>
        <w:rPr>
          <w:lang w:val="es-CR" w:eastAsia="es-MX"/>
        </w:rPr>
      </w:pPr>
    </w:p>
    <w:p w14:paraId="7304F177" w14:textId="61356B93" w:rsidR="00852FFC" w:rsidRPr="00BF60C5" w:rsidRDefault="00852FFC" w:rsidP="00D40BC7">
      <w:pPr>
        <w:pStyle w:val="PrrafodeSentencia"/>
        <w:rPr>
          <w:spacing w:val="0"/>
        </w:rPr>
      </w:pPr>
      <w:r w:rsidRPr="00BF60C5">
        <w:rPr>
          <w:spacing w:val="0"/>
        </w:rPr>
        <w:t xml:space="preserve">En su escrito de 15 de marzo de 2021, el Estado presentó dos solicitudes: la anulación de la decisión por una alegada violación al debido proceso y equidad procesal durante el trámite del asunto y, de manera subsidiaria, una solicitud de interpretación sobre los puntos resolutivos </w:t>
      </w:r>
      <w:r w:rsidR="000372DA">
        <w:rPr>
          <w:spacing w:val="0"/>
        </w:rPr>
        <w:t>séptimo</w:t>
      </w:r>
      <w:r w:rsidRPr="00BF60C5">
        <w:rPr>
          <w:spacing w:val="0"/>
        </w:rPr>
        <w:t xml:space="preserve"> y </w:t>
      </w:r>
      <w:r w:rsidR="000372DA">
        <w:rPr>
          <w:spacing w:val="0"/>
        </w:rPr>
        <w:t>noveno</w:t>
      </w:r>
      <w:r w:rsidRPr="00BF60C5">
        <w:rPr>
          <w:spacing w:val="0"/>
        </w:rPr>
        <w:t xml:space="preserve"> de la Sentencia. De esta forma, esta Corte entrará a analizar la admisibilidad de cada una de estas dos solicitudes.</w:t>
      </w:r>
    </w:p>
    <w:p w14:paraId="0642C06F" w14:textId="7680A1BF" w:rsidR="00852FFC" w:rsidRPr="003C7A6C" w:rsidRDefault="00852FFC" w:rsidP="00D40BC7">
      <w:pPr>
        <w:rPr>
          <w:lang w:val="es-CR" w:eastAsia="es-MX"/>
        </w:rPr>
      </w:pPr>
    </w:p>
    <w:p w14:paraId="3FCA23A2" w14:textId="71053B92" w:rsidR="00852FFC" w:rsidRPr="003C7A6C" w:rsidRDefault="00852FFC" w:rsidP="00D40BC7">
      <w:pPr>
        <w:pStyle w:val="Ttulo2"/>
        <w:spacing w:before="0" w:after="0"/>
        <w:rPr>
          <w:lang w:eastAsia="es-MX"/>
        </w:rPr>
      </w:pPr>
      <w:r w:rsidRPr="003C7A6C">
        <w:rPr>
          <w:lang w:eastAsia="es-MX"/>
        </w:rPr>
        <w:t>Solicitud de anulación de la sentencia por alegada violación al debido proceso y equidad procesal durante el trámite</w:t>
      </w:r>
    </w:p>
    <w:p w14:paraId="70CB3A23" w14:textId="77777777" w:rsidR="00852FFC" w:rsidRPr="003C7A6C" w:rsidRDefault="00852FFC" w:rsidP="00D40BC7">
      <w:pPr>
        <w:rPr>
          <w:lang w:val="es-CR" w:eastAsia="es-MX"/>
        </w:rPr>
      </w:pPr>
    </w:p>
    <w:p w14:paraId="11D9242C" w14:textId="77777777" w:rsidR="00852FFC" w:rsidRPr="003C7A6C" w:rsidRDefault="00852FFC" w:rsidP="00D40BC7">
      <w:pPr>
        <w:pStyle w:val="Ttulo3"/>
        <w:spacing w:before="0" w:after="0"/>
      </w:pPr>
      <w:r w:rsidRPr="003C7A6C">
        <w:t>A.1. Argumentos de las partes y de la Comisión</w:t>
      </w:r>
    </w:p>
    <w:p w14:paraId="524D7989" w14:textId="77777777" w:rsidR="00852FFC" w:rsidRPr="003C7A6C" w:rsidRDefault="00852FFC" w:rsidP="00D40BC7">
      <w:pPr>
        <w:rPr>
          <w:lang w:val="es-CR"/>
        </w:rPr>
      </w:pPr>
    </w:p>
    <w:p w14:paraId="013C568A" w14:textId="33F4E80B" w:rsidR="00852FFC" w:rsidRPr="00BF60C5" w:rsidRDefault="00852FFC" w:rsidP="00D40BC7">
      <w:pPr>
        <w:pStyle w:val="PrrafodeSentencia"/>
        <w:rPr>
          <w:b/>
          <w:spacing w:val="0"/>
        </w:rPr>
      </w:pPr>
      <w:r w:rsidRPr="00BF60C5">
        <w:rPr>
          <w:spacing w:val="0"/>
        </w:rPr>
        <w:t xml:space="preserve">El </w:t>
      </w:r>
      <w:r w:rsidRPr="00BF60C5">
        <w:rPr>
          <w:b/>
          <w:i/>
          <w:spacing w:val="0"/>
        </w:rPr>
        <w:t xml:space="preserve">Estado </w:t>
      </w:r>
      <w:r w:rsidRPr="00BF60C5">
        <w:rPr>
          <w:spacing w:val="0"/>
        </w:rPr>
        <w:t>alegó que, durante la tramitación del presente caso, se habrían cometido violaciones al debido proceso y a la equidad procesal en perjuicio del Estado. Indicó que la defensa de la señora Martínez Esquivia no presentó oportunamente su escrito de solicitudes, argumentos y pruebas, frente a lo cual, la Corte no impuso ninguna consecuencia jurídica, sino que enmendó el er</w:t>
      </w:r>
      <w:r w:rsidR="005268FA" w:rsidRPr="00BF60C5">
        <w:rPr>
          <w:spacing w:val="0"/>
        </w:rPr>
        <w:t>ror de la defensa de la víctima</w:t>
      </w:r>
      <w:r w:rsidRPr="00BF60C5">
        <w:rPr>
          <w:spacing w:val="0"/>
        </w:rPr>
        <w:t xml:space="preserve">. Contrastó lo anterior con la decisión de la Corte de desestimar las excepciones preliminares presentadas por el Estado por </w:t>
      </w:r>
      <w:r w:rsidR="000F7AA1" w:rsidRPr="00BF60C5">
        <w:rPr>
          <w:spacing w:val="0"/>
        </w:rPr>
        <w:t>lo que</w:t>
      </w:r>
      <w:r w:rsidR="00C231B5" w:rsidRPr="00BF60C5">
        <w:rPr>
          <w:spacing w:val="0"/>
        </w:rPr>
        <w:t>,</w:t>
      </w:r>
      <w:r w:rsidR="000F7AA1" w:rsidRPr="00BF60C5">
        <w:rPr>
          <w:spacing w:val="0"/>
        </w:rPr>
        <w:t xml:space="preserve"> a su criterio</w:t>
      </w:r>
      <w:r w:rsidR="00C231B5" w:rsidRPr="00BF60C5">
        <w:rPr>
          <w:spacing w:val="0"/>
        </w:rPr>
        <w:t>,</w:t>
      </w:r>
      <w:r w:rsidR="000F7AA1" w:rsidRPr="00BF60C5">
        <w:rPr>
          <w:spacing w:val="0"/>
        </w:rPr>
        <w:t xml:space="preserve"> fue </w:t>
      </w:r>
      <w:r w:rsidRPr="00BF60C5">
        <w:rPr>
          <w:spacing w:val="0"/>
        </w:rPr>
        <w:t>un tecnicismo. De esta forma, concluyó que “las cuestiones de carácter procesal son aplicadas con bastante rigor para el Estado, pero de manera laxa para la representación de las víctimas. El Estado considera que esta defensa a ultranza de los intereses de las víctimas constituye una ausencia de garantías del debido proceso y una falta de imparcialidad judicial</w:t>
      </w:r>
      <w:r w:rsidR="00C46121" w:rsidRPr="00BF60C5">
        <w:rPr>
          <w:spacing w:val="0"/>
        </w:rPr>
        <w:t xml:space="preserve"> […]”.</w:t>
      </w:r>
    </w:p>
    <w:p w14:paraId="02D0907A" w14:textId="77777777" w:rsidR="00852FFC" w:rsidRPr="003C7A6C" w:rsidRDefault="00852FFC" w:rsidP="00D40BC7">
      <w:pPr>
        <w:rPr>
          <w:lang w:val="es-CR" w:eastAsia="es-MX"/>
        </w:rPr>
      </w:pPr>
    </w:p>
    <w:p w14:paraId="16434F79" w14:textId="32EE2797" w:rsidR="00852FFC" w:rsidRPr="00BF60C5" w:rsidRDefault="00852FFC" w:rsidP="00D40BC7">
      <w:pPr>
        <w:pStyle w:val="PrrafodeSentencia"/>
        <w:rPr>
          <w:b/>
          <w:spacing w:val="0"/>
        </w:rPr>
      </w:pPr>
      <w:r w:rsidRPr="00BF60C5">
        <w:rPr>
          <w:spacing w:val="0"/>
        </w:rPr>
        <w:t>Específicamente, el Estado se manifestó en desacuerdo con las valoraciones de la Corte sobre los recursos disponibles a nivel interno para que la señora Martínez Esquivia cuestionara su desvinculación. De esta forma, indicó que el Estado demostró que</w:t>
      </w:r>
      <w:r w:rsidR="008175FF" w:rsidRPr="00BF60C5">
        <w:rPr>
          <w:spacing w:val="0"/>
        </w:rPr>
        <w:t>,</w:t>
      </w:r>
      <w:r w:rsidRPr="00BF60C5">
        <w:rPr>
          <w:spacing w:val="0"/>
        </w:rPr>
        <w:t xml:space="preserve"> durante toda la etapa de admisibilidad</w:t>
      </w:r>
      <w:r w:rsidR="008175FF" w:rsidRPr="00BF60C5">
        <w:rPr>
          <w:spacing w:val="0"/>
        </w:rPr>
        <w:t>,</w:t>
      </w:r>
      <w:r w:rsidRPr="00BF60C5">
        <w:rPr>
          <w:spacing w:val="0"/>
        </w:rPr>
        <w:t xml:space="preserve"> se había opuesto a las pretensiones de la señora Martínez Esquivia, por lo que no se podía considerar que había renunciado a la excepción de falta de agotamiento de los recursos internos. Asimismo, consideró que la Corte no valoró adecuadamente los alcances de las acciones de nulidad y restablecimiento</w:t>
      </w:r>
      <w:r w:rsidR="006243FB" w:rsidRPr="00BF60C5">
        <w:rPr>
          <w:spacing w:val="0"/>
        </w:rPr>
        <w:t xml:space="preserve"> del derecho</w:t>
      </w:r>
      <w:r w:rsidRPr="00BF60C5">
        <w:rPr>
          <w:spacing w:val="0"/>
        </w:rPr>
        <w:t xml:space="preserve"> y de la acción de tutela. De la misma manera, consideró que la Corte ignoró la argumentación del Estado en relación co</w:t>
      </w:r>
      <w:r w:rsidR="00C46121" w:rsidRPr="00BF60C5">
        <w:rPr>
          <w:spacing w:val="0"/>
        </w:rPr>
        <w:t xml:space="preserve">n la acción de fuero sindical. </w:t>
      </w:r>
      <w:r w:rsidRPr="00BF60C5">
        <w:rPr>
          <w:spacing w:val="0"/>
        </w:rPr>
        <w:t>Por todo lo anterior, el Estado “cuestión[</w:t>
      </w:r>
      <w:proofErr w:type="spellStart"/>
      <w:r w:rsidRPr="00BF60C5">
        <w:rPr>
          <w:spacing w:val="0"/>
        </w:rPr>
        <w:t>ó</w:t>
      </w:r>
      <w:proofErr w:type="spellEnd"/>
      <w:r w:rsidRPr="00BF60C5">
        <w:rPr>
          <w:spacing w:val="0"/>
        </w:rPr>
        <w:t>] el contenido de la sentencia y las determinaciones que allí se tomaron” y sol</w:t>
      </w:r>
      <w:r w:rsidR="00C46121" w:rsidRPr="00BF60C5">
        <w:rPr>
          <w:spacing w:val="0"/>
        </w:rPr>
        <w:t>icitó la anulación de la misma.</w:t>
      </w:r>
    </w:p>
    <w:p w14:paraId="2F4C87F2" w14:textId="77777777" w:rsidR="00852FFC" w:rsidRPr="003C7A6C" w:rsidRDefault="00852FFC" w:rsidP="00D40BC7">
      <w:pPr>
        <w:rPr>
          <w:lang w:val="es-CR" w:eastAsia="es-MX"/>
        </w:rPr>
      </w:pPr>
    </w:p>
    <w:p w14:paraId="260815D6" w14:textId="596CE0E9" w:rsidR="00852FFC" w:rsidRPr="00BF60C5" w:rsidRDefault="00852FFC" w:rsidP="00D40BC7">
      <w:pPr>
        <w:pStyle w:val="PrrafodeSentencia"/>
        <w:rPr>
          <w:b/>
          <w:spacing w:val="0"/>
        </w:rPr>
      </w:pPr>
      <w:r w:rsidRPr="00BF60C5">
        <w:rPr>
          <w:spacing w:val="0"/>
        </w:rPr>
        <w:t xml:space="preserve">La </w:t>
      </w:r>
      <w:r w:rsidRPr="00BF60C5">
        <w:rPr>
          <w:b/>
          <w:i/>
          <w:spacing w:val="0"/>
        </w:rPr>
        <w:t>Comisión</w:t>
      </w:r>
      <w:r w:rsidRPr="00BF60C5">
        <w:rPr>
          <w:spacing w:val="0"/>
        </w:rPr>
        <w:t xml:space="preserve"> estimó que la solicitud </w:t>
      </w:r>
      <w:r w:rsidR="00120499" w:rsidRPr="005245CC">
        <w:rPr>
          <w:spacing w:val="0"/>
        </w:rPr>
        <w:t xml:space="preserve">del Estado </w:t>
      </w:r>
      <w:r w:rsidRPr="00BF60C5">
        <w:rPr>
          <w:spacing w:val="0"/>
        </w:rPr>
        <w:t>de anulación de la sentencia debe desestimarse por carecer de fundamento. Asimismo, consideró que los argumentos del Estado carecen de justificación. Alegó que la Corte tiene la facultad de incorporar prueba para mejor resolver y que “no puede endilgarle falta de imparcialidad a la […] Corte al no haber obtenido una decisión favorable a sus pretensiones”. Agregó que el Estado “no aportó ningún elemento que permita acreditar que se cometieron violaciones a la imparcialidad judicial en el marco del proceso</w:t>
      </w:r>
      <w:r w:rsidR="00C46121" w:rsidRPr="00BF60C5">
        <w:rPr>
          <w:spacing w:val="0"/>
        </w:rPr>
        <w:t xml:space="preserve"> […]”. </w:t>
      </w:r>
    </w:p>
    <w:p w14:paraId="1F3A7671" w14:textId="77777777" w:rsidR="00852FFC" w:rsidRPr="003C7A6C" w:rsidRDefault="00852FFC" w:rsidP="00D40BC7">
      <w:pPr>
        <w:rPr>
          <w:lang w:val="es-CR" w:eastAsia="es-MX"/>
        </w:rPr>
      </w:pPr>
    </w:p>
    <w:p w14:paraId="20DE9805" w14:textId="795000D7" w:rsidR="00852FFC" w:rsidRPr="00BF60C5" w:rsidRDefault="00852FFC" w:rsidP="00D40BC7">
      <w:pPr>
        <w:pStyle w:val="PrrafodeSentencia"/>
        <w:rPr>
          <w:b/>
          <w:spacing w:val="0"/>
        </w:rPr>
      </w:pPr>
      <w:r w:rsidRPr="00BF60C5">
        <w:rPr>
          <w:spacing w:val="0"/>
        </w:rPr>
        <w:t xml:space="preserve">Los </w:t>
      </w:r>
      <w:r w:rsidRPr="00BF60C5">
        <w:rPr>
          <w:b/>
          <w:i/>
          <w:spacing w:val="0"/>
        </w:rPr>
        <w:t>representantes</w:t>
      </w:r>
      <w:r w:rsidRPr="00BF60C5">
        <w:rPr>
          <w:i/>
          <w:spacing w:val="0"/>
        </w:rPr>
        <w:t xml:space="preserve"> </w:t>
      </w:r>
      <w:r w:rsidRPr="00BF60C5">
        <w:rPr>
          <w:spacing w:val="0"/>
        </w:rPr>
        <w:t>solicitaron que se rechace de plano la solicitud de anulación de la sentencia, por no estar amparada en ninguna disposi</w:t>
      </w:r>
      <w:r w:rsidR="00C46121" w:rsidRPr="00BF60C5">
        <w:rPr>
          <w:spacing w:val="0"/>
        </w:rPr>
        <w:t>ción de la Convención Americana.</w:t>
      </w:r>
    </w:p>
    <w:p w14:paraId="167AB42D" w14:textId="77777777" w:rsidR="00852FFC" w:rsidRPr="003C7A6C" w:rsidRDefault="00852FFC" w:rsidP="00D40BC7">
      <w:pPr>
        <w:rPr>
          <w:lang w:val="es-CR" w:eastAsia="es-MX"/>
        </w:rPr>
      </w:pPr>
    </w:p>
    <w:p w14:paraId="7C5ECE97" w14:textId="77777777" w:rsidR="00852FFC" w:rsidRPr="003C7A6C" w:rsidRDefault="00852FFC" w:rsidP="00D40BC7">
      <w:pPr>
        <w:pStyle w:val="Ttulo3"/>
        <w:spacing w:before="0" w:after="0"/>
        <w:rPr>
          <w:lang w:eastAsia="es-MX"/>
        </w:rPr>
      </w:pPr>
      <w:r w:rsidRPr="003C7A6C">
        <w:rPr>
          <w:lang w:eastAsia="es-MX"/>
        </w:rPr>
        <w:t>A.2. Consideraciones de la Corte</w:t>
      </w:r>
    </w:p>
    <w:p w14:paraId="5C286DCE" w14:textId="77777777" w:rsidR="00852FFC" w:rsidRPr="003C7A6C" w:rsidRDefault="00852FFC" w:rsidP="00D40BC7">
      <w:pPr>
        <w:rPr>
          <w:lang w:val="es-CO" w:eastAsia="es-MX"/>
        </w:rPr>
      </w:pPr>
    </w:p>
    <w:p w14:paraId="7A2833DF" w14:textId="4B6833C7" w:rsidR="00700181" w:rsidRPr="00BF60C5" w:rsidRDefault="00852FFC" w:rsidP="00D40BC7">
      <w:pPr>
        <w:pStyle w:val="PrrafodeSentencia"/>
        <w:rPr>
          <w:spacing w:val="0"/>
        </w:rPr>
      </w:pPr>
      <w:r w:rsidRPr="00BF60C5">
        <w:rPr>
          <w:spacing w:val="0"/>
        </w:rPr>
        <w:lastRenderedPageBreak/>
        <w:t xml:space="preserve">En cuanto a la solicitud de anulación solicitada por el Estado basada en argumentos sobre una supuesta violación al debido proceso y a la equidad procesal, así como los alegatos </w:t>
      </w:r>
      <w:r w:rsidR="00BB512E" w:rsidRPr="00BF60C5">
        <w:rPr>
          <w:spacing w:val="0"/>
        </w:rPr>
        <w:t xml:space="preserve">en torno a </w:t>
      </w:r>
      <w:r w:rsidRPr="00BF60C5">
        <w:rPr>
          <w:spacing w:val="0"/>
        </w:rPr>
        <w:t>los procedimientos internos, la Corte considera pertinente recordar que</w:t>
      </w:r>
      <w:r w:rsidR="00700181" w:rsidRPr="00BF60C5">
        <w:rPr>
          <w:spacing w:val="0"/>
        </w:rPr>
        <w:t>,</w:t>
      </w:r>
      <w:r w:rsidRPr="00BF60C5">
        <w:rPr>
          <w:spacing w:val="0"/>
        </w:rPr>
        <w:t xml:space="preserve"> </w:t>
      </w:r>
      <w:r w:rsidR="00700181" w:rsidRPr="00BF60C5">
        <w:rPr>
          <w:spacing w:val="0"/>
        </w:rPr>
        <w:t>de acuerdo con el artículo 67 de la Convención Americana, “el fallo de la Corte será definitivo e inapelable”</w:t>
      </w:r>
      <w:r w:rsidR="006E7D57" w:rsidRPr="00BF60C5">
        <w:rPr>
          <w:spacing w:val="0"/>
          <w:szCs w:val="20"/>
        </w:rPr>
        <w:t xml:space="preserve">, de manera que, una vez que este Tribunal dicta sentencia, ella produce los efectos de cosa juzgada internacional y debe ser prontamente cumplida por el Estado </w:t>
      </w:r>
      <w:r w:rsidR="00662495" w:rsidRPr="00BF60C5">
        <w:rPr>
          <w:spacing w:val="0"/>
          <w:szCs w:val="20"/>
        </w:rPr>
        <w:t xml:space="preserve">de buena fe y </w:t>
      </w:r>
      <w:r w:rsidR="006E7D57" w:rsidRPr="00BF60C5">
        <w:rPr>
          <w:spacing w:val="0"/>
          <w:szCs w:val="20"/>
        </w:rPr>
        <w:t>en forma íntegra</w:t>
      </w:r>
      <w:r w:rsidR="006E7D57" w:rsidRPr="00BF60C5">
        <w:rPr>
          <w:rStyle w:val="Refdenotaalpie"/>
          <w:spacing w:val="0"/>
        </w:rPr>
        <w:footnoteReference w:id="5"/>
      </w:r>
      <w:r w:rsidR="00700181" w:rsidRPr="00BF60C5">
        <w:rPr>
          <w:spacing w:val="0"/>
        </w:rPr>
        <w:t xml:space="preserve">. Asimismo, el artículo 31.3 del Reglamento establece que “contra las sentencias y resoluciones de la Corte no procede ningún medio de impugnación”. </w:t>
      </w:r>
      <w:r w:rsidR="007F1678" w:rsidRPr="00BF60C5">
        <w:rPr>
          <w:spacing w:val="0"/>
        </w:rPr>
        <w:t>Por consiguiente</w:t>
      </w:r>
      <w:r w:rsidR="00AD6090" w:rsidRPr="00BF60C5">
        <w:rPr>
          <w:spacing w:val="0"/>
        </w:rPr>
        <w:t>, todo recurso contra la sentencia resulta inadmisible.</w:t>
      </w:r>
      <w:r w:rsidR="006E7D57" w:rsidRPr="00BF60C5">
        <w:rPr>
          <w:spacing w:val="0"/>
        </w:rPr>
        <w:t xml:space="preserve"> </w:t>
      </w:r>
    </w:p>
    <w:p w14:paraId="5E328159" w14:textId="6B16BE4C" w:rsidR="00776319" w:rsidRPr="003C7A6C" w:rsidRDefault="00776319" w:rsidP="00D40BC7">
      <w:pPr>
        <w:rPr>
          <w:lang w:val="es-CR" w:eastAsia="es-MX"/>
        </w:rPr>
      </w:pPr>
    </w:p>
    <w:p w14:paraId="6824583F" w14:textId="4A539BE2" w:rsidR="00317AE3" w:rsidRPr="00BF60C5" w:rsidRDefault="007F1678" w:rsidP="00317AE3">
      <w:pPr>
        <w:pStyle w:val="PrrafodeSentencia"/>
        <w:rPr>
          <w:spacing w:val="0"/>
        </w:rPr>
      </w:pPr>
      <w:r w:rsidRPr="00BF60C5">
        <w:rPr>
          <w:spacing w:val="0"/>
          <w:lang w:val="es-CO"/>
        </w:rPr>
        <w:t>Aunado a lo anterior, la Corte estima pertinente advertir que</w:t>
      </w:r>
      <w:r w:rsidR="00776319" w:rsidRPr="00BF60C5">
        <w:rPr>
          <w:spacing w:val="0"/>
          <w:lang w:val="es-CO"/>
        </w:rPr>
        <w:t xml:space="preserve"> </w:t>
      </w:r>
      <w:r w:rsidR="00D32420" w:rsidRPr="00BF60C5">
        <w:rPr>
          <w:spacing w:val="0"/>
        </w:rPr>
        <w:t>el Estado ejerc</w:t>
      </w:r>
      <w:r w:rsidR="00B62B07" w:rsidRPr="00BF60C5">
        <w:rPr>
          <w:spacing w:val="0"/>
        </w:rPr>
        <w:t>ió</w:t>
      </w:r>
      <w:r w:rsidR="00D32420" w:rsidRPr="00BF60C5">
        <w:rPr>
          <w:spacing w:val="0"/>
        </w:rPr>
        <w:t xml:space="preserve"> su derecho de defensa y contradictorio durante todo el trámite del proceso</w:t>
      </w:r>
      <w:r w:rsidR="00F75064" w:rsidRPr="00BF60C5">
        <w:rPr>
          <w:spacing w:val="0"/>
        </w:rPr>
        <w:t xml:space="preserve"> y </w:t>
      </w:r>
      <w:r w:rsidR="00F75064" w:rsidRPr="00BF60C5">
        <w:rPr>
          <w:spacing w:val="0"/>
          <w:lang w:val="es-CO"/>
        </w:rPr>
        <w:t xml:space="preserve">sus alegatos fueron analizados </w:t>
      </w:r>
      <w:r w:rsidR="00B62B07" w:rsidRPr="00BF60C5">
        <w:rPr>
          <w:spacing w:val="0"/>
          <w:lang w:val="es-CO"/>
        </w:rPr>
        <w:t>oportunamente</w:t>
      </w:r>
      <w:r w:rsidR="00F75064" w:rsidRPr="00BF60C5">
        <w:rPr>
          <w:spacing w:val="0"/>
          <w:lang w:val="es-CO"/>
        </w:rPr>
        <w:t>.</w:t>
      </w:r>
      <w:r w:rsidR="00D32420" w:rsidRPr="00BF60C5">
        <w:rPr>
          <w:spacing w:val="0"/>
          <w:lang w:val="es-CO"/>
        </w:rPr>
        <w:t xml:space="preserve"> </w:t>
      </w:r>
      <w:r w:rsidR="00A42A20" w:rsidRPr="00BF60C5">
        <w:rPr>
          <w:spacing w:val="0"/>
          <w:lang w:val="es-CO"/>
        </w:rPr>
        <w:t>E</w:t>
      </w:r>
      <w:r w:rsidR="00776319" w:rsidRPr="00BF60C5">
        <w:rPr>
          <w:spacing w:val="0"/>
          <w:lang w:val="es-CO"/>
        </w:rPr>
        <w:t>l Estado pretende</w:t>
      </w:r>
      <w:r w:rsidRPr="00BF60C5">
        <w:rPr>
          <w:spacing w:val="0"/>
          <w:lang w:val="es-CO"/>
        </w:rPr>
        <w:t xml:space="preserve"> </w:t>
      </w:r>
      <w:r w:rsidR="00A42A20" w:rsidRPr="00BF60C5">
        <w:rPr>
          <w:spacing w:val="0"/>
          <w:lang w:val="es-CO"/>
        </w:rPr>
        <w:t xml:space="preserve">ahora </w:t>
      </w:r>
      <w:r w:rsidR="00776319" w:rsidRPr="00BF60C5">
        <w:rPr>
          <w:spacing w:val="0"/>
          <w:lang w:val="es-CO"/>
        </w:rPr>
        <w:t>que este Tribunal reexamine cuestiones de hecho y de derecho que ya fueron</w:t>
      </w:r>
      <w:r w:rsidR="00A42A20" w:rsidRPr="00BF60C5">
        <w:rPr>
          <w:spacing w:val="0"/>
          <w:lang w:val="es-CO"/>
        </w:rPr>
        <w:t xml:space="preserve"> abordad</w:t>
      </w:r>
      <w:r w:rsidR="00120499">
        <w:rPr>
          <w:spacing w:val="0"/>
          <w:lang w:val="es-CO"/>
        </w:rPr>
        <w:t>a</w:t>
      </w:r>
      <w:r w:rsidR="00A42A20" w:rsidRPr="00BF60C5">
        <w:rPr>
          <w:spacing w:val="0"/>
          <w:lang w:val="es-CO"/>
        </w:rPr>
        <w:t>s y</w:t>
      </w:r>
      <w:r w:rsidR="00776319" w:rsidRPr="00BF60C5">
        <w:rPr>
          <w:spacing w:val="0"/>
          <w:lang w:val="es-CO"/>
        </w:rPr>
        <w:t xml:space="preserve"> resuelt</w:t>
      </w:r>
      <w:r w:rsidR="00120499">
        <w:rPr>
          <w:spacing w:val="0"/>
          <w:lang w:val="es-CO"/>
        </w:rPr>
        <w:t>a</w:t>
      </w:r>
      <w:r w:rsidR="00776319" w:rsidRPr="00BF60C5">
        <w:rPr>
          <w:spacing w:val="0"/>
          <w:lang w:val="es-CO"/>
        </w:rPr>
        <w:t xml:space="preserve">s </w:t>
      </w:r>
      <w:r w:rsidR="00AB0465" w:rsidRPr="00BF60C5">
        <w:rPr>
          <w:spacing w:val="0"/>
          <w:lang w:val="es-CO"/>
        </w:rPr>
        <w:t>en</w:t>
      </w:r>
      <w:r w:rsidR="00776319" w:rsidRPr="00BF60C5">
        <w:rPr>
          <w:spacing w:val="0"/>
          <w:lang w:val="es-CO"/>
        </w:rPr>
        <w:t xml:space="preserve"> la </w:t>
      </w:r>
      <w:r w:rsidR="00A42A20" w:rsidRPr="00BF60C5">
        <w:rPr>
          <w:spacing w:val="0"/>
          <w:lang w:val="es-CO"/>
        </w:rPr>
        <w:t>S</w:t>
      </w:r>
      <w:r w:rsidR="00776319" w:rsidRPr="00BF60C5">
        <w:rPr>
          <w:spacing w:val="0"/>
          <w:lang w:val="es-CO"/>
        </w:rPr>
        <w:t>entencia.</w:t>
      </w:r>
      <w:r w:rsidR="00317AE3" w:rsidRPr="00BF60C5">
        <w:rPr>
          <w:spacing w:val="0"/>
          <w:lang w:val="es-CO"/>
        </w:rPr>
        <w:t xml:space="preserve"> </w:t>
      </w:r>
      <w:r w:rsidR="004C0429" w:rsidRPr="00BF60C5">
        <w:rPr>
          <w:spacing w:val="0"/>
        </w:rPr>
        <w:t>De esta forma,</w:t>
      </w:r>
      <w:r w:rsidR="00317AE3" w:rsidRPr="00BF60C5">
        <w:rPr>
          <w:spacing w:val="0"/>
        </w:rPr>
        <w:t xml:space="preserve"> el Estado busca que se revise elementos de prueba y alegatos sobre los cuales este Tribunal ya adoptó una decisión, lo cual resulta contrario al carácter definitivo e inapelable de las </w:t>
      </w:r>
      <w:r w:rsidR="0020520A" w:rsidRPr="00BF60C5">
        <w:rPr>
          <w:spacing w:val="0"/>
        </w:rPr>
        <w:t>S</w:t>
      </w:r>
      <w:r w:rsidR="00317AE3" w:rsidRPr="00BF60C5">
        <w:rPr>
          <w:spacing w:val="0"/>
        </w:rPr>
        <w:t xml:space="preserve">entencias de la Corte. </w:t>
      </w:r>
    </w:p>
    <w:p w14:paraId="7CB9A37C" w14:textId="283CB3A0" w:rsidR="00852FFC" w:rsidRPr="003C7A6C" w:rsidRDefault="00852FFC" w:rsidP="00D40BC7">
      <w:pPr>
        <w:rPr>
          <w:lang w:val="es-ES_tradnl"/>
        </w:rPr>
      </w:pPr>
    </w:p>
    <w:p w14:paraId="78C1CC9F" w14:textId="6833BCFD" w:rsidR="00852FFC" w:rsidRPr="00BF60C5" w:rsidRDefault="00852FFC" w:rsidP="00D40BC7">
      <w:pPr>
        <w:pStyle w:val="PrrafodeSentencia"/>
        <w:rPr>
          <w:spacing w:val="0"/>
          <w:lang w:val="es-CO"/>
        </w:rPr>
      </w:pPr>
      <w:r w:rsidRPr="00BF60C5">
        <w:rPr>
          <w:spacing w:val="0"/>
        </w:rPr>
        <w:t xml:space="preserve">En razón de lo anterior, este Tribunal considera que la solicitud del Estado es </w:t>
      </w:r>
      <w:r w:rsidR="00AD6090" w:rsidRPr="00BF60C5">
        <w:rPr>
          <w:spacing w:val="0"/>
        </w:rPr>
        <w:t>inadmisible</w:t>
      </w:r>
      <w:r w:rsidR="00700181" w:rsidRPr="00BF60C5">
        <w:rPr>
          <w:spacing w:val="0"/>
        </w:rPr>
        <w:t xml:space="preserve"> en virtud de lo establecido en los artículos 67 de la C</w:t>
      </w:r>
      <w:r w:rsidR="004C0429" w:rsidRPr="00BF60C5">
        <w:rPr>
          <w:spacing w:val="0"/>
        </w:rPr>
        <w:t>onvención y 31.3 del Reglamento</w:t>
      </w:r>
      <w:r w:rsidRPr="00BF60C5">
        <w:rPr>
          <w:spacing w:val="0"/>
        </w:rPr>
        <w:t>.</w:t>
      </w:r>
    </w:p>
    <w:p w14:paraId="21FC654F" w14:textId="0DCC40F1" w:rsidR="00852FFC" w:rsidRPr="003C7A6C" w:rsidRDefault="00852FFC" w:rsidP="00D40BC7">
      <w:pPr>
        <w:rPr>
          <w:lang w:val="es-CO" w:eastAsia="es-MX"/>
        </w:rPr>
      </w:pPr>
    </w:p>
    <w:p w14:paraId="6FE41884" w14:textId="75EA4B87" w:rsidR="00852FFC" w:rsidRPr="003C7A6C" w:rsidRDefault="00F615FB" w:rsidP="00D40BC7">
      <w:pPr>
        <w:pStyle w:val="Ttulo2"/>
        <w:spacing w:before="0" w:after="0"/>
        <w:rPr>
          <w:lang w:eastAsia="es-MX"/>
        </w:rPr>
      </w:pPr>
      <w:r w:rsidRPr="003C7A6C">
        <w:t>Solicitud de interpretación sobre los puntos resolutivos 7 y 9 de la Sentencia</w:t>
      </w:r>
    </w:p>
    <w:p w14:paraId="5050C502" w14:textId="7C26432D" w:rsidR="008025B6" w:rsidRPr="003C7A6C" w:rsidRDefault="008025B6" w:rsidP="00D40BC7">
      <w:pPr>
        <w:rPr>
          <w:lang w:val="es-CR" w:eastAsia="es-MX"/>
        </w:rPr>
      </w:pPr>
    </w:p>
    <w:p w14:paraId="61612C9E" w14:textId="3DA3BAAD" w:rsidR="00F454FD" w:rsidRPr="00BF60C5" w:rsidRDefault="008025B6" w:rsidP="00D40BC7">
      <w:pPr>
        <w:pStyle w:val="PrrafodeSentencia"/>
        <w:rPr>
          <w:spacing w:val="0"/>
        </w:rPr>
      </w:pPr>
      <w:r w:rsidRPr="00BF60C5">
        <w:rPr>
          <w:spacing w:val="0"/>
        </w:rPr>
        <w:t>La Corte advierte que el Estado presentó su solicitud</w:t>
      </w:r>
      <w:r w:rsidR="00F615FB" w:rsidRPr="00BF60C5">
        <w:rPr>
          <w:spacing w:val="0"/>
        </w:rPr>
        <w:t xml:space="preserve"> subsidiaria</w:t>
      </w:r>
      <w:r w:rsidRPr="00BF60C5">
        <w:rPr>
          <w:spacing w:val="0"/>
        </w:rPr>
        <w:t xml:space="preserve"> de interpretación dentro del plazo de 90 días establecido en el artículo 67 de la Convención, ya que la </w:t>
      </w:r>
      <w:r w:rsidR="0020520A" w:rsidRPr="00BF60C5">
        <w:rPr>
          <w:spacing w:val="0"/>
        </w:rPr>
        <w:t>S</w:t>
      </w:r>
      <w:r w:rsidRPr="00BF60C5">
        <w:rPr>
          <w:spacing w:val="0"/>
        </w:rPr>
        <w:t>entencia fue notificada a las partes y a la Comisión el 14 de diciembre de 2020. Por ende, la solicitud</w:t>
      </w:r>
      <w:r w:rsidR="00F615FB" w:rsidRPr="00BF60C5">
        <w:rPr>
          <w:spacing w:val="0"/>
        </w:rPr>
        <w:t>, sobre estos extremos,</w:t>
      </w:r>
      <w:r w:rsidRPr="00BF60C5">
        <w:rPr>
          <w:spacing w:val="0"/>
        </w:rPr>
        <w:t xml:space="preserve"> resulta admisible en lo que se refiere al plazo de su presentación. En cuanto a los demás requisitos, la Corte realizará el análisis respectivo al examinar el contenido de la solicitud en el siguiente capítulo.</w:t>
      </w:r>
    </w:p>
    <w:p w14:paraId="2C0E8290" w14:textId="77777777" w:rsidR="008025B6" w:rsidRPr="003C7A6C" w:rsidRDefault="008025B6" w:rsidP="00D40BC7">
      <w:pPr>
        <w:rPr>
          <w:lang w:val="es-CR" w:eastAsia="es-MX"/>
        </w:rPr>
      </w:pPr>
    </w:p>
    <w:p w14:paraId="3957D32E" w14:textId="0181F2F6" w:rsidR="00356BC5" w:rsidRPr="003C7A6C" w:rsidRDefault="00917E4C" w:rsidP="00D40BC7">
      <w:pPr>
        <w:pStyle w:val="Ttulo1"/>
        <w:spacing w:before="0" w:after="0"/>
        <w:rPr>
          <w:lang w:val="es-CR"/>
        </w:rPr>
      </w:pPr>
      <w:bookmarkStart w:id="126" w:name="_Toc4402708"/>
      <w:bookmarkStart w:id="127" w:name="_Toc4402947"/>
      <w:bookmarkStart w:id="128" w:name="_Toc8209834"/>
      <w:bookmarkStart w:id="129" w:name="_Toc48736675"/>
      <w:bookmarkStart w:id="130" w:name="_Toc57872376"/>
      <w:r w:rsidRPr="003C7A6C">
        <w:rPr>
          <w:lang w:val="es-CR"/>
        </w:rPr>
        <w:t>I</w:t>
      </w:r>
      <w:r w:rsidR="00F5757E" w:rsidRPr="003C7A6C">
        <w:rPr>
          <w:lang w:val="es-CR"/>
        </w:rPr>
        <w:t>V</w:t>
      </w:r>
      <w:r w:rsidR="00F5757E" w:rsidRPr="003C7A6C">
        <w:rPr>
          <w:lang w:val="es-CR"/>
        </w:rPr>
        <w:br/>
      </w:r>
      <w:bookmarkEnd w:id="126"/>
      <w:bookmarkEnd w:id="127"/>
      <w:bookmarkEnd w:id="128"/>
      <w:bookmarkEnd w:id="129"/>
      <w:bookmarkEnd w:id="130"/>
      <w:r w:rsidR="008025B6" w:rsidRPr="003C7A6C">
        <w:rPr>
          <w:lang w:val="es-CR"/>
        </w:rPr>
        <w:t>Análisis de la procedencia de la solicitud de interpretación</w:t>
      </w:r>
    </w:p>
    <w:p w14:paraId="4B156D46" w14:textId="77777777" w:rsidR="009A13FA" w:rsidRPr="003C7A6C" w:rsidRDefault="009A13FA" w:rsidP="00D40BC7">
      <w:pPr>
        <w:rPr>
          <w:lang w:val="es-CR"/>
        </w:rPr>
      </w:pPr>
    </w:p>
    <w:p w14:paraId="64919E0E" w14:textId="04900539" w:rsidR="008168E6" w:rsidRPr="00542813" w:rsidRDefault="005935E7" w:rsidP="00D40BC7">
      <w:pPr>
        <w:pStyle w:val="PrrafodeSentencia"/>
        <w:rPr>
          <w:spacing w:val="0"/>
        </w:rPr>
      </w:pPr>
      <w:r w:rsidRPr="003C7A6C">
        <w:rPr>
          <w:spacing w:val="0"/>
        </w:rPr>
        <w:t xml:space="preserve">Este Tribunal analizará </w:t>
      </w:r>
      <w:r w:rsidR="00542813">
        <w:rPr>
          <w:spacing w:val="0"/>
        </w:rPr>
        <w:t>la solicitud de interpretación</w:t>
      </w:r>
      <w:r w:rsidRPr="00542813">
        <w:rPr>
          <w:spacing w:val="0"/>
        </w:rPr>
        <w:t xml:space="preserve"> del Estado para determinar si, de acuerdo a la normativa y a los estándares desarrollados en su jurisprudencia, procede o no aclarar el sentido o alcance de los puntos de la Sentencia solicitados.</w:t>
      </w:r>
    </w:p>
    <w:p w14:paraId="0FA97545" w14:textId="0310AC59" w:rsidR="005935E7" w:rsidRPr="003C7A6C" w:rsidRDefault="005935E7" w:rsidP="00D40BC7">
      <w:pPr>
        <w:rPr>
          <w:lang w:val="es-CR" w:eastAsia="es-MX"/>
        </w:rPr>
      </w:pPr>
    </w:p>
    <w:p w14:paraId="31B08E20" w14:textId="39850DA8" w:rsidR="005935E7" w:rsidRPr="00BF60C5" w:rsidRDefault="005935E7" w:rsidP="00D40BC7">
      <w:pPr>
        <w:pStyle w:val="PrrafodeSentencia"/>
        <w:rPr>
          <w:spacing w:val="0"/>
        </w:rPr>
      </w:pPr>
      <w:r w:rsidRPr="00BF60C5">
        <w:rPr>
          <w:spacing w:val="0"/>
        </w:rPr>
        <w:t>La Corte ha señalado que una solicitud de interpretación de sentencia no puede utilizarse como medio de impugnación de la decisión cuya interpretación se requiere. Dicha solicitud tiene como objeto, exclusivamente, determinar el sentido de un fallo cuando alguna de las partes sosti</w:t>
      </w:r>
      <w:r w:rsidR="00C231B5" w:rsidRPr="00BF60C5">
        <w:rPr>
          <w:spacing w:val="0"/>
        </w:rPr>
        <w:t>ene que el tex</w:t>
      </w:r>
      <w:r w:rsidRPr="00BF60C5">
        <w:rPr>
          <w:spacing w:val="0"/>
        </w:rPr>
        <w:t>to de sus puntos resolutivos o de sus consideraciones carece de claridad o precisión, siempre y cuando esas consideraciones incidan en dicha parte resolutiva. Por lo tanto, no se puede solicitar la modificación o anulación de la sentencia respectiva a través de una solicitud de interpretación</w:t>
      </w:r>
      <w:r w:rsidRPr="00BF60C5">
        <w:rPr>
          <w:rStyle w:val="Refdenotaalpie"/>
          <w:spacing w:val="0"/>
        </w:rPr>
        <w:footnoteReference w:id="6"/>
      </w:r>
      <w:r w:rsidRPr="00BF60C5">
        <w:rPr>
          <w:spacing w:val="0"/>
        </w:rPr>
        <w:t xml:space="preserve">. </w:t>
      </w:r>
    </w:p>
    <w:p w14:paraId="01CCC580" w14:textId="4ABAC94E" w:rsidR="00583FA6" w:rsidRPr="003C7A6C" w:rsidRDefault="00583FA6" w:rsidP="00D40BC7">
      <w:pPr>
        <w:rPr>
          <w:lang w:val="es-CR" w:eastAsia="es-MX"/>
        </w:rPr>
      </w:pPr>
    </w:p>
    <w:p w14:paraId="7AC991CB" w14:textId="0DE41076" w:rsidR="00583FA6" w:rsidRPr="00BF60C5" w:rsidRDefault="00583FA6" w:rsidP="00D40BC7">
      <w:pPr>
        <w:pStyle w:val="PrrafodeSentencia"/>
        <w:rPr>
          <w:spacing w:val="0"/>
        </w:rPr>
      </w:pPr>
      <w:r w:rsidRPr="00BF60C5">
        <w:rPr>
          <w:spacing w:val="0"/>
        </w:rPr>
        <w:t>Adicionalmente, la Corte ha sostenido la improcedencia de utilizar una solicitud de interpretación para someter consideraciones sobre cuestiones de hecho y de derecho que ya fueron planteadas en su oportunidad procesal y sobre las cuales la Corte ya adoptó una decisión</w:t>
      </w:r>
      <w:r w:rsidRPr="00BF60C5">
        <w:rPr>
          <w:rStyle w:val="Refdenotaalpie"/>
          <w:spacing w:val="0"/>
        </w:rPr>
        <w:footnoteReference w:id="7"/>
      </w:r>
      <w:r w:rsidR="008E5E23" w:rsidRPr="00BF60C5">
        <w:rPr>
          <w:spacing w:val="0"/>
        </w:rPr>
        <w:t>, así como para pretender que la Corte valore nuevamente cuestiones que ya han sido resueltas en la Sentencia</w:t>
      </w:r>
      <w:r w:rsidR="008E5E23" w:rsidRPr="00BF60C5">
        <w:rPr>
          <w:rStyle w:val="Refdenotaalpie"/>
          <w:spacing w:val="0"/>
        </w:rPr>
        <w:footnoteReference w:id="8"/>
      </w:r>
      <w:r w:rsidR="008E5E23" w:rsidRPr="00BF60C5">
        <w:rPr>
          <w:spacing w:val="0"/>
        </w:rPr>
        <w:t>. De igual manera, por esta vía tampoco se puede intentar que se amplíe el alcance de una medid</w:t>
      </w:r>
      <w:r w:rsidR="008F7AF8" w:rsidRPr="00BF60C5">
        <w:rPr>
          <w:spacing w:val="0"/>
        </w:rPr>
        <w:t>a</w:t>
      </w:r>
      <w:r w:rsidR="008E5E23" w:rsidRPr="00BF60C5">
        <w:rPr>
          <w:spacing w:val="0"/>
        </w:rPr>
        <w:t xml:space="preserve"> de reparación ordenada oportunamente</w:t>
      </w:r>
      <w:r w:rsidR="008E5E23" w:rsidRPr="00BF60C5">
        <w:rPr>
          <w:rStyle w:val="Refdenotaalpie"/>
          <w:spacing w:val="0"/>
        </w:rPr>
        <w:footnoteReference w:id="9"/>
      </w:r>
      <w:r w:rsidR="008E5E23" w:rsidRPr="00BF60C5">
        <w:rPr>
          <w:spacing w:val="0"/>
        </w:rPr>
        <w:t>.</w:t>
      </w:r>
    </w:p>
    <w:p w14:paraId="64496C8B" w14:textId="3C1E9F22" w:rsidR="001C5D8E" w:rsidRPr="003C7A6C" w:rsidRDefault="001C5D8E" w:rsidP="00D40BC7">
      <w:pPr>
        <w:rPr>
          <w:lang w:val="es-CR" w:eastAsia="es-MX"/>
        </w:rPr>
      </w:pPr>
    </w:p>
    <w:p w14:paraId="7DCBBE7A" w14:textId="71882807" w:rsidR="001C5D8E" w:rsidRPr="00BF60C5" w:rsidRDefault="001C5D8E" w:rsidP="00D40BC7">
      <w:pPr>
        <w:pStyle w:val="PrrafodeSentencia"/>
        <w:rPr>
          <w:spacing w:val="0"/>
        </w:rPr>
      </w:pPr>
      <w:r w:rsidRPr="00BF60C5">
        <w:rPr>
          <w:spacing w:val="0"/>
        </w:rPr>
        <w:t>La Corte Interamericana examinará las cuestiones pla</w:t>
      </w:r>
      <w:r w:rsidR="00AD6090" w:rsidRPr="00BF60C5">
        <w:rPr>
          <w:spacing w:val="0"/>
        </w:rPr>
        <w:t>nteadas en el siguiente orden: (A</w:t>
      </w:r>
      <w:r w:rsidR="00E55836" w:rsidRPr="00BF60C5">
        <w:rPr>
          <w:spacing w:val="0"/>
        </w:rPr>
        <w:t>)</w:t>
      </w:r>
      <w:r w:rsidRPr="00BF60C5">
        <w:rPr>
          <w:spacing w:val="0"/>
        </w:rPr>
        <w:t xml:space="preserve"> la solicitud de interpretación sobre la obligación del Estado de cubrir los aportes a la pensión de la señora </w:t>
      </w:r>
      <w:proofErr w:type="spellStart"/>
      <w:r w:rsidRPr="00BF60C5">
        <w:rPr>
          <w:spacing w:val="0"/>
        </w:rPr>
        <w:t>Yenina</w:t>
      </w:r>
      <w:proofErr w:type="spellEnd"/>
      <w:r w:rsidRPr="00BF60C5">
        <w:rPr>
          <w:spacing w:val="0"/>
        </w:rPr>
        <w:t xml:space="preserve"> Esther </w:t>
      </w:r>
      <w:r w:rsidR="00AD6090" w:rsidRPr="00BF60C5">
        <w:rPr>
          <w:spacing w:val="0"/>
        </w:rPr>
        <w:t>Martínez Esquivia y (B</w:t>
      </w:r>
      <w:r w:rsidRPr="00BF60C5">
        <w:rPr>
          <w:spacing w:val="0"/>
        </w:rPr>
        <w:t>) la solicitud de interpretación sobre la necesidad de adecuar la normativa interna con el fin de garantizar la estabilidad de las y los fiscales nombrados en provisionalidad.</w:t>
      </w:r>
    </w:p>
    <w:p w14:paraId="3D8D785E" w14:textId="77777777" w:rsidR="00E55836" w:rsidRPr="003C7A6C" w:rsidRDefault="00E55836" w:rsidP="00D40BC7">
      <w:pPr>
        <w:rPr>
          <w:lang w:val="es-CR"/>
        </w:rPr>
      </w:pPr>
    </w:p>
    <w:p w14:paraId="5850700B" w14:textId="099B0B3E" w:rsidR="00200CAB" w:rsidRPr="003C7A6C" w:rsidRDefault="001C5D8E" w:rsidP="00D40BC7">
      <w:pPr>
        <w:pStyle w:val="Ttulo2"/>
        <w:keepNext/>
        <w:numPr>
          <w:ilvl w:val="0"/>
          <w:numId w:val="5"/>
        </w:numPr>
        <w:tabs>
          <w:tab w:val="clear" w:pos="567"/>
          <w:tab w:val="clear" w:pos="993"/>
          <w:tab w:val="left" w:pos="1134"/>
        </w:tabs>
        <w:spacing w:before="0" w:after="0"/>
        <w:ind w:left="1134" w:hanging="567"/>
        <w:contextualSpacing w:val="0"/>
      </w:pPr>
      <w:r w:rsidRPr="003C7A6C">
        <w:t xml:space="preserve">Alcance de la obligación del Estado de cubrir los aportes a la pensión de la señora </w:t>
      </w:r>
      <w:proofErr w:type="spellStart"/>
      <w:r w:rsidRPr="003C7A6C">
        <w:t>Yenina</w:t>
      </w:r>
      <w:proofErr w:type="spellEnd"/>
      <w:r w:rsidRPr="003C7A6C">
        <w:t xml:space="preserve"> Esther Martínez Esquivia</w:t>
      </w:r>
    </w:p>
    <w:p w14:paraId="2A0B3263" w14:textId="77777777" w:rsidR="009A13FA" w:rsidRPr="003C7A6C" w:rsidRDefault="009A13FA" w:rsidP="00D40BC7">
      <w:pPr>
        <w:rPr>
          <w:lang w:val="es-CR"/>
        </w:rPr>
      </w:pPr>
    </w:p>
    <w:p w14:paraId="49AF3705" w14:textId="22C3163C" w:rsidR="00C76D5C" w:rsidRPr="003C7A6C" w:rsidRDefault="00AD6090" w:rsidP="00D40BC7">
      <w:pPr>
        <w:pStyle w:val="Ttulo3"/>
        <w:spacing w:before="0" w:after="0"/>
        <w:rPr>
          <w:lang w:val="es-CR"/>
        </w:rPr>
      </w:pPr>
      <w:bookmarkStart w:id="131" w:name="_Toc57872378"/>
      <w:r w:rsidRPr="003C7A6C">
        <w:rPr>
          <w:lang w:val="es-CR"/>
        </w:rPr>
        <w:t>A</w:t>
      </w:r>
      <w:r w:rsidR="00C76D5C" w:rsidRPr="003C7A6C">
        <w:rPr>
          <w:lang w:val="es-CR"/>
        </w:rPr>
        <w:t xml:space="preserve">.1. </w:t>
      </w:r>
      <w:r w:rsidR="001C5D8E" w:rsidRPr="003C7A6C">
        <w:rPr>
          <w:lang w:val="es-CR"/>
        </w:rPr>
        <w:t>Argumentos</w:t>
      </w:r>
      <w:r w:rsidR="00C76D5C" w:rsidRPr="003C7A6C">
        <w:rPr>
          <w:lang w:val="es-CR"/>
        </w:rPr>
        <w:t xml:space="preserve"> de las partes y de la Comisión</w:t>
      </w:r>
      <w:bookmarkEnd w:id="131"/>
    </w:p>
    <w:p w14:paraId="580BF494" w14:textId="77777777" w:rsidR="009A13FA" w:rsidRPr="003C7A6C" w:rsidRDefault="009A13FA" w:rsidP="00D40BC7">
      <w:pPr>
        <w:rPr>
          <w:lang w:val="es-CR"/>
        </w:rPr>
      </w:pPr>
    </w:p>
    <w:p w14:paraId="76FBBD06" w14:textId="2B3171A5" w:rsidR="00F13980" w:rsidRPr="003C7A6C" w:rsidRDefault="008168E6" w:rsidP="00D40BC7">
      <w:pPr>
        <w:pStyle w:val="PrrafodeSentencia"/>
        <w:rPr>
          <w:b/>
          <w:spacing w:val="0"/>
          <w:szCs w:val="20"/>
        </w:rPr>
      </w:pPr>
      <w:r w:rsidRPr="003C7A6C">
        <w:rPr>
          <w:spacing w:val="0"/>
          <w:szCs w:val="20"/>
        </w:rPr>
        <w:t xml:space="preserve">El </w:t>
      </w:r>
      <w:r w:rsidRPr="003C7A6C">
        <w:rPr>
          <w:b/>
          <w:i/>
          <w:spacing w:val="0"/>
          <w:szCs w:val="20"/>
        </w:rPr>
        <w:t xml:space="preserve">Estado </w:t>
      </w:r>
      <w:r w:rsidR="008F7AF8" w:rsidRPr="003C7A6C">
        <w:rPr>
          <w:spacing w:val="0"/>
          <w:szCs w:val="20"/>
        </w:rPr>
        <w:t xml:space="preserve">solicitó una aclaración sobre la medida de reparación ordenada en el punto resolutivo </w:t>
      </w:r>
      <w:r w:rsidR="000372DA">
        <w:rPr>
          <w:spacing w:val="0"/>
          <w:szCs w:val="20"/>
        </w:rPr>
        <w:t>séptimo</w:t>
      </w:r>
      <w:r w:rsidR="008F7AF8" w:rsidRPr="000372DA">
        <w:rPr>
          <w:spacing w:val="0"/>
          <w:szCs w:val="20"/>
        </w:rPr>
        <w:t xml:space="preserve"> de la Sentencia, consistente en que “el Estado cubrirá los aportes de la pensión de la señora </w:t>
      </w:r>
      <w:proofErr w:type="spellStart"/>
      <w:r w:rsidR="008F7AF8" w:rsidRPr="000372DA">
        <w:rPr>
          <w:spacing w:val="0"/>
          <w:szCs w:val="20"/>
        </w:rPr>
        <w:t>Yenina</w:t>
      </w:r>
      <w:proofErr w:type="spellEnd"/>
      <w:r w:rsidR="008F7AF8" w:rsidRPr="000372DA">
        <w:rPr>
          <w:spacing w:val="0"/>
          <w:szCs w:val="20"/>
        </w:rPr>
        <w:t xml:space="preserve"> Esther Martínez Esquivia, en los términos del párrafo 155 del </w:t>
      </w:r>
      <w:r w:rsidR="000372DA">
        <w:rPr>
          <w:spacing w:val="0"/>
          <w:szCs w:val="20"/>
        </w:rPr>
        <w:t>[…]</w:t>
      </w:r>
      <w:r w:rsidR="000372DA" w:rsidRPr="000372DA">
        <w:rPr>
          <w:spacing w:val="0"/>
          <w:szCs w:val="20"/>
        </w:rPr>
        <w:t xml:space="preserve"> </w:t>
      </w:r>
      <w:r w:rsidR="008F7AF8" w:rsidRPr="000372DA">
        <w:rPr>
          <w:spacing w:val="0"/>
          <w:szCs w:val="20"/>
        </w:rPr>
        <w:t xml:space="preserve">Fallo”. Al respecto, solicitó que la Corte “precise si el Estado está exceptuado de cubrir los aportes a la pensión de la señora </w:t>
      </w:r>
      <w:proofErr w:type="spellStart"/>
      <w:r w:rsidR="008F7AF8" w:rsidRPr="000372DA">
        <w:rPr>
          <w:spacing w:val="0"/>
          <w:szCs w:val="20"/>
        </w:rPr>
        <w:t>Yen</w:t>
      </w:r>
      <w:r w:rsidR="00E975FF" w:rsidRPr="000372DA">
        <w:rPr>
          <w:spacing w:val="0"/>
          <w:szCs w:val="20"/>
        </w:rPr>
        <w:t>i</w:t>
      </w:r>
      <w:r w:rsidR="008F7AF8" w:rsidRPr="000372DA">
        <w:rPr>
          <w:spacing w:val="0"/>
          <w:szCs w:val="20"/>
        </w:rPr>
        <w:t>na</w:t>
      </w:r>
      <w:proofErr w:type="spellEnd"/>
      <w:r w:rsidR="008F7AF8" w:rsidRPr="000372DA">
        <w:rPr>
          <w:spacing w:val="0"/>
          <w:szCs w:val="20"/>
        </w:rPr>
        <w:t xml:space="preserve"> Esther Martínez Esquivia, durante el periodo comprendido entre el 2 de ag</w:t>
      </w:r>
      <w:r w:rsidR="00C46121" w:rsidRPr="000372DA">
        <w:rPr>
          <w:spacing w:val="0"/>
          <w:szCs w:val="20"/>
        </w:rPr>
        <w:t>osto y el 15 de octubre de 2015”</w:t>
      </w:r>
      <w:r w:rsidR="008F7AF8" w:rsidRPr="000372DA">
        <w:rPr>
          <w:spacing w:val="0"/>
          <w:szCs w:val="20"/>
        </w:rPr>
        <w:t>, per</w:t>
      </w:r>
      <w:r w:rsidR="000372DA">
        <w:rPr>
          <w:spacing w:val="0"/>
          <w:szCs w:val="20"/>
        </w:rPr>
        <w:t>í</w:t>
      </w:r>
      <w:r w:rsidR="008F7AF8" w:rsidRPr="000372DA">
        <w:rPr>
          <w:spacing w:val="0"/>
          <w:szCs w:val="20"/>
        </w:rPr>
        <w:t>odo durante el cual, según el Estado, la víctima fue reintegrada en su</w:t>
      </w:r>
      <w:r w:rsidR="008F7AF8" w:rsidRPr="003C7A6C">
        <w:rPr>
          <w:spacing w:val="0"/>
          <w:szCs w:val="20"/>
        </w:rPr>
        <w:t xml:space="preserve"> cargo.</w:t>
      </w:r>
    </w:p>
    <w:p w14:paraId="711BE10A" w14:textId="77777777" w:rsidR="009A13FA" w:rsidRPr="003C7A6C" w:rsidRDefault="009A13FA" w:rsidP="00D40BC7">
      <w:pPr>
        <w:rPr>
          <w:lang w:val="es-CR" w:eastAsia="es-MX"/>
        </w:rPr>
      </w:pPr>
    </w:p>
    <w:p w14:paraId="6D40C74B" w14:textId="7C7812FA" w:rsidR="008F7AF8" w:rsidRPr="003C7A6C" w:rsidRDefault="0087222E" w:rsidP="00D40BC7">
      <w:pPr>
        <w:pStyle w:val="PrrafodeSentencia"/>
        <w:rPr>
          <w:spacing w:val="0"/>
        </w:rPr>
      </w:pPr>
      <w:r w:rsidRPr="003C7A6C">
        <w:rPr>
          <w:spacing w:val="0"/>
        </w:rPr>
        <w:t xml:space="preserve">La </w:t>
      </w:r>
      <w:r w:rsidRPr="003C7A6C">
        <w:rPr>
          <w:b/>
          <w:i/>
          <w:spacing w:val="0"/>
        </w:rPr>
        <w:t xml:space="preserve">Comisión </w:t>
      </w:r>
      <w:r w:rsidR="008F7AF8" w:rsidRPr="003C7A6C">
        <w:rPr>
          <w:spacing w:val="0"/>
        </w:rPr>
        <w:t>consideró que</w:t>
      </w:r>
      <w:r w:rsidR="006F651A" w:rsidRPr="003C7A6C">
        <w:rPr>
          <w:spacing w:val="0"/>
        </w:rPr>
        <w:t>,</w:t>
      </w:r>
      <w:r w:rsidR="008F7AF8" w:rsidRPr="003C7A6C">
        <w:rPr>
          <w:spacing w:val="0"/>
        </w:rPr>
        <w:t xml:space="preserve"> en los párrafos de la sentencia referentes al pago de los aportes a la pensión de la víctima</w:t>
      </w:r>
      <w:r w:rsidR="006F651A" w:rsidRPr="003C7A6C">
        <w:rPr>
          <w:spacing w:val="0"/>
        </w:rPr>
        <w:t>,</w:t>
      </w:r>
      <w:r w:rsidR="008F7AF8" w:rsidRPr="003C7A6C">
        <w:rPr>
          <w:spacing w:val="0"/>
        </w:rPr>
        <w:t xml:space="preserve"> “no existe ambigüedad, falta de claridad o contradicción, pues la orden de la […] Corte es cubrir los aportes a la pensión de la víctima desde la fecha de su desvinculación, que se encuentra claramente establecida en autos, hasta el 16 de marzo de 2017”. De esta forma</w:t>
      </w:r>
      <w:r w:rsidR="006F651A" w:rsidRPr="003C7A6C">
        <w:rPr>
          <w:spacing w:val="0"/>
        </w:rPr>
        <w:t>,</w:t>
      </w:r>
      <w:r w:rsidR="008F7AF8" w:rsidRPr="003C7A6C">
        <w:rPr>
          <w:spacing w:val="0"/>
        </w:rPr>
        <w:t xml:space="preserve"> solicitó que se desestime este punto de interpretación.</w:t>
      </w:r>
    </w:p>
    <w:p w14:paraId="0A713E9D" w14:textId="77777777" w:rsidR="008F7AF8" w:rsidRPr="003C7A6C" w:rsidRDefault="008F7AF8" w:rsidP="00D40BC7">
      <w:pPr>
        <w:rPr>
          <w:lang w:val="es-CR" w:eastAsia="es-MX"/>
        </w:rPr>
      </w:pPr>
    </w:p>
    <w:p w14:paraId="6B7C8747" w14:textId="43695B45" w:rsidR="00990A27" w:rsidRPr="003C7A6C" w:rsidRDefault="00990A27" w:rsidP="00D40BC7">
      <w:pPr>
        <w:pStyle w:val="PrrafodeSentencia"/>
        <w:rPr>
          <w:spacing w:val="0"/>
        </w:rPr>
      </w:pPr>
      <w:r w:rsidRPr="003C7A6C">
        <w:rPr>
          <w:spacing w:val="0"/>
        </w:rPr>
        <w:t xml:space="preserve">Los </w:t>
      </w:r>
      <w:r w:rsidR="00F021BB" w:rsidRPr="003C7A6C">
        <w:rPr>
          <w:b/>
          <w:i/>
          <w:spacing w:val="0"/>
        </w:rPr>
        <w:t>r</w:t>
      </w:r>
      <w:r w:rsidRPr="003C7A6C">
        <w:rPr>
          <w:b/>
          <w:i/>
          <w:spacing w:val="0"/>
        </w:rPr>
        <w:t>epresentantes</w:t>
      </w:r>
      <w:r w:rsidR="003D0D28" w:rsidRPr="003C7A6C">
        <w:rPr>
          <w:spacing w:val="0"/>
        </w:rPr>
        <w:t xml:space="preserve"> </w:t>
      </w:r>
      <w:r w:rsidR="008F7AF8" w:rsidRPr="003C7A6C">
        <w:rPr>
          <w:spacing w:val="0"/>
        </w:rPr>
        <w:t xml:space="preserve">concurrieron con el Estado, </w:t>
      </w:r>
      <w:r w:rsidR="000372DA">
        <w:rPr>
          <w:spacing w:val="0"/>
        </w:rPr>
        <w:t xml:space="preserve">al </w:t>
      </w:r>
      <w:r w:rsidR="008F7AF8" w:rsidRPr="000372DA">
        <w:rPr>
          <w:spacing w:val="0"/>
        </w:rPr>
        <w:t>considera</w:t>
      </w:r>
      <w:r w:rsidR="000372DA">
        <w:rPr>
          <w:spacing w:val="0"/>
        </w:rPr>
        <w:t>r</w:t>
      </w:r>
      <w:r w:rsidR="008F7AF8" w:rsidRPr="000372DA">
        <w:rPr>
          <w:spacing w:val="0"/>
        </w:rPr>
        <w:t xml:space="preserve"> que los aportes a la pensión de la víctima realizados durante el período en que fue reintegrada en su cargo deben ser pagados solamente una vez, siendo entonces necesario excluir esos 74 días del pago ordenado en la </w:t>
      </w:r>
      <w:r w:rsidR="000372DA">
        <w:rPr>
          <w:spacing w:val="0"/>
        </w:rPr>
        <w:t>S</w:t>
      </w:r>
      <w:r w:rsidR="008F7AF8" w:rsidRPr="000372DA">
        <w:rPr>
          <w:spacing w:val="0"/>
        </w:rPr>
        <w:t>entencia. Aclararon que el período durante el cual la víctima fue restablecida provisionalmente en su cargo ocurrió entre el 2 de ago</w:t>
      </w:r>
      <w:r w:rsidR="00C46121" w:rsidRPr="003C7A6C">
        <w:rPr>
          <w:spacing w:val="0"/>
        </w:rPr>
        <w:t>sto y el 15 de octubre de 2005.</w:t>
      </w:r>
    </w:p>
    <w:p w14:paraId="52BB807A" w14:textId="77777777" w:rsidR="009A13FA" w:rsidRPr="003C7A6C" w:rsidRDefault="009A13FA" w:rsidP="00D40BC7">
      <w:pPr>
        <w:rPr>
          <w:lang w:val="es-CR" w:eastAsia="es-MX"/>
        </w:rPr>
      </w:pPr>
    </w:p>
    <w:p w14:paraId="01D101A6" w14:textId="4BDA7937" w:rsidR="00517242" w:rsidRPr="003C7A6C" w:rsidRDefault="00AD6090" w:rsidP="00D40BC7">
      <w:pPr>
        <w:pStyle w:val="Ttulo3"/>
        <w:spacing w:before="0" w:after="0"/>
        <w:rPr>
          <w:lang w:val="es-CR" w:eastAsia="es-MX"/>
        </w:rPr>
      </w:pPr>
      <w:bookmarkStart w:id="132" w:name="_Toc57872379"/>
      <w:r w:rsidRPr="003C7A6C">
        <w:rPr>
          <w:lang w:val="es-CR" w:eastAsia="es-MX"/>
        </w:rPr>
        <w:t>A</w:t>
      </w:r>
      <w:r w:rsidR="00517242" w:rsidRPr="003C7A6C">
        <w:rPr>
          <w:lang w:val="es-CR" w:eastAsia="es-MX"/>
        </w:rPr>
        <w:t>.2. Consideraciones de la Corte</w:t>
      </w:r>
      <w:bookmarkEnd w:id="132"/>
    </w:p>
    <w:p w14:paraId="7286D866" w14:textId="77777777" w:rsidR="009A13FA" w:rsidRPr="003C7A6C" w:rsidRDefault="009A13FA" w:rsidP="00D40BC7">
      <w:pPr>
        <w:rPr>
          <w:lang w:val="es-CR" w:eastAsia="es-MX"/>
        </w:rPr>
      </w:pPr>
    </w:p>
    <w:p w14:paraId="4E13455B" w14:textId="6257450A" w:rsidR="007F60DC" w:rsidRPr="003C7A6C" w:rsidRDefault="008F7AF8" w:rsidP="00D40BC7">
      <w:pPr>
        <w:pStyle w:val="PrrafodeSentencia"/>
        <w:rPr>
          <w:spacing w:val="0"/>
        </w:rPr>
      </w:pPr>
      <w:r w:rsidRPr="003C7A6C">
        <w:rPr>
          <w:spacing w:val="0"/>
        </w:rPr>
        <w:lastRenderedPageBreak/>
        <w:t>La Corte considera pertinente aclarar el sentido de la medida de reparación ordenada</w:t>
      </w:r>
      <w:r w:rsidR="000372DA">
        <w:rPr>
          <w:spacing w:val="0"/>
        </w:rPr>
        <w:t xml:space="preserve"> en</w:t>
      </w:r>
      <w:r w:rsidRPr="000372DA">
        <w:rPr>
          <w:spacing w:val="0"/>
        </w:rPr>
        <w:t xml:space="preserve"> el punto resolutivo séptimo, en relación con el párrafo 155 de la Sentencia, en el cual la Corte determinó lo siguiente:</w:t>
      </w:r>
    </w:p>
    <w:p w14:paraId="11442A37" w14:textId="5B0ECA3A" w:rsidR="008F7AF8" w:rsidRPr="003C7A6C" w:rsidRDefault="008F7AF8" w:rsidP="00D40BC7">
      <w:pPr>
        <w:rPr>
          <w:lang w:val="es-CR" w:eastAsia="es-MX"/>
        </w:rPr>
      </w:pPr>
    </w:p>
    <w:p w14:paraId="617108C8" w14:textId="1BA81C84" w:rsidR="008F7AF8" w:rsidRPr="003C7A6C" w:rsidRDefault="008F7AF8" w:rsidP="00D40BC7">
      <w:pPr>
        <w:ind w:left="567" w:right="567"/>
        <w:rPr>
          <w:sz w:val="18"/>
          <w:szCs w:val="18"/>
          <w:lang w:val="es-CR" w:eastAsia="es-MX"/>
        </w:rPr>
      </w:pPr>
      <w:r w:rsidRPr="003C7A6C">
        <w:rPr>
          <w:sz w:val="18"/>
          <w:szCs w:val="18"/>
          <w:lang w:val="es-CR"/>
        </w:rPr>
        <w:t>155. La situación de provisionalidad de la señora Martínez Esquivia se prolongó por más de doce años, lo que creó una expectativa en ella de permanecer en su cargo, por lo que la víctima, razonablemente, tenía la expectativa de mantenerse en su puesto y de continuar cotizando a su pensión. De esta forma, la Corte considera que el Estado debe cubrir los aportes a la pensión de la señora Martínez Esquivia, desde el momento de su desvinculación hasta el momento en que hubiese tenido el derecho de acogerse a la misma, a saber, el 16 de marzo de 2017, de acuerdo con lo expuesto por ella en su declaración presentada como prueba para mejor resolver. Esta medida deberá ser cumplida en el plazo máximo de un año a partir de la notificación de la presente sentencia.</w:t>
      </w:r>
    </w:p>
    <w:p w14:paraId="3D8241C4" w14:textId="77777777" w:rsidR="009A13FA" w:rsidRPr="003C7A6C" w:rsidRDefault="009A13FA" w:rsidP="00D40BC7">
      <w:pPr>
        <w:ind w:left="567" w:right="567"/>
        <w:rPr>
          <w:sz w:val="18"/>
          <w:szCs w:val="18"/>
          <w:lang w:val="es-CR" w:eastAsia="es-MX"/>
        </w:rPr>
      </w:pPr>
    </w:p>
    <w:p w14:paraId="14E202D4" w14:textId="3BDF423B" w:rsidR="003E6EA7" w:rsidRPr="00BF60C5" w:rsidRDefault="008F7AF8" w:rsidP="00D40BC7">
      <w:pPr>
        <w:pStyle w:val="PrrafodeSentencia"/>
        <w:rPr>
          <w:spacing w:val="0"/>
        </w:rPr>
      </w:pPr>
      <w:r w:rsidRPr="00BF60C5">
        <w:rPr>
          <w:spacing w:val="0"/>
        </w:rPr>
        <w:t xml:space="preserve">En efecto, tal como se desprende del párrafo 66 de la </w:t>
      </w:r>
      <w:r w:rsidR="00322135" w:rsidRPr="00BF60C5">
        <w:rPr>
          <w:spacing w:val="0"/>
        </w:rPr>
        <w:t>S</w:t>
      </w:r>
      <w:r w:rsidRPr="00BF60C5">
        <w:rPr>
          <w:spacing w:val="0"/>
        </w:rPr>
        <w:t>entencia, en aplicación de la resolución de 26 de julio de 2005 de la Sala Jurisdiccional Disciplinaria del Consejo Seccional de la Judicatura de Bolívar, la señora Martínez Esquivia fue reintegrada a su puesto. Sin embargo, por medio de resolución de 7 de septiembre de 2005, la Sala Jurisdiccional Disciplinaria del Consejo Superior de la Judicatura, revocó este fallo de tutela. De acuerdo con el Estado, la señora Martínez Esquivia estuvo reintegrada en su puesto entre el 2 de agosto de 2015 y el 15 de octubre de 2015, fechas que fueron corregidas por los representantes para precisar que el reintegro se dio entre el 2 de agosto de 2005 y el 15 de octubre de 2005.</w:t>
      </w:r>
    </w:p>
    <w:p w14:paraId="68F31D09" w14:textId="793DF9FD" w:rsidR="008F7AF8" w:rsidRPr="003C7A6C" w:rsidRDefault="008F7AF8" w:rsidP="00D40BC7">
      <w:pPr>
        <w:rPr>
          <w:lang w:val="es-CR" w:eastAsia="es-MX"/>
        </w:rPr>
      </w:pPr>
    </w:p>
    <w:p w14:paraId="59AC5705" w14:textId="6C9A0D9D" w:rsidR="008F7AF8" w:rsidRPr="00BF60C5" w:rsidRDefault="008F7AF8" w:rsidP="00D40BC7">
      <w:pPr>
        <w:pStyle w:val="PrrafodeSentencia"/>
        <w:rPr>
          <w:spacing w:val="0"/>
        </w:rPr>
      </w:pPr>
      <w:r w:rsidRPr="00BF60C5">
        <w:rPr>
          <w:spacing w:val="0"/>
        </w:rPr>
        <w:t xml:space="preserve">En consecuencia, la Corte considera pertinente aclarar que el Estado deberá cubrir los aportes a la pensión de la señora </w:t>
      </w:r>
      <w:proofErr w:type="spellStart"/>
      <w:r w:rsidRPr="00BF60C5">
        <w:rPr>
          <w:spacing w:val="0"/>
        </w:rPr>
        <w:t>Yenina</w:t>
      </w:r>
      <w:proofErr w:type="spellEnd"/>
      <w:r w:rsidRPr="00BF60C5">
        <w:rPr>
          <w:spacing w:val="0"/>
        </w:rPr>
        <w:t xml:space="preserve"> Esther Martínez Esquivia, desde el momento de su desvinculación hasta el 16 de marzo de 2017, descontando los días que fueron pagados durante el período en </w:t>
      </w:r>
      <w:r w:rsidR="00DF59A8" w:rsidRPr="00BF60C5">
        <w:rPr>
          <w:spacing w:val="0"/>
        </w:rPr>
        <w:t xml:space="preserve">que </w:t>
      </w:r>
      <w:r w:rsidRPr="00BF60C5">
        <w:rPr>
          <w:spacing w:val="0"/>
        </w:rPr>
        <w:t>fue reintegrada en su puesto entre el 2 de agosto y el 15 de octubre de 2005.</w:t>
      </w:r>
    </w:p>
    <w:p w14:paraId="0B9FC93A" w14:textId="7915F795" w:rsidR="008F7AF8" w:rsidRPr="003C7A6C" w:rsidRDefault="008F7AF8" w:rsidP="00D40BC7">
      <w:pPr>
        <w:rPr>
          <w:lang w:val="es-CR" w:eastAsia="es-MX"/>
        </w:rPr>
      </w:pPr>
    </w:p>
    <w:p w14:paraId="1F80AB67" w14:textId="59B38F7C" w:rsidR="00F13980" w:rsidRPr="003C7A6C" w:rsidRDefault="008F7AF8" w:rsidP="00D40BC7">
      <w:pPr>
        <w:pStyle w:val="Ttulo2"/>
        <w:keepNext/>
        <w:numPr>
          <w:ilvl w:val="0"/>
          <w:numId w:val="5"/>
        </w:numPr>
        <w:tabs>
          <w:tab w:val="clear" w:pos="567"/>
          <w:tab w:val="clear" w:pos="993"/>
          <w:tab w:val="left" w:pos="1134"/>
        </w:tabs>
        <w:spacing w:before="0" w:after="0"/>
        <w:ind w:left="1134" w:hanging="567"/>
        <w:contextualSpacing w:val="0"/>
      </w:pPr>
      <w:r w:rsidRPr="003C7A6C">
        <w:t>Acerca de la necesidad de adecuar la normativa interna con el fin de garantizar la estabilidad de las y los fiscales nombrados en provisionalidad</w:t>
      </w:r>
    </w:p>
    <w:p w14:paraId="1DE0F967" w14:textId="77777777" w:rsidR="003E6EA7" w:rsidRPr="003C7A6C" w:rsidRDefault="003E6EA7" w:rsidP="00D40BC7">
      <w:pPr>
        <w:rPr>
          <w:lang w:val="es-CR"/>
        </w:rPr>
      </w:pPr>
    </w:p>
    <w:p w14:paraId="51E34520" w14:textId="4B09691C" w:rsidR="00C76D5C" w:rsidRPr="003C7A6C" w:rsidRDefault="00AD6090" w:rsidP="00D40BC7">
      <w:pPr>
        <w:pStyle w:val="Ttulo3"/>
        <w:spacing w:before="0" w:after="0"/>
        <w:rPr>
          <w:lang w:val="es-CR"/>
        </w:rPr>
      </w:pPr>
      <w:bookmarkStart w:id="133" w:name="_Toc57872381"/>
      <w:r w:rsidRPr="003C7A6C">
        <w:rPr>
          <w:lang w:val="es-CR"/>
        </w:rPr>
        <w:t>B</w:t>
      </w:r>
      <w:r w:rsidR="00C76D5C" w:rsidRPr="003C7A6C">
        <w:rPr>
          <w:lang w:val="es-CR"/>
        </w:rPr>
        <w:t>.1. Alegatos de las partes y de la Comisión</w:t>
      </w:r>
      <w:bookmarkEnd w:id="133"/>
    </w:p>
    <w:p w14:paraId="272DE8AC" w14:textId="77777777" w:rsidR="003E6EA7" w:rsidRPr="003C7A6C" w:rsidRDefault="003E6EA7" w:rsidP="00D40BC7">
      <w:pPr>
        <w:rPr>
          <w:lang w:val="es-CR"/>
        </w:rPr>
      </w:pPr>
    </w:p>
    <w:p w14:paraId="6B6F3151" w14:textId="7EFC94F1" w:rsidR="007837C5" w:rsidRPr="003C7A6C" w:rsidRDefault="00C76D5C" w:rsidP="00D40BC7">
      <w:pPr>
        <w:pStyle w:val="PrrafodeSentencia"/>
        <w:rPr>
          <w:b/>
          <w:spacing w:val="0"/>
          <w:szCs w:val="20"/>
        </w:rPr>
      </w:pPr>
      <w:r w:rsidRPr="003C7A6C">
        <w:rPr>
          <w:spacing w:val="0"/>
          <w:szCs w:val="20"/>
        </w:rPr>
        <w:t xml:space="preserve">El </w:t>
      </w:r>
      <w:r w:rsidRPr="003C7A6C">
        <w:rPr>
          <w:b/>
          <w:i/>
          <w:spacing w:val="0"/>
          <w:szCs w:val="20"/>
        </w:rPr>
        <w:t xml:space="preserve">Estado </w:t>
      </w:r>
      <w:r w:rsidR="008F7AF8" w:rsidRPr="003C7A6C">
        <w:rPr>
          <w:spacing w:val="0"/>
          <w:szCs w:val="20"/>
        </w:rPr>
        <w:t xml:space="preserve">solicitó una interpretación del punto resolutivo </w:t>
      </w:r>
      <w:r w:rsidR="000372DA">
        <w:rPr>
          <w:spacing w:val="0"/>
          <w:szCs w:val="20"/>
        </w:rPr>
        <w:t>noveno</w:t>
      </w:r>
      <w:r w:rsidR="008F7AF8" w:rsidRPr="000372DA">
        <w:rPr>
          <w:spacing w:val="0"/>
          <w:szCs w:val="20"/>
        </w:rPr>
        <w:t xml:space="preserve"> de la sentencia, por el cual se orden</w:t>
      </w:r>
      <w:r w:rsidR="00D30527" w:rsidRPr="000372DA">
        <w:rPr>
          <w:spacing w:val="0"/>
          <w:szCs w:val="20"/>
        </w:rPr>
        <w:t>ó</w:t>
      </w:r>
      <w:r w:rsidR="008F7AF8" w:rsidRPr="000372DA">
        <w:rPr>
          <w:spacing w:val="0"/>
          <w:szCs w:val="20"/>
        </w:rPr>
        <w:t xml:space="preserve"> al Estado adecuar “su normativa con el fin de garantizar la estabilidad de las y los fiscales nombrados en provisionalidad”. </w:t>
      </w:r>
      <w:r w:rsidR="00C231B5" w:rsidRPr="000372DA">
        <w:rPr>
          <w:spacing w:val="0"/>
          <w:szCs w:val="20"/>
        </w:rPr>
        <w:t>A</w:t>
      </w:r>
      <w:r w:rsidR="008F7AF8" w:rsidRPr="000372DA">
        <w:rPr>
          <w:spacing w:val="0"/>
          <w:szCs w:val="20"/>
        </w:rPr>
        <w:t>rgumentó que, de acuerdo con el artículo 125 de la Constitución Política y el artículo 23 de la Ley 909 de 2004, la provisionalid</w:t>
      </w:r>
      <w:r w:rsidR="008F7AF8" w:rsidRPr="003C7A6C">
        <w:rPr>
          <w:spacing w:val="0"/>
          <w:szCs w:val="20"/>
        </w:rPr>
        <w:t>ad es una forma de vinculación para un empleo de carrera administrativa, de manera transitoria. Agregó que el artículo 96 del Decreto 020 de 2014 establece de manera clara las causales de retiro del servicio de quienes desempeñan empleos de carrera administrativa, las cuales son aplicables a las y los fiscales que se encuentran vinculados en provisionalidad. De esta forma</w:t>
      </w:r>
      <w:r w:rsidR="00D30527" w:rsidRPr="003C7A6C">
        <w:rPr>
          <w:spacing w:val="0"/>
          <w:szCs w:val="20"/>
        </w:rPr>
        <w:t>,</w:t>
      </w:r>
      <w:r w:rsidR="008F7AF8" w:rsidRPr="003C7A6C">
        <w:rPr>
          <w:spacing w:val="0"/>
          <w:szCs w:val="20"/>
        </w:rPr>
        <w:t xml:space="preserve"> consider</w:t>
      </w:r>
      <w:r w:rsidR="00D30527" w:rsidRPr="003C7A6C">
        <w:rPr>
          <w:spacing w:val="0"/>
          <w:szCs w:val="20"/>
        </w:rPr>
        <w:t xml:space="preserve">ó </w:t>
      </w:r>
      <w:r w:rsidR="008F7AF8" w:rsidRPr="003C7A6C">
        <w:rPr>
          <w:spacing w:val="0"/>
          <w:szCs w:val="20"/>
        </w:rPr>
        <w:t>que en el ordenamiento jurídico colombiano sí existen disposiciones específicas que regulen la desvinculación de las y los fiscales en provisionalidad y aleg</w:t>
      </w:r>
      <w:r w:rsidR="004C7580" w:rsidRPr="003C7A6C">
        <w:rPr>
          <w:spacing w:val="0"/>
          <w:szCs w:val="20"/>
        </w:rPr>
        <w:t>ó</w:t>
      </w:r>
      <w:r w:rsidR="008F7AF8" w:rsidRPr="003C7A6C">
        <w:rPr>
          <w:spacing w:val="0"/>
          <w:szCs w:val="20"/>
        </w:rPr>
        <w:t xml:space="preserve"> que “no se explica por qué para la Corte </w:t>
      </w:r>
      <w:r w:rsidR="00C46121" w:rsidRPr="003C7A6C">
        <w:rPr>
          <w:spacing w:val="0"/>
          <w:szCs w:val="20"/>
        </w:rPr>
        <w:t>IDH</w:t>
      </w:r>
      <w:r w:rsidR="008F7AF8" w:rsidRPr="003C7A6C">
        <w:rPr>
          <w:spacing w:val="0"/>
          <w:szCs w:val="20"/>
        </w:rPr>
        <w:t xml:space="preserve"> necesario que </w:t>
      </w:r>
      <w:r w:rsidR="00C46121" w:rsidRPr="003C7A6C">
        <w:rPr>
          <w:spacing w:val="0"/>
          <w:szCs w:val="20"/>
        </w:rPr>
        <w:t>el Estado adecue su normativa”.</w:t>
      </w:r>
    </w:p>
    <w:p w14:paraId="62792E9F" w14:textId="77777777" w:rsidR="003E6EA7" w:rsidRPr="003C7A6C" w:rsidRDefault="003E6EA7" w:rsidP="00D40BC7">
      <w:pPr>
        <w:rPr>
          <w:lang w:val="es-CR" w:eastAsia="es-MX"/>
        </w:rPr>
      </w:pPr>
    </w:p>
    <w:p w14:paraId="06FA3335" w14:textId="6E140001" w:rsidR="00C76D5C" w:rsidRPr="003C7A6C" w:rsidRDefault="00C76D5C" w:rsidP="00D40BC7">
      <w:pPr>
        <w:pStyle w:val="PrrafodeSentencia"/>
        <w:rPr>
          <w:b/>
          <w:spacing w:val="0"/>
        </w:rPr>
      </w:pPr>
      <w:r w:rsidRPr="003C7A6C">
        <w:rPr>
          <w:spacing w:val="0"/>
        </w:rPr>
        <w:t xml:space="preserve">La </w:t>
      </w:r>
      <w:r w:rsidRPr="003C7A6C">
        <w:rPr>
          <w:b/>
          <w:i/>
          <w:spacing w:val="0"/>
        </w:rPr>
        <w:t xml:space="preserve">Comisión </w:t>
      </w:r>
      <w:r w:rsidR="005E3703" w:rsidRPr="003C7A6C">
        <w:rPr>
          <w:spacing w:val="0"/>
        </w:rPr>
        <w:t xml:space="preserve">argumentó que </w:t>
      </w:r>
      <w:r w:rsidR="008F7AF8" w:rsidRPr="003C7A6C">
        <w:rPr>
          <w:spacing w:val="0"/>
        </w:rPr>
        <w:t xml:space="preserve">el Estado ya había </w:t>
      </w:r>
      <w:r w:rsidR="00803B1D" w:rsidRPr="003C7A6C">
        <w:rPr>
          <w:spacing w:val="0"/>
        </w:rPr>
        <w:t>alegado</w:t>
      </w:r>
      <w:r w:rsidR="008F7AF8" w:rsidRPr="003C7A6C">
        <w:rPr>
          <w:spacing w:val="0"/>
        </w:rPr>
        <w:t xml:space="preserve"> que contaba con normativa suficiente y convencional que regulaba la labor de fiscales provisionales, por lo que estima que la solicitud del Estado tiene por objeto cuestionar el sentido del pronunciamiento de la Corte, por lo que debe ser desestimada</w:t>
      </w:r>
      <w:r w:rsidR="00C46121" w:rsidRPr="003C7A6C">
        <w:rPr>
          <w:spacing w:val="0"/>
        </w:rPr>
        <w:t>.</w:t>
      </w:r>
    </w:p>
    <w:p w14:paraId="48EE3B1E" w14:textId="77777777" w:rsidR="003E6EA7" w:rsidRPr="003C7A6C" w:rsidRDefault="003E6EA7" w:rsidP="00D40BC7">
      <w:pPr>
        <w:rPr>
          <w:lang w:val="es-CR" w:eastAsia="es-MX"/>
        </w:rPr>
      </w:pPr>
    </w:p>
    <w:p w14:paraId="13B7672B" w14:textId="6C98BE33" w:rsidR="00990A27" w:rsidRPr="003C7A6C" w:rsidRDefault="00990A27" w:rsidP="00D40BC7">
      <w:pPr>
        <w:pStyle w:val="PrrafodeSentencia"/>
        <w:rPr>
          <w:b/>
          <w:spacing w:val="0"/>
        </w:rPr>
      </w:pPr>
      <w:r w:rsidRPr="003C7A6C">
        <w:rPr>
          <w:spacing w:val="0"/>
        </w:rPr>
        <w:t xml:space="preserve">Los </w:t>
      </w:r>
      <w:r w:rsidR="00AF2208" w:rsidRPr="003C7A6C">
        <w:rPr>
          <w:b/>
          <w:i/>
          <w:spacing w:val="0"/>
        </w:rPr>
        <w:t>r</w:t>
      </w:r>
      <w:r w:rsidRPr="003C7A6C">
        <w:rPr>
          <w:b/>
          <w:i/>
          <w:spacing w:val="0"/>
        </w:rPr>
        <w:t xml:space="preserve">epresentantes </w:t>
      </w:r>
      <w:r w:rsidR="008F7AF8" w:rsidRPr="003C7A6C">
        <w:rPr>
          <w:spacing w:val="0"/>
        </w:rPr>
        <w:t>solicitaron el rechazo de la solicitud del Estado considerando que la misma “no es una solicitud de interpretación, sino más bien una solicitud de revisión del punto resolutivo 9, pretendiendo eliminarlo por esta vía inidónea”</w:t>
      </w:r>
      <w:r w:rsidR="006850F4" w:rsidRPr="003C7A6C">
        <w:rPr>
          <w:spacing w:val="0"/>
        </w:rPr>
        <w:t>.</w:t>
      </w:r>
      <w:r w:rsidR="008F7AF8" w:rsidRPr="003C7A6C">
        <w:rPr>
          <w:spacing w:val="0"/>
        </w:rPr>
        <w:t xml:space="preserve"> Agregaron </w:t>
      </w:r>
      <w:r w:rsidR="00E975FF" w:rsidRPr="003C7A6C">
        <w:rPr>
          <w:spacing w:val="0"/>
        </w:rPr>
        <w:t>que,</w:t>
      </w:r>
      <w:r w:rsidR="008F7AF8" w:rsidRPr="003C7A6C">
        <w:rPr>
          <w:spacing w:val="0"/>
        </w:rPr>
        <w:t xml:space="preserve"> si el Estado </w:t>
      </w:r>
      <w:r w:rsidR="008F7AF8" w:rsidRPr="003C7A6C">
        <w:rPr>
          <w:spacing w:val="0"/>
        </w:rPr>
        <w:lastRenderedPageBreak/>
        <w:t xml:space="preserve">desea alegar y probar que su ordenamiento jurídico es compatible con lo decidido por la Corte, deberán hacerlo al momento de la supervisión de cumplimiento de </w:t>
      </w:r>
      <w:r w:rsidR="006256B4" w:rsidRPr="003C7A6C">
        <w:rPr>
          <w:spacing w:val="0"/>
        </w:rPr>
        <w:t>S</w:t>
      </w:r>
      <w:r w:rsidR="008F7AF8" w:rsidRPr="003C7A6C">
        <w:rPr>
          <w:spacing w:val="0"/>
        </w:rPr>
        <w:t>entencia.</w:t>
      </w:r>
    </w:p>
    <w:p w14:paraId="3EB9F88E" w14:textId="77777777" w:rsidR="003E6EA7" w:rsidRPr="003C7A6C" w:rsidRDefault="003E6EA7" w:rsidP="00D40BC7">
      <w:pPr>
        <w:rPr>
          <w:lang w:val="es-CR" w:eastAsia="es-MX"/>
        </w:rPr>
      </w:pPr>
    </w:p>
    <w:p w14:paraId="0AF838DD" w14:textId="7EFDC7D3" w:rsidR="00627D3D" w:rsidRPr="003C7A6C" w:rsidRDefault="00AD6090" w:rsidP="00D40BC7">
      <w:pPr>
        <w:pStyle w:val="Ttulo3"/>
        <w:spacing w:before="0" w:after="0"/>
        <w:rPr>
          <w:lang w:val="es-CR"/>
        </w:rPr>
      </w:pPr>
      <w:bookmarkStart w:id="134" w:name="_Toc57872382"/>
      <w:r w:rsidRPr="003C7A6C">
        <w:rPr>
          <w:lang w:val="es-CR"/>
        </w:rPr>
        <w:t>B</w:t>
      </w:r>
      <w:r w:rsidR="00627D3D" w:rsidRPr="003C7A6C">
        <w:rPr>
          <w:lang w:val="es-CR"/>
        </w:rPr>
        <w:t>.2. Consideraciones de la Corte</w:t>
      </w:r>
      <w:bookmarkEnd w:id="134"/>
    </w:p>
    <w:p w14:paraId="42D776F1" w14:textId="77777777" w:rsidR="003E6EA7" w:rsidRPr="003C7A6C" w:rsidRDefault="003E6EA7" w:rsidP="00D40BC7">
      <w:pPr>
        <w:rPr>
          <w:lang w:val="es-CR"/>
        </w:rPr>
      </w:pPr>
    </w:p>
    <w:p w14:paraId="26D3DCAF" w14:textId="45045CD2" w:rsidR="0007102E" w:rsidRPr="003C7A6C" w:rsidRDefault="0007102E" w:rsidP="00D40BC7">
      <w:pPr>
        <w:pStyle w:val="PrrafodeSentencia"/>
        <w:rPr>
          <w:spacing w:val="0"/>
        </w:rPr>
      </w:pPr>
      <w:r w:rsidRPr="003C7A6C">
        <w:rPr>
          <w:spacing w:val="0"/>
        </w:rPr>
        <w:t>Sobre las garantías de no repetición, la Corte dispuso en la sentencia que:</w:t>
      </w:r>
    </w:p>
    <w:p w14:paraId="60D5E95A" w14:textId="77777777" w:rsidR="0007102E" w:rsidRPr="003C7A6C" w:rsidRDefault="0007102E" w:rsidP="00D40BC7">
      <w:pPr>
        <w:pStyle w:val="PrrafodeSentencia"/>
        <w:numPr>
          <w:ilvl w:val="0"/>
          <w:numId w:val="0"/>
        </w:numPr>
        <w:rPr>
          <w:rFonts w:eastAsia="Times New Roman" w:cs="Times New Roman"/>
          <w:spacing w:val="0"/>
          <w:szCs w:val="24"/>
        </w:rPr>
      </w:pPr>
    </w:p>
    <w:p w14:paraId="3A13FF3C" w14:textId="5DE00993" w:rsidR="0007102E" w:rsidRPr="003C7A6C" w:rsidRDefault="0007102E" w:rsidP="00D40BC7">
      <w:pPr>
        <w:pStyle w:val="PrrafodeSentencia"/>
        <w:numPr>
          <w:ilvl w:val="0"/>
          <w:numId w:val="0"/>
        </w:numPr>
        <w:ind w:left="567" w:right="567"/>
        <w:rPr>
          <w:spacing w:val="0"/>
          <w:sz w:val="18"/>
          <w:szCs w:val="18"/>
        </w:rPr>
      </w:pPr>
      <w:r w:rsidRPr="003C7A6C">
        <w:rPr>
          <w:spacing w:val="0"/>
          <w:sz w:val="18"/>
          <w:szCs w:val="18"/>
        </w:rPr>
        <w:t xml:space="preserve">161. La </w:t>
      </w:r>
      <w:r w:rsidRPr="003C7A6C">
        <w:rPr>
          <w:b/>
          <w:i/>
          <w:spacing w:val="0"/>
          <w:sz w:val="18"/>
          <w:szCs w:val="18"/>
        </w:rPr>
        <w:t>Corte</w:t>
      </w:r>
      <w:r w:rsidRPr="003C7A6C">
        <w:rPr>
          <w:spacing w:val="0"/>
          <w:sz w:val="18"/>
          <w:szCs w:val="18"/>
        </w:rPr>
        <w:t xml:space="preserve"> nota que actualmente la organización y el régimen de empleo de la Fiscalía General de la Nación se encuentran regidos, además de por las disposiciones constitucionales generales sobre la naturaleza de la Fiscalía y del empleo público, por la Ley Estatutaria de la Administración de Justicia (Ley No. 270 de 1996), el Estatuto Orgánico de la Fiscalía General de la Nación (Ley No. 938 de 2004) y el Decreto Ley por el cual se clasifican los empleos y se expide el régimen de carrera especial de la Fiscalía General de la Nación y de sus entidades adscritas (Decreto Ley No. 20 de 2014). Sobre los nombramientos en provisionalidad, el artículo 11 del Decreto Ley No. 20 de 2014 establece:</w:t>
      </w:r>
    </w:p>
    <w:p w14:paraId="2C336309" w14:textId="77777777" w:rsidR="0007102E" w:rsidRPr="003C7A6C" w:rsidRDefault="0007102E" w:rsidP="00D40BC7">
      <w:pPr>
        <w:ind w:left="567" w:right="567"/>
        <w:rPr>
          <w:sz w:val="18"/>
          <w:szCs w:val="18"/>
          <w:lang w:val="es-CR" w:eastAsia="es-MX"/>
        </w:rPr>
      </w:pPr>
    </w:p>
    <w:p w14:paraId="4A6B19A0" w14:textId="77777777" w:rsidR="0007102E" w:rsidRPr="003C7A6C" w:rsidRDefault="0007102E" w:rsidP="00D40BC7">
      <w:pPr>
        <w:ind w:left="851" w:right="851"/>
        <w:rPr>
          <w:sz w:val="16"/>
          <w:szCs w:val="16"/>
          <w:lang w:val="es-CR" w:eastAsia="es-MX"/>
        </w:rPr>
      </w:pPr>
      <w:r w:rsidRPr="003C7A6C">
        <w:rPr>
          <w:sz w:val="16"/>
          <w:szCs w:val="16"/>
          <w:lang w:val="es-CR" w:eastAsia="es-MX"/>
        </w:rPr>
        <w:t>Art. 11. Clases de nombramiento. En la Fiscalía General de la Nación y en sus entidades adscritas la provisión de los cargos se efectuará mediante nombramiento:</w:t>
      </w:r>
    </w:p>
    <w:p w14:paraId="09C2E24D" w14:textId="77777777" w:rsidR="0007102E" w:rsidRPr="003C7A6C" w:rsidRDefault="0007102E" w:rsidP="00D40BC7">
      <w:pPr>
        <w:ind w:left="851" w:right="851"/>
        <w:rPr>
          <w:sz w:val="16"/>
          <w:szCs w:val="16"/>
          <w:lang w:val="es-CR" w:eastAsia="es-MX"/>
        </w:rPr>
      </w:pPr>
      <w:r w:rsidRPr="003C7A6C">
        <w:rPr>
          <w:sz w:val="16"/>
          <w:szCs w:val="16"/>
          <w:lang w:val="es-CR" w:eastAsia="es-MX"/>
        </w:rPr>
        <w:t>1. Ordinario: Para la provisión de los empleos de libre nombramiento y remoción.</w:t>
      </w:r>
    </w:p>
    <w:p w14:paraId="147048EA" w14:textId="77777777" w:rsidR="0007102E" w:rsidRPr="003C7A6C" w:rsidRDefault="0007102E" w:rsidP="00D40BC7">
      <w:pPr>
        <w:ind w:left="851" w:right="851"/>
        <w:rPr>
          <w:sz w:val="16"/>
          <w:szCs w:val="16"/>
          <w:lang w:val="es-CR" w:eastAsia="es-MX"/>
        </w:rPr>
      </w:pPr>
      <w:r w:rsidRPr="003C7A6C">
        <w:rPr>
          <w:sz w:val="16"/>
          <w:szCs w:val="16"/>
          <w:lang w:val="es-CR" w:eastAsia="es-MX"/>
        </w:rPr>
        <w:t>2. En período de prueba: Para la provisión de los cargos de carrera con la persona que se ubique en el primer lugar de la lista de elegibles, luego de superar el proceso de selección o concurso realizado conforme al procedimiento establecido en el presente decreto-ley.</w:t>
      </w:r>
    </w:p>
    <w:p w14:paraId="32AA018A" w14:textId="77777777" w:rsidR="0007102E" w:rsidRPr="003C7A6C" w:rsidRDefault="0007102E" w:rsidP="00D40BC7">
      <w:pPr>
        <w:ind w:left="851" w:right="851"/>
        <w:rPr>
          <w:sz w:val="16"/>
          <w:szCs w:val="16"/>
          <w:lang w:val="es-CR" w:eastAsia="es-MX"/>
        </w:rPr>
      </w:pPr>
      <w:r w:rsidRPr="003C7A6C">
        <w:rPr>
          <w:sz w:val="16"/>
          <w:szCs w:val="16"/>
          <w:lang w:val="es-CR" w:eastAsia="es-MX"/>
        </w:rPr>
        <w:t>3. Provisional: Para proveer empleos de carrera o de libre nombramiento y remoción vacantes de manera temporal, cuando el titular no esté percibiendo la remuneración, mientras dure la situación administrativa.</w:t>
      </w:r>
    </w:p>
    <w:p w14:paraId="3F09DE61" w14:textId="77777777" w:rsidR="0007102E" w:rsidRPr="003C7A6C" w:rsidRDefault="0007102E" w:rsidP="00D40BC7">
      <w:pPr>
        <w:ind w:left="851" w:right="851"/>
        <w:rPr>
          <w:sz w:val="16"/>
          <w:szCs w:val="16"/>
          <w:lang w:val="es-CR" w:eastAsia="es-MX"/>
        </w:rPr>
      </w:pPr>
      <w:r w:rsidRPr="003C7A6C">
        <w:rPr>
          <w:sz w:val="16"/>
          <w:szCs w:val="16"/>
          <w:lang w:val="es-CR" w:eastAsia="es-MX"/>
        </w:rPr>
        <w:t>Los cargos de carrera especial vacantes de manera definitiva también podrán proveerse mediante nombramiento provisional con personas no seleccionadas por el sistema de méritos, mientras se provee el empleo a través de concurso o proceso de selección.</w:t>
      </w:r>
    </w:p>
    <w:p w14:paraId="78A50182" w14:textId="77777777" w:rsidR="0007102E" w:rsidRPr="003C7A6C" w:rsidRDefault="0007102E" w:rsidP="00D40BC7">
      <w:pPr>
        <w:ind w:left="851" w:right="851"/>
        <w:rPr>
          <w:sz w:val="16"/>
          <w:szCs w:val="16"/>
          <w:lang w:val="es-CR" w:eastAsia="es-MX"/>
        </w:rPr>
      </w:pPr>
      <w:r w:rsidRPr="003C7A6C">
        <w:rPr>
          <w:sz w:val="16"/>
          <w:szCs w:val="16"/>
          <w:lang w:val="es-CR" w:eastAsia="es-MX"/>
        </w:rPr>
        <w:t>Al aspirante a ocupar un empleo de carrera a través de nombramiento provisional la Fiscalía General de la Nación podrá aplicar las pruebas que considere necesarias para valorar la adecuación del perfil del aspirante al cargo a desempeñar, para lo cual, de ser requerido, se apoyará en el Departamento Administrativo de la Función Pública.</w:t>
      </w:r>
    </w:p>
    <w:p w14:paraId="6D37C2FF" w14:textId="6CDD8A98" w:rsidR="0007102E" w:rsidRPr="003C7A6C" w:rsidRDefault="0007102E" w:rsidP="00D40BC7">
      <w:pPr>
        <w:ind w:left="851" w:right="851"/>
        <w:rPr>
          <w:sz w:val="16"/>
          <w:szCs w:val="16"/>
          <w:lang w:val="es-CR" w:eastAsia="es-MX"/>
        </w:rPr>
      </w:pPr>
      <w:r w:rsidRPr="003C7A6C">
        <w:rPr>
          <w:sz w:val="16"/>
          <w:szCs w:val="16"/>
          <w:lang w:val="es-CR" w:eastAsia="es-MX"/>
        </w:rPr>
        <w:t>4. Encargo: Para proveer empleos de carrera o de libre nombramiento y remoción vacantes de manera temporal o definitiva, el cual se regirá por lo dispuesto en las normas que desarrollan las situaciones administrativas para el personal de la Fiscalía General de la Nación y de sus entidades adscritas.</w:t>
      </w:r>
    </w:p>
    <w:p w14:paraId="79309A7E" w14:textId="77777777" w:rsidR="0007102E" w:rsidRPr="003C7A6C" w:rsidRDefault="0007102E" w:rsidP="00D40BC7">
      <w:pPr>
        <w:pStyle w:val="PrrafodeSentencia"/>
        <w:numPr>
          <w:ilvl w:val="0"/>
          <w:numId w:val="0"/>
        </w:numPr>
        <w:ind w:left="567" w:right="567"/>
        <w:rPr>
          <w:rFonts w:eastAsia="Times New Roman" w:cs="Times New Roman"/>
          <w:spacing w:val="0"/>
          <w:sz w:val="18"/>
          <w:szCs w:val="18"/>
        </w:rPr>
      </w:pPr>
    </w:p>
    <w:p w14:paraId="3EE14475" w14:textId="4AEF2C6D" w:rsidR="0007102E" w:rsidRPr="003C7A6C" w:rsidRDefault="0007102E" w:rsidP="00D40BC7">
      <w:pPr>
        <w:pStyle w:val="PrrafodeSentencia"/>
        <w:numPr>
          <w:ilvl w:val="0"/>
          <w:numId w:val="0"/>
        </w:numPr>
        <w:ind w:left="567" w:right="567"/>
        <w:rPr>
          <w:spacing w:val="0"/>
          <w:sz w:val="18"/>
          <w:szCs w:val="18"/>
        </w:rPr>
      </w:pPr>
      <w:r w:rsidRPr="003C7A6C">
        <w:rPr>
          <w:spacing w:val="0"/>
          <w:sz w:val="18"/>
          <w:szCs w:val="18"/>
        </w:rPr>
        <w:t>162. Sin embargo, la Corte nota que no existen disposiciones específicas que regulen la desvinculación de las y los fiscales en provisionalidad y que, al considerarse un empleo de nombramiento discrecional, únicamente se encuentran amparados por una estabilidad intermedia. La Corte toma nota, sin embargo, de la evolución de la línea jurisprudencial tanto del Consejo de Estado como de la Corte Constitucional (</w:t>
      </w:r>
      <w:r w:rsidRPr="003C7A6C">
        <w:rPr>
          <w:i/>
          <w:spacing w:val="0"/>
          <w:sz w:val="18"/>
          <w:szCs w:val="18"/>
        </w:rPr>
        <w:t>supra</w:t>
      </w:r>
      <w:r w:rsidRPr="003C7A6C">
        <w:rPr>
          <w:spacing w:val="0"/>
          <w:sz w:val="18"/>
          <w:szCs w:val="18"/>
        </w:rPr>
        <w:t xml:space="preserve"> </w:t>
      </w:r>
      <w:proofErr w:type="spellStart"/>
      <w:r w:rsidRPr="003C7A6C">
        <w:rPr>
          <w:spacing w:val="0"/>
          <w:sz w:val="18"/>
          <w:szCs w:val="18"/>
        </w:rPr>
        <w:t>párrs</w:t>
      </w:r>
      <w:proofErr w:type="spellEnd"/>
      <w:r w:rsidRPr="003C7A6C">
        <w:rPr>
          <w:spacing w:val="0"/>
          <w:sz w:val="18"/>
          <w:szCs w:val="18"/>
        </w:rPr>
        <w:t>. 137 y 138) en materia de motivación del acto administrativo de desvinculación.</w:t>
      </w:r>
    </w:p>
    <w:p w14:paraId="4CF6274B" w14:textId="77777777" w:rsidR="0007102E" w:rsidRPr="003C7A6C" w:rsidRDefault="0007102E" w:rsidP="00D40BC7">
      <w:pPr>
        <w:pStyle w:val="PrrafodeSentencia"/>
        <w:numPr>
          <w:ilvl w:val="0"/>
          <w:numId w:val="0"/>
        </w:numPr>
        <w:ind w:left="567" w:right="567"/>
        <w:rPr>
          <w:rFonts w:eastAsia="Times New Roman" w:cs="Times New Roman"/>
          <w:spacing w:val="0"/>
          <w:sz w:val="18"/>
          <w:szCs w:val="18"/>
        </w:rPr>
      </w:pPr>
    </w:p>
    <w:p w14:paraId="61A26110" w14:textId="797E515A" w:rsidR="0007102E" w:rsidRPr="003C7A6C" w:rsidRDefault="0007102E" w:rsidP="00D40BC7">
      <w:pPr>
        <w:pStyle w:val="PrrafodeSentencia"/>
        <w:numPr>
          <w:ilvl w:val="0"/>
          <w:numId w:val="0"/>
        </w:numPr>
        <w:ind w:left="567" w:right="567"/>
        <w:rPr>
          <w:spacing w:val="0"/>
          <w:sz w:val="18"/>
          <w:szCs w:val="18"/>
        </w:rPr>
      </w:pPr>
      <w:r w:rsidRPr="003C7A6C">
        <w:rPr>
          <w:spacing w:val="0"/>
          <w:sz w:val="18"/>
          <w:szCs w:val="18"/>
        </w:rPr>
        <w:t>163. Teniendo en cuenta que el Tribunal declaró las violaciones a los derechos a las garantías judiciales y a la protección judicial, ambas en relación con la garantía de estabilidad de las y los fiscales, la Corte considera que, como garantía de no repetición, el Estado debe, en un plazo razonable, adecuar la normativa interna con los estándares desarrollados en esta sentencia en relación con la estabilidad de las y los fiscales en provisionalidad, en lo que respecta a su nombramiento y desvinculación.</w:t>
      </w:r>
    </w:p>
    <w:p w14:paraId="38562713" w14:textId="77777777" w:rsidR="0007102E" w:rsidRPr="003C7A6C" w:rsidRDefault="0007102E" w:rsidP="00D40BC7">
      <w:pPr>
        <w:rPr>
          <w:lang w:val="es-CR" w:eastAsia="es-MX"/>
        </w:rPr>
      </w:pPr>
    </w:p>
    <w:p w14:paraId="7E864B2F" w14:textId="4462F863" w:rsidR="0081599C" w:rsidRPr="000372DA" w:rsidRDefault="0007102E" w:rsidP="0081599C">
      <w:pPr>
        <w:pStyle w:val="PrrafodeSentencia"/>
        <w:rPr>
          <w:spacing w:val="0"/>
          <w:szCs w:val="20"/>
        </w:rPr>
      </w:pPr>
      <w:r w:rsidRPr="003C7A6C">
        <w:rPr>
          <w:spacing w:val="0"/>
          <w:szCs w:val="20"/>
        </w:rPr>
        <w:t>La Corte reitera que considera improcedente utilizar una solicitud de interpretación para someter cuestiones de hecho y de derecho que ya fueron planteadas en su oportunidad procesal y sobre las cuales la Corte ya adoptó una decisión</w:t>
      </w:r>
      <w:r w:rsidRPr="003C7A6C">
        <w:rPr>
          <w:rStyle w:val="Refdenotaalpie"/>
          <w:spacing w:val="0"/>
        </w:rPr>
        <w:footnoteReference w:id="10"/>
      </w:r>
      <w:r w:rsidRPr="003C7A6C">
        <w:rPr>
          <w:spacing w:val="0"/>
          <w:szCs w:val="20"/>
        </w:rPr>
        <w:t xml:space="preserve">, así como para pretender que el </w:t>
      </w:r>
      <w:r w:rsidRPr="003C7A6C">
        <w:rPr>
          <w:spacing w:val="0"/>
          <w:szCs w:val="20"/>
        </w:rPr>
        <w:lastRenderedPageBreak/>
        <w:t>Tribunal valore nuevamente cuestiones que ya han sido resueltas por éste en la Sentencia</w:t>
      </w:r>
      <w:r w:rsidRPr="003C7A6C">
        <w:rPr>
          <w:rStyle w:val="Refdenotaalpie"/>
          <w:spacing w:val="0"/>
        </w:rPr>
        <w:footnoteReference w:id="11"/>
      </w:r>
      <w:r w:rsidRPr="003C7A6C">
        <w:rPr>
          <w:spacing w:val="0"/>
          <w:szCs w:val="20"/>
        </w:rPr>
        <w:t>. El Estado pretende con su solicitud de interpretación que la Corte reconsidere su análisis de la normativa interna sobre la desvinculación de los</w:t>
      </w:r>
      <w:r w:rsidR="008175FF" w:rsidRPr="000372DA">
        <w:rPr>
          <w:spacing w:val="0"/>
          <w:szCs w:val="20"/>
        </w:rPr>
        <w:t xml:space="preserve"> y las</w:t>
      </w:r>
      <w:r w:rsidRPr="000372DA">
        <w:rPr>
          <w:spacing w:val="0"/>
          <w:szCs w:val="20"/>
        </w:rPr>
        <w:t xml:space="preserve"> fiscales nombrados en provisionalidad, lo que implicaría volver a valorar cuestiones de hecho y de derecho que ya fueron establecidas en la </w:t>
      </w:r>
      <w:r w:rsidR="00F07D88" w:rsidRPr="000372DA">
        <w:rPr>
          <w:spacing w:val="0"/>
          <w:szCs w:val="20"/>
        </w:rPr>
        <w:t>S</w:t>
      </w:r>
      <w:r w:rsidRPr="000372DA">
        <w:rPr>
          <w:spacing w:val="0"/>
          <w:szCs w:val="20"/>
        </w:rPr>
        <w:t>entencia. De esta forma</w:t>
      </w:r>
      <w:r w:rsidR="00CD6D8E" w:rsidRPr="000372DA">
        <w:rPr>
          <w:spacing w:val="0"/>
          <w:szCs w:val="20"/>
        </w:rPr>
        <w:t>,</w:t>
      </w:r>
      <w:r w:rsidRPr="000372DA">
        <w:rPr>
          <w:spacing w:val="0"/>
          <w:szCs w:val="20"/>
        </w:rPr>
        <w:t xml:space="preserve"> </w:t>
      </w:r>
      <w:r w:rsidR="000372DA">
        <w:rPr>
          <w:spacing w:val="0"/>
          <w:szCs w:val="20"/>
        </w:rPr>
        <w:t xml:space="preserve">la Corte </w:t>
      </w:r>
      <w:r w:rsidRPr="000372DA">
        <w:rPr>
          <w:spacing w:val="0"/>
          <w:szCs w:val="20"/>
        </w:rPr>
        <w:t xml:space="preserve">considera que esta solicitud es improcedente, pues excede el alcance de la competencia de la Corte de interpretar sus fallos establecida en el artículo 67 de la Convención. </w:t>
      </w:r>
    </w:p>
    <w:p w14:paraId="5510DA0E" w14:textId="77777777" w:rsidR="0081599C" w:rsidRPr="003C7A6C" w:rsidRDefault="0081599C" w:rsidP="00D40BC7">
      <w:pPr>
        <w:pStyle w:val="Ttulo1"/>
        <w:spacing w:before="0" w:after="0"/>
        <w:contextualSpacing/>
        <w:rPr>
          <w:lang w:val="es-CR"/>
        </w:rPr>
      </w:pPr>
      <w:bookmarkStart w:id="135" w:name="_Toc50444514"/>
      <w:bookmarkStart w:id="136" w:name="_Toc52292075"/>
      <w:bookmarkStart w:id="137" w:name="_Toc54976322"/>
      <w:bookmarkStart w:id="138" w:name="_Toc54976374"/>
      <w:bookmarkStart w:id="139" w:name="_Toc55848951"/>
      <w:bookmarkStart w:id="140" w:name="_Toc57872383"/>
    </w:p>
    <w:p w14:paraId="2DE775F9" w14:textId="5FFBAC60" w:rsidR="004C5A6A" w:rsidRPr="003C7A6C" w:rsidRDefault="004C5A6A" w:rsidP="00D40BC7">
      <w:pPr>
        <w:pStyle w:val="Ttulo1"/>
        <w:spacing w:before="0" w:after="0"/>
        <w:contextualSpacing/>
        <w:rPr>
          <w:lang w:val="es-CR"/>
        </w:rPr>
      </w:pPr>
      <w:r w:rsidRPr="003C7A6C">
        <w:rPr>
          <w:lang w:val="es-CR"/>
        </w:rPr>
        <w:t>V</w:t>
      </w:r>
      <w:bookmarkEnd w:id="135"/>
      <w:bookmarkEnd w:id="136"/>
      <w:bookmarkEnd w:id="137"/>
      <w:bookmarkEnd w:id="138"/>
      <w:bookmarkEnd w:id="139"/>
      <w:r w:rsidR="00C1283C" w:rsidRPr="003C7A6C">
        <w:rPr>
          <w:lang w:val="es-CR"/>
        </w:rPr>
        <w:br/>
      </w:r>
      <w:bookmarkEnd w:id="140"/>
      <w:r w:rsidR="0007102E" w:rsidRPr="003C7A6C">
        <w:rPr>
          <w:lang w:val="es-CR"/>
        </w:rPr>
        <w:t>puntos resolutivos</w:t>
      </w:r>
    </w:p>
    <w:p w14:paraId="4F6BE441" w14:textId="77777777" w:rsidR="003E6EA7" w:rsidRPr="003C7A6C" w:rsidRDefault="003E6EA7" w:rsidP="00D40BC7">
      <w:pPr>
        <w:rPr>
          <w:lang w:val="es-CR"/>
        </w:rPr>
      </w:pPr>
    </w:p>
    <w:p w14:paraId="1424D353" w14:textId="77777777" w:rsidR="003E6EA7" w:rsidRPr="003C7A6C" w:rsidRDefault="003E6EA7" w:rsidP="00D40BC7">
      <w:pPr>
        <w:rPr>
          <w:lang w:val="es-CR"/>
        </w:rPr>
      </w:pPr>
    </w:p>
    <w:p w14:paraId="39572D79" w14:textId="1F8A34A6" w:rsidR="004C5A6A" w:rsidRPr="003C7A6C" w:rsidRDefault="0007102E" w:rsidP="00D40BC7">
      <w:pPr>
        <w:pStyle w:val="PrrafodeSentencia"/>
        <w:rPr>
          <w:b/>
          <w:spacing w:val="0"/>
        </w:rPr>
      </w:pPr>
      <w:r w:rsidRPr="003C7A6C">
        <w:rPr>
          <w:spacing w:val="0"/>
        </w:rPr>
        <w:t xml:space="preserve">Por tanto, </w:t>
      </w:r>
    </w:p>
    <w:p w14:paraId="298F2D59" w14:textId="77777777" w:rsidR="003E6EA7" w:rsidRPr="003C7A6C" w:rsidRDefault="003E6EA7" w:rsidP="00D40BC7">
      <w:pPr>
        <w:rPr>
          <w:lang w:val="es-CR" w:eastAsia="es-MX"/>
        </w:rPr>
      </w:pPr>
    </w:p>
    <w:p w14:paraId="12212B54" w14:textId="32F7E51F" w:rsidR="003B485D" w:rsidRPr="003C7A6C" w:rsidRDefault="003B485D" w:rsidP="00D40BC7">
      <w:pPr>
        <w:pStyle w:val="Prrafodelista"/>
        <w:tabs>
          <w:tab w:val="left" w:pos="567"/>
        </w:tabs>
        <w:ind w:left="0"/>
        <w:rPr>
          <w:b/>
          <w:szCs w:val="20"/>
          <w:lang w:val="es-CR"/>
        </w:rPr>
      </w:pPr>
      <w:r w:rsidRPr="003C7A6C">
        <w:rPr>
          <w:b/>
          <w:szCs w:val="20"/>
          <w:lang w:val="es-CR"/>
        </w:rPr>
        <w:t xml:space="preserve">LA CORTE </w:t>
      </w:r>
    </w:p>
    <w:p w14:paraId="6B1D92F4" w14:textId="491EFFCD" w:rsidR="001B0D94" w:rsidRPr="003C7A6C" w:rsidRDefault="001B0D94" w:rsidP="00D40BC7">
      <w:pPr>
        <w:pStyle w:val="Prrafodelista"/>
        <w:tabs>
          <w:tab w:val="left" w:pos="567"/>
        </w:tabs>
        <w:ind w:left="0"/>
        <w:rPr>
          <w:b/>
          <w:szCs w:val="20"/>
          <w:lang w:val="es-CR"/>
        </w:rPr>
      </w:pPr>
    </w:p>
    <w:p w14:paraId="454831B7" w14:textId="658CEE0A" w:rsidR="001B0D94" w:rsidRPr="003C7A6C" w:rsidRDefault="001B0D94" w:rsidP="00D40BC7">
      <w:pPr>
        <w:pStyle w:val="Prrafodelista"/>
        <w:tabs>
          <w:tab w:val="left" w:pos="567"/>
        </w:tabs>
        <w:ind w:left="0"/>
        <w:rPr>
          <w:b/>
          <w:szCs w:val="20"/>
          <w:lang w:val="es-CR"/>
        </w:rPr>
      </w:pPr>
      <w:r w:rsidRPr="003C7A6C">
        <w:rPr>
          <w:b/>
          <w:szCs w:val="20"/>
          <w:lang w:val="es-CR"/>
        </w:rPr>
        <w:t>DECIDE,</w:t>
      </w:r>
    </w:p>
    <w:p w14:paraId="6A94EE1D" w14:textId="3ABDB7DB" w:rsidR="001B0D94" w:rsidRPr="003C7A6C" w:rsidRDefault="001B0D94" w:rsidP="00D40BC7">
      <w:pPr>
        <w:pStyle w:val="Prrafodelista"/>
        <w:tabs>
          <w:tab w:val="left" w:pos="567"/>
        </w:tabs>
        <w:ind w:left="0"/>
        <w:rPr>
          <w:b/>
          <w:szCs w:val="20"/>
          <w:lang w:val="es-CR"/>
        </w:rPr>
      </w:pPr>
    </w:p>
    <w:p w14:paraId="1B431A30" w14:textId="7749E254" w:rsidR="00350699" w:rsidRPr="003C7A6C" w:rsidRDefault="00AB0465" w:rsidP="00D40BC7">
      <w:pPr>
        <w:pStyle w:val="Prrafodelista"/>
        <w:tabs>
          <w:tab w:val="left" w:pos="567"/>
        </w:tabs>
        <w:ind w:left="0"/>
        <w:rPr>
          <w:szCs w:val="20"/>
          <w:lang w:val="es-CR"/>
        </w:rPr>
      </w:pPr>
      <w:r w:rsidRPr="003C7A6C">
        <w:rPr>
          <w:szCs w:val="20"/>
          <w:lang w:val="es-CR"/>
        </w:rPr>
        <w:t>Por unanimidad</w:t>
      </w:r>
      <w:r w:rsidR="00350699" w:rsidRPr="003C7A6C">
        <w:rPr>
          <w:szCs w:val="20"/>
          <w:lang w:val="es-CR"/>
        </w:rPr>
        <w:t>:</w:t>
      </w:r>
    </w:p>
    <w:p w14:paraId="524EB8ED" w14:textId="4DC00AE1" w:rsidR="0007102E" w:rsidRPr="003C7A6C" w:rsidRDefault="0007102E" w:rsidP="00D40BC7">
      <w:pPr>
        <w:pStyle w:val="Prrafodelista"/>
        <w:tabs>
          <w:tab w:val="left" w:pos="567"/>
        </w:tabs>
        <w:ind w:left="0"/>
        <w:contextualSpacing w:val="0"/>
        <w:rPr>
          <w:szCs w:val="20"/>
          <w:lang w:val="es-CR"/>
        </w:rPr>
      </w:pPr>
    </w:p>
    <w:p w14:paraId="4E308DBA" w14:textId="5015B897" w:rsidR="00AD6090" w:rsidRPr="003C7A6C" w:rsidRDefault="00AD6090" w:rsidP="00D40BC7">
      <w:pPr>
        <w:pStyle w:val="Prrafodelista"/>
        <w:numPr>
          <w:ilvl w:val="0"/>
          <w:numId w:val="44"/>
        </w:numPr>
        <w:tabs>
          <w:tab w:val="left" w:pos="567"/>
        </w:tabs>
        <w:ind w:left="0" w:firstLine="0"/>
        <w:contextualSpacing w:val="0"/>
        <w:rPr>
          <w:szCs w:val="20"/>
          <w:lang w:val="es-CR"/>
        </w:rPr>
      </w:pPr>
      <w:r w:rsidRPr="003C7A6C">
        <w:rPr>
          <w:szCs w:val="20"/>
          <w:lang w:val="es-CR"/>
        </w:rPr>
        <w:t xml:space="preserve">Declarar </w:t>
      </w:r>
      <w:r w:rsidRPr="003C7A6C">
        <w:rPr>
          <w:lang w:val="es-CR"/>
        </w:rPr>
        <w:t>inadmisible la solicitud del Estado tendiente a la anulación de la sentencia por alegadas violaciones al debido proceso y equidad procesal</w:t>
      </w:r>
      <w:r w:rsidR="00C231B5" w:rsidRPr="003C7A6C">
        <w:rPr>
          <w:szCs w:val="20"/>
          <w:lang w:val="es-CR"/>
        </w:rPr>
        <w:t>, en los términos del párrafo 14</w:t>
      </w:r>
      <w:r w:rsidR="00317AE3" w:rsidRPr="003C7A6C">
        <w:rPr>
          <w:szCs w:val="20"/>
          <w:lang w:val="es-CR"/>
        </w:rPr>
        <w:t xml:space="preserve"> de la presente Sentencia de Interpretación</w:t>
      </w:r>
      <w:r w:rsidRPr="003C7A6C">
        <w:rPr>
          <w:lang w:val="es-CR"/>
        </w:rPr>
        <w:t>.</w:t>
      </w:r>
    </w:p>
    <w:p w14:paraId="78E832AC" w14:textId="77777777" w:rsidR="00AD6090" w:rsidRPr="003C7A6C" w:rsidRDefault="00AD6090" w:rsidP="00D40BC7">
      <w:pPr>
        <w:pStyle w:val="Prrafodelista"/>
        <w:tabs>
          <w:tab w:val="left" w:pos="567"/>
        </w:tabs>
        <w:ind w:left="0"/>
        <w:contextualSpacing w:val="0"/>
        <w:rPr>
          <w:szCs w:val="20"/>
          <w:lang w:val="es-CR"/>
        </w:rPr>
      </w:pPr>
    </w:p>
    <w:p w14:paraId="627EE231" w14:textId="3AEAD4A4" w:rsidR="0007102E" w:rsidRPr="003C7A6C" w:rsidRDefault="0007102E" w:rsidP="00D40BC7">
      <w:pPr>
        <w:pStyle w:val="Prrafodelista"/>
        <w:numPr>
          <w:ilvl w:val="0"/>
          <w:numId w:val="44"/>
        </w:numPr>
        <w:tabs>
          <w:tab w:val="left" w:pos="567"/>
        </w:tabs>
        <w:ind w:left="0" w:firstLine="0"/>
        <w:contextualSpacing w:val="0"/>
        <w:rPr>
          <w:szCs w:val="20"/>
          <w:lang w:val="es-CR"/>
        </w:rPr>
      </w:pPr>
      <w:r w:rsidRPr="003C7A6C">
        <w:rPr>
          <w:szCs w:val="20"/>
          <w:lang w:val="es-CR"/>
        </w:rPr>
        <w:t>Declarar admisible la solicitud</w:t>
      </w:r>
      <w:r w:rsidR="00AD6090" w:rsidRPr="003C7A6C">
        <w:rPr>
          <w:szCs w:val="20"/>
          <w:lang w:val="es-CR"/>
        </w:rPr>
        <w:t xml:space="preserve"> subsidiaria</w:t>
      </w:r>
      <w:r w:rsidRPr="003C7A6C">
        <w:rPr>
          <w:szCs w:val="20"/>
          <w:lang w:val="es-CR"/>
        </w:rPr>
        <w:t xml:space="preserve"> de interpretación </w:t>
      </w:r>
      <w:r w:rsidR="000372DA">
        <w:rPr>
          <w:szCs w:val="20"/>
          <w:lang w:val="es-CR"/>
        </w:rPr>
        <w:t>de</w:t>
      </w:r>
      <w:r w:rsidRPr="000372DA">
        <w:rPr>
          <w:szCs w:val="20"/>
          <w:lang w:val="es-CR"/>
        </w:rPr>
        <w:t xml:space="preserve"> la Sentencia de Excepciones Preliminares, F</w:t>
      </w:r>
      <w:r w:rsidRPr="003C7A6C">
        <w:rPr>
          <w:szCs w:val="20"/>
          <w:lang w:val="es-CR"/>
        </w:rPr>
        <w:t xml:space="preserve">ondo y Reparaciones en el caso </w:t>
      </w:r>
      <w:r w:rsidRPr="003C7A6C">
        <w:rPr>
          <w:i/>
          <w:szCs w:val="20"/>
          <w:lang w:val="es-CR"/>
        </w:rPr>
        <w:t xml:space="preserve">Martínez Esquivia Vs. Colombia, </w:t>
      </w:r>
      <w:r w:rsidRPr="003C7A6C">
        <w:rPr>
          <w:szCs w:val="20"/>
          <w:lang w:val="es-CR"/>
        </w:rPr>
        <w:t>presentada por el Estad</w:t>
      </w:r>
      <w:r w:rsidR="00AD6090" w:rsidRPr="003C7A6C">
        <w:rPr>
          <w:szCs w:val="20"/>
          <w:lang w:val="es-CR"/>
        </w:rPr>
        <w:t>o</w:t>
      </w:r>
      <w:r w:rsidR="00C231B5" w:rsidRPr="003C7A6C">
        <w:rPr>
          <w:szCs w:val="20"/>
          <w:lang w:val="es-CR"/>
        </w:rPr>
        <w:t>, en los términos del párrafo 15</w:t>
      </w:r>
      <w:r w:rsidRPr="003C7A6C">
        <w:rPr>
          <w:szCs w:val="20"/>
          <w:lang w:val="es-CR"/>
        </w:rPr>
        <w:t xml:space="preserve"> de la presente Sentencia de Interpretación.</w:t>
      </w:r>
    </w:p>
    <w:p w14:paraId="367E6FA1" w14:textId="6E888E9D" w:rsidR="0007102E" w:rsidRPr="003C7A6C" w:rsidRDefault="0007102E" w:rsidP="00D40BC7">
      <w:pPr>
        <w:pStyle w:val="Prrafodelista"/>
        <w:tabs>
          <w:tab w:val="left" w:pos="567"/>
        </w:tabs>
        <w:ind w:left="0"/>
        <w:contextualSpacing w:val="0"/>
        <w:rPr>
          <w:szCs w:val="20"/>
          <w:lang w:val="es-CR"/>
        </w:rPr>
      </w:pPr>
    </w:p>
    <w:p w14:paraId="11B07C4B" w14:textId="05CABF89" w:rsidR="0007102E" w:rsidRPr="003C7A6C" w:rsidRDefault="0007102E" w:rsidP="00D40BC7">
      <w:pPr>
        <w:pStyle w:val="Prrafodelista"/>
        <w:numPr>
          <w:ilvl w:val="0"/>
          <w:numId w:val="44"/>
        </w:numPr>
        <w:tabs>
          <w:tab w:val="left" w:pos="567"/>
        </w:tabs>
        <w:ind w:left="0" w:firstLine="0"/>
        <w:contextualSpacing w:val="0"/>
        <w:rPr>
          <w:szCs w:val="20"/>
          <w:lang w:val="es-CR"/>
        </w:rPr>
      </w:pPr>
      <w:r w:rsidRPr="003C7A6C">
        <w:rPr>
          <w:szCs w:val="20"/>
          <w:lang w:val="es-CR"/>
        </w:rPr>
        <w:t xml:space="preserve">Aclarar, por medio de Interpretación, la Sentencia de Excepciones Preliminares, Fondo y Reparaciones en el caso </w:t>
      </w:r>
      <w:r w:rsidRPr="003C7A6C">
        <w:rPr>
          <w:i/>
          <w:szCs w:val="20"/>
          <w:lang w:val="es-CR"/>
        </w:rPr>
        <w:t xml:space="preserve">Martínez Esquivia Vs. Colombia, </w:t>
      </w:r>
      <w:r w:rsidR="006D62D7" w:rsidRPr="003C7A6C">
        <w:rPr>
          <w:szCs w:val="20"/>
          <w:lang w:val="es-CR"/>
        </w:rPr>
        <w:t xml:space="preserve">en lo que se refiere </w:t>
      </w:r>
      <w:r w:rsidR="001F7A7F" w:rsidRPr="003C7A6C">
        <w:rPr>
          <w:szCs w:val="20"/>
          <w:lang w:val="es-CR"/>
        </w:rPr>
        <w:t xml:space="preserve">a </w:t>
      </w:r>
      <w:r w:rsidR="001F7A7F" w:rsidRPr="003C7A6C">
        <w:rPr>
          <w:lang w:val="es-CR"/>
        </w:rPr>
        <w:t xml:space="preserve">la obligación del Estado de cubrir los aportes a la pensión de la señora </w:t>
      </w:r>
      <w:proofErr w:type="spellStart"/>
      <w:r w:rsidR="001F7A7F" w:rsidRPr="003C7A6C">
        <w:rPr>
          <w:lang w:val="es-CR"/>
        </w:rPr>
        <w:t>Yenina</w:t>
      </w:r>
      <w:proofErr w:type="spellEnd"/>
      <w:r w:rsidR="001F7A7F" w:rsidRPr="003C7A6C">
        <w:rPr>
          <w:lang w:val="es-CR"/>
        </w:rPr>
        <w:t xml:space="preserve"> Esther Martínez Esquivia,</w:t>
      </w:r>
      <w:r w:rsidR="006D62D7" w:rsidRPr="003C7A6C">
        <w:rPr>
          <w:szCs w:val="20"/>
          <w:lang w:val="es-CR"/>
        </w:rPr>
        <w:t xml:space="preserve"> </w:t>
      </w:r>
      <w:r w:rsidRPr="003C7A6C">
        <w:rPr>
          <w:szCs w:val="20"/>
          <w:lang w:val="es-CR"/>
        </w:rPr>
        <w:t>en</w:t>
      </w:r>
      <w:r w:rsidR="00AD6090" w:rsidRPr="003C7A6C">
        <w:rPr>
          <w:szCs w:val="20"/>
          <w:lang w:val="es-CR"/>
        </w:rPr>
        <w:t xml:space="preserve"> los tér</w:t>
      </w:r>
      <w:r w:rsidR="00C231B5" w:rsidRPr="003C7A6C">
        <w:rPr>
          <w:szCs w:val="20"/>
          <w:lang w:val="es-CR"/>
        </w:rPr>
        <w:t>minos de los párrafos 24 y 25</w:t>
      </w:r>
      <w:r w:rsidRPr="003C7A6C">
        <w:rPr>
          <w:szCs w:val="20"/>
          <w:lang w:val="es-CR"/>
        </w:rPr>
        <w:t xml:space="preserve"> de la presente Sentencia de Interpretación.</w:t>
      </w:r>
    </w:p>
    <w:p w14:paraId="27B196AB" w14:textId="77777777" w:rsidR="0007102E" w:rsidRPr="003C7A6C" w:rsidRDefault="0007102E" w:rsidP="00D40BC7">
      <w:pPr>
        <w:pStyle w:val="Prrafodelista"/>
        <w:rPr>
          <w:szCs w:val="20"/>
          <w:lang w:val="es-CR"/>
        </w:rPr>
      </w:pPr>
    </w:p>
    <w:p w14:paraId="77CB80B0" w14:textId="52C7E78B" w:rsidR="0007102E" w:rsidRPr="000372DA" w:rsidRDefault="0007102E" w:rsidP="00D40BC7">
      <w:pPr>
        <w:pStyle w:val="Prrafodelista"/>
        <w:numPr>
          <w:ilvl w:val="0"/>
          <w:numId w:val="44"/>
        </w:numPr>
        <w:tabs>
          <w:tab w:val="left" w:pos="567"/>
        </w:tabs>
        <w:ind w:left="0" w:firstLine="0"/>
        <w:contextualSpacing w:val="0"/>
        <w:rPr>
          <w:szCs w:val="20"/>
          <w:lang w:val="es-CR"/>
        </w:rPr>
      </w:pPr>
      <w:r w:rsidRPr="003C7A6C">
        <w:rPr>
          <w:szCs w:val="20"/>
          <w:lang w:val="es-CR"/>
        </w:rPr>
        <w:t xml:space="preserve">Desestimar por improcedente la solicitud de interpretación de la Sentencia de Excepciones Preliminares, Fondo y Reparaciones en el caso </w:t>
      </w:r>
      <w:r w:rsidRPr="003C7A6C">
        <w:rPr>
          <w:i/>
          <w:szCs w:val="20"/>
          <w:lang w:val="es-CR"/>
        </w:rPr>
        <w:t xml:space="preserve">Martínez Esquivia Vs. Colombia </w:t>
      </w:r>
      <w:r w:rsidRPr="003C7A6C">
        <w:rPr>
          <w:szCs w:val="20"/>
          <w:lang w:val="es-CR"/>
        </w:rPr>
        <w:t xml:space="preserve">sobre el punto resolutivo </w:t>
      </w:r>
      <w:r w:rsidR="000372DA">
        <w:rPr>
          <w:szCs w:val="20"/>
          <w:lang w:val="es-CR"/>
        </w:rPr>
        <w:t>noveno</w:t>
      </w:r>
      <w:r w:rsidRPr="000372DA">
        <w:rPr>
          <w:szCs w:val="20"/>
          <w:lang w:val="es-CR"/>
        </w:rPr>
        <w:t>, presentada por el Estado, en</w:t>
      </w:r>
      <w:r w:rsidR="0039669B" w:rsidRPr="000372DA">
        <w:rPr>
          <w:szCs w:val="20"/>
          <w:lang w:val="es-CR"/>
        </w:rPr>
        <w:t xml:space="preserve"> los términos del párrafo </w:t>
      </w:r>
      <w:r w:rsidR="00C231B5" w:rsidRPr="000372DA">
        <w:rPr>
          <w:szCs w:val="20"/>
          <w:lang w:val="es-CR"/>
        </w:rPr>
        <w:t>30</w:t>
      </w:r>
      <w:r w:rsidRPr="000372DA">
        <w:rPr>
          <w:szCs w:val="20"/>
          <w:lang w:val="es-CR"/>
        </w:rPr>
        <w:t xml:space="preserve"> de la presente Sentencia de Interpretación.</w:t>
      </w:r>
    </w:p>
    <w:p w14:paraId="0AD8AFEE" w14:textId="77777777" w:rsidR="008F1B9F" w:rsidRPr="003C7A6C" w:rsidRDefault="008F1B9F" w:rsidP="00D40BC7">
      <w:pPr>
        <w:pStyle w:val="Prrafodelista"/>
        <w:tabs>
          <w:tab w:val="left" w:pos="567"/>
        </w:tabs>
        <w:ind w:left="0"/>
        <w:contextualSpacing w:val="0"/>
        <w:rPr>
          <w:szCs w:val="20"/>
          <w:lang w:val="es-CR"/>
        </w:rPr>
      </w:pPr>
    </w:p>
    <w:p w14:paraId="42A10CA6" w14:textId="0A94641B" w:rsidR="00D95AD8" w:rsidRPr="003C7A6C" w:rsidRDefault="0007102E" w:rsidP="00D40BC7">
      <w:pPr>
        <w:pStyle w:val="Prrafodelista"/>
        <w:numPr>
          <w:ilvl w:val="0"/>
          <w:numId w:val="44"/>
        </w:numPr>
        <w:tabs>
          <w:tab w:val="left" w:pos="567"/>
        </w:tabs>
        <w:ind w:left="0" w:firstLine="0"/>
        <w:contextualSpacing w:val="0"/>
        <w:rPr>
          <w:szCs w:val="20"/>
          <w:lang w:val="es-CR"/>
        </w:rPr>
      </w:pPr>
      <w:r w:rsidRPr="003C7A6C">
        <w:rPr>
          <w:szCs w:val="20"/>
          <w:lang w:val="es-CR"/>
        </w:rPr>
        <w:t>Disponer que la Secretaría de la Corte notifique la presente Sentencia de Interpretación a la República de Colombia, a los representantes de la víctima y a la Comisión Interamericana de Derechos Humanos.</w:t>
      </w:r>
    </w:p>
    <w:p w14:paraId="1D8800AC" w14:textId="77777777" w:rsidR="003B485D" w:rsidRPr="003C7A6C" w:rsidRDefault="003B485D" w:rsidP="00D40BC7">
      <w:pPr>
        <w:pStyle w:val="Prrafodelista"/>
        <w:tabs>
          <w:tab w:val="left" w:pos="567"/>
        </w:tabs>
        <w:ind w:left="0"/>
        <w:rPr>
          <w:b/>
          <w:szCs w:val="20"/>
          <w:lang w:val="es-CR"/>
        </w:rPr>
      </w:pPr>
    </w:p>
    <w:p w14:paraId="6CEE6E8E" w14:textId="5A444C26" w:rsidR="00286590" w:rsidRDefault="00286590" w:rsidP="00D40BC7">
      <w:pPr>
        <w:tabs>
          <w:tab w:val="left" w:pos="567"/>
        </w:tabs>
        <w:rPr>
          <w:szCs w:val="20"/>
          <w:lang w:val="es-CR"/>
        </w:rPr>
      </w:pPr>
    </w:p>
    <w:p w14:paraId="092A3BF4" w14:textId="1C7EE42B" w:rsidR="00892DC0" w:rsidRDefault="00892DC0" w:rsidP="00D40BC7">
      <w:pPr>
        <w:tabs>
          <w:tab w:val="left" w:pos="567"/>
        </w:tabs>
        <w:rPr>
          <w:szCs w:val="20"/>
          <w:lang w:val="es-CR"/>
        </w:rPr>
      </w:pPr>
    </w:p>
    <w:p w14:paraId="4B040828" w14:textId="75421B4B" w:rsidR="00892DC0" w:rsidRDefault="00892DC0" w:rsidP="00D40BC7">
      <w:pPr>
        <w:tabs>
          <w:tab w:val="left" w:pos="567"/>
        </w:tabs>
        <w:rPr>
          <w:szCs w:val="20"/>
          <w:lang w:val="es-CR"/>
        </w:rPr>
      </w:pPr>
    </w:p>
    <w:p w14:paraId="041E0E2D" w14:textId="32B81A74" w:rsidR="00892DC0" w:rsidRDefault="00892DC0" w:rsidP="00D40BC7">
      <w:pPr>
        <w:tabs>
          <w:tab w:val="left" w:pos="567"/>
        </w:tabs>
        <w:rPr>
          <w:szCs w:val="20"/>
          <w:lang w:val="es-CR"/>
        </w:rPr>
      </w:pPr>
    </w:p>
    <w:p w14:paraId="5BDBA297" w14:textId="0E2B2F9D" w:rsidR="00892DC0" w:rsidRDefault="00892DC0" w:rsidP="00D40BC7">
      <w:pPr>
        <w:tabs>
          <w:tab w:val="left" w:pos="567"/>
        </w:tabs>
        <w:rPr>
          <w:szCs w:val="20"/>
          <w:lang w:val="es-CR"/>
        </w:rPr>
      </w:pPr>
    </w:p>
    <w:p w14:paraId="1756C241" w14:textId="627B40C8" w:rsidR="00892DC0" w:rsidRPr="00755BFF" w:rsidRDefault="00892DC0" w:rsidP="00892DC0">
      <w:pPr>
        <w:keepNext/>
        <w:outlineLvl w:val="0"/>
        <w:rPr>
          <w:rFonts w:eastAsia="Calibri" w:cs="Arial"/>
          <w:szCs w:val="20"/>
          <w:lang w:val="es-CR"/>
        </w:rPr>
      </w:pPr>
      <w:r w:rsidRPr="00755BFF">
        <w:rPr>
          <w:rFonts w:eastAsia="Calibri" w:cs="Courier New"/>
          <w:noProof/>
          <w:szCs w:val="20"/>
          <w:lang w:val="pt-BR"/>
        </w:rPr>
        <w:lastRenderedPageBreak/>
        <w:t xml:space="preserve">Corte IDH. </w:t>
      </w:r>
      <w:r w:rsidRPr="00755BFF">
        <w:rPr>
          <w:rFonts w:eastAsia="Calibri" w:cs="Arial"/>
          <w:bCs/>
          <w:i/>
          <w:szCs w:val="20"/>
          <w:lang w:val="pt-BR"/>
        </w:rPr>
        <w:t xml:space="preserve">Caso </w:t>
      </w:r>
      <w:r>
        <w:rPr>
          <w:rFonts w:eastAsia="Calibri" w:cs="Arial"/>
          <w:bCs/>
          <w:i/>
          <w:szCs w:val="20"/>
          <w:lang w:val="pt-BR"/>
        </w:rPr>
        <w:t xml:space="preserve">Martínez </w:t>
      </w:r>
      <w:proofErr w:type="spellStart"/>
      <w:r>
        <w:rPr>
          <w:rFonts w:eastAsia="Calibri" w:cs="Arial"/>
          <w:bCs/>
          <w:i/>
          <w:szCs w:val="20"/>
          <w:lang w:val="pt-BR"/>
        </w:rPr>
        <w:t>Esquivia</w:t>
      </w:r>
      <w:proofErr w:type="spellEnd"/>
      <w:r>
        <w:rPr>
          <w:rFonts w:eastAsia="Calibri" w:cs="Arial"/>
          <w:bCs/>
          <w:i/>
          <w:szCs w:val="20"/>
          <w:lang w:val="pt-BR"/>
        </w:rPr>
        <w:t xml:space="preserve"> Vs. </w:t>
      </w:r>
      <w:r>
        <w:rPr>
          <w:rFonts w:eastAsia="Calibri" w:cs="Arial"/>
          <w:bCs/>
          <w:i/>
          <w:szCs w:val="20"/>
          <w:lang w:val="es-CR"/>
        </w:rPr>
        <w:t>Colombia</w:t>
      </w:r>
      <w:r w:rsidRPr="00637126">
        <w:rPr>
          <w:rFonts w:eastAsia="Calibri" w:cs="Arial"/>
          <w:bCs/>
          <w:i/>
          <w:szCs w:val="20"/>
          <w:lang w:val="es-CR"/>
        </w:rPr>
        <w:t>.</w:t>
      </w:r>
      <w:r w:rsidRPr="00637126">
        <w:rPr>
          <w:rFonts w:eastAsia="Calibri" w:cs="Arial"/>
          <w:szCs w:val="20"/>
          <w:lang w:val="es-CR"/>
        </w:rPr>
        <w:t xml:space="preserve"> </w:t>
      </w:r>
      <w:r w:rsidR="00936FCA">
        <w:rPr>
          <w:rFonts w:eastAsia="Calibri" w:cs="Arial"/>
          <w:szCs w:val="20"/>
          <w:lang w:val="es-CR"/>
        </w:rPr>
        <w:t xml:space="preserve">Interpretación de la Sentencia de </w:t>
      </w:r>
      <w:r>
        <w:rPr>
          <w:rFonts w:eastAsia="Calibri" w:cs="Arial"/>
          <w:szCs w:val="20"/>
          <w:lang w:val="es-CR"/>
        </w:rPr>
        <w:t>Excepciones Preliminares, Fondo y</w:t>
      </w:r>
      <w:r w:rsidRPr="00755BFF">
        <w:rPr>
          <w:rFonts w:eastAsia="Calibri" w:cs="Arial"/>
          <w:szCs w:val="20"/>
          <w:lang w:val="es-CR"/>
        </w:rPr>
        <w:t xml:space="preserve"> Reparaciones. </w:t>
      </w:r>
      <w:r>
        <w:rPr>
          <w:rFonts w:eastAsia="Calibri" w:cs="Arial"/>
          <w:szCs w:val="20"/>
          <w:lang w:val="es-ES"/>
        </w:rPr>
        <w:t xml:space="preserve">Sentencia de </w:t>
      </w:r>
      <w:r w:rsidR="00936FCA">
        <w:rPr>
          <w:rFonts w:eastAsia="Calibri" w:cs="Arial"/>
          <w:szCs w:val="20"/>
          <w:lang w:val="es-ES"/>
        </w:rPr>
        <w:t>21</w:t>
      </w:r>
      <w:r w:rsidRPr="00755BFF">
        <w:rPr>
          <w:rFonts w:eastAsia="Calibri" w:cs="Arial"/>
          <w:szCs w:val="20"/>
          <w:lang w:val="es-ES"/>
        </w:rPr>
        <w:t xml:space="preserve"> de </w:t>
      </w:r>
      <w:r w:rsidR="00936FCA">
        <w:rPr>
          <w:rFonts w:eastAsia="Calibri" w:cs="Arial"/>
          <w:szCs w:val="20"/>
          <w:lang w:val="es-ES"/>
        </w:rPr>
        <w:t>junio</w:t>
      </w:r>
      <w:r w:rsidR="00936FCA">
        <w:rPr>
          <w:rFonts w:eastAsia="Calibri" w:cs="Arial"/>
          <w:szCs w:val="20"/>
          <w:lang w:val="es-CR"/>
        </w:rPr>
        <w:t xml:space="preserve"> de 2021</w:t>
      </w:r>
      <w:r w:rsidRPr="00755BFF">
        <w:rPr>
          <w:rFonts w:eastAsia="Calibri" w:cs="Arial"/>
          <w:szCs w:val="20"/>
          <w:lang w:val="es-ES"/>
        </w:rPr>
        <w:t>. Sentencia adoptada en San José, Costa Rica por medio de sesión virtual.</w:t>
      </w:r>
    </w:p>
    <w:p w14:paraId="7666FDD1" w14:textId="5DEC4328" w:rsidR="00892DC0" w:rsidRPr="00755BFF" w:rsidRDefault="00892DC0" w:rsidP="00892DC0">
      <w:pPr>
        <w:rPr>
          <w:rFonts w:eastAsia="Calibri" w:cs="Arial"/>
          <w:szCs w:val="20"/>
          <w:lang w:val="es-CR"/>
        </w:rPr>
      </w:pPr>
    </w:p>
    <w:p w14:paraId="682442B2" w14:textId="77777777" w:rsidR="00892DC0" w:rsidRDefault="00892DC0" w:rsidP="00892DC0">
      <w:pPr>
        <w:rPr>
          <w:rFonts w:eastAsia="Calibri" w:cs="Arial"/>
          <w:szCs w:val="20"/>
          <w:lang w:val="es-ES"/>
        </w:rPr>
      </w:pPr>
    </w:p>
    <w:p w14:paraId="521F8599" w14:textId="77777777" w:rsidR="00892DC0" w:rsidRPr="00755BFF" w:rsidRDefault="00892DC0" w:rsidP="00892DC0">
      <w:pPr>
        <w:rPr>
          <w:rFonts w:eastAsia="Calibri" w:cs="Arial"/>
          <w:szCs w:val="20"/>
          <w:lang w:val="es-ES"/>
        </w:rPr>
      </w:pPr>
    </w:p>
    <w:p w14:paraId="1E551DBE" w14:textId="77777777" w:rsidR="00892DC0" w:rsidRPr="00755BFF" w:rsidRDefault="00892DC0" w:rsidP="00892DC0">
      <w:pPr>
        <w:rPr>
          <w:rFonts w:eastAsia="Calibri" w:cs="Arial"/>
          <w:szCs w:val="20"/>
          <w:lang w:val="es-ES"/>
        </w:rPr>
      </w:pPr>
    </w:p>
    <w:p w14:paraId="4262CFB9" w14:textId="77777777" w:rsidR="00892DC0" w:rsidRPr="00755BFF" w:rsidRDefault="00892DC0" w:rsidP="00892DC0">
      <w:pPr>
        <w:rPr>
          <w:rFonts w:eastAsia="Calibri" w:cs="Arial"/>
          <w:szCs w:val="20"/>
          <w:lang w:val="es-ES"/>
        </w:rPr>
      </w:pPr>
    </w:p>
    <w:p w14:paraId="63C7D3E8" w14:textId="77777777" w:rsidR="00892DC0" w:rsidRPr="00755BFF" w:rsidRDefault="00892DC0" w:rsidP="00892DC0">
      <w:pPr>
        <w:jc w:val="center"/>
        <w:rPr>
          <w:rFonts w:eastAsia="Calibri" w:cs="Arial"/>
          <w:szCs w:val="20"/>
          <w:lang w:val="pt-BR"/>
        </w:rPr>
      </w:pPr>
      <w:r w:rsidRPr="00755BFF">
        <w:rPr>
          <w:rFonts w:eastAsia="Calibri" w:cs="Arial"/>
          <w:szCs w:val="20"/>
          <w:lang w:val="pt-BR"/>
        </w:rPr>
        <w:t xml:space="preserve">Elizabeth </w:t>
      </w:r>
      <w:proofErr w:type="spellStart"/>
      <w:r w:rsidRPr="00755BFF">
        <w:rPr>
          <w:rFonts w:eastAsia="Calibri" w:cs="Arial"/>
          <w:szCs w:val="20"/>
          <w:lang w:val="pt-BR"/>
        </w:rPr>
        <w:t>Odio</w:t>
      </w:r>
      <w:proofErr w:type="spellEnd"/>
      <w:r w:rsidRPr="00755BFF">
        <w:rPr>
          <w:rFonts w:eastAsia="Calibri" w:cs="Arial"/>
          <w:szCs w:val="20"/>
          <w:lang w:val="pt-BR"/>
        </w:rPr>
        <w:t xml:space="preserve"> Benito</w:t>
      </w:r>
    </w:p>
    <w:p w14:paraId="0419541C" w14:textId="77777777" w:rsidR="00892DC0" w:rsidRPr="00755BFF" w:rsidRDefault="00892DC0" w:rsidP="00892DC0">
      <w:pPr>
        <w:jc w:val="center"/>
        <w:rPr>
          <w:rFonts w:eastAsia="Calibri" w:cs="Arial"/>
          <w:szCs w:val="20"/>
          <w:lang w:val="pt-BR"/>
        </w:rPr>
      </w:pPr>
      <w:r w:rsidRPr="00755BFF">
        <w:rPr>
          <w:rFonts w:eastAsia="Calibri" w:cs="Arial"/>
          <w:szCs w:val="20"/>
          <w:lang w:val="pt-BR"/>
        </w:rPr>
        <w:t>Presidenta</w:t>
      </w:r>
    </w:p>
    <w:p w14:paraId="5ABC6E11" w14:textId="6F66186B" w:rsidR="00892DC0" w:rsidRPr="00755BFF" w:rsidRDefault="00892DC0" w:rsidP="00892DC0">
      <w:pPr>
        <w:rPr>
          <w:rFonts w:eastAsia="Calibri" w:cs="Arial"/>
          <w:szCs w:val="20"/>
          <w:lang w:val="pt-BR"/>
        </w:rPr>
      </w:pPr>
    </w:p>
    <w:p w14:paraId="09D76F5A" w14:textId="2026BCA4" w:rsidR="00892DC0" w:rsidRDefault="00892DC0" w:rsidP="00892DC0">
      <w:pPr>
        <w:rPr>
          <w:rFonts w:eastAsia="Calibri" w:cs="Arial"/>
          <w:szCs w:val="20"/>
          <w:lang w:val="pt-BR"/>
        </w:rPr>
      </w:pPr>
    </w:p>
    <w:p w14:paraId="28D775C3" w14:textId="77777777" w:rsidR="00892DC0" w:rsidRPr="00755BFF" w:rsidRDefault="00892DC0" w:rsidP="00892DC0">
      <w:pPr>
        <w:rPr>
          <w:rFonts w:eastAsia="Calibri" w:cs="Arial"/>
          <w:szCs w:val="20"/>
          <w:lang w:val="pt-BR"/>
        </w:rPr>
      </w:pPr>
    </w:p>
    <w:p w14:paraId="6CCD77CE" w14:textId="77777777" w:rsidR="00892DC0" w:rsidRPr="00755BFF" w:rsidRDefault="00892DC0" w:rsidP="00892DC0">
      <w:pPr>
        <w:rPr>
          <w:rFonts w:eastAsia="Calibri" w:cs="Arial"/>
          <w:szCs w:val="20"/>
          <w:lang w:val="pt-BR"/>
        </w:rPr>
      </w:pPr>
    </w:p>
    <w:p w14:paraId="2179FBFF" w14:textId="77777777" w:rsidR="00892DC0" w:rsidRPr="00755BFF" w:rsidRDefault="00892DC0" w:rsidP="00892DC0">
      <w:pPr>
        <w:rPr>
          <w:rFonts w:eastAsia="Calibri" w:cs="Arial"/>
          <w:szCs w:val="20"/>
          <w:lang w:val="pt-BR"/>
        </w:rPr>
      </w:pPr>
    </w:p>
    <w:p w14:paraId="5FC51750" w14:textId="204B7FBA" w:rsidR="00892DC0" w:rsidRPr="00755BFF" w:rsidRDefault="00892DC0" w:rsidP="00892DC0">
      <w:pPr>
        <w:rPr>
          <w:rFonts w:eastAsia="Calibri" w:cs="Arial"/>
          <w:szCs w:val="20"/>
          <w:lang w:val="pt-BR"/>
        </w:rPr>
      </w:pPr>
      <w:r w:rsidRPr="00755BFF">
        <w:rPr>
          <w:rFonts w:eastAsia="Calibri" w:cs="Arial"/>
          <w:szCs w:val="20"/>
          <w:lang w:val="pt-BR"/>
        </w:rPr>
        <w:t xml:space="preserve">L. </w:t>
      </w:r>
      <w:proofErr w:type="spellStart"/>
      <w:r w:rsidRPr="00755BFF">
        <w:rPr>
          <w:rFonts w:eastAsia="Calibri" w:cs="Arial"/>
          <w:szCs w:val="20"/>
          <w:lang w:val="pt-BR"/>
        </w:rPr>
        <w:t>Patricio</w:t>
      </w:r>
      <w:proofErr w:type="spellEnd"/>
      <w:r w:rsidRPr="00755BFF">
        <w:rPr>
          <w:rFonts w:eastAsia="Calibri" w:cs="Arial"/>
          <w:szCs w:val="20"/>
          <w:lang w:val="pt-BR"/>
        </w:rPr>
        <w:t xml:space="preserve"> </w:t>
      </w:r>
      <w:proofErr w:type="spellStart"/>
      <w:r w:rsidRPr="00755BFF">
        <w:rPr>
          <w:rFonts w:eastAsia="Calibri" w:cs="Arial"/>
          <w:szCs w:val="20"/>
          <w:lang w:val="pt-BR"/>
        </w:rPr>
        <w:t>Pazmiño</w:t>
      </w:r>
      <w:proofErr w:type="spellEnd"/>
      <w:r w:rsidRPr="00755BFF">
        <w:rPr>
          <w:rFonts w:eastAsia="Calibri" w:cs="Arial"/>
          <w:szCs w:val="20"/>
          <w:lang w:val="pt-BR"/>
        </w:rPr>
        <w:t xml:space="preserve"> Freire</w:t>
      </w:r>
      <w:r w:rsidRPr="00755BFF">
        <w:rPr>
          <w:rFonts w:eastAsia="Calibri" w:cs="Arial"/>
          <w:szCs w:val="20"/>
          <w:lang w:val="pt-BR"/>
        </w:rPr>
        <w:tab/>
      </w:r>
      <w:r w:rsidRPr="00755BFF">
        <w:rPr>
          <w:rFonts w:eastAsia="Calibri" w:cs="Arial"/>
          <w:szCs w:val="20"/>
          <w:lang w:val="pt-BR"/>
        </w:rPr>
        <w:tab/>
      </w:r>
      <w:r w:rsidRPr="00755BFF">
        <w:rPr>
          <w:rFonts w:eastAsia="Calibri" w:cs="Arial"/>
          <w:szCs w:val="20"/>
          <w:lang w:val="pt-BR"/>
        </w:rPr>
        <w:tab/>
      </w:r>
      <w:r w:rsidRPr="00755BFF">
        <w:rPr>
          <w:rFonts w:eastAsia="Calibri" w:cs="Arial"/>
          <w:szCs w:val="20"/>
          <w:lang w:val="pt-BR"/>
        </w:rPr>
        <w:tab/>
      </w:r>
      <w:r>
        <w:rPr>
          <w:rFonts w:eastAsia="Calibri" w:cs="Arial"/>
          <w:szCs w:val="20"/>
          <w:lang w:val="pt-BR"/>
        </w:rPr>
        <w:tab/>
      </w:r>
      <w:r>
        <w:rPr>
          <w:rFonts w:eastAsia="Calibri" w:cs="Arial"/>
          <w:szCs w:val="20"/>
          <w:lang w:val="pt-BR"/>
        </w:rPr>
        <w:tab/>
      </w:r>
      <w:r>
        <w:rPr>
          <w:rFonts w:eastAsia="Calibri" w:cs="Arial"/>
          <w:szCs w:val="20"/>
          <w:lang w:val="pt-BR"/>
        </w:rPr>
        <w:tab/>
        <w:t xml:space="preserve">      </w:t>
      </w:r>
      <w:r w:rsidRPr="00755BFF">
        <w:rPr>
          <w:rFonts w:eastAsia="Calibri" w:cs="Arial"/>
          <w:szCs w:val="20"/>
          <w:lang w:val="pt-BR"/>
        </w:rPr>
        <w:t>Eduardo Vio Grossi</w:t>
      </w:r>
    </w:p>
    <w:p w14:paraId="271C4250" w14:textId="05D7C18F" w:rsidR="00892DC0" w:rsidRPr="00755BFF" w:rsidRDefault="00892DC0" w:rsidP="00892DC0">
      <w:pPr>
        <w:rPr>
          <w:rFonts w:eastAsia="Calibri" w:cs="Arial"/>
          <w:szCs w:val="20"/>
          <w:lang w:val="pt-BR"/>
        </w:rPr>
      </w:pPr>
    </w:p>
    <w:p w14:paraId="0228C046" w14:textId="77777777" w:rsidR="00892DC0" w:rsidRPr="00755BFF" w:rsidRDefault="00892DC0" w:rsidP="00892DC0">
      <w:pPr>
        <w:rPr>
          <w:rFonts w:eastAsia="Calibri" w:cs="Arial"/>
          <w:szCs w:val="20"/>
          <w:lang w:val="pt-BR"/>
        </w:rPr>
      </w:pPr>
    </w:p>
    <w:p w14:paraId="7064DC4C" w14:textId="77777777" w:rsidR="00892DC0" w:rsidRDefault="00892DC0" w:rsidP="00892DC0">
      <w:pPr>
        <w:rPr>
          <w:rFonts w:eastAsia="Calibri" w:cs="Arial"/>
          <w:szCs w:val="20"/>
          <w:lang w:val="pt-BR"/>
        </w:rPr>
      </w:pPr>
    </w:p>
    <w:p w14:paraId="68644985" w14:textId="77777777" w:rsidR="00892DC0" w:rsidRPr="00755BFF" w:rsidRDefault="00892DC0" w:rsidP="00892DC0">
      <w:pPr>
        <w:rPr>
          <w:rFonts w:eastAsia="Calibri" w:cs="Arial"/>
          <w:szCs w:val="20"/>
          <w:lang w:val="pt-BR"/>
        </w:rPr>
      </w:pPr>
    </w:p>
    <w:p w14:paraId="6A655219" w14:textId="77777777" w:rsidR="00892DC0" w:rsidRPr="00755BFF" w:rsidRDefault="00892DC0" w:rsidP="00892DC0">
      <w:pPr>
        <w:rPr>
          <w:rFonts w:eastAsia="Calibri" w:cs="Arial"/>
          <w:szCs w:val="20"/>
          <w:lang w:val="pt-BR"/>
        </w:rPr>
      </w:pPr>
    </w:p>
    <w:p w14:paraId="4C0B80AB" w14:textId="77777777" w:rsidR="00892DC0" w:rsidRPr="00755BFF" w:rsidRDefault="00892DC0" w:rsidP="00892DC0">
      <w:pPr>
        <w:rPr>
          <w:rFonts w:eastAsia="Calibri" w:cs="Arial"/>
          <w:szCs w:val="20"/>
          <w:lang w:val="pt-BR"/>
        </w:rPr>
      </w:pPr>
      <w:r w:rsidRPr="00755BFF">
        <w:rPr>
          <w:rFonts w:eastAsia="Calibri" w:cs="Arial"/>
          <w:szCs w:val="20"/>
          <w:lang w:val="pt-BR"/>
        </w:rPr>
        <w:t xml:space="preserve">Eduardo Ferrer </w:t>
      </w:r>
      <w:proofErr w:type="spellStart"/>
      <w:r w:rsidRPr="00755BFF">
        <w:rPr>
          <w:rFonts w:eastAsia="Calibri" w:cs="Arial"/>
          <w:szCs w:val="20"/>
          <w:lang w:val="pt-BR"/>
        </w:rPr>
        <w:t>Mac-Gregor</w:t>
      </w:r>
      <w:proofErr w:type="spellEnd"/>
      <w:r w:rsidRPr="00755BFF">
        <w:rPr>
          <w:rFonts w:eastAsia="Calibri" w:cs="Arial"/>
          <w:szCs w:val="20"/>
          <w:lang w:val="pt-BR"/>
        </w:rPr>
        <w:t xml:space="preserve"> </w:t>
      </w:r>
      <w:proofErr w:type="spellStart"/>
      <w:r w:rsidRPr="00755BFF">
        <w:rPr>
          <w:rFonts w:eastAsia="Calibri" w:cs="Arial"/>
          <w:szCs w:val="20"/>
          <w:lang w:val="pt-BR"/>
        </w:rPr>
        <w:t>Poisot</w:t>
      </w:r>
      <w:proofErr w:type="spellEnd"/>
      <w:r w:rsidRPr="00755BFF">
        <w:rPr>
          <w:rFonts w:eastAsia="Calibri" w:cs="Arial"/>
          <w:szCs w:val="20"/>
          <w:lang w:val="pt-BR"/>
        </w:rPr>
        <w:tab/>
      </w:r>
      <w:r w:rsidRPr="00755BFF">
        <w:rPr>
          <w:rFonts w:eastAsia="Calibri" w:cs="Arial"/>
          <w:szCs w:val="20"/>
          <w:lang w:val="pt-BR"/>
        </w:rPr>
        <w:tab/>
      </w:r>
      <w:r w:rsidRPr="00755BFF">
        <w:rPr>
          <w:rFonts w:eastAsia="Calibri" w:cs="Arial"/>
          <w:szCs w:val="20"/>
          <w:lang w:val="pt-BR"/>
        </w:rPr>
        <w:tab/>
      </w:r>
      <w:r>
        <w:rPr>
          <w:rFonts w:eastAsia="Calibri" w:cs="Arial"/>
          <w:szCs w:val="20"/>
          <w:lang w:val="pt-BR"/>
        </w:rPr>
        <w:tab/>
      </w:r>
      <w:r>
        <w:rPr>
          <w:rFonts w:eastAsia="Calibri" w:cs="Arial"/>
          <w:szCs w:val="20"/>
          <w:lang w:val="pt-BR"/>
        </w:rPr>
        <w:tab/>
      </w:r>
      <w:r>
        <w:rPr>
          <w:rFonts w:eastAsia="Calibri" w:cs="Arial"/>
          <w:szCs w:val="20"/>
          <w:lang w:val="pt-BR"/>
        </w:rPr>
        <w:tab/>
        <w:t xml:space="preserve"> Eugenio </w:t>
      </w:r>
      <w:proofErr w:type="spellStart"/>
      <w:r>
        <w:rPr>
          <w:rFonts w:eastAsia="Calibri" w:cs="Arial"/>
          <w:szCs w:val="20"/>
          <w:lang w:val="pt-BR"/>
        </w:rPr>
        <w:t>Raúl</w:t>
      </w:r>
      <w:proofErr w:type="spellEnd"/>
      <w:r>
        <w:rPr>
          <w:rFonts w:eastAsia="Calibri" w:cs="Arial"/>
          <w:szCs w:val="20"/>
          <w:lang w:val="pt-BR"/>
        </w:rPr>
        <w:t xml:space="preserve"> </w:t>
      </w:r>
      <w:proofErr w:type="spellStart"/>
      <w:r>
        <w:rPr>
          <w:rFonts w:eastAsia="Calibri" w:cs="Arial"/>
          <w:szCs w:val="20"/>
          <w:lang w:val="pt-BR"/>
        </w:rPr>
        <w:t>Zaffaroni</w:t>
      </w:r>
      <w:proofErr w:type="spellEnd"/>
    </w:p>
    <w:p w14:paraId="7053F610" w14:textId="77777777" w:rsidR="00892DC0" w:rsidRPr="00755BFF" w:rsidRDefault="00892DC0" w:rsidP="00892DC0">
      <w:pPr>
        <w:rPr>
          <w:rFonts w:eastAsia="Calibri" w:cs="Arial"/>
          <w:szCs w:val="20"/>
          <w:lang w:val="pt-BR"/>
        </w:rPr>
      </w:pPr>
    </w:p>
    <w:p w14:paraId="6013AAC3" w14:textId="77777777" w:rsidR="00892DC0" w:rsidRPr="00755BFF" w:rsidRDefault="00892DC0" w:rsidP="00892DC0">
      <w:pPr>
        <w:rPr>
          <w:rFonts w:eastAsia="Calibri" w:cs="Arial"/>
          <w:szCs w:val="20"/>
          <w:lang w:val="pt-BR"/>
        </w:rPr>
      </w:pPr>
    </w:p>
    <w:p w14:paraId="6D8AEADB" w14:textId="6ED255C3" w:rsidR="00892DC0" w:rsidRPr="00755BFF" w:rsidRDefault="00892DC0" w:rsidP="00892DC0">
      <w:pPr>
        <w:rPr>
          <w:rFonts w:eastAsia="Calibri" w:cs="Arial"/>
          <w:szCs w:val="20"/>
          <w:lang w:val="pt-BR"/>
        </w:rPr>
      </w:pPr>
    </w:p>
    <w:p w14:paraId="0560C29B" w14:textId="77777777" w:rsidR="00892DC0" w:rsidRPr="00755BFF" w:rsidRDefault="00892DC0" w:rsidP="00892DC0">
      <w:pPr>
        <w:rPr>
          <w:rFonts w:eastAsia="Calibri" w:cs="Arial"/>
          <w:szCs w:val="20"/>
          <w:lang w:val="pt-BR"/>
        </w:rPr>
      </w:pPr>
    </w:p>
    <w:p w14:paraId="6C166F46" w14:textId="77777777" w:rsidR="00892DC0" w:rsidRPr="00755BFF" w:rsidRDefault="00892DC0" w:rsidP="00892DC0">
      <w:pPr>
        <w:rPr>
          <w:rFonts w:eastAsia="Calibri" w:cs="Arial"/>
          <w:szCs w:val="20"/>
          <w:lang w:val="pt-BR"/>
        </w:rPr>
      </w:pPr>
    </w:p>
    <w:p w14:paraId="33B7CEC3" w14:textId="77777777" w:rsidR="00892DC0" w:rsidRPr="00755BFF" w:rsidRDefault="00892DC0" w:rsidP="00892DC0">
      <w:pPr>
        <w:jc w:val="center"/>
        <w:rPr>
          <w:rFonts w:eastAsia="Calibri" w:cs="Arial"/>
          <w:szCs w:val="20"/>
          <w:lang w:val="pt-BR"/>
        </w:rPr>
      </w:pPr>
      <w:r w:rsidRPr="00755BFF">
        <w:rPr>
          <w:rFonts w:eastAsia="Calibri" w:cs="Arial"/>
          <w:szCs w:val="20"/>
          <w:lang w:val="pt-BR"/>
        </w:rPr>
        <w:t xml:space="preserve">Ricardo C. Pérez </w:t>
      </w:r>
      <w:proofErr w:type="spellStart"/>
      <w:r w:rsidRPr="00755BFF">
        <w:rPr>
          <w:rFonts w:eastAsia="Calibri" w:cs="Arial"/>
          <w:szCs w:val="20"/>
          <w:lang w:val="pt-BR"/>
        </w:rPr>
        <w:t>Manrique</w:t>
      </w:r>
      <w:proofErr w:type="spellEnd"/>
    </w:p>
    <w:p w14:paraId="2D83CBE8" w14:textId="77777777" w:rsidR="00892DC0" w:rsidRPr="00755BFF" w:rsidRDefault="00892DC0" w:rsidP="00892DC0">
      <w:pPr>
        <w:rPr>
          <w:rFonts w:eastAsia="Calibri" w:cs="Arial"/>
          <w:szCs w:val="20"/>
          <w:lang w:val="pt-BR"/>
        </w:rPr>
      </w:pPr>
    </w:p>
    <w:p w14:paraId="34325E8C" w14:textId="70DBECD4" w:rsidR="00892DC0" w:rsidRPr="00755BFF" w:rsidRDefault="00892DC0" w:rsidP="00892DC0">
      <w:pPr>
        <w:rPr>
          <w:rFonts w:eastAsia="Calibri" w:cs="Arial"/>
          <w:szCs w:val="20"/>
          <w:lang w:val="pt-BR"/>
        </w:rPr>
      </w:pPr>
    </w:p>
    <w:p w14:paraId="0B61DD7B" w14:textId="77777777" w:rsidR="00892DC0" w:rsidRPr="00755BFF" w:rsidRDefault="00892DC0" w:rsidP="00892DC0">
      <w:pPr>
        <w:rPr>
          <w:rFonts w:eastAsia="Calibri" w:cs="Arial"/>
          <w:szCs w:val="20"/>
          <w:lang w:val="pt-BR"/>
        </w:rPr>
      </w:pPr>
    </w:p>
    <w:p w14:paraId="447A6923" w14:textId="77777777" w:rsidR="00892DC0" w:rsidRPr="00755BFF" w:rsidRDefault="00892DC0" w:rsidP="00892DC0">
      <w:pPr>
        <w:rPr>
          <w:rFonts w:eastAsia="Calibri" w:cs="Arial"/>
          <w:szCs w:val="20"/>
          <w:lang w:val="pt-BR"/>
        </w:rPr>
      </w:pPr>
    </w:p>
    <w:p w14:paraId="2720390F" w14:textId="77777777" w:rsidR="00892DC0" w:rsidRPr="00755BFF" w:rsidRDefault="00892DC0" w:rsidP="00892DC0">
      <w:pPr>
        <w:rPr>
          <w:rFonts w:eastAsia="Calibri" w:cs="Arial"/>
          <w:szCs w:val="20"/>
          <w:lang w:val="pt-BR"/>
        </w:rPr>
      </w:pPr>
    </w:p>
    <w:p w14:paraId="1A39CA05" w14:textId="77777777" w:rsidR="00892DC0" w:rsidRPr="00755BFF" w:rsidRDefault="00892DC0" w:rsidP="00892DC0">
      <w:pPr>
        <w:jc w:val="center"/>
        <w:rPr>
          <w:rFonts w:eastAsia="Calibri" w:cs="Arial"/>
          <w:szCs w:val="20"/>
          <w:lang w:val="pt-BR"/>
        </w:rPr>
      </w:pPr>
      <w:bookmarkStart w:id="141" w:name="_Hlk58838493"/>
      <w:proofErr w:type="spellStart"/>
      <w:r>
        <w:rPr>
          <w:rFonts w:eastAsia="Calibri" w:cs="Arial"/>
          <w:szCs w:val="20"/>
          <w:lang w:val="pt-BR"/>
        </w:rPr>
        <w:t>Romina</w:t>
      </w:r>
      <w:proofErr w:type="spellEnd"/>
      <w:r>
        <w:rPr>
          <w:rFonts w:eastAsia="Calibri" w:cs="Arial"/>
          <w:szCs w:val="20"/>
          <w:lang w:val="pt-BR"/>
        </w:rPr>
        <w:t xml:space="preserve"> I. </w:t>
      </w:r>
      <w:proofErr w:type="spellStart"/>
      <w:r>
        <w:rPr>
          <w:rFonts w:eastAsia="Calibri" w:cs="Arial"/>
          <w:szCs w:val="20"/>
          <w:lang w:val="pt-BR"/>
        </w:rPr>
        <w:t>Sijniensky</w:t>
      </w:r>
      <w:proofErr w:type="spellEnd"/>
    </w:p>
    <w:p w14:paraId="3607E5ED" w14:textId="77777777" w:rsidR="00892DC0" w:rsidRPr="00637126" w:rsidRDefault="00892DC0" w:rsidP="00892DC0">
      <w:pPr>
        <w:jc w:val="center"/>
        <w:rPr>
          <w:rFonts w:eastAsia="Calibri" w:cs="Arial"/>
          <w:szCs w:val="20"/>
          <w:lang w:val="pt-BR"/>
        </w:rPr>
      </w:pPr>
      <w:r w:rsidRPr="00637126">
        <w:rPr>
          <w:rFonts w:eastAsia="Calibri" w:cs="Arial"/>
          <w:szCs w:val="20"/>
          <w:lang w:val="pt-BR"/>
        </w:rPr>
        <w:t>Secretaria Adjunta</w:t>
      </w:r>
    </w:p>
    <w:bookmarkEnd w:id="141"/>
    <w:p w14:paraId="680C9335" w14:textId="77777777" w:rsidR="00892DC0" w:rsidRPr="00637126" w:rsidRDefault="00892DC0" w:rsidP="00892DC0">
      <w:pPr>
        <w:rPr>
          <w:rFonts w:eastAsia="Calibri" w:cs="Arial"/>
          <w:szCs w:val="20"/>
          <w:lang w:val="pt-BR"/>
        </w:rPr>
      </w:pPr>
    </w:p>
    <w:p w14:paraId="4578377D" w14:textId="77777777" w:rsidR="00892DC0" w:rsidRPr="00637126" w:rsidRDefault="00892DC0" w:rsidP="00892DC0">
      <w:pPr>
        <w:rPr>
          <w:rFonts w:eastAsia="Calibri" w:cs="Arial"/>
          <w:szCs w:val="20"/>
          <w:lang w:val="pt-BR"/>
        </w:rPr>
      </w:pPr>
    </w:p>
    <w:p w14:paraId="2FF58B15" w14:textId="77777777" w:rsidR="00892DC0" w:rsidRPr="00637126" w:rsidRDefault="00892DC0" w:rsidP="00892DC0">
      <w:pPr>
        <w:rPr>
          <w:rFonts w:eastAsia="Calibri" w:cs="Arial"/>
          <w:szCs w:val="20"/>
          <w:lang w:val="pt-BR"/>
        </w:rPr>
      </w:pPr>
    </w:p>
    <w:p w14:paraId="79E561D8" w14:textId="77777777" w:rsidR="00892DC0" w:rsidRPr="00637126" w:rsidRDefault="00892DC0" w:rsidP="00892DC0">
      <w:pPr>
        <w:rPr>
          <w:rFonts w:eastAsia="Calibri" w:cs="Arial"/>
          <w:szCs w:val="20"/>
          <w:lang w:val="pt-BR"/>
        </w:rPr>
      </w:pPr>
    </w:p>
    <w:p w14:paraId="6FE784AA" w14:textId="0CFDB6FF" w:rsidR="00892DC0" w:rsidRPr="00637126" w:rsidRDefault="00892DC0" w:rsidP="00892DC0">
      <w:pPr>
        <w:rPr>
          <w:rFonts w:eastAsia="Calibri" w:cs="Arial"/>
          <w:szCs w:val="20"/>
          <w:lang w:val="pt-BR"/>
        </w:rPr>
      </w:pPr>
      <w:proofErr w:type="spellStart"/>
      <w:r w:rsidRPr="00637126">
        <w:rPr>
          <w:rFonts w:eastAsia="Calibri" w:cs="Arial"/>
          <w:szCs w:val="20"/>
          <w:lang w:val="pt-BR"/>
        </w:rPr>
        <w:t>Comuníquese</w:t>
      </w:r>
      <w:proofErr w:type="spellEnd"/>
      <w:r w:rsidRPr="00637126">
        <w:rPr>
          <w:rFonts w:eastAsia="Calibri" w:cs="Arial"/>
          <w:szCs w:val="20"/>
          <w:lang w:val="pt-BR"/>
        </w:rPr>
        <w:t xml:space="preserve"> y </w:t>
      </w:r>
      <w:proofErr w:type="spellStart"/>
      <w:r w:rsidRPr="00637126">
        <w:rPr>
          <w:rFonts w:eastAsia="Calibri" w:cs="Arial"/>
          <w:szCs w:val="20"/>
          <w:lang w:val="pt-BR"/>
        </w:rPr>
        <w:t>ejecútese</w:t>
      </w:r>
      <w:proofErr w:type="spellEnd"/>
      <w:r w:rsidRPr="00637126">
        <w:rPr>
          <w:rFonts w:eastAsia="Calibri" w:cs="Arial"/>
          <w:szCs w:val="20"/>
          <w:lang w:val="pt-BR"/>
        </w:rPr>
        <w:t>,</w:t>
      </w:r>
    </w:p>
    <w:p w14:paraId="1FD96EDD" w14:textId="77777777" w:rsidR="00892DC0" w:rsidRPr="00637126" w:rsidRDefault="00892DC0" w:rsidP="00892DC0">
      <w:pPr>
        <w:rPr>
          <w:rFonts w:eastAsia="Calibri" w:cs="Arial"/>
          <w:szCs w:val="20"/>
          <w:lang w:val="pt-BR"/>
        </w:rPr>
      </w:pPr>
    </w:p>
    <w:p w14:paraId="737EC68F" w14:textId="77777777" w:rsidR="00892DC0" w:rsidRPr="00637126" w:rsidRDefault="00892DC0" w:rsidP="00892DC0">
      <w:pPr>
        <w:rPr>
          <w:rFonts w:eastAsia="Calibri" w:cs="Arial"/>
          <w:szCs w:val="20"/>
          <w:lang w:val="pt-BR"/>
        </w:rPr>
      </w:pPr>
    </w:p>
    <w:p w14:paraId="61945794" w14:textId="77777777" w:rsidR="00892DC0" w:rsidRPr="00637126" w:rsidRDefault="00892DC0" w:rsidP="00892DC0">
      <w:pPr>
        <w:rPr>
          <w:rFonts w:eastAsia="Calibri" w:cs="Arial"/>
          <w:szCs w:val="20"/>
          <w:lang w:val="pt-BR"/>
        </w:rPr>
      </w:pPr>
    </w:p>
    <w:p w14:paraId="12F0BDE2" w14:textId="77777777" w:rsidR="00892DC0" w:rsidRPr="00637126" w:rsidRDefault="00892DC0" w:rsidP="00892DC0">
      <w:pPr>
        <w:rPr>
          <w:rFonts w:eastAsia="Calibri" w:cs="Arial"/>
          <w:szCs w:val="20"/>
          <w:lang w:val="pt-BR"/>
        </w:rPr>
      </w:pPr>
    </w:p>
    <w:p w14:paraId="38B136E8" w14:textId="77777777" w:rsidR="00892DC0" w:rsidRPr="00637126" w:rsidRDefault="00892DC0" w:rsidP="00892DC0">
      <w:pPr>
        <w:ind w:left="5664"/>
        <w:jc w:val="center"/>
        <w:rPr>
          <w:rFonts w:eastAsia="Calibri" w:cs="Arial"/>
          <w:szCs w:val="20"/>
          <w:lang w:val="pt-BR"/>
        </w:rPr>
      </w:pPr>
      <w:r w:rsidRPr="00637126">
        <w:rPr>
          <w:rFonts w:eastAsia="Calibri" w:cs="Arial"/>
          <w:szCs w:val="20"/>
          <w:lang w:val="pt-BR"/>
        </w:rPr>
        <w:t xml:space="preserve">Elizabeth </w:t>
      </w:r>
      <w:proofErr w:type="spellStart"/>
      <w:r w:rsidRPr="00637126">
        <w:rPr>
          <w:rFonts w:eastAsia="Calibri" w:cs="Arial"/>
          <w:szCs w:val="20"/>
          <w:lang w:val="pt-BR"/>
        </w:rPr>
        <w:t>Odio</w:t>
      </w:r>
      <w:proofErr w:type="spellEnd"/>
      <w:r w:rsidRPr="00637126">
        <w:rPr>
          <w:rFonts w:eastAsia="Calibri" w:cs="Arial"/>
          <w:szCs w:val="20"/>
          <w:lang w:val="pt-BR"/>
        </w:rPr>
        <w:t xml:space="preserve"> Benito</w:t>
      </w:r>
    </w:p>
    <w:p w14:paraId="019437C7" w14:textId="77777777" w:rsidR="00892DC0" w:rsidRPr="00755BFF" w:rsidRDefault="00892DC0" w:rsidP="00892DC0">
      <w:pPr>
        <w:ind w:left="5664"/>
        <w:jc w:val="center"/>
        <w:rPr>
          <w:rFonts w:eastAsia="Calibri" w:cs="Arial"/>
          <w:szCs w:val="20"/>
          <w:lang w:val="pt-BR"/>
        </w:rPr>
      </w:pPr>
      <w:r w:rsidRPr="00755BFF">
        <w:rPr>
          <w:rFonts w:eastAsia="Calibri" w:cs="Arial"/>
          <w:szCs w:val="20"/>
          <w:lang w:val="pt-BR"/>
        </w:rPr>
        <w:t>Presidenta</w:t>
      </w:r>
    </w:p>
    <w:p w14:paraId="2E2C8A70" w14:textId="77777777" w:rsidR="00892DC0" w:rsidRPr="00755BFF" w:rsidRDefault="00892DC0" w:rsidP="00892DC0">
      <w:pPr>
        <w:rPr>
          <w:rFonts w:eastAsia="Calibri" w:cs="Arial"/>
          <w:szCs w:val="20"/>
          <w:lang w:val="pt-BR"/>
        </w:rPr>
      </w:pPr>
    </w:p>
    <w:p w14:paraId="7DC7A68E" w14:textId="77777777" w:rsidR="00892DC0" w:rsidRPr="00755BFF" w:rsidRDefault="00892DC0" w:rsidP="00892DC0">
      <w:pPr>
        <w:rPr>
          <w:rFonts w:eastAsia="Calibri" w:cs="Arial"/>
          <w:szCs w:val="20"/>
          <w:lang w:val="pt-BR"/>
        </w:rPr>
      </w:pPr>
    </w:p>
    <w:p w14:paraId="6F4D7FF2" w14:textId="0BEF6999" w:rsidR="00892DC0" w:rsidRPr="00755BFF" w:rsidRDefault="00892DC0" w:rsidP="00892DC0">
      <w:pPr>
        <w:rPr>
          <w:rFonts w:eastAsia="Calibri" w:cs="Arial"/>
          <w:szCs w:val="20"/>
          <w:lang w:val="pt-BR"/>
        </w:rPr>
      </w:pPr>
    </w:p>
    <w:p w14:paraId="0B324DCB" w14:textId="77777777" w:rsidR="00892DC0" w:rsidRPr="00755BFF" w:rsidRDefault="00892DC0" w:rsidP="00892DC0">
      <w:pPr>
        <w:rPr>
          <w:rFonts w:eastAsia="Calibri" w:cs="Arial"/>
          <w:szCs w:val="20"/>
          <w:lang w:val="pt-BR"/>
        </w:rPr>
      </w:pPr>
    </w:p>
    <w:p w14:paraId="23DF275C" w14:textId="77777777" w:rsidR="00892DC0" w:rsidRPr="00755BFF" w:rsidRDefault="00892DC0" w:rsidP="00892DC0">
      <w:pPr>
        <w:rPr>
          <w:rFonts w:eastAsia="Calibri" w:cs="Arial"/>
          <w:szCs w:val="20"/>
          <w:lang w:val="pt-BR"/>
        </w:rPr>
      </w:pPr>
    </w:p>
    <w:p w14:paraId="42F5BA41" w14:textId="77777777" w:rsidR="00892DC0" w:rsidRPr="00731105" w:rsidRDefault="00892DC0" w:rsidP="00892DC0">
      <w:pPr>
        <w:tabs>
          <w:tab w:val="left" w:pos="567"/>
        </w:tabs>
        <w:rPr>
          <w:rFonts w:eastAsia="Calibri" w:cs="Arial"/>
          <w:szCs w:val="20"/>
          <w:lang w:val="pt-BR"/>
        </w:rPr>
      </w:pPr>
      <w:proofErr w:type="spellStart"/>
      <w:r w:rsidRPr="00731105">
        <w:rPr>
          <w:rFonts w:eastAsia="Calibri" w:cs="Arial"/>
          <w:szCs w:val="20"/>
          <w:lang w:val="pt-BR"/>
        </w:rPr>
        <w:t>Romina</w:t>
      </w:r>
      <w:proofErr w:type="spellEnd"/>
      <w:r w:rsidRPr="00731105">
        <w:rPr>
          <w:rFonts w:eastAsia="Calibri" w:cs="Arial"/>
          <w:szCs w:val="20"/>
          <w:lang w:val="pt-BR"/>
        </w:rPr>
        <w:t xml:space="preserve"> I. </w:t>
      </w:r>
      <w:proofErr w:type="spellStart"/>
      <w:r w:rsidRPr="00731105">
        <w:rPr>
          <w:rFonts w:eastAsia="Calibri" w:cs="Arial"/>
          <w:szCs w:val="20"/>
          <w:lang w:val="pt-BR"/>
        </w:rPr>
        <w:t>Sijniensky</w:t>
      </w:r>
      <w:proofErr w:type="spellEnd"/>
    </w:p>
    <w:p w14:paraId="67F7348A" w14:textId="77777777" w:rsidR="00892DC0" w:rsidRPr="00637126" w:rsidRDefault="00892DC0" w:rsidP="00892DC0">
      <w:pPr>
        <w:tabs>
          <w:tab w:val="left" w:pos="567"/>
        </w:tabs>
        <w:rPr>
          <w:rFonts w:eastAsia="Calibri" w:cs="Arial"/>
          <w:szCs w:val="20"/>
          <w:lang w:val="pt-BR"/>
        </w:rPr>
      </w:pPr>
      <w:r w:rsidRPr="00637126">
        <w:rPr>
          <w:rFonts w:eastAsia="Calibri" w:cs="Arial"/>
          <w:szCs w:val="20"/>
          <w:lang w:val="pt-BR"/>
        </w:rPr>
        <w:t xml:space="preserve"> Secretaria Adjunta</w:t>
      </w:r>
    </w:p>
    <w:sectPr w:rsidR="00892DC0" w:rsidRPr="00637126" w:rsidSect="00577C9F">
      <w:headerReference w:type="even" r:id="rId8"/>
      <w:headerReference w:type="default" r:id="rId9"/>
      <w:footerReference w:type="default" r:id="rId10"/>
      <w:pgSz w:w="12240" w:h="15840" w:code="1"/>
      <w:pgMar w:top="1418" w:right="1418" w:bottom="1418"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631D4" w14:textId="77777777" w:rsidR="00D36B55" w:rsidRDefault="00D36B55" w:rsidP="00727039">
      <w:r>
        <w:separator/>
      </w:r>
    </w:p>
    <w:p w14:paraId="5A426E40" w14:textId="77777777" w:rsidR="00D36B55" w:rsidRDefault="00D36B55"/>
  </w:endnote>
  <w:endnote w:type="continuationSeparator" w:id="0">
    <w:p w14:paraId="45CE2753" w14:textId="77777777" w:rsidR="00D36B55" w:rsidRDefault="00D36B55" w:rsidP="00727039">
      <w:r>
        <w:continuationSeparator/>
      </w:r>
    </w:p>
    <w:p w14:paraId="10C7755F" w14:textId="77777777" w:rsidR="00D36B55" w:rsidRDefault="00D36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Italic">
    <w:altName w:val="Times New Roman"/>
    <w:charset w:val="4D"/>
    <w:family w:val="auto"/>
    <w:pitch w:val="variable"/>
    <w:sig w:usb0="A00002FF" w:usb1="7800205A" w:usb2="14600000" w:usb3="00000000" w:csb0="0000019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Verdana Bold">
    <w:altName w:val="Times New Roman"/>
    <w:charset w:val="00"/>
    <w:family w:val="auto"/>
    <w:pitch w:val="variable"/>
    <w:sig w:usb0="00000001"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422873"/>
      <w:docPartObj>
        <w:docPartGallery w:val="Page Numbers (Bottom of Page)"/>
        <w:docPartUnique/>
      </w:docPartObj>
    </w:sdtPr>
    <w:sdtEndPr/>
    <w:sdtContent>
      <w:p w14:paraId="74AC2567" w14:textId="308B0FA3" w:rsidR="00EA629E" w:rsidRDefault="00EA629E">
        <w:pPr>
          <w:pStyle w:val="Piedepgina"/>
          <w:jc w:val="center"/>
        </w:pPr>
        <w:r>
          <w:fldChar w:fldCharType="begin"/>
        </w:r>
        <w:r>
          <w:instrText>PAGE   \* MERGEFORMAT</w:instrText>
        </w:r>
        <w:r>
          <w:fldChar w:fldCharType="separate"/>
        </w:r>
        <w:r w:rsidR="001D74D7" w:rsidRPr="001D74D7">
          <w:rPr>
            <w:noProof/>
            <w:lang w:val="es-ES"/>
          </w:rPr>
          <w:t>8</w:t>
        </w:r>
        <w:r>
          <w:fldChar w:fldCharType="end"/>
        </w:r>
      </w:p>
    </w:sdtContent>
  </w:sdt>
  <w:p w14:paraId="44909233" w14:textId="77777777" w:rsidR="00EA629E" w:rsidRDefault="00EA62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72CB3" w14:textId="77777777" w:rsidR="00D36B55" w:rsidRDefault="00D36B55" w:rsidP="00727039">
      <w:r>
        <w:separator/>
      </w:r>
    </w:p>
  </w:footnote>
  <w:footnote w:type="continuationSeparator" w:id="0">
    <w:p w14:paraId="612FD701" w14:textId="77777777" w:rsidR="00D36B55" w:rsidRDefault="00D36B55" w:rsidP="00727039">
      <w:r>
        <w:continuationSeparator/>
      </w:r>
    </w:p>
    <w:p w14:paraId="03583CB3" w14:textId="77777777" w:rsidR="00D36B55" w:rsidRDefault="00D36B55"/>
  </w:footnote>
  <w:footnote w:id="1">
    <w:p w14:paraId="55F3ABAA" w14:textId="3B94819D" w:rsidR="00EA629E" w:rsidRPr="00931740" w:rsidRDefault="00EA629E">
      <w:pPr>
        <w:pStyle w:val="Textonotapie"/>
        <w:rPr>
          <w:szCs w:val="16"/>
          <w:lang w:val="es-ES"/>
        </w:rPr>
      </w:pPr>
      <w:r w:rsidRPr="00931740">
        <w:rPr>
          <w:rStyle w:val="Refdenotaalpie"/>
          <w:sz w:val="16"/>
          <w:szCs w:val="16"/>
          <w:lang w:val="es-ES"/>
        </w:rPr>
        <w:t>*</w:t>
      </w:r>
      <w:r w:rsidRPr="00931740">
        <w:rPr>
          <w:szCs w:val="16"/>
          <w:lang w:val="es-ES"/>
        </w:rPr>
        <w:t xml:space="preserve"> </w:t>
      </w:r>
      <w:r w:rsidRPr="00931740">
        <w:rPr>
          <w:szCs w:val="16"/>
          <w:lang w:val="es-ES"/>
        </w:rPr>
        <w:tab/>
        <w:t>El Juez Humberto Antonio Sierra Porto, de nacionalidad colombiana, no participó en la deliberación y firma de esta Sentencia, de conformidad con lo dispuesto en los artículos 19.1 y 19.2 del Reglamento de la Corte.</w:t>
      </w:r>
    </w:p>
  </w:footnote>
  <w:footnote w:id="2">
    <w:p w14:paraId="76940129" w14:textId="249F363B" w:rsidR="00EA629E" w:rsidRPr="00931740" w:rsidRDefault="00EA629E">
      <w:pPr>
        <w:pStyle w:val="Textonotapie"/>
        <w:rPr>
          <w:szCs w:val="16"/>
        </w:rPr>
      </w:pPr>
      <w:r w:rsidRPr="00931740">
        <w:rPr>
          <w:rStyle w:val="Refdenotaalpie"/>
          <w:sz w:val="16"/>
          <w:szCs w:val="16"/>
        </w:rPr>
        <w:t>**</w:t>
      </w:r>
      <w:r w:rsidRPr="00931740">
        <w:rPr>
          <w:szCs w:val="16"/>
        </w:rPr>
        <w:t xml:space="preserve"> </w:t>
      </w:r>
      <w:r w:rsidRPr="00931740">
        <w:rPr>
          <w:szCs w:val="16"/>
        </w:rPr>
        <w:tab/>
        <w:t>El Secretario, Pablo Saavedra Alessandri, no participó en la tramitación del presente caso ni en la deliberación y firma de esta sentencia.</w:t>
      </w:r>
    </w:p>
  </w:footnote>
  <w:footnote w:id="3">
    <w:p w14:paraId="3D4C9516" w14:textId="5ADEF40D" w:rsidR="003F0D73" w:rsidRPr="003F0D73" w:rsidRDefault="003F0D73">
      <w:pPr>
        <w:pStyle w:val="Textonotapie"/>
      </w:pPr>
      <w:r>
        <w:rPr>
          <w:rStyle w:val="Refdenotaalpie"/>
        </w:rPr>
        <w:footnoteRef/>
      </w:r>
      <w:r>
        <w:t xml:space="preserve"> </w:t>
      </w:r>
      <w:r>
        <w:tab/>
        <w:t xml:space="preserve">Los representantes de las víctimas son Ciro </w:t>
      </w:r>
      <w:proofErr w:type="spellStart"/>
      <w:r>
        <w:t>Colombara</w:t>
      </w:r>
      <w:proofErr w:type="spellEnd"/>
      <w:r>
        <w:t xml:space="preserve"> López y </w:t>
      </w:r>
      <w:proofErr w:type="spellStart"/>
      <w:r>
        <w:t>Branislav</w:t>
      </w:r>
      <w:proofErr w:type="spellEnd"/>
      <w:r>
        <w:t xml:space="preserve"> </w:t>
      </w:r>
      <w:proofErr w:type="spellStart"/>
      <w:r>
        <w:t>Marelic</w:t>
      </w:r>
      <w:proofErr w:type="spellEnd"/>
      <w:r>
        <w:t xml:space="preserve"> </w:t>
      </w:r>
      <w:proofErr w:type="spellStart"/>
      <w:r>
        <w:t>Rocov</w:t>
      </w:r>
      <w:proofErr w:type="spellEnd"/>
      <w:r>
        <w:t>.</w:t>
      </w:r>
      <w:r w:rsidR="00CC62B2">
        <w:t xml:space="preserve"> </w:t>
      </w:r>
      <w:r w:rsidR="00CC62B2" w:rsidRPr="00A33BEF">
        <w:t xml:space="preserve">En el escrito de alegatos finales se informó que </w:t>
      </w:r>
      <w:proofErr w:type="spellStart"/>
      <w:r w:rsidR="00CC62B2" w:rsidRPr="00A33BEF">
        <w:t>Maité</w:t>
      </w:r>
      <w:proofErr w:type="spellEnd"/>
      <w:r w:rsidR="00CC62B2" w:rsidRPr="00A33BEF">
        <w:t xml:space="preserve"> de Rue y Juliana Vengoechea Barrios del Open </w:t>
      </w:r>
      <w:proofErr w:type="spellStart"/>
      <w:r w:rsidR="00CC62B2" w:rsidRPr="00A33BEF">
        <w:t>Society</w:t>
      </w:r>
      <w:proofErr w:type="spellEnd"/>
      <w:r w:rsidR="00CC62B2" w:rsidRPr="00A33BEF">
        <w:t xml:space="preserve"> </w:t>
      </w:r>
      <w:proofErr w:type="spellStart"/>
      <w:r w:rsidR="00CC62B2" w:rsidRPr="00A33BEF">
        <w:t>Justice</w:t>
      </w:r>
      <w:proofErr w:type="spellEnd"/>
      <w:r w:rsidR="00CC62B2" w:rsidRPr="00A33BEF">
        <w:t xml:space="preserve"> </w:t>
      </w:r>
      <w:proofErr w:type="spellStart"/>
      <w:r w:rsidR="00CC62B2" w:rsidRPr="00A33BEF">
        <w:t>Initiative</w:t>
      </w:r>
      <w:proofErr w:type="spellEnd"/>
      <w:r w:rsidR="00CC62B2" w:rsidRPr="00A33BEF">
        <w:t>, concurrían como parte del equipo de representantes</w:t>
      </w:r>
      <w:r w:rsidR="00CC62B2">
        <w:t>.</w:t>
      </w:r>
    </w:p>
  </w:footnote>
  <w:footnote w:id="4">
    <w:p w14:paraId="7EE43DF1" w14:textId="0023B64C" w:rsidR="008025B6" w:rsidRPr="008025B6" w:rsidRDefault="008025B6">
      <w:pPr>
        <w:pStyle w:val="Textonotapie"/>
      </w:pPr>
      <w:r>
        <w:rPr>
          <w:rStyle w:val="Refdenotaalpie"/>
        </w:rPr>
        <w:footnoteRef/>
      </w:r>
      <w:r>
        <w:t xml:space="preserve"> </w:t>
      </w:r>
      <w:r>
        <w:tab/>
        <w:t>Debido a las circunstancias excepcionales ocasionadas por la pandemia COVID-19, esta Sentencia fue deli</w:t>
      </w:r>
      <w:r w:rsidR="000F7AA1">
        <w:t>berada y aprobada durante el 142</w:t>
      </w:r>
      <w:r>
        <w:t xml:space="preserve"> Período Ordinario de Sesiones, el cual se llevó a cabo de forma no presencial utilizando medios tecnológicos de conformidad con lo establecido en el Reglamento de la Corte.</w:t>
      </w:r>
    </w:p>
  </w:footnote>
  <w:footnote w:id="5">
    <w:p w14:paraId="02D95945" w14:textId="05650E3E" w:rsidR="006E7D57" w:rsidRPr="0097120D" w:rsidRDefault="006E7D57" w:rsidP="008A1E39">
      <w:pPr>
        <w:pStyle w:val="Textonotapie"/>
        <w:rPr>
          <w:b/>
          <w:szCs w:val="16"/>
          <w:vertAlign w:val="superscript"/>
          <w:lang w:val="es-MX"/>
        </w:rPr>
      </w:pPr>
      <w:r w:rsidRPr="0097120D">
        <w:rPr>
          <w:rStyle w:val="Refdenotaalpie"/>
          <w:rFonts w:eastAsiaTheme="majorEastAsia"/>
          <w:sz w:val="16"/>
          <w:szCs w:val="16"/>
        </w:rPr>
        <w:footnoteRef/>
      </w:r>
      <w:r w:rsidRPr="0097120D">
        <w:rPr>
          <w:szCs w:val="16"/>
          <w:vertAlign w:val="superscript"/>
        </w:rPr>
        <w:t xml:space="preserve"> </w:t>
      </w:r>
      <w:r w:rsidRPr="0097120D">
        <w:rPr>
          <w:szCs w:val="16"/>
          <w:vertAlign w:val="superscript"/>
        </w:rPr>
        <w:tab/>
      </w:r>
      <w:r w:rsidRPr="0097120D">
        <w:rPr>
          <w:i/>
          <w:szCs w:val="16"/>
          <w:lang w:val="it-IT"/>
        </w:rPr>
        <w:t xml:space="preserve">Cfr. Caso Gelman Vs. </w:t>
      </w:r>
      <w:r w:rsidRPr="0097120D">
        <w:rPr>
          <w:i/>
          <w:szCs w:val="16"/>
        </w:rPr>
        <w:t>Uruguay. Supervisión de Cumplimiento de Sentencia.</w:t>
      </w:r>
      <w:r w:rsidRPr="0097120D">
        <w:rPr>
          <w:szCs w:val="16"/>
        </w:rPr>
        <w:t xml:space="preserve"> Resolución de la Corte Interamericana de Derechos Humanos de 20 de marzo de 2013, Considerandos </w:t>
      </w:r>
      <w:r w:rsidRPr="008A1E39">
        <w:rPr>
          <w:lang w:val="es-MX"/>
        </w:rPr>
        <w:t>61</w:t>
      </w:r>
      <w:r w:rsidRPr="0097120D">
        <w:rPr>
          <w:szCs w:val="16"/>
        </w:rPr>
        <w:t xml:space="preserve"> y 68, y </w:t>
      </w:r>
      <w:r w:rsidRPr="0097120D">
        <w:rPr>
          <w:rStyle w:val="Textoennegrita"/>
          <w:b w:val="0"/>
          <w:i/>
          <w:color w:val="000000"/>
          <w:szCs w:val="16"/>
          <w:shd w:val="clear" w:color="auto" w:fill="FFFFFF"/>
        </w:rPr>
        <w:t xml:space="preserve">Caso </w:t>
      </w:r>
      <w:r w:rsidR="00814E67">
        <w:rPr>
          <w:rStyle w:val="Textoennegrita"/>
          <w:b w:val="0"/>
          <w:i/>
          <w:color w:val="000000"/>
          <w:szCs w:val="16"/>
          <w:shd w:val="clear" w:color="auto" w:fill="FFFFFF"/>
        </w:rPr>
        <w:t>Herzog y otros Vs. Brasil</w:t>
      </w:r>
      <w:r w:rsidRPr="0097120D">
        <w:rPr>
          <w:rStyle w:val="Textoennegrita"/>
          <w:b w:val="0"/>
          <w:i/>
          <w:color w:val="000000"/>
          <w:szCs w:val="16"/>
          <w:shd w:val="clear" w:color="auto" w:fill="FFFFFF"/>
        </w:rPr>
        <w:t>. Supervisió</w:t>
      </w:r>
      <w:r w:rsidR="007F5B3B">
        <w:rPr>
          <w:rStyle w:val="Textoennegrita"/>
          <w:b w:val="0"/>
          <w:i/>
          <w:color w:val="000000"/>
          <w:szCs w:val="16"/>
          <w:shd w:val="clear" w:color="auto" w:fill="FFFFFF"/>
        </w:rPr>
        <w:t xml:space="preserve">n de Cumplimiento de Sentencia. </w:t>
      </w:r>
      <w:r w:rsidR="007F5B3B">
        <w:rPr>
          <w:rStyle w:val="Textoennegrita"/>
          <w:b w:val="0"/>
          <w:color w:val="000000"/>
          <w:szCs w:val="16"/>
          <w:shd w:val="clear" w:color="auto" w:fill="FFFFFF"/>
        </w:rPr>
        <w:t xml:space="preserve">Resolución de la Corte Interamericana de Derechos Humanos de </w:t>
      </w:r>
      <w:r w:rsidR="00814E67">
        <w:rPr>
          <w:rStyle w:val="Textoennegrita"/>
          <w:b w:val="0"/>
          <w:color w:val="000000"/>
          <w:szCs w:val="16"/>
          <w:shd w:val="clear" w:color="auto" w:fill="FFFFFF"/>
        </w:rPr>
        <w:t>30 de abril de 2021, Considerando 8</w:t>
      </w:r>
      <w:r w:rsidRPr="0097120D">
        <w:rPr>
          <w:rStyle w:val="Textoennegrita"/>
          <w:b w:val="0"/>
          <w:color w:val="000000"/>
          <w:szCs w:val="16"/>
          <w:shd w:val="clear" w:color="auto" w:fill="FFFFFF"/>
        </w:rPr>
        <w:t>.</w:t>
      </w:r>
    </w:p>
  </w:footnote>
  <w:footnote w:id="6">
    <w:p w14:paraId="32B9A869" w14:textId="10F204E8" w:rsidR="005935E7" w:rsidRPr="005935E7" w:rsidRDefault="005935E7" w:rsidP="005935E7">
      <w:pPr>
        <w:pStyle w:val="Textonotapie"/>
        <w:rPr>
          <w:lang w:val="es-MX"/>
        </w:rPr>
      </w:pPr>
      <w:r>
        <w:rPr>
          <w:rStyle w:val="Refdenotaalpie"/>
        </w:rPr>
        <w:footnoteRef/>
      </w:r>
      <w:r>
        <w:t xml:space="preserve"> </w:t>
      </w:r>
      <w:r>
        <w:rPr>
          <w:lang w:val="es-MX"/>
        </w:rPr>
        <w:tab/>
      </w:r>
      <w:r w:rsidRPr="005935E7">
        <w:rPr>
          <w:i/>
          <w:lang w:val="es-MX"/>
        </w:rPr>
        <w:t>Cfr.</w:t>
      </w:r>
      <w:r w:rsidRPr="005935E7">
        <w:rPr>
          <w:lang w:val="es-MX"/>
        </w:rPr>
        <w:t xml:space="preserve"> </w:t>
      </w:r>
      <w:r w:rsidRPr="005935E7">
        <w:rPr>
          <w:i/>
          <w:lang w:val="es-MX"/>
        </w:rPr>
        <w:t>Caso Loayza Tamayo Vs. Perú.</w:t>
      </w:r>
      <w:r w:rsidRPr="005935E7">
        <w:rPr>
          <w:lang w:val="es-MX"/>
        </w:rPr>
        <w:t xml:space="preserve"> </w:t>
      </w:r>
      <w:r w:rsidRPr="00AB0465">
        <w:rPr>
          <w:i/>
          <w:lang w:val="es-MX"/>
        </w:rPr>
        <w:t>Interpretación de la Sentencia de Fondo</w:t>
      </w:r>
      <w:r>
        <w:rPr>
          <w:lang w:val="es-MX"/>
        </w:rPr>
        <w:t xml:space="preserve">. Resolución de la Corte </w:t>
      </w:r>
      <w:r w:rsidRPr="005935E7">
        <w:rPr>
          <w:lang w:val="es-MX"/>
        </w:rPr>
        <w:t>de 8 de marz</w:t>
      </w:r>
      <w:r w:rsidR="009B26AA">
        <w:rPr>
          <w:lang w:val="es-MX"/>
        </w:rPr>
        <w:t xml:space="preserve">o de 1998. Serie C No. 47, párr. </w:t>
      </w:r>
      <w:r w:rsidRPr="005935E7">
        <w:rPr>
          <w:lang w:val="es-MX"/>
        </w:rPr>
        <w:t>16, y</w:t>
      </w:r>
      <w:r>
        <w:rPr>
          <w:lang w:val="es-MX"/>
        </w:rPr>
        <w:t xml:space="preserve"> </w:t>
      </w:r>
      <w:r>
        <w:rPr>
          <w:i/>
          <w:lang w:val="es-MX"/>
        </w:rPr>
        <w:t xml:space="preserve">Caso Comunidades Indígenas Miembros de la Asociación </w:t>
      </w:r>
      <w:proofErr w:type="spellStart"/>
      <w:r>
        <w:rPr>
          <w:i/>
          <w:lang w:val="es-MX"/>
        </w:rPr>
        <w:t>Lhaka</w:t>
      </w:r>
      <w:proofErr w:type="spellEnd"/>
      <w:r>
        <w:rPr>
          <w:i/>
          <w:lang w:val="es-MX"/>
        </w:rPr>
        <w:t xml:space="preserve"> </w:t>
      </w:r>
      <w:proofErr w:type="spellStart"/>
      <w:r>
        <w:rPr>
          <w:i/>
          <w:lang w:val="es-MX"/>
        </w:rPr>
        <w:t>Honhat</w:t>
      </w:r>
      <w:proofErr w:type="spellEnd"/>
      <w:r>
        <w:rPr>
          <w:i/>
          <w:lang w:val="es-MX"/>
        </w:rPr>
        <w:t xml:space="preserve"> (Nuestra Tierra) Vs. Argentina. </w:t>
      </w:r>
      <w:r w:rsidRPr="00AB0465">
        <w:rPr>
          <w:i/>
          <w:lang w:val="es-MX"/>
        </w:rPr>
        <w:t>Interpretación de la Sentencia de Fondo, Reparaciones y Costas</w:t>
      </w:r>
      <w:r>
        <w:rPr>
          <w:lang w:val="es-MX"/>
        </w:rPr>
        <w:t>. Sentencia de 24 de noviembre de 2020. Serie C No. 420, párr. 9.</w:t>
      </w:r>
    </w:p>
  </w:footnote>
  <w:footnote w:id="7">
    <w:p w14:paraId="24A3F671" w14:textId="3001DE62" w:rsidR="00583FA6" w:rsidRPr="00583FA6" w:rsidRDefault="00583FA6">
      <w:pPr>
        <w:pStyle w:val="Textonotapie"/>
        <w:rPr>
          <w:i/>
          <w:lang w:val="es-MX"/>
        </w:rPr>
      </w:pPr>
      <w:r>
        <w:rPr>
          <w:rStyle w:val="Refdenotaalpie"/>
        </w:rPr>
        <w:footnoteRef/>
      </w:r>
      <w:r>
        <w:t xml:space="preserve"> </w:t>
      </w:r>
      <w:r>
        <w:rPr>
          <w:lang w:val="es-MX"/>
        </w:rPr>
        <w:tab/>
      </w:r>
      <w:r>
        <w:rPr>
          <w:i/>
          <w:lang w:val="es-MX"/>
        </w:rPr>
        <w:t xml:space="preserve">Cfr. </w:t>
      </w:r>
      <w:r w:rsidRPr="005935E7">
        <w:rPr>
          <w:i/>
          <w:lang w:val="es-MX"/>
        </w:rPr>
        <w:t>Caso Loayza Tamayo Vs. Perú.</w:t>
      </w:r>
      <w:r w:rsidRPr="005935E7">
        <w:rPr>
          <w:lang w:val="es-MX"/>
        </w:rPr>
        <w:t xml:space="preserve"> </w:t>
      </w:r>
      <w:r w:rsidRPr="00AB0465">
        <w:rPr>
          <w:i/>
          <w:lang w:val="es-MX"/>
        </w:rPr>
        <w:t xml:space="preserve">Interpretación de la Sentencia de </w:t>
      </w:r>
      <w:r w:rsidR="009B26AA" w:rsidRPr="00AB0465">
        <w:rPr>
          <w:i/>
          <w:lang w:val="es-MX"/>
        </w:rPr>
        <w:t xml:space="preserve">Reparaciones y </w:t>
      </w:r>
      <w:r w:rsidR="00DE3A1D">
        <w:rPr>
          <w:i/>
          <w:lang w:val="es-MX"/>
        </w:rPr>
        <w:t>Costas</w:t>
      </w:r>
      <w:r w:rsidR="009B26AA">
        <w:rPr>
          <w:lang w:val="es-MX"/>
        </w:rPr>
        <w:t>.</w:t>
      </w:r>
      <w:r>
        <w:rPr>
          <w:lang w:val="es-MX"/>
        </w:rPr>
        <w:t xml:space="preserve"> </w:t>
      </w:r>
      <w:r w:rsidR="009B26AA" w:rsidRPr="009B26AA">
        <w:rPr>
          <w:lang w:val="es-MX"/>
        </w:rPr>
        <w:t>S</w:t>
      </w:r>
      <w:r w:rsidR="009B26AA">
        <w:rPr>
          <w:lang w:val="es-MX"/>
        </w:rPr>
        <w:t>entencia de 3 de junio de 1999. Serie C No. 53</w:t>
      </w:r>
      <w:r>
        <w:rPr>
          <w:lang w:val="es-MX"/>
        </w:rPr>
        <w:t>, párr. 15</w:t>
      </w:r>
      <w:r w:rsidRPr="005935E7">
        <w:rPr>
          <w:lang w:val="es-MX"/>
        </w:rPr>
        <w:t>, y</w:t>
      </w:r>
      <w:r>
        <w:rPr>
          <w:lang w:val="es-MX"/>
        </w:rPr>
        <w:t xml:space="preserve"> </w:t>
      </w:r>
      <w:r>
        <w:rPr>
          <w:i/>
          <w:lang w:val="es-MX"/>
        </w:rPr>
        <w:t xml:space="preserve">Caso Comunidades Indígenas Miembros de la Asociación </w:t>
      </w:r>
      <w:proofErr w:type="spellStart"/>
      <w:r>
        <w:rPr>
          <w:i/>
          <w:lang w:val="es-MX"/>
        </w:rPr>
        <w:t>Lhaka</w:t>
      </w:r>
      <w:proofErr w:type="spellEnd"/>
      <w:r>
        <w:rPr>
          <w:i/>
          <w:lang w:val="es-MX"/>
        </w:rPr>
        <w:t xml:space="preserve"> </w:t>
      </w:r>
      <w:proofErr w:type="spellStart"/>
      <w:r>
        <w:rPr>
          <w:i/>
          <w:lang w:val="es-MX"/>
        </w:rPr>
        <w:t>Honhat</w:t>
      </w:r>
      <w:proofErr w:type="spellEnd"/>
      <w:r>
        <w:rPr>
          <w:i/>
          <w:lang w:val="es-MX"/>
        </w:rPr>
        <w:t xml:space="preserve"> (Nuestra Tierra) Vs. Argentina. </w:t>
      </w:r>
      <w:r w:rsidRPr="00AB0465">
        <w:rPr>
          <w:i/>
          <w:lang w:val="es-MX"/>
        </w:rPr>
        <w:t>Interpretación de la Sentencia de Fondo, Reparaciones y Costas</w:t>
      </w:r>
      <w:r>
        <w:rPr>
          <w:lang w:val="es-MX"/>
        </w:rPr>
        <w:t xml:space="preserve">, </w:t>
      </w:r>
      <w:r>
        <w:rPr>
          <w:i/>
          <w:lang w:val="es-MX"/>
        </w:rPr>
        <w:t>supra</w:t>
      </w:r>
      <w:r>
        <w:rPr>
          <w:lang w:val="es-MX"/>
        </w:rPr>
        <w:t>, párr.</w:t>
      </w:r>
      <w:r w:rsidR="008E5E23">
        <w:rPr>
          <w:lang w:val="es-MX"/>
        </w:rPr>
        <w:t xml:space="preserve"> 10</w:t>
      </w:r>
      <w:r>
        <w:rPr>
          <w:lang w:val="es-MX"/>
        </w:rPr>
        <w:t>.</w:t>
      </w:r>
    </w:p>
  </w:footnote>
  <w:footnote w:id="8">
    <w:p w14:paraId="03A784CB" w14:textId="5E0E0E9B" w:rsidR="008E5E23" w:rsidRPr="008E5E23" w:rsidRDefault="008E5E23">
      <w:pPr>
        <w:pStyle w:val="Textonotapie"/>
        <w:rPr>
          <w:lang w:val="es-MX"/>
        </w:rPr>
      </w:pPr>
      <w:r>
        <w:rPr>
          <w:rStyle w:val="Refdenotaalpie"/>
        </w:rPr>
        <w:footnoteRef/>
      </w:r>
      <w:r>
        <w:t xml:space="preserve"> </w:t>
      </w:r>
      <w:r>
        <w:rPr>
          <w:lang w:val="es-MX"/>
        </w:rPr>
        <w:tab/>
      </w:r>
      <w:r>
        <w:rPr>
          <w:i/>
          <w:lang w:val="es-MX"/>
        </w:rPr>
        <w:t xml:space="preserve">Cfr. Caso Salvador Chiriboga Vs. Ecuador. </w:t>
      </w:r>
      <w:r w:rsidRPr="00AB0465">
        <w:rPr>
          <w:i/>
          <w:lang w:val="es-MX"/>
        </w:rPr>
        <w:t>Interpretación de la Sentencia de Reparaciones y Costas</w:t>
      </w:r>
      <w:r>
        <w:rPr>
          <w:lang w:val="es-MX"/>
        </w:rPr>
        <w:t xml:space="preserve">. Sentencia de 29 de agosto de 2011. Serie C No. 230, párr. 30 y </w:t>
      </w:r>
      <w:r>
        <w:rPr>
          <w:i/>
          <w:lang w:val="es-MX"/>
        </w:rPr>
        <w:t xml:space="preserve">Caso Comunidades Indígenas Miembros de la Asociación </w:t>
      </w:r>
      <w:proofErr w:type="spellStart"/>
      <w:r>
        <w:rPr>
          <w:i/>
          <w:lang w:val="es-MX"/>
        </w:rPr>
        <w:t>Lhaka</w:t>
      </w:r>
      <w:proofErr w:type="spellEnd"/>
      <w:r>
        <w:rPr>
          <w:i/>
          <w:lang w:val="es-MX"/>
        </w:rPr>
        <w:t xml:space="preserve"> </w:t>
      </w:r>
      <w:proofErr w:type="spellStart"/>
      <w:r>
        <w:rPr>
          <w:i/>
          <w:lang w:val="es-MX"/>
        </w:rPr>
        <w:t>Honhat</w:t>
      </w:r>
      <w:proofErr w:type="spellEnd"/>
      <w:r>
        <w:rPr>
          <w:i/>
          <w:lang w:val="es-MX"/>
        </w:rPr>
        <w:t xml:space="preserve"> (Nuestra Tierra) Vs. Argentina. </w:t>
      </w:r>
      <w:r w:rsidRPr="00AB0465">
        <w:rPr>
          <w:i/>
          <w:lang w:val="es-MX"/>
        </w:rPr>
        <w:t>Interpretación de la Sentencia de Fondo, Reparaciones y Costas</w:t>
      </w:r>
      <w:r>
        <w:rPr>
          <w:lang w:val="es-MX"/>
        </w:rPr>
        <w:t xml:space="preserve">, </w:t>
      </w:r>
      <w:r>
        <w:rPr>
          <w:i/>
          <w:lang w:val="es-MX"/>
        </w:rPr>
        <w:t>supra</w:t>
      </w:r>
      <w:r>
        <w:rPr>
          <w:lang w:val="es-MX"/>
        </w:rPr>
        <w:t>, párr. 10.</w:t>
      </w:r>
    </w:p>
  </w:footnote>
  <w:footnote w:id="9">
    <w:p w14:paraId="6D901E19" w14:textId="76DF6231" w:rsidR="008E5E23" w:rsidRPr="008E5E23" w:rsidRDefault="008E5E23">
      <w:pPr>
        <w:pStyle w:val="Textonotapie"/>
        <w:rPr>
          <w:lang w:val="es-MX"/>
        </w:rPr>
      </w:pPr>
      <w:r>
        <w:rPr>
          <w:rStyle w:val="Refdenotaalpie"/>
        </w:rPr>
        <w:footnoteRef/>
      </w:r>
      <w:r>
        <w:t xml:space="preserve"> </w:t>
      </w:r>
      <w:r>
        <w:rPr>
          <w:lang w:val="es-MX"/>
        </w:rPr>
        <w:tab/>
      </w:r>
      <w:r>
        <w:rPr>
          <w:i/>
          <w:lang w:val="es-MX"/>
        </w:rPr>
        <w:t xml:space="preserve">Cfr. Caso Escher y otros Vs. Brasil. </w:t>
      </w:r>
      <w:r w:rsidRPr="00AB0465">
        <w:rPr>
          <w:i/>
          <w:lang w:val="es-MX"/>
        </w:rPr>
        <w:t>Interpretación de la Sentencia de Excepciones Preliminares, Fondo, Reparaciones y Costas</w:t>
      </w:r>
      <w:r>
        <w:rPr>
          <w:lang w:val="es-MX"/>
        </w:rPr>
        <w:t xml:space="preserve">. Sentencia de 20 de noviembre de 2009. Serie C No. 208, párr. 11 y </w:t>
      </w:r>
      <w:r>
        <w:rPr>
          <w:i/>
          <w:lang w:val="es-MX"/>
        </w:rPr>
        <w:t xml:space="preserve">Caso Comunidades Indígenas Miembros de la Asociación </w:t>
      </w:r>
      <w:proofErr w:type="spellStart"/>
      <w:r>
        <w:rPr>
          <w:i/>
          <w:lang w:val="es-MX"/>
        </w:rPr>
        <w:t>Lhaka</w:t>
      </w:r>
      <w:proofErr w:type="spellEnd"/>
      <w:r>
        <w:rPr>
          <w:i/>
          <w:lang w:val="es-MX"/>
        </w:rPr>
        <w:t xml:space="preserve"> </w:t>
      </w:r>
      <w:proofErr w:type="spellStart"/>
      <w:r>
        <w:rPr>
          <w:i/>
          <w:lang w:val="es-MX"/>
        </w:rPr>
        <w:t>Honhat</w:t>
      </w:r>
      <w:proofErr w:type="spellEnd"/>
      <w:r>
        <w:rPr>
          <w:i/>
          <w:lang w:val="es-MX"/>
        </w:rPr>
        <w:t xml:space="preserve"> (Nuestra Tierra) Vs. Argentina. </w:t>
      </w:r>
      <w:r w:rsidRPr="00AB0465">
        <w:rPr>
          <w:i/>
          <w:lang w:val="es-MX"/>
        </w:rPr>
        <w:t>Interpretación de la Sentencia de Fondo, Reparaciones y Costas</w:t>
      </w:r>
      <w:r>
        <w:rPr>
          <w:lang w:val="es-MX"/>
        </w:rPr>
        <w:t xml:space="preserve">, </w:t>
      </w:r>
      <w:r>
        <w:rPr>
          <w:i/>
          <w:lang w:val="es-MX"/>
        </w:rPr>
        <w:t>supra</w:t>
      </w:r>
      <w:r>
        <w:rPr>
          <w:lang w:val="es-MX"/>
        </w:rPr>
        <w:t>, párr. 10.</w:t>
      </w:r>
    </w:p>
  </w:footnote>
  <w:footnote w:id="10">
    <w:p w14:paraId="1A8F0DEA" w14:textId="06DD22E6" w:rsidR="0007102E" w:rsidRPr="00AB0465" w:rsidRDefault="0007102E">
      <w:pPr>
        <w:pStyle w:val="Textonotapie"/>
        <w:rPr>
          <w:i/>
          <w:lang w:val="es-MX"/>
        </w:rPr>
      </w:pPr>
      <w:r>
        <w:rPr>
          <w:rStyle w:val="Refdenotaalpie"/>
        </w:rPr>
        <w:footnoteRef/>
      </w:r>
      <w:r>
        <w:t xml:space="preserve"> </w:t>
      </w:r>
      <w:r>
        <w:tab/>
      </w:r>
      <w:r w:rsidRPr="0007102E">
        <w:rPr>
          <w:i/>
        </w:rPr>
        <w:t xml:space="preserve">Cfr. Caso Loayza Tamayo Vs. Perú. </w:t>
      </w:r>
      <w:r w:rsidRPr="00BF60C5">
        <w:rPr>
          <w:i/>
        </w:rPr>
        <w:t>Interpretación de la Sentencia de Reparaciones y Costas</w:t>
      </w:r>
      <w:r>
        <w:t>,</w:t>
      </w:r>
      <w:r w:rsidR="009B26AA">
        <w:t xml:space="preserve"> </w:t>
      </w:r>
      <w:r w:rsidR="009B26AA">
        <w:rPr>
          <w:i/>
        </w:rPr>
        <w:t>Supra,</w:t>
      </w:r>
      <w:r>
        <w:t xml:space="preserve"> párr. 15 y </w:t>
      </w:r>
      <w:r w:rsidR="00112780">
        <w:rPr>
          <w:i/>
          <w:lang w:val="es-MX"/>
        </w:rPr>
        <w:t xml:space="preserve">Caso Comunidades Indígenas Miembros de la Asociación </w:t>
      </w:r>
      <w:proofErr w:type="spellStart"/>
      <w:r w:rsidR="00112780">
        <w:rPr>
          <w:i/>
          <w:lang w:val="es-MX"/>
        </w:rPr>
        <w:t>Lhaka</w:t>
      </w:r>
      <w:proofErr w:type="spellEnd"/>
      <w:r w:rsidR="00112780">
        <w:rPr>
          <w:i/>
          <w:lang w:val="es-MX"/>
        </w:rPr>
        <w:t xml:space="preserve"> </w:t>
      </w:r>
      <w:proofErr w:type="spellStart"/>
      <w:r w:rsidR="00112780">
        <w:rPr>
          <w:i/>
          <w:lang w:val="es-MX"/>
        </w:rPr>
        <w:t>Honhat</w:t>
      </w:r>
      <w:proofErr w:type="spellEnd"/>
      <w:r w:rsidR="00112780">
        <w:rPr>
          <w:i/>
          <w:lang w:val="es-MX"/>
        </w:rPr>
        <w:t xml:space="preserve"> (Nuestra Tierra) Vs. Argentina. </w:t>
      </w:r>
      <w:r w:rsidR="00112780" w:rsidRPr="0061693C">
        <w:rPr>
          <w:i/>
          <w:lang w:val="es-MX"/>
        </w:rPr>
        <w:t>Interpretación de la Sentencia de Fondo, Reparaciones y Costas</w:t>
      </w:r>
      <w:r w:rsidR="00112780">
        <w:rPr>
          <w:lang w:val="es-MX"/>
        </w:rPr>
        <w:t xml:space="preserve">, </w:t>
      </w:r>
      <w:r w:rsidR="00112780">
        <w:rPr>
          <w:i/>
          <w:lang w:val="es-MX"/>
        </w:rPr>
        <w:t>supra</w:t>
      </w:r>
      <w:r w:rsidR="00112780">
        <w:rPr>
          <w:lang w:val="es-MX"/>
        </w:rPr>
        <w:t>, párr. 10.</w:t>
      </w:r>
    </w:p>
  </w:footnote>
  <w:footnote w:id="11">
    <w:p w14:paraId="27063F6A" w14:textId="5FFE5016" w:rsidR="0007102E" w:rsidRPr="00AB0465" w:rsidRDefault="0007102E" w:rsidP="0007102E">
      <w:pPr>
        <w:pStyle w:val="Textonotapie"/>
        <w:rPr>
          <w:i/>
          <w:lang w:val="es-MX"/>
        </w:rPr>
      </w:pPr>
      <w:r>
        <w:rPr>
          <w:rStyle w:val="Refdenotaalpie"/>
        </w:rPr>
        <w:footnoteRef/>
      </w:r>
      <w:r>
        <w:t xml:space="preserve"> </w:t>
      </w:r>
      <w:r>
        <w:tab/>
      </w:r>
      <w:r>
        <w:rPr>
          <w:i/>
        </w:rPr>
        <w:t xml:space="preserve">Cfr. </w:t>
      </w:r>
      <w:r w:rsidRPr="0007102E">
        <w:rPr>
          <w:i/>
        </w:rPr>
        <w:t>Caso Salvador Chiriboga Vs. Ecuador.</w:t>
      </w:r>
      <w:r>
        <w:t xml:space="preserve"> </w:t>
      </w:r>
      <w:r w:rsidRPr="00BF60C5">
        <w:rPr>
          <w:i/>
        </w:rPr>
        <w:t>Interpretación de la Sentencia de Reparaciones y Costas</w:t>
      </w:r>
      <w:r>
        <w:t xml:space="preserve">, </w:t>
      </w:r>
      <w:r>
        <w:rPr>
          <w:i/>
        </w:rPr>
        <w:t xml:space="preserve">supra, </w:t>
      </w:r>
      <w:r>
        <w:t xml:space="preserve">párr. 30 </w:t>
      </w:r>
      <w:r w:rsidR="00112780">
        <w:t xml:space="preserve">y </w:t>
      </w:r>
      <w:r w:rsidR="00112780">
        <w:rPr>
          <w:i/>
          <w:lang w:val="es-MX"/>
        </w:rPr>
        <w:t>Caso</w:t>
      </w:r>
      <w:r w:rsidR="00112780" w:rsidRPr="00112780">
        <w:rPr>
          <w:i/>
          <w:lang w:val="es-MX"/>
        </w:rPr>
        <w:t xml:space="preserve"> Comunidades Indígenas Miembros de la Asociación </w:t>
      </w:r>
      <w:proofErr w:type="spellStart"/>
      <w:r w:rsidR="00112780" w:rsidRPr="00112780">
        <w:rPr>
          <w:i/>
          <w:lang w:val="es-MX"/>
        </w:rPr>
        <w:t>Lhaka</w:t>
      </w:r>
      <w:proofErr w:type="spellEnd"/>
      <w:r w:rsidR="00112780" w:rsidRPr="00112780">
        <w:rPr>
          <w:i/>
          <w:lang w:val="es-MX"/>
        </w:rPr>
        <w:t xml:space="preserve"> </w:t>
      </w:r>
      <w:proofErr w:type="spellStart"/>
      <w:r w:rsidR="00112780" w:rsidRPr="00112780">
        <w:rPr>
          <w:i/>
          <w:lang w:val="es-MX"/>
        </w:rPr>
        <w:t>Honhat</w:t>
      </w:r>
      <w:proofErr w:type="spellEnd"/>
      <w:r w:rsidR="00112780" w:rsidRPr="00112780">
        <w:rPr>
          <w:i/>
          <w:lang w:val="es-MX"/>
        </w:rPr>
        <w:t xml:space="preserve"> (Nuestra Tierra) Vs. Argentina. Interpretación de la Sentencia de Fondo, Reparaciones y Costas, supra</w:t>
      </w:r>
      <w:r w:rsidR="00112780" w:rsidRPr="00112780">
        <w:rPr>
          <w:lang w:val="es-MX"/>
        </w:rPr>
        <w:t>, párr. 10</w:t>
      </w:r>
      <w:r w:rsidR="00112780" w:rsidRPr="00112780">
        <w:rPr>
          <w:i/>
          <w:lang w:val="es-MX"/>
        </w:rPr>
        <w:t>.</w:t>
      </w:r>
    </w:p>
    <w:p w14:paraId="7FA61A15" w14:textId="23D56F75" w:rsidR="0007102E" w:rsidRPr="0007102E" w:rsidRDefault="0007102E">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3D1B9" w14:textId="77777777" w:rsidR="00EA629E" w:rsidRDefault="00EA629E" w:rsidP="008E232D">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9BF4701" w14:textId="77777777" w:rsidR="00EA629E" w:rsidRDefault="00EA629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17051" w14:textId="6652CAC1" w:rsidR="00EA629E" w:rsidRPr="006A0E43" w:rsidRDefault="00EA629E" w:rsidP="006A0E43">
    <w:pPr>
      <w:pStyle w:val="Encabezado"/>
      <w:framePr w:wrap="around" w:vAnchor="text" w:hAnchor="page" w:x="6099" w:y="-14"/>
      <w:rPr>
        <w:rStyle w:val="Nmerodepgina"/>
        <w:rFonts w:ascii="Verdana" w:hAnsi="Verdana"/>
      </w:rPr>
    </w:pPr>
  </w:p>
  <w:p w14:paraId="3C0994CC" w14:textId="410737F3" w:rsidR="00EA629E" w:rsidRPr="004E095B" w:rsidRDefault="00EA629E" w:rsidP="006A0E43">
    <w:pPr>
      <w:pStyle w:val="Encabezado"/>
      <w:jc w:val="center"/>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D7242152"/>
    <w:lvl w:ilvl="0">
      <w:start w:val="3"/>
      <w:numFmt w:val="decimal"/>
      <w:lvlText w:val="%1."/>
      <w:lvlJc w:val="left"/>
      <w:pPr>
        <w:tabs>
          <w:tab w:val="num" w:pos="360"/>
        </w:tabs>
        <w:ind w:left="360" w:hanging="360"/>
      </w:pPr>
      <w:rPr>
        <w:rFonts w:ascii="Verdana" w:hAnsi="Verdana" w:hint="default"/>
        <w:b w:val="0"/>
        <w:i w:val="0"/>
        <w:strike w:val="0"/>
        <w:color w:val="auto"/>
        <w:sz w:val="20"/>
        <w:szCs w:val="20"/>
      </w:rPr>
    </w:lvl>
    <w:lvl w:ilvl="1">
      <w:start w:val="1"/>
      <w:numFmt w:val="decimal"/>
      <w:lvlText w:val="%2."/>
      <w:lvlJc w:val="left"/>
      <w:pPr>
        <w:tabs>
          <w:tab w:val="num" w:pos="1080"/>
        </w:tabs>
        <w:ind w:left="1080" w:hanging="360"/>
      </w:pPr>
      <w:rPr>
        <w:lang w:val="es-C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3F6B66"/>
    <w:multiLevelType w:val="hybridMultilevel"/>
    <w:tmpl w:val="3830D59E"/>
    <w:lvl w:ilvl="0" w:tplc="4E2A0C4C">
      <w:start w:val="1"/>
      <w:numFmt w:val="decimal"/>
      <w:pStyle w:val="PrrafodeSentencia"/>
      <w:lvlText w:val="%1."/>
      <w:lvlJc w:val="left"/>
      <w:pPr>
        <w:ind w:left="8015"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0A2D0AE1"/>
    <w:multiLevelType w:val="hybridMultilevel"/>
    <w:tmpl w:val="01F42D84"/>
    <w:lvl w:ilvl="0" w:tplc="8370E918">
      <w:start w:val="1"/>
      <w:numFmt w:val="upperLetter"/>
      <w:lvlText w:val="%1."/>
      <w:lvlJc w:val="left"/>
      <w:pPr>
        <w:ind w:left="1065" w:hanging="360"/>
      </w:pPr>
      <w:rPr>
        <w:rFonts w:hint="default"/>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3" w15:restartNumberingAfterBreak="0">
    <w:nsid w:val="0C415A9A"/>
    <w:multiLevelType w:val="hybridMultilevel"/>
    <w:tmpl w:val="C626267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F974852"/>
    <w:multiLevelType w:val="hybridMultilevel"/>
    <w:tmpl w:val="B6D0D210"/>
    <w:lvl w:ilvl="0" w:tplc="6BE801BC">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00E111D"/>
    <w:multiLevelType w:val="hybridMultilevel"/>
    <w:tmpl w:val="818EA9EE"/>
    <w:lvl w:ilvl="0" w:tplc="CEA4ED48">
      <w:start w:val="1"/>
      <w:numFmt w:val="upperLetter"/>
      <w:lvlText w:val="%1."/>
      <w:lvlJc w:val="left"/>
      <w:pPr>
        <w:ind w:left="144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02F13C8"/>
    <w:multiLevelType w:val="hybridMultilevel"/>
    <w:tmpl w:val="650610C4"/>
    <w:lvl w:ilvl="0" w:tplc="87901404">
      <w:start w:val="1"/>
      <w:numFmt w:val="decimal"/>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3376654"/>
    <w:multiLevelType w:val="hybridMultilevel"/>
    <w:tmpl w:val="E4AC591A"/>
    <w:lvl w:ilvl="0" w:tplc="25742612">
      <w:start w:val="1"/>
      <w:numFmt w:val="upperLetter"/>
      <w:pStyle w:val="Ttulo2"/>
      <w:lvlText w:val="%1."/>
      <w:lvlJc w:val="left"/>
      <w:pPr>
        <w:ind w:left="927"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3D6389B"/>
    <w:multiLevelType w:val="hybridMultilevel"/>
    <w:tmpl w:val="BD76101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9F87E5E"/>
    <w:multiLevelType w:val="hybridMultilevel"/>
    <w:tmpl w:val="F0E89872"/>
    <w:lvl w:ilvl="0" w:tplc="0BCABA2E">
      <w:start w:val="1"/>
      <w:numFmt w:val="upperRoman"/>
      <w:lvlText w:val="%1."/>
      <w:lvlJc w:val="left"/>
      <w:pPr>
        <w:ind w:left="720" w:hanging="72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1E8B5EB5"/>
    <w:multiLevelType w:val="hybridMultilevel"/>
    <w:tmpl w:val="2324618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F3610A8"/>
    <w:multiLevelType w:val="hybridMultilevel"/>
    <w:tmpl w:val="6C882248"/>
    <w:lvl w:ilvl="0" w:tplc="DB68C058">
      <w:start w:val="6"/>
      <w:numFmt w:val="bullet"/>
      <w:lvlText w:val="-"/>
      <w:lvlJc w:val="left"/>
      <w:pPr>
        <w:ind w:left="720" w:hanging="360"/>
      </w:pPr>
      <w:rPr>
        <w:rFonts w:ascii="Verdana" w:eastAsia="Times New Roman"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FE13E04"/>
    <w:multiLevelType w:val="hybridMultilevel"/>
    <w:tmpl w:val="C0F65382"/>
    <w:lvl w:ilvl="0" w:tplc="58983E70">
      <w:numFmt w:val="bullet"/>
      <w:lvlText w:val="-"/>
      <w:lvlJc w:val="left"/>
      <w:pPr>
        <w:ind w:left="720" w:hanging="360"/>
      </w:pPr>
      <w:rPr>
        <w:rFonts w:ascii="Verdana" w:eastAsia="MS Mincho"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23A3B08"/>
    <w:multiLevelType w:val="hybridMultilevel"/>
    <w:tmpl w:val="A468BD86"/>
    <w:lvl w:ilvl="0" w:tplc="B59EE268">
      <w:start w:val="1"/>
      <w:numFmt w:val="decimal"/>
      <w:lvlText w:val="%1."/>
      <w:lvlJc w:val="left"/>
      <w:pPr>
        <w:tabs>
          <w:tab w:val="num" w:pos="0"/>
        </w:tabs>
        <w:ind w:left="0" w:firstLine="0"/>
      </w:pPr>
      <w:rPr>
        <w:rFonts w:hint="default"/>
        <w:b w:val="0"/>
        <w:i w:val="0"/>
        <w:strike w:val="0"/>
        <w:sz w:val="20"/>
        <w:szCs w:val="20"/>
      </w:rPr>
    </w:lvl>
    <w:lvl w:ilvl="1" w:tplc="CF58FEBC">
      <w:start w:val="1"/>
      <w:numFmt w:val="upperLetter"/>
      <w:lvlText w:val="%2)"/>
      <w:lvlJc w:val="left"/>
      <w:pPr>
        <w:tabs>
          <w:tab w:val="num" w:pos="1440"/>
        </w:tabs>
        <w:ind w:left="1440" w:hanging="360"/>
      </w:pPr>
      <w:rPr>
        <w:rFonts w:hint="default"/>
      </w:rPr>
    </w:lvl>
    <w:lvl w:ilvl="2" w:tplc="C660E8FA">
      <w:start w:val="23"/>
      <w:numFmt w:val="bullet"/>
      <w:lvlText w:val=""/>
      <w:lvlJc w:val="left"/>
      <w:pPr>
        <w:tabs>
          <w:tab w:val="num" w:pos="2700"/>
        </w:tabs>
        <w:ind w:left="2700" w:hanging="720"/>
      </w:pPr>
      <w:rPr>
        <w:rFonts w:ascii="Symbol" w:eastAsia="Times New Roman" w:hAnsi="Symbol" w:cs="Times" w:hint="default"/>
      </w:rPr>
    </w:lvl>
    <w:lvl w:ilvl="3" w:tplc="96746DD8">
      <w:start w:val="1"/>
      <w:numFmt w:val="upperLetter"/>
      <w:lvlText w:val="%4."/>
      <w:lvlJc w:val="left"/>
      <w:pPr>
        <w:tabs>
          <w:tab w:val="num" w:pos="3240"/>
        </w:tabs>
        <w:ind w:left="3240" w:hanging="720"/>
      </w:pPr>
      <w:rPr>
        <w:rFonts w:hint="default"/>
      </w:rPr>
    </w:lvl>
    <w:lvl w:ilvl="4" w:tplc="EE606886">
      <w:start w:val="1"/>
      <w:numFmt w:val="decimal"/>
      <w:lvlText w:val="%5)"/>
      <w:lvlJc w:val="left"/>
      <w:pPr>
        <w:tabs>
          <w:tab w:val="num" w:pos="3630"/>
        </w:tabs>
        <w:ind w:left="3630" w:hanging="390"/>
      </w:pPr>
      <w:rPr>
        <w:rFonts w:hint="default"/>
        <w:b w:val="0"/>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3A34D18"/>
    <w:multiLevelType w:val="hybridMultilevel"/>
    <w:tmpl w:val="CC2091FA"/>
    <w:lvl w:ilvl="0" w:tplc="E9223ACA">
      <w:start w:val="1"/>
      <w:numFmt w:val="upp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5" w15:restartNumberingAfterBreak="0">
    <w:nsid w:val="249A6120"/>
    <w:multiLevelType w:val="hybridMultilevel"/>
    <w:tmpl w:val="86B669CE"/>
    <w:lvl w:ilvl="0" w:tplc="32F65F32">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6" w15:restartNumberingAfterBreak="0">
    <w:nsid w:val="25E73C8D"/>
    <w:multiLevelType w:val="hybridMultilevel"/>
    <w:tmpl w:val="3FF87ED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5EC5C34"/>
    <w:multiLevelType w:val="hybridMultilevel"/>
    <w:tmpl w:val="515CB3E2"/>
    <w:lvl w:ilvl="0" w:tplc="ABF8E334">
      <w:start w:val="1"/>
      <w:numFmt w:val="decimal"/>
      <w:lvlText w:val="%1."/>
      <w:lvlJc w:val="left"/>
      <w:pPr>
        <w:ind w:left="928" w:hanging="360"/>
      </w:pPr>
      <w:rPr>
        <w:rFonts w:ascii="Verdana" w:hAnsi="Verdana" w:hint="default"/>
        <w:b w:val="0"/>
        <w:i w:val="0"/>
        <w:color w:val="auto"/>
      </w:rPr>
    </w:lvl>
    <w:lvl w:ilvl="1" w:tplc="6D084780">
      <w:start w:val="1"/>
      <w:numFmt w:val="lowerLetter"/>
      <w:lvlText w:val="%2)"/>
      <w:lvlJc w:val="left"/>
      <w:pPr>
        <w:ind w:left="1080" w:hanging="360"/>
      </w:pPr>
      <w:rPr>
        <w:rFonts w:hint="default"/>
        <w:i w:val="0"/>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D60385"/>
    <w:multiLevelType w:val="hybridMultilevel"/>
    <w:tmpl w:val="E168E64C"/>
    <w:lvl w:ilvl="0" w:tplc="C23AC0AA">
      <w:start w:val="1"/>
      <w:numFmt w:val="lowerLetter"/>
      <w:lvlText w:val="%1)"/>
      <w:lvlJc w:val="left"/>
      <w:pPr>
        <w:ind w:left="1069" w:hanging="360"/>
      </w:pPr>
      <w:rPr>
        <w:rFonts w:hint="default"/>
        <w:i/>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9" w15:restartNumberingAfterBreak="0">
    <w:nsid w:val="4B332182"/>
    <w:multiLevelType w:val="hybridMultilevel"/>
    <w:tmpl w:val="CDEECCBE"/>
    <w:lvl w:ilvl="0" w:tplc="1C66C7EE">
      <w:start w:val="1"/>
      <w:numFmt w:val="bullet"/>
      <w:lvlText w:val="-"/>
      <w:lvlJc w:val="left"/>
      <w:pPr>
        <w:ind w:left="720" w:hanging="360"/>
      </w:pPr>
      <w:rPr>
        <w:rFonts w:ascii="Verdana" w:eastAsiaTheme="minorHAnsi" w:hAnsi="Verdana"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CCD1B5F"/>
    <w:multiLevelType w:val="hybridMultilevel"/>
    <w:tmpl w:val="BB982C7E"/>
    <w:lvl w:ilvl="0" w:tplc="933CD5A2">
      <w:start w:val="1"/>
      <w:numFmt w:val="decimal"/>
      <w:lvlText w:val="%1."/>
      <w:lvlJc w:val="left"/>
      <w:pPr>
        <w:ind w:left="1495" w:hanging="360"/>
      </w:pPr>
      <w:rPr>
        <w:rFonts w:ascii="Verdana" w:eastAsia="Batang" w:hAnsi="Verdana" w:cs="Times"/>
        <w:b w:val="0"/>
        <w:i w:val="0"/>
        <w:strike w:val="0"/>
        <w:color w:val="auto"/>
        <w:sz w:val="20"/>
        <w:szCs w:val="20"/>
      </w:rPr>
    </w:lvl>
    <w:lvl w:ilvl="1" w:tplc="62A25344">
      <w:start w:val="1"/>
      <w:numFmt w:val="lowerLetter"/>
      <w:lvlText w:val="%2)"/>
      <w:lvlJc w:val="left"/>
      <w:pPr>
        <w:ind w:left="1647" w:hanging="360"/>
      </w:pPr>
      <w:rPr>
        <w:rFonts w:ascii="Verdana" w:eastAsia="Batang" w:hAnsi="Verdana" w:cs="Times"/>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1" w15:restartNumberingAfterBreak="0">
    <w:nsid w:val="5046653D"/>
    <w:multiLevelType w:val="hybridMultilevel"/>
    <w:tmpl w:val="602CDCB6"/>
    <w:lvl w:ilvl="0" w:tplc="5CCED498">
      <w:start w:val="2"/>
      <w:numFmt w:val="bullet"/>
      <w:lvlText w:val="-"/>
      <w:lvlJc w:val="left"/>
      <w:pPr>
        <w:ind w:left="720" w:hanging="360"/>
      </w:pPr>
      <w:rPr>
        <w:rFonts w:ascii="Verdana" w:eastAsiaTheme="minorHAnsi" w:hAnsi="Verdana" w:cstheme="minorBidi" w:hint="default"/>
        <w:b w:val="0"/>
        <w:i w:val="0"/>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53E06E32"/>
    <w:multiLevelType w:val="hybridMultilevel"/>
    <w:tmpl w:val="FABE0216"/>
    <w:lvl w:ilvl="0" w:tplc="6F323408">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3" w15:restartNumberingAfterBreak="0">
    <w:nsid w:val="55C93AC8"/>
    <w:multiLevelType w:val="hybridMultilevel"/>
    <w:tmpl w:val="3766AE78"/>
    <w:lvl w:ilvl="0" w:tplc="D5ACD098">
      <w:start w:val="1"/>
      <w:numFmt w:val="decimal"/>
      <w:lvlText w:val="%1."/>
      <w:lvlJc w:val="left"/>
      <w:pPr>
        <w:ind w:left="5811" w:hanging="708"/>
      </w:pPr>
      <w:rPr>
        <w:rFonts w:ascii="Verdana" w:hAnsi="Verdana" w:hint="default"/>
        <w:b w:val="0"/>
        <w:i w:val="0"/>
        <w:strike w:val="0"/>
        <w:color w:val="auto"/>
        <w:sz w:val="20"/>
        <w:szCs w:val="20"/>
        <w:vertAlign w:val="baseline"/>
      </w:rPr>
    </w:lvl>
    <w:lvl w:ilvl="1" w:tplc="140A0019">
      <w:start w:val="1"/>
      <w:numFmt w:val="lowerLetter"/>
      <w:lvlText w:val="%2."/>
      <w:lvlJc w:val="left"/>
      <w:pPr>
        <w:ind w:left="371" w:hanging="360"/>
      </w:pPr>
    </w:lvl>
    <w:lvl w:ilvl="2" w:tplc="140A001B" w:tentative="1">
      <w:start w:val="1"/>
      <w:numFmt w:val="lowerRoman"/>
      <w:lvlText w:val="%3."/>
      <w:lvlJc w:val="right"/>
      <w:pPr>
        <w:ind w:left="1091" w:hanging="180"/>
      </w:pPr>
    </w:lvl>
    <w:lvl w:ilvl="3" w:tplc="140A000F" w:tentative="1">
      <w:start w:val="1"/>
      <w:numFmt w:val="decimal"/>
      <w:lvlText w:val="%4."/>
      <w:lvlJc w:val="left"/>
      <w:pPr>
        <w:ind w:left="1811" w:hanging="360"/>
      </w:pPr>
    </w:lvl>
    <w:lvl w:ilvl="4" w:tplc="140A0019" w:tentative="1">
      <w:start w:val="1"/>
      <w:numFmt w:val="lowerLetter"/>
      <w:lvlText w:val="%5."/>
      <w:lvlJc w:val="left"/>
      <w:pPr>
        <w:ind w:left="2531" w:hanging="360"/>
      </w:pPr>
    </w:lvl>
    <w:lvl w:ilvl="5" w:tplc="140A001B" w:tentative="1">
      <w:start w:val="1"/>
      <w:numFmt w:val="lowerRoman"/>
      <w:lvlText w:val="%6."/>
      <w:lvlJc w:val="right"/>
      <w:pPr>
        <w:ind w:left="3251" w:hanging="180"/>
      </w:pPr>
    </w:lvl>
    <w:lvl w:ilvl="6" w:tplc="140A000F" w:tentative="1">
      <w:start w:val="1"/>
      <w:numFmt w:val="decimal"/>
      <w:lvlText w:val="%7."/>
      <w:lvlJc w:val="left"/>
      <w:pPr>
        <w:ind w:left="3971" w:hanging="360"/>
      </w:pPr>
    </w:lvl>
    <w:lvl w:ilvl="7" w:tplc="140A0019" w:tentative="1">
      <w:start w:val="1"/>
      <w:numFmt w:val="lowerLetter"/>
      <w:lvlText w:val="%8."/>
      <w:lvlJc w:val="left"/>
      <w:pPr>
        <w:ind w:left="4691" w:hanging="360"/>
      </w:pPr>
    </w:lvl>
    <w:lvl w:ilvl="8" w:tplc="140A001B" w:tentative="1">
      <w:start w:val="1"/>
      <w:numFmt w:val="lowerRoman"/>
      <w:lvlText w:val="%9."/>
      <w:lvlJc w:val="right"/>
      <w:pPr>
        <w:ind w:left="5411" w:hanging="180"/>
      </w:pPr>
    </w:lvl>
  </w:abstractNum>
  <w:abstractNum w:abstractNumId="24" w15:restartNumberingAfterBreak="0">
    <w:nsid w:val="5A8C0434"/>
    <w:multiLevelType w:val="hybridMultilevel"/>
    <w:tmpl w:val="FA5E765A"/>
    <w:lvl w:ilvl="0" w:tplc="D9564908">
      <w:start w:val="1"/>
      <w:numFmt w:val="decimal"/>
      <w:lvlText w:val="%1."/>
      <w:lvlJc w:val="left"/>
      <w:pPr>
        <w:ind w:left="720" w:hanging="360"/>
      </w:pPr>
      <w:rPr>
        <w:rFonts w:hint="default"/>
        <w:b w:val="0"/>
        <w:i w:val="0"/>
        <w:strike w:val="0"/>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5" w15:restartNumberingAfterBreak="0">
    <w:nsid w:val="5AB34D23"/>
    <w:multiLevelType w:val="hybridMultilevel"/>
    <w:tmpl w:val="01EC32E8"/>
    <w:lvl w:ilvl="0" w:tplc="FA5084B8">
      <w:numFmt w:val="bullet"/>
      <w:lvlText w:val="-"/>
      <w:lvlJc w:val="left"/>
      <w:pPr>
        <w:ind w:left="720" w:hanging="360"/>
      </w:pPr>
      <w:rPr>
        <w:rFonts w:ascii="Verdana" w:eastAsia="MS Mincho"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5B6DD95E"/>
    <w:multiLevelType w:val="multilevel"/>
    <w:tmpl w:val="5B6DD95E"/>
    <w:name w:val="Lista numerada 38"/>
    <w:lvl w:ilvl="0">
      <w:start w:val="1"/>
      <w:numFmt w:val="decimal"/>
      <w:lvlText w:val="%1."/>
      <w:lvlJc w:val="left"/>
      <w:rPr>
        <w:rFonts w:ascii="Verdana" w:hAnsi="Verdana"/>
        <w:b w:val="0"/>
        <w:i w:val="0"/>
        <w:strike w:val="0"/>
        <w:color w:val="000000"/>
        <w:position w:val="0"/>
        <w:sz w:val="20"/>
        <w:vertAlign w:val="baseline"/>
      </w:rPr>
    </w:lvl>
    <w:lvl w:ilvl="1">
      <w:start w:val="1"/>
      <w:numFmt w:val="lowerLetter"/>
      <w:lvlText w:val="%2."/>
      <w:lvlJc w:val="left"/>
      <w:rPr>
        <w:rFonts w:ascii="Verdana" w:hAnsi="Verdana"/>
        <w:i/>
      </w:rPr>
    </w:lvl>
    <w:lvl w:ilvl="2">
      <w:start w:val="1"/>
      <w:numFmt w:val="lowerRoman"/>
      <w:lvlText w:val="%3."/>
      <w:lvlJc w:val="left"/>
      <w:rPr>
        <w:i/>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7" w15:restartNumberingAfterBreak="0">
    <w:nsid w:val="60CB12B4"/>
    <w:multiLevelType w:val="hybridMultilevel"/>
    <w:tmpl w:val="2324618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57911E6"/>
    <w:multiLevelType w:val="hybridMultilevel"/>
    <w:tmpl w:val="A00C9E00"/>
    <w:lvl w:ilvl="0" w:tplc="50E26768">
      <w:start w:val="1"/>
      <w:numFmt w:val="upp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9" w15:restartNumberingAfterBreak="0">
    <w:nsid w:val="70BD652D"/>
    <w:multiLevelType w:val="hybridMultilevel"/>
    <w:tmpl w:val="557A936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41E01BF"/>
    <w:multiLevelType w:val="hybridMultilevel"/>
    <w:tmpl w:val="92E4D6C6"/>
    <w:lvl w:ilvl="0" w:tplc="F6DA972A">
      <w:start w:val="1"/>
      <w:numFmt w:val="upperLetter"/>
      <w:lvlText w:val="%1."/>
      <w:lvlJc w:val="left"/>
      <w:pPr>
        <w:ind w:left="1288" w:hanging="720"/>
      </w:pPr>
    </w:lvl>
    <w:lvl w:ilvl="1" w:tplc="140A0019">
      <w:start w:val="1"/>
      <w:numFmt w:val="lowerLetter"/>
      <w:lvlText w:val="%2."/>
      <w:lvlJc w:val="left"/>
      <w:pPr>
        <w:ind w:left="1659" w:hanging="360"/>
      </w:pPr>
    </w:lvl>
    <w:lvl w:ilvl="2" w:tplc="140A001B">
      <w:start w:val="1"/>
      <w:numFmt w:val="lowerRoman"/>
      <w:lvlText w:val="%3."/>
      <w:lvlJc w:val="right"/>
      <w:pPr>
        <w:ind w:left="2379" w:hanging="180"/>
      </w:pPr>
    </w:lvl>
    <w:lvl w:ilvl="3" w:tplc="3F309098">
      <w:start w:val="1"/>
      <w:numFmt w:val="decimal"/>
      <w:lvlText w:val="%4."/>
      <w:lvlJc w:val="left"/>
      <w:pPr>
        <w:ind w:left="3099" w:hanging="360"/>
      </w:pPr>
      <w:rPr>
        <w:rFonts w:ascii="Verdana" w:hAnsi="Verdana" w:hint="default"/>
        <w:b w:val="0"/>
        <w:color w:val="auto"/>
        <w:sz w:val="20"/>
        <w:szCs w:val="20"/>
      </w:rPr>
    </w:lvl>
    <w:lvl w:ilvl="4" w:tplc="140A0019">
      <w:start w:val="1"/>
      <w:numFmt w:val="lowerLetter"/>
      <w:lvlText w:val="%5."/>
      <w:lvlJc w:val="left"/>
      <w:pPr>
        <w:ind w:left="3819" w:hanging="360"/>
      </w:pPr>
    </w:lvl>
    <w:lvl w:ilvl="5" w:tplc="140A001B">
      <w:start w:val="1"/>
      <w:numFmt w:val="lowerRoman"/>
      <w:lvlText w:val="%6."/>
      <w:lvlJc w:val="right"/>
      <w:pPr>
        <w:ind w:left="4539" w:hanging="180"/>
      </w:pPr>
    </w:lvl>
    <w:lvl w:ilvl="6" w:tplc="140A000F">
      <w:start w:val="1"/>
      <w:numFmt w:val="decimal"/>
      <w:lvlText w:val="%7."/>
      <w:lvlJc w:val="left"/>
      <w:pPr>
        <w:ind w:left="5259" w:hanging="360"/>
      </w:pPr>
    </w:lvl>
    <w:lvl w:ilvl="7" w:tplc="140A0019">
      <w:start w:val="1"/>
      <w:numFmt w:val="lowerLetter"/>
      <w:lvlText w:val="%8."/>
      <w:lvlJc w:val="left"/>
      <w:pPr>
        <w:ind w:left="5979" w:hanging="360"/>
      </w:pPr>
    </w:lvl>
    <w:lvl w:ilvl="8" w:tplc="140A001B">
      <w:start w:val="1"/>
      <w:numFmt w:val="lowerRoman"/>
      <w:lvlText w:val="%9."/>
      <w:lvlJc w:val="right"/>
      <w:pPr>
        <w:ind w:left="6699" w:hanging="180"/>
      </w:pPr>
    </w:lvl>
  </w:abstractNum>
  <w:abstractNum w:abstractNumId="31" w15:restartNumberingAfterBreak="0">
    <w:nsid w:val="76753A80"/>
    <w:multiLevelType w:val="hybridMultilevel"/>
    <w:tmpl w:val="FCC8201E"/>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32" w15:restartNumberingAfterBreak="0">
    <w:nsid w:val="79354707"/>
    <w:multiLevelType w:val="hybridMultilevel"/>
    <w:tmpl w:val="DEFACD16"/>
    <w:lvl w:ilvl="0" w:tplc="98A461BC">
      <w:start w:val="1"/>
      <w:numFmt w:val="decimal"/>
      <w:lvlText w:val="%1."/>
      <w:lvlJc w:val="left"/>
      <w:pPr>
        <w:ind w:left="967" w:hanging="825"/>
      </w:pPr>
      <w:rPr>
        <w:rFonts w:ascii="Verdana" w:eastAsia="Verdana" w:hAnsi="Verdana" w:cs="Verdana" w:hint="default"/>
        <w:b w:val="0"/>
        <w:i w:val="0"/>
        <w:strike w:val="0"/>
        <w:color w:val="auto"/>
        <w:sz w:val="20"/>
        <w:szCs w:val="20"/>
        <w:lang w:val="es-MX"/>
      </w:rPr>
    </w:lvl>
    <w:lvl w:ilvl="1" w:tplc="140A001B">
      <w:start w:val="1"/>
      <w:numFmt w:val="lowerRoman"/>
      <w:lvlText w:val="%2."/>
      <w:lvlJc w:val="right"/>
      <w:pPr>
        <w:ind w:left="1440" w:hanging="360"/>
      </w:pPr>
    </w:lvl>
    <w:lvl w:ilvl="2" w:tplc="811CA528">
      <w:start w:val="1"/>
      <w:numFmt w:val="lowerRoman"/>
      <w:lvlText w:val="%3."/>
      <w:lvlJc w:val="right"/>
      <w:pPr>
        <w:ind w:left="1031" w:hanging="180"/>
      </w:pPr>
      <w:rPr>
        <w:rFonts w:ascii="Verdana" w:eastAsia="Batang" w:hAnsi="Verdana" w:cstheme="minorBidi"/>
        <w:i w:val="0"/>
      </w:rPr>
    </w:lvl>
    <w:lvl w:ilvl="3" w:tplc="664CD6A6">
      <w:start w:val="1"/>
      <w:numFmt w:val="decimal"/>
      <w:lvlText w:val="D.7.%4."/>
      <w:lvlJc w:val="left"/>
      <w:pPr>
        <w:ind w:left="2880" w:hanging="360"/>
      </w:pPr>
      <w:rPr>
        <w:rFonts w:hint="default"/>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rFonts w:hint="default"/>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3" w15:restartNumberingAfterBreak="0">
    <w:nsid w:val="7CE64D32"/>
    <w:multiLevelType w:val="hybridMultilevel"/>
    <w:tmpl w:val="D3CA851E"/>
    <w:lvl w:ilvl="0" w:tplc="04090015">
      <w:start w:val="1"/>
      <w:numFmt w:val="decimal"/>
      <w:lvlText w:val="%1."/>
      <w:lvlJc w:val="left"/>
      <w:pPr>
        <w:tabs>
          <w:tab w:val="num" w:pos="1247"/>
        </w:tabs>
        <w:ind w:left="0" w:firstLine="0"/>
      </w:pPr>
      <w:rPr>
        <w:rFonts w:ascii="Verdana" w:eastAsia="Times" w:hAnsi="Verdana" w:cs="Times New Roman"/>
        <w:b w:val="0"/>
        <w:i w:val="0"/>
        <w:sz w:val="20"/>
      </w:rPr>
    </w:lvl>
    <w:lvl w:ilvl="1" w:tplc="04090019">
      <w:start w:val="1"/>
      <w:numFmt w:val="lowerLetter"/>
      <w:lvlText w:val="%2)"/>
      <w:lvlJc w:val="left"/>
      <w:pPr>
        <w:tabs>
          <w:tab w:val="num" w:pos="1080"/>
        </w:tabs>
        <w:ind w:left="1080" w:hanging="360"/>
      </w:pPr>
      <w:rPr>
        <w:rFonts w:hint="default"/>
        <w:b w:val="0"/>
        <w:i w:val="0"/>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7"/>
    <w:lvlOverride w:ilvl="0">
      <w:startOverride w:val="1"/>
    </w:lvlOverride>
  </w:num>
  <w:num w:numId="4">
    <w:abstractNumId w:val="18"/>
  </w:num>
  <w:num w:numId="5">
    <w:abstractNumId w:val="7"/>
    <w:lvlOverride w:ilvl="0">
      <w:startOverride w:val="1"/>
    </w:lvlOverride>
  </w:num>
  <w:num w:numId="6">
    <w:abstractNumId w:val="29"/>
  </w:num>
  <w:num w:numId="7">
    <w:abstractNumId w:val="12"/>
  </w:num>
  <w:num w:numId="8">
    <w:abstractNumId w:val="1"/>
    <w:lvlOverride w:ilvl="0">
      <w:startOverride w:val="1"/>
    </w:lvlOverride>
    <w:lvlOverride w:ilvl="1">
      <w:startOverride w:val="2"/>
    </w:lvlOverride>
  </w:num>
  <w:num w:numId="9">
    <w:abstractNumId w:val="1"/>
    <w:lvlOverride w:ilvl="0">
      <w:startOverride w:val="1"/>
    </w:lvlOverride>
    <w:lvlOverride w:ilvl="1">
      <w:startOverride w:val="2"/>
    </w:lvlOverride>
  </w:num>
  <w:num w:numId="10">
    <w:abstractNumId w:val="28"/>
  </w:num>
  <w:num w:numId="11">
    <w:abstractNumId w:val="1"/>
    <w:lvlOverride w:ilvl="0">
      <w:startOverride w:val="1"/>
    </w:lvlOverride>
    <w:lvlOverride w:ilvl="1">
      <w:startOverride w:val="2"/>
    </w:lvlOverride>
  </w:num>
  <w:num w:numId="12">
    <w:abstractNumId w:val="16"/>
  </w:num>
  <w:num w:numId="13">
    <w:abstractNumId w:val="4"/>
  </w:num>
  <w:num w:numId="14">
    <w:abstractNumId w:val="3"/>
  </w:num>
  <w:num w:numId="15">
    <w:abstractNumId w:val="32"/>
  </w:num>
  <w:num w:numId="16">
    <w:abstractNumId w:val="1"/>
    <w:lvlOverride w:ilvl="0">
      <w:startOverride w:val="1"/>
    </w:lvlOverride>
    <w:lvlOverride w:ilvl="1">
      <w:startOverride w:val="2"/>
    </w:lvlOverride>
  </w:num>
  <w:num w:numId="17">
    <w:abstractNumId w:val="13"/>
  </w:num>
  <w:num w:numId="18">
    <w:abstractNumId w:val="5"/>
  </w:num>
  <w:num w:numId="19">
    <w:abstractNumId w:val="2"/>
  </w:num>
  <w:num w:numId="20">
    <w:abstractNumId w:val="14"/>
  </w:num>
  <w:num w:numId="21">
    <w:abstractNumId w:val="22"/>
  </w:num>
  <w:num w:numId="22">
    <w:abstractNumId w:val="25"/>
  </w:num>
  <w:num w:numId="23">
    <w:abstractNumId w:val="10"/>
  </w:num>
  <w:num w:numId="24">
    <w:abstractNumId w:val="8"/>
  </w:num>
  <w:num w:numId="25">
    <w:abstractNumId w:val="27"/>
  </w:num>
  <w:num w:numId="26">
    <w:abstractNumId w:val="26"/>
  </w:num>
  <w:num w:numId="27">
    <w:abstractNumId w:val="20"/>
  </w:num>
  <w:num w:numId="28">
    <w:abstractNumId w:val="1"/>
    <w:lvlOverride w:ilvl="0">
      <w:startOverride w:val="1"/>
    </w:lvlOverride>
    <w:lvlOverride w:ilvl="1">
      <w:startOverride w:val="2"/>
    </w:lvlOverride>
  </w:num>
  <w:num w:numId="29">
    <w:abstractNumId w:val="1"/>
    <w:lvlOverride w:ilvl="0">
      <w:startOverride w:val="1"/>
    </w:lvlOverride>
    <w:lvlOverride w:ilvl="1">
      <w:startOverride w:val="3"/>
    </w:lvlOverride>
  </w:num>
  <w:num w:numId="30">
    <w:abstractNumId w:val="1"/>
    <w:lvlOverride w:ilvl="0">
      <w:startOverride w:val="1"/>
    </w:lvlOverride>
    <w:lvlOverride w:ilvl="1">
      <w:startOverride w:val="4"/>
    </w:lvlOverride>
  </w:num>
  <w:num w:numId="31">
    <w:abstractNumId w:val="1"/>
    <w:lvlOverride w:ilvl="0">
      <w:startOverride w:val="1"/>
    </w:lvlOverride>
    <w:lvlOverride w:ilvl="1">
      <w:startOverride w:val="4"/>
    </w:lvlOverride>
  </w:num>
  <w:num w:numId="32">
    <w:abstractNumId w:val="1"/>
    <w:lvlOverride w:ilvl="0">
      <w:startOverride w:val="1"/>
    </w:lvlOverride>
    <w:lvlOverride w:ilvl="1">
      <w:startOverride w:val="5"/>
    </w:lvlOverride>
  </w:num>
  <w:num w:numId="33">
    <w:abstractNumId w:val="11"/>
  </w:num>
  <w:num w:numId="34">
    <w:abstractNumId w:val="17"/>
  </w:num>
  <w:num w:numId="35">
    <w:abstractNumId w:val="21"/>
  </w:num>
  <w:num w:numId="36">
    <w:abstractNumId w:val="23"/>
  </w:num>
  <w:num w:numId="37">
    <w:abstractNumId w:val="9"/>
  </w:num>
  <w:num w:numId="38">
    <w:abstractNumId w:val="19"/>
  </w:num>
  <w:num w:numId="39">
    <w:abstractNumId w:val="31"/>
  </w:num>
  <w:num w:numId="40">
    <w:abstractNumId w:val="0"/>
  </w:num>
  <w:num w:numId="41">
    <w:abstractNumId w:val="15"/>
  </w:num>
  <w:num w:numId="42">
    <w:abstractNumId w:val="33"/>
  </w:num>
  <w:num w:numId="43">
    <w:abstractNumId w:val="1"/>
    <w:lvlOverride w:ilvl="0">
      <w:startOverride w:val="1"/>
    </w:lvlOverride>
    <w:lvlOverride w:ilvl="1">
      <w:startOverride w:val="2"/>
    </w:lvlOverride>
  </w:num>
  <w:num w:numId="44">
    <w:abstractNumId w:val="6"/>
  </w:num>
  <w:num w:numId="45">
    <w:abstractNumId w:val="30"/>
  </w:num>
  <w:num w:numId="46">
    <w:abstractNumId w:val="24"/>
  </w:num>
  <w:num w:numId="47">
    <w:abstractNumId w:val="1"/>
    <w:lvlOverride w:ilvl="0">
      <w:startOverride w:val="1"/>
    </w:lvlOverride>
    <w:lvlOverride w:ilvl="1">
      <w:startOverride w:val="2"/>
    </w:lvlOverride>
  </w:num>
  <w:num w:numId="48">
    <w:abstractNumId w:val="1"/>
    <w:lvlOverride w:ilvl="0">
      <w:startOverride w:val="1"/>
    </w:lvlOverride>
    <w:lvlOverride w:ilvl="1">
      <w:startOverride w:val="2"/>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PE" w:vendorID="64" w:dllVersion="6" w:nlCheck="1" w:checkStyle="0"/>
  <w:activeWritingStyle w:appName="MSWord" w:lang="es-CO" w:vendorID="64" w:dllVersion="6" w:nlCheck="1" w:checkStyle="0"/>
  <w:activeWritingStyle w:appName="MSWord" w:lang="es-ES" w:vendorID="64" w:dllVersion="6" w:nlCheck="1" w:checkStyle="0"/>
  <w:activeWritingStyle w:appName="MSWord" w:lang="es-VE" w:vendorID="64" w:dllVersion="6" w:nlCheck="1" w:checkStyle="0"/>
  <w:activeWritingStyle w:appName="MSWord" w:lang="en-US" w:vendorID="64" w:dllVersion="6" w:nlCheck="1" w:checkStyle="1"/>
  <w:activeWritingStyle w:appName="MSWord" w:lang="es-MX" w:vendorID="64" w:dllVersion="6" w:nlCheck="1" w:checkStyle="0"/>
  <w:activeWritingStyle w:appName="MSWord" w:lang="en-GB" w:vendorID="64" w:dllVersion="6" w:nlCheck="1" w:checkStyle="1"/>
  <w:activeWritingStyle w:appName="MSWord" w:lang="es-419" w:vendorID="64" w:dllVersion="6" w:nlCheck="1" w:checkStyle="0"/>
  <w:activeWritingStyle w:appName="MSWord" w:lang="es-PR" w:vendorID="64" w:dllVersion="6" w:nlCheck="1" w:checkStyle="0"/>
  <w:activeWritingStyle w:appName="MSWord" w:lang="es-CL" w:vendorID="64" w:dllVersion="6" w:nlCheck="1" w:checkStyle="0"/>
  <w:activeWritingStyle w:appName="MSWord" w:lang="es-GT" w:vendorID="64" w:dllVersion="6" w:nlCheck="1" w:checkStyle="0"/>
  <w:activeWritingStyle w:appName="MSWord" w:lang="es-AR" w:vendorID="64" w:dllVersion="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B92"/>
    <w:rsid w:val="0000025B"/>
    <w:rsid w:val="000022A9"/>
    <w:rsid w:val="000023B0"/>
    <w:rsid w:val="00002A27"/>
    <w:rsid w:val="00003670"/>
    <w:rsid w:val="00003A1B"/>
    <w:rsid w:val="00003AE1"/>
    <w:rsid w:val="000044B8"/>
    <w:rsid w:val="00005711"/>
    <w:rsid w:val="00005EA4"/>
    <w:rsid w:val="000061B0"/>
    <w:rsid w:val="00007661"/>
    <w:rsid w:val="00007BE8"/>
    <w:rsid w:val="000119A3"/>
    <w:rsid w:val="00012A64"/>
    <w:rsid w:val="00014A8C"/>
    <w:rsid w:val="00015132"/>
    <w:rsid w:val="000152FE"/>
    <w:rsid w:val="000155FD"/>
    <w:rsid w:val="000167DE"/>
    <w:rsid w:val="00016C83"/>
    <w:rsid w:val="000173BE"/>
    <w:rsid w:val="0002159E"/>
    <w:rsid w:val="00021B0E"/>
    <w:rsid w:val="000225F0"/>
    <w:rsid w:val="00022955"/>
    <w:rsid w:val="0002395F"/>
    <w:rsid w:val="00023C87"/>
    <w:rsid w:val="00024218"/>
    <w:rsid w:val="00024A3E"/>
    <w:rsid w:val="00024FE7"/>
    <w:rsid w:val="0002507D"/>
    <w:rsid w:val="00026167"/>
    <w:rsid w:val="00026292"/>
    <w:rsid w:val="00026487"/>
    <w:rsid w:val="000272D0"/>
    <w:rsid w:val="0003216B"/>
    <w:rsid w:val="000322E9"/>
    <w:rsid w:val="00032D01"/>
    <w:rsid w:val="0003362A"/>
    <w:rsid w:val="00034291"/>
    <w:rsid w:val="000350FF"/>
    <w:rsid w:val="0003570A"/>
    <w:rsid w:val="00035B4B"/>
    <w:rsid w:val="00035CB0"/>
    <w:rsid w:val="00036801"/>
    <w:rsid w:val="000372DA"/>
    <w:rsid w:val="00037A0A"/>
    <w:rsid w:val="00037B9E"/>
    <w:rsid w:val="00037BAC"/>
    <w:rsid w:val="00040D1E"/>
    <w:rsid w:val="00041CD6"/>
    <w:rsid w:val="000421EF"/>
    <w:rsid w:val="00042562"/>
    <w:rsid w:val="00043B5A"/>
    <w:rsid w:val="00044297"/>
    <w:rsid w:val="000444C0"/>
    <w:rsid w:val="000448C9"/>
    <w:rsid w:val="00044975"/>
    <w:rsid w:val="0004502C"/>
    <w:rsid w:val="000457E1"/>
    <w:rsid w:val="0004601E"/>
    <w:rsid w:val="00047CFE"/>
    <w:rsid w:val="00050BFB"/>
    <w:rsid w:val="00050E15"/>
    <w:rsid w:val="00051AF3"/>
    <w:rsid w:val="000523E3"/>
    <w:rsid w:val="000527C4"/>
    <w:rsid w:val="000537F5"/>
    <w:rsid w:val="00053D91"/>
    <w:rsid w:val="0005457D"/>
    <w:rsid w:val="00054E24"/>
    <w:rsid w:val="00055407"/>
    <w:rsid w:val="000569C8"/>
    <w:rsid w:val="00056EB0"/>
    <w:rsid w:val="00057222"/>
    <w:rsid w:val="000606F9"/>
    <w:rsid w:val="0006198C"/>
    <w:rsid w:val="00063E47"/>
    <w:rsid w:val="00065053"/>
    <w:rsid w:val="00066EC1"/>
    <w:rsid w:val="00070774"/>
    <w:rsid w:val="00070AAC"/>
    <w:rsid w:val="0007102E"/>
    <w:rsid w:val="0007122A"/>
    <w:rsid w:val="00071BCC"/>
    <w:rsid w:val="00072008"/>
    <w:rsid w:val="00072900"/>
    <w:rsid w:val="00072955"/>
    <w:rsid w:val="000732C8"/>
    <w:rsid w:val="00074191"/>
    <w:rsid w:val="00075310"/>
    <w:rsid w:val="000757D0"/>
    <w:rsid w:val="00075D2C"/>
    <w:rsid w:val="000760C8"/>
    <w:rsid w:val="000770C2"/>
    <w:rsid w:val="00077BD4"/>
    <w:rsid w:val="00077C3E"/>
    <w:rsid w:val="00081167"/>
    <w:rsid w:val="00081B94"/>
    <w:rsid w:val="00082A2D"/>
    <w:rsid w:val="00084029"/>
    <w:rsid w:val="00084867"/>
    <w:rsid w:val="00085CDA"/>
    <w:rsid w:val="00086E69"/>
    <w:rsid w:val="00086F30"/>
    <w:rsid w:val="000871E5"/>
    <w:rsid w:val="00087892"/>
    <w:rsid w:val="000915F6"/>
    <w:rsid w:val="00091983"/>
    <w:rsid w:val="00092AFC"/>
    <w:rsid w:val="00092F01"/>
    <w:rsid w:val="000932B8"/>
    <w:rsid w:val="00093443"/>
    <w:rsid w:val="00093673"/>
    <w:rsid w:val="000942BA"/>
    <w:rsid w:val="000944D1"/>
    <w:rsid w:val="0009459F"/>
    <w:rsid w:val="00095076"/>
    <w:rsid w:val="00096177"/>
    <w:rsid w:val="00097A8F"/>
    <w:rsid w:val="00097AC6"/>
    <w:rsid w:val="000A1607"/>
    <w:rsid w:val="000A24FB"/>
    <w:rsid w:val="000A41A3"/>
    <w:rsid w:val="000A5F33"/>
    <w:rsid w:val="000A5FD1"/>
    <w:rsid w:val="000A64E8"/>
    <w:rsid w:val="000A66A6"/>
    <w:rsid w:val="000A675F"/>
    <w:rsid w:val="000A722F"/>
    <w:rsid w:val="000A7911"/>
    <w:rsid w:val="000B1383"/>
    <w:rsid w:val="000B19BC"/>
    <w:rsid w:val="000B2346"/>
    <w:rsid w:val="000B27C0"/>
    <w:rsid w:val="000B2AB2"/>
    <w:rsid w:val="000B2B60"/>
    <w:rsid w:val="000B3141"/>
    <w:rsid w:val="000B5958"/>
    <w:rsid w:val="000B6E6B"/>
    <w:rsid w:val="000B7496"/>
    <w:rsid w:val="000B7E37"/>
    <w:rsid w:val="000C290E"/>
    <w:rsid w:val="000C4765"/>
    <w:rsid w:val="000C4826"/>
    <w:rsid w:val="000C5322"/>
    <w:rsid w:val="000C67FE"/>
    <w:rsid w:val="000C6F6F"/>
    <w:rsid w:val="000C7500"/>
    <w:rsid w:val="000C7EE8"/>
    <w:rsid w:val="000D0333"/>
    <w:rsid w:val="000D08DA"/>
    <w:rsid w:val="000D0D1B"/>
    <w:rsid w:val="000D1308"/>
    <w:rsid w:val="000D1552"/>
    <w:rsid w:val="000D3CF2"/>
    <w:rsid w:val="000D3E7E"/>
    <w:rsid w:val="000D431A"/>
    <w:rsid w:val="000D4575"/>
    <w:rsid w:val="000D5BC0"/>
    <w:rsid w:val="000D5E38"/>
    <w:rsid w:val="000D61F1"/>
    <w:rsid w:val="000D6292"/>
    <w:rsid w:val="000D7831"/>
    <w:rsid w:val="000E00CE"/>
    <w:rsid w:val="000E0307"/>
    <w:rsid w:val="000E2BB9"/>
    <w:rsid w:val="000E3179"/>
    <w:rsid w:val="000E355B"/>
    <w:rsid w:val="000E35B3"/>
    <w:rsid w:val="000E4BD1"/>
    <w:rsid w:val="000E50F5"/>
    <w:rsid w:val="000E571D"/>
    <w:rsid w:val="000E576F"/>
    <w:rsid w:val="000E64C5"/>
    <w:rsid w:val="000E66CB"/>
    <w:rsid w:val="000E7A12"/>
    <w:rsid w:val="000F0304"/>
    <w:rsid w:val="000F04D2"/>
    <w:rsid w:val="000F0995"/>
    <w:rsid w:val="000F2548"/>
    <w:rsid w:val="000F463B"/>
    <w:rsid w:val="000F4743"/>
    <w:rsid w:val="000F4994"/>
    <w:rsid w:val="000F7801"/>
    <w:rsid w:val="000F7AA1"/>
    <w:rsid w:val="0010169E"/>
    <w:rsid w:val="00101B49"/>
    <w:rsid w:val="00102B7B"/>
    <w:rsid w:val="001030FA"/>
    <w:rsid w:val="0010417E"/>
    <w:rsid w:val="001053E5"/>
    <w:rsid w:val="00105AA3"/>
    <w:rsid w:val="001065DC"/>
    <w:rsid w:val="001066CC"/>
    <w:rsid w:val="0010714A"/>
    <w:rsid w:val="0010726D"/>
    <w:rsid w:val="00107361"/>
    <w:rsid w:val="00107D16"/>
    <w:rsid w:val="001101EE"/>
    <w:rsid w:val="0011036F"/>
    <w:rsid w:val="00111033"/>
    <w:rsid w:val="001118DE"/>
    <w:rsid w:val="00111C4A"/>
    <w:rsid w:val="00112122"/>
    <w:rsid w:val="00112780"/>
    <w:rsid w:val="00114EDD"/>
    <w:rsid w:val="00115149"/>
    <w:rsid w:val="001158E5"/>
    <w:rsid w:val="001173AC"/>
    <w:rsid w:val="001174FE"/>
    <w:rsid w:val="00120499"/>
    <w:rsid w:val="0012078C"/>
    <w:rsid w:val="001212BD"/>
    <w:rsid w:val="00123E04"/>
    <w:rsid w:val="00123E81"/>
    <w:rsid w:val="00124520"/>
    <w:rsid w:val="00124C65"/>
    <w:rsid w:val="001260D4"/>
    <w:rsid w:val="0012703D"/>
    <w:rsid w:val="001275B6"/>
    <w:rsid w:val="00130F03"/>
    <w:rsid w:val="00131579"/>
    <w:rsid w:val="001318A1"/>
    <w:rsid w:val="00132B1F"/>
    <w:rsid w:val="0013328C"/>
    <w:rsid w:val="00134F2E"/>
    <w:rsid w:val="0013504B"/>
    <w:rsid w:val="0013587F"/>
    <w:rsid w:val="001358E3"/>
    <w:rsid w:val="001365AC"/>
    <w:rsid w:val="00136762"/>
    <w:rsid w:val="00136FEF"/>
    <w:rsid w:val="001400FE"/>
    <w:rsid w:val="00140537"/>
    <w:rsid w:val="001426B6"/>
    <w:rsid w:val="00142AEC"/>
    <w:rsid w:val="00143E25"/>
    <w:rsid w:val="0014534F"/>
    <w:rsid w:val="001479A4"/>
    <w:rsid w:val="00151443"/>
    <w:rsid w:val="001518AD"/>
    <w:rsid w:val="001535CC"/>
    <w:rsid w:val="00153960"/>
    <w:rsid w:val="00153ACF"/>
    <w:rsid w:val="00154402"/>
    <w:rsid w:val="001554A1"/>
    <w:rsid w:val="00155FF5"/>
    <w:rsid w:val="00156322"/>
    <w:rsid w:val="00156BF4"/>
    <w:rsid w:val="00156DC2"/>
    <w:rsid w:val="00161777"/>
    <w:rsid w:val="00162404"/>
    <w:rsid w:val="00163C20"/>
    <w:rsid w:val="001640E8"/>
    <w:rsid w:val="00164B08"/>
    <w:rsid w:val="00164D8B"/>
    <w:rsid w:val="00164DA1"/>
    <w:rsid w:val="00164E7B"/>
    <w:rsid w:val="001663D5"/>
    <w:rsid w:val="0016642E"/>
    <w:rsid w:val="001665FA"/>
    <w:rsid w:val="0016721C"/>
    <w:rsid w:val="0016763B"/>
    <w:rsid w:val="00170BCE"/>
    <w:rsid w:val="0017116A"/>
    <w:rsid w:val="00174486"/>
    <w:rsid w:val="00174DD8"/>
    <w:rsid w:val="00175527"/>
    <w:rsid w:val="00176672"/>
    <w:rsid w:val="0017775A"/>
    <w:rsid w:val="0018100E"/>
    <w:rsid w:val="001810C5"/>
    <w:rsid w:val="001849BE"/>
    <w:rsid w:val="00184CA8"/>
    <w:rsid w:val="001854C1"/>
    <w:rsid w:val="00185561"/>
    <w:rsid w:val="001859C6"/>
    <w:rsid w:val="00186565"/>
    <w:rsid w:val="00190345"/>
    <w:rsid w:val="00190616"/>
    <w:rsid w:val="001907C4"/>
    <w:rsid w:val="00191028"/>
    <w:rsid w:val="00192DFD"/>
    <w:rsid w:val="00192E8F"/>
    <w:rsid w:val="00195027"/>
    <w:rsid w:val="001973A1"/>
    <w:rsid w:val="00197511"/>
    <w:rsid w:val="001A01DD"/>
    <w:rsid w:val="001A38D2"/>
    <w:rsid w:val="001A3DC4"/>
    <w:rsid w:val="001A45AB"/>
    <w:rsid w:val="001A465C"/>
    <w:rsid w:val="001A4FBD"/>
    <w:rsid w:val="001A5E6F"/>
    <w:rsid w:val="001A6E37"/>
    <w:rsid w:val="001B0D94"/>
    <w:rsid w:val="001B13AF"/>
    <w:rsid w:val="001B1430"/>
    <w:rsid w:val="001B1F36"/>
    <w:rsid w:val="001B2496"/>
    <w:rsid w:val="001B2A1B"/>
    <w:rsid w:val="001B2A75"/>
    <w:rsid w:val="001B2C75"/>
    <w:rsid w:val="001B3334"/>
    <w:rsid w:val="001B5B3A"/>
    <w:rsid w:val="001B6444"/>
    <w:rsid w:val="001B7218"/>
    <w:rsid w:val="001C088D"/>
    <w:rsid w:val="001C21CE"/>
    <w:rsid w:val="001C21DB"/>
    <w:rsid w:val="001C5268"/>
    <w:rsid w:val="001C5992"/>
    <w:rsid w:val="001C5D8E"/>
    <w:rsid w:val="001C5FB1"/>
    <w:rsid w:val="001C6287"/>
    <w:rsid w:val="001C6AB9"/>
    <w:rsid w:val="001C6C00"/>
    <w:rsid w:val="001C6CD0"/>
    <w:rsid w:val="001D02C4"/>
    <w:rsid w:val="001D1303"/>
    <w:rsid w:val="001D14C3"/>
    <w:rsid w:val="001D237C"/>
    <w:rsid w:val="001D4167"/>
    <w:rsid w:val="001D424D"/>
    <w:rsid w:val="001D4587"/>
    <w:rsid w:val="001D56B4"/>
    <w:rsid w:val="001D572B"/>
    <w:rsid w:val="001D5BBB"/>
    <w:rsid w:val="001D61F2"/>
    <w:rsid w:val="001D65E9"/>
    <w:rsid w:val="001D6E69"/>
    <w:rsid w:val="001D74D7"/>
    <w:rsid w:val="001D7805"/>
    <w:rsid w:val="001D788B"/>
    <w:rsid w:val="001E0D7F"/>
    <w:rsid w:val="001E0F52"/>
    <w:rsid w:val="001E12E4"/>
    <w:rsid w:val="001E13A6"/>
    <w:rsid w:val="001E1E12"/>
    <w:rsid w:val="001E28AC"/>
    <w:rsid w:val="001E2F57"/>
    <w:rsid w:val="001E40AC"/>
    <w:rsid w:val="001E448A"/>
    <w:rsid w:val="001E4E9B"/>
    <w:rsid w:val="001E4FA6"/>
    <w:rsid w:val="001E60D7"/>
    <w:rsid w:val="001E61AC"/>
    <w:rsid w:val="001E7A17"/>
    <w:rsid w:val="001E7A73"/>
    <w:rsid w:val="001E7DBA"/>
    <w:rsid w:val="001F2197"/>
    <w:rsid w:val="001F234B"/>
    <w:rsid w:val="001F2D30"/>
    <w:rsid w:val="001F4C0A"/>
    <w:rsid w:val="001F5D4E"/>
    <w:rsid w:val="001F5EDD"/>
    <w:rsid w:val="001F73BD"/>
    <w:rsid w:val="001F7A7F"/>
    <w:rsid w:val="00200502"/>
    <w:rsid w:val="00200958"/>
    <w:rsid w:val="00200CAB"/>
    <w:rsid w:val="002015D1"/>
    <w:rsid w:val="0020191D"/>
    <w:rsid w:val="00202DC8"/>
    <w:rsid w:val="0020330B"/>
    <w:rsid w:val="002035EE"/>
    <w:rsid w:val="00203BD1"/>
    <w:rsid w:val="0020411A"/>
    <w:rsid w:val="00204325"/>
    <w:rsid w:val="00204967"/>
    <w:rsid w:val="00205044"/>
    <w:rsid w:val="0020520A"/>
    <w:rsid w:val="00205C7F"/>
    <w:rsid w:val="002063E1"/>
    <w:rsid w:val="002107FC"/>
    <w:rsid w:val="00211753"/>
    <w:rsid w:val="00212468"/>
    <w:rsid w:val="002131CE"/>
    <w:rsid w:val="00213614"/>
    <w:rsid w:val="00213747"/>
    <w:rsid w:val="00213C30"/>
    <w:rsid w:val="00214191"/>
    <w:rsid w:val="002149DD"/>
    <w:rsid w:val="002163AE"/>
    <w:rsid w:val="00216B2E"/>
    <w:rsid w:val="00216C21"/>
    <w:rsid w:val="00216EC4"/>
    <w:rsid w:val="002201A8"/>
    <w:rsid w:val="00220561"/>
    <w:rsid w:val="002206C2"/>
    <w:rsid w:val="00220BE1"/>
    <w:rsid w:val="002215FD"/>
    <w:rsid w:val="00221FEF"/>
    <w:rsid w:val="00222916"/>
    <w:rsid w:val="00222C4D"/>
    <w:rsid w:val="00222F6C"/>
    <w:rsid w:val="00223419"/>
    <w:rsid w:val="00223450"/>
    <w:rsid w:val="002237A7"/>
    <w:rsid w:val="002246FB"/>
    <w:rsid w:val="00225633"/>
    <w:rsid w:val="00225D2B"/>
    <w:rsid w:val="00226614"/>
    <w:rsid w:val="00226707"/>
    <w:rsid w:val="00227623"/>
    <w:rsid w:val="0023051C"/>
    <w:rsid w:val="0023058C"/>
    <w:rsid w:val="002328F9"/>
    <w:rsid w:val="00233445"/>
    <w:rsid w:val="00234CCC"/>
    <w:rsid w:val="00234EBF"/>
    <w:rsid w:val="00234F19"/>
    <w:rsid w:val="0023587D"/>
    <w:rsid w:val="00235964"/>
    <w:rsid w:val="00237B59"/>
    <w:rsid w:val="00237D23"/>
    <w:rsid w:val="00240120"/>
    <w:rsid w:val="00240605"/>
    <w:rsid w:val="00240640"/>
    <w:rsid w:val="00240C36"/>
    <w:rsid w:val="0024162B"/>
    <w:rsid w:val="00241745"/>
    <w:rsid w:val="00241836"/>
    <w:rsid w:val="00241D92"/>
    <w:rsid w:val="00243665"/>
    <w:rsid w:val="0024379A"/>
    <w:rsid w:val="002437EB"/>
    <w:rsid w:val="002455A1"/>
    <w:rsid w:val="0024583F"/>
    <w:rsid w:val="002474D2"/>
    <w:rsid w:val="00247B9F"/>
    <w:rsid w:val="0025037C"/>
    <w:rsid w:val="002507FB"/>
    <w:rsid w:val="002509FE"/>
    <w:rsid w:val="00250C4C"/>
    <w:rsid w:val="002514FE"/>
    <w:rsid w:val="00251E57"/>
    <w:rsid w:val="00252744"/>
    <w:rsid w:val="002531B9"/>
    <w:rsid w:val="00253F40"/>
    <w:rsid w:val="002540D2"/>
    <w:rsid w:val="00254B9C"/>
    <w:rsid w:val="00255021"/>
    <w:rsid w:val="002551AB"/>
    <w:rsid w:val="00256131"/>
    <w:rsid w:val="0025698F"/>
    <w:rsid w:val="00256ABE"/>
    <w:rsid w:val="00256D6A"/>
    <w:rsid w:val="002570A0"/>
    <w:rsid w:val="0025796D"/>
    <w:rsid w:val="002600EE"/>
    <w:rsid w:val="00260414"/>
    <w:rsid w:val="00263C8C"/>
    <w:rsid w:val="00264909"/>
    <w:rsid w:val="00265AC2"/>
    <w:rsid w:val="002705AB"/>
    <w:rsid w:val="00272B85"/>
    <w:rsid w:val="00273362"/>
    <w:rsid w:val="0027404C"/>
    <w:rsid w:val="002747C9"/>
    <w:rsid w:val="002749E2"/>
    <w:rsid w:val="00275229"/>
    <w:rsid w:val="0027615E"/>
    <w:rsid w:val="0027763C"/>
    <w:rsid w:val="002813AE"/>
    <w:rsid w:val="002816B5"/>
    <w:rsid w:val="002830EA"/>
    <w:rsid w:val="0028359E"/>
    <w:rsid w:val="00283A28"/>
    <w:rsid w:val="00283C83"/>
    <w:rsid w:val="00284B5D"/>
    <w:rsid w:val="00284EAE"/>
    <w:rsid w:val="00285C78"/>
    <w:rsid w:val="00285DA8"/>
    <w:rsid w:val="00286590"/>
    <w:rsid w:val="00287341"/>
    <w:rsid w:val="002921AC"/>
    <w:rsid w:val="00292783"/>
    <w:rsid w:val="00293786"/>
    <w:rsid w:val="002938EE"/>
    <w:rsid w:val="00293A7D"/>
    <w:rsid w:val="0029471C"/>
    <w:rsid w:val="002A0343"/>
    <w:rsid w:val="002A1041"/>
    <w:rsid w:val="002A1B47"/>
    <w:rsid w:val="002A2592"/>
    <w:rsid w:val="002A29E8"/>
    <w:rsid w:val="002A307D"/>
    <w:rsid w:val="002A4C47"/>
    <w:rsid w:val="002A66B5"/>
    <w:rsid w:val="002A75E8"/>
    <w:rsid w:val="002B0028"/>
    <w:rsid w:val="002B02D5"/>
    <w:rsid w:val="002B051E"/>
    <w:rsid w:val="002B0D37"/>
    <w:rsid w:val="002B1C54"/>
    <w:rsid w:val="002B1CC8"/>
    <w:rsid w:val="002B205A"/>
    <w:rsid w:val="002B25B1"/>
    <w:rsid w:val="002B2B35"/>
    <w:rsid w:val="002B41F8"/>
    <w:rsid w:val="002B5DBD"/>
    <w:rsid w:val="002B60EF"/>
    <w:rsid w:val="002B616C"/>
    <w:rsid w:val="002B61BF"/>
    <w:rsid w:val="002C0C01"/>
    <w:rsid w:val="002C0C3F"/>
    <w:rsid w:val="002C1132"/>
    <w:rsid w:val="002C1C1E"/>
    <w:rsid w:val="002C27AF"/>
    <w:rsid w:val="002C35E3"/>
    <w:rsid w:val="002C5652"/>
    <w:rsid w:val="002C5871"/>
    <w:rsid w:val="002C5C8E"/>
    <w:rsid w:val="002C5E27"/>
    <w:rsid w:val="002C6071"/>
    <w:rsid w:val="002C6475"/>
    <w:rsid w:val="002C676D"/>
    <w:rsid w:val="002C6EBA"/>
    <w:rsid w:val="002C7213"/>
    <w:rsid w:val="002C7445"/>
    <w:rsid w:val="002C7458"/>
    <w:rsid w:val="002C7494"/>
    <w:rsid w:val="002C77DD"/>
    <w:rsid w:val="002C7972"/>
    <w:rsid w:val="002D0C70"/>
    <w:rsid w:val="002D0C8D"/>
    <w:rsid w:val="002D3136"/>
    <w:rsid w:val="002D3E44"/>
    <w:rsid w:val="002D418E"/>
    <w:rsid w:val="002D50B8"/>
    <w:rsid w:val="002D600A"/>
    <w:rsid w:val="002D700B"/>
    <w:rsid w:val="002D7118"/>
    <w:rsid w:val="002E2412"/>
    <w:rsid w:val="002E24F4"/>
    <w:rsid w:val="002E29F3"/>
    <w:rsid w:val="002E3196"/>
    <w:rsid w:val="002E357F"/>
    <w:rsid w:val="002E3659"/>
    <w:rsid w:val="002E3BFE"/>
    <w:rsid w:val="002E44F9"/>
    <w:rsid w:val="002E4F26"/>
    <w:rsid w:val="002E55CC"/>
    <w:rsid w:val="002F00EB"/>
    <w:rsid w:val="002F07B0"/>
    <w:rsid w:val="002F0DA0"/>
    <w:rsid w:val="002F1411"/>
    <w:rsid w:val="002F14FB"/>
    <w:rsid w:val="002F1617"/>
    <w:rsid w:val="002F23C6"/>
    <w:rsid w:val="002F30ED"/>
    <w:rsid w:val="002F63F8"/>
    <w:rsid w:val="002F6BC1"/>
    <w:rsid w:val="00301D58"/>
    <w:rsid w:val="00303680"/>
    <w:rsid w:val="003036BE"/>
    <w:rsid w:val="0030384C"/>
    <w:rsid w:val="00304955"/>
    <w:rsid w:val="00304ACF"/>
    <w:rsid w:val="00304E16"/>
    <w:rsid w:val="00305C0D"/>
    <w:rsid w:val="00306369"/>
    <w:rsid w:val="003064A7"/>
    <w:rsid w:val="003078D6"/>
    <w:rsid w:val="00310432"/>
    <w:rsid w:val="00310647"/>
    <w:rsid w:val="003112C7"/>
    <w:rsid w:val="00312200"/>
    <w:rsid w:val="0031223C"/>
    <w:rsid w:val="0031256B"/>
    <w:rsid w:val="00313513"/>
    <w:rsid w:val="003136FE"/>
    <w:rsid w:val="00314034"/>
    <w:rsid w:val="00314095"/>
    <w:rsid w:val="003145D0"/>
    <w:rsid w:val="00314C7D"/>
    <w:rsid w:val="003157B6"/>
    <w:rsid w:val="003159B3"/>
    <w:rsid w:val="00317252"/>
    <w:rsid w:val="003174E7"/>
    <w:rsid w:val="00317AE3"/>
    <w:rsid w:val="00320F0F"/>
    <w:rsid w:val="00321578"/>
    <w:rsid w:val="00322135"/>
    <w:rsid w:val="00322143"/>
    <w:rsid w:val="0032270F"/>
    <w:rsid w:val="00322F22"/>
    <w:rsid w:val="003233F1"/>
    <w:rsid w:val="003236CB"/>
    <w:rsid w:val="0032372C"/>
    <w:rsid w:val="003258CC"/>
    <w:rsid w:val="00325B67"/>
    <w:rsid w:val="0032639F"/>
    <w:rsid w:val="00327080"/>
    <w:rsid w:val="003275E3"/>
    <w:rsid w:val="003275E8"/>
    <w:rsid w:val="00327638"/>
    <w:rsid w:val="00327D30"/>
    <w:rsid w:val="00330468"/>
    <w:rsid w:val="00330DDC"/>
    <w:rsid w:val="0033126D"/>
    <w:rsid w:val="00331648"/>
    <w:rsid w:val="00331E7D"/>
    <w:rsid w:val="00332463"/>
    <w:rsid w:val="00332B20"/>
    <w:rsid w:val="00332C14"/>
    <w:rsid w:val="003365F7"/>
    <w:rsid w:val="00336AEF"/>
    <w:rsid w:val="0033768B"/>
    <w:rsid w:val="00337B15"/>
    <w:rsid w:val="0034021A"/>
    <w:rsid w:val="00341921"/>
    <w:rsid w:val="00341CD8"/>
    <w:rsid w:val="00341DE5"/>
    <w:rsid w:val="00342299"/>
    <w:rsid w:val="003427FA"/>
    <w:rsid w:val="00343B02"/>
    <w:rsid w:val="003455F1"/>
    <w:rsid w:val="003459D9"/>
    <w:rsid w:val="00347347"/>
    <w:rsid w:val="00347F2F"/>
    <w:rsid w:val="00350699"/>
    <w:rsid w:val="00351190"/>
    <w:rsid w:val="00352AEF"/>
    <w:rsid w:val="00353B40"/>
    <w:rsid w:val="00353F32"/>
    <w:rsid w:val="00354175"/>
    <w:rsid w:val="00354626"/>
    <w:rsid w:val="003546BA"/>
    <w:rsid w:val="00354988"/>
    <w:rsid w:val="00354CD2"/>
    <w:rsid w:val="003555E1"/>
    <w:rsid w:val="00355D8A"/>
    <w:rsid w:val="00356209"/>
    <w:rsid w:val="00356BBE"/>
    <w:rsid w:val="00356BC5"/>
    <w:rsid w:val="00361D5C"/>
    <w:rsid w:val="00361FE8"/>
    <w:rsid w:val="00362231"/>
    <w:rsid w:val="00362C65"/>
    <w:rsid w:val="003633DB"/>
    <w:rsid w:val="003637F8"/>
    <w:rsid w:val="00363D1B"/>
    <w:rsid w:val="00363DF9"/>
    <w:rsid w:val="003640E2"/>
    <w:rsid w:val="00364A49"/>
    <w:rsid w:val="00365928"/>
    <w:rsid w:val="00365F4C"/>
    <w:rsid w:val="0036651C"/>
    <w:rsid w:val="00366FAA"/>
    <w:rsid w:val="00367277"/>
    <w:rsid w:val="00371AD8"/>
    <w:rsid w:val="00374682"/>
    <w:rsid w:val="00375282"/>
    <w:rsid w:val="0037538B"/>
    <w:rsid w:val="00376369"/>
    <w:rsid w:val="00376426"/>
    <w:rsid w:val="00376957"/>
    <w:rsid w:val="003777EC"/>
    <w:rsid w:val="00377CDD"/>
    <w:rsid w:val="0038160F"/>
    <w:rsid w:val="00381643"/>
    <w:rsid w:val="00381DC1"/>
    <w:rsid w:val="0038275F"/>
    <w:rsid w:val="00382D42"/>
    <w:rsid w:val="00382D83"/>
    <w:rsid w:val="00383249"/>
    <w:rsid w:val="003854C3"/>
    <w:rsid w:val="00385DCC"/>
    <w:rsid w:val="003860C9"/>
    <w:rsid w:val="003866AE"/>
    <w:rsid w:val="00386B51"/>
    <w:rsid w:val="003903AA"/>
    <w:rsid w:val="00390D45"/>
    <w:rsid w:val="003921F2"/>
    <w:rsid w:val="003951B4"/>
    <w:rsid w:val="0039539D"/>
    <w:rsid w:val="00395FB0"/>
    <w:rsid w:val="003962C2"/>
    <w:rsid w:val="0039669B"/>
    <w:rsid w:val="003970A6"/>
    <w:rsid w:val="00397985"/>
    <w:rsid w:val="003A06DA"/>
    <w:rsid w:val="003A0A36"/>
    <w:rsid w:val="003A1898"/>
    <w:rsid w:val="003A3676"/>
    <w:rsid w:val="003A4719"/>
    <w:rsid w:val="003A58EF"/>
    <w:rsid w:val="003A66D6"/>
    <w:rsid w:val="003A6B91"/>
    <w:rsid w:val="003A6E28"/>
    <w:rsid w:val="003A73A6"/>
    <w:rsid w:val="003A754B"/>
    <w:rsid w:val="003A776B"/>
    <w:rsid w:val="003B065A"/>
    <w:rsid w:val="003B0957"/>
    <w:rsid w:val="003B1975"/>
    <w:rsid w:val="003B2889"/>
    <w:rsid w:val="003B2FE0"/>
    <w:rsid w:val="003B4149"/>
    <w:rsid w:val="003B485D"/>
    <w:rsid w:val="003B4983"/>
    <w:rsid w:val="003B510B"/>
    <w:rsid w:val="003B62D4"/>
    <w:rsid w:val="003B7F47"/>
    <w:rsid w:val="003C028A"/>
    <w:rsid w:val="003C061E"/>
    <w:rsid w:val="003C099B"/>
    <w:rsid w:val="003C17D4"/>
    <w:rsid w:val="003C1E20"/>
    <w:rsid w:val="003C2637"/>
    <w:rsid w:val="003C295A"/>
    <w:rsid w:val="003C382B"/>
    <w:rsid w:val="003C3B92"/>
    <w:rsid w:val="003C5726"/>
    <w:rsid w:val="003C73BE"/>
    <w:rsid w:val="003C7A6C"/>
    <w:rsid w:val="003D0AAC"/>
    <w:rsid w:val="003D0C32"/>
    <w:rsid w:val="003D0D28"/>
    <w:rsid w:val="003D1572"/>
    <w:rsid w:val="003D1E62"/>
    <w:rsid w:val="003D2354"/>
    <w:rsid w:val="003D2772"/>
    <w:rsid w:val="003D27A5"/>
    <w:rsid w:val="003D28FE"/>
    <w:rsid w:val="003D2D2E"/>
    <w:rsid w:val="003D2D36"/>
    <w:rsid w:val="003D38F9"/>
    <w:rsid w:val="003D5A8D"/>
    <w:rsid w:val="003D5D4F"/>
    <w:rsid w:val="003D6F19"/>
    <w:rsid w:val="003E068C"/>
    <w:rsid w:val="003E2439"/>
    <w:rsid w:val="003E42D6"/>
    <w:rsid w:val="003E57A3"/>
    <w:rsid w:val="003E68EC"/>
    <w:rsid w:val="003E6D00"/>
    <w:rsid w:val="003E6EA7"/>
    <w:rsid w:val="003E6EC6"/>
    <w:rsid w:val="003E7610"/>
    <w:rsid w:val="003F0317"/>
    <w:rsid w:val="003F0D73"/>
    <w:rsid w:val="003F154F"/>
    <w:rsid w:val="003F1731"/>
    <w:rsid w:val="003F2145"/>
    <w:rsid w:val="003F22E6"/>
    <w:rsid w:val="003F2B80"/>
    <w:rsid w:val="003F3BBA"/>
    <w:rsid w:val="003F3E8F"/>
    <w:rsid w:val="003F44DA"/>
    <w:rsid w:val="003F4861"/>
    <w:rsid w:val="003F510A"/>
    <w:rsid w:val="003F67D6"/>
    <w:rsid w:val="00400D56"/>
    <w:rsid w:val="00403815"/>
    <w:rsid w:val="00403D46"/>
    <w:rsid w:val="0040458E"/>
    <w:rsid w:val="00404843"/>
    <w:rsid w:val="00404F3E"/>
    <w:rsid w:val="00405379"/>
    <w:rsid w:val="00405A66"/>
    <w:rsid w:val="00410C99"/>
    <w:rsid w:val="004116E4"/>
    <w:rsid w:val="00411F78"/>
    <w:rsid w:val="00412BAD"/>
    <w:rsid w:val="00412E64"/>
    <w:rsid w:val="0041499E"/>
    <w:rsid w:val="00414F59"/>
    <w:rsid w:val="0041696A"/>
    <w:rsid w:val="00416C8D"/>
    <w:rsid w:val="00417904"/>
    <w:rsid w:val="00420124"/>
    <w:rsid w:val="00422EE6"/>
    <w:rsid w:val="00423334"/>
    <w:rsid w:val="00423654"/>
    <w:rsid w:val="004237CA"/>
    <w:rsid w:val="004237DB"/>
    <w:rsid w:val="004238AE"/>
    <w:rsid w:val="00423B7F"/>
    <w:rsid w:val="00425787"/>
    <w:rsid w:val="00425B48"/>
    <w:rsid w:val="00427355"/>
    <w:rsid w:val="00427422"/>
    <w:rsid w:val="00427749"/>
    <w:rsid w:val="00427BEC"/>
    <w:rsid w:val="00430B1F"/>
    <w:rsid w:val="00432608"/>
    <w:rsid w:val="00433CB1"/>
    <w:rsid w:val="00435514"/>
    <w:rsid w:val="00437FF9"/>
    <w:rsid w:val="0044006D"/>
    <w:rsid w:val="00440294"/>
    <w:rsid w:val="0044115F"/>
    <w:rsid w:val="0044125D"/>
    <w:rsid w:val="00441B2F"/>
    <w:rsid w:val="004424AB"/>
    <w:rsid w:val="00443479"/>
    <w:rsid w:val="00443881"/>
    <w:rsid w:val="004449CC"/>
    <w:rsid w:val="00445BED"/>
    <w:rsid w:val="00450095"/>
    <w:rsid w:val="00450CA0"/>
    <w:rsid w:val="004517B5"/>
    <w:rsid w:val="004519F3"/>
    <w:rsid w:val="00451EBF"/>
    <w:rsid w:val="0045305A"/>
    <w:rsid w:val="00453F6B"/>
    <w:rsid w:val="004540D7"/>
    <w:rsid w:val="00454D82"/>
    <w:rsid w:val="00456BF3"/>
    <w:rsid w:val="0045780E"/>
    <w:rsid w:val="00460021"/>
    <w:rsid w:val="004601A4"/>
    <w:rsid w:val="0046034D"/>
    <w:rsid w:val="00461059"/>
    <w:rsid w:val="00463227"/>
    <w:rsid w:val="0046742B"/>
    <w:rsid w:val="00467DED"/>
    <w:rsid w:val="00467FC5"/>
    <w:rsid w:val="00470ACA"/>
    <w:rsid w:val="00470CFE"/>
    <w:rsid w:val="00470E95"/>
    <w:rsid w:val="00472603"/>
    <w:rsid w:val="00473963"/>
    <w:rsid w:val="00475B89"/>
    <w:rsid w:val="004774D0"/>
    <w:rsid w:val="00477736"/>
    <w:rsid w:val="00477CE8"/>
    <w:rsid w:val="0048010E"/>
    <w:rsid w:val="00480B6F"/>
    <w:rsid w:val="00480F68"/>
    <w:rsid w:val="0048118F"/>
    <w:rsid w:val="00481C87"/>
    <w:rsid w:val="00482C04"/>
    <w:rsid w:val="0048395F"/>
    <w:rsid w:val="00485013"/>
    <w:rsid w:val="0048577E"/>
    <w:rsid w:val="0048669E"/>
    <w:rsid w:val="004868CA"/>
    <w:rsid w:val="00486BB4"/>
    <w:rsid w:val="004879AB"/>
    <w:rsid w:val="00487D6D"/>
    <w:rsid w:val="004904CB"/>
    <w:rsid w:val="0049349B"/>
    <w:rsid w:val="004935C9"/>
    <w:rsid w:val="00493776"/>
    <w:rsid w:val="00493CE0"/>
    <w:rsid w:val="004949BD"/>
    <w:rsid w:val="00494B7E"/>
    <w:rsid w:val="00495E65"/>
    <w:rsid w:val="00495EC5"/>
    <w:rsid w:val="00496538"/>
    <w:rsid w:val="00497493"/>
    <w:rsid w:val="004A07DD"/>
    <w:rsid w:val="004A2883"/>
    <w:rsid w:val="004A2FF2"/>
    <w:rsid w:val="004A3E07"/>
    <w:rsid w:val="004A3FED"/>
    <w:rsid w:val="004A479E"/>
    <w:rsid w:val="004A4BDE"/>
    <w:rsid w:val="004A5179"/>
    <w:rsid w:val="004A60D0"/>
    <w:rsid w:val="004A60E7"/>
    <w:rsid w:val="004A68EF"/>
    <w:rsid w:val="004A70E9"/>
    <w:rsid w:val="004B0A2F"/>
    <w:rsid w:val="004B3EF5"/>
    <w:rsid w:val="004B5127"/>
    <w:rsid w:val="004B5211"/>
    <w:rsid w:val="004B53D7"/>
    <w:rsid w:val="004B64B4"/>
    <w:rsid w:val="004B7BB8"/>
    <w:rsid w:val="004B7BD9"/>
    <w:rsid w:val="004C0103"/>
    <w:rsid w:val="004C040E"/>
    <w:rsid w:val="004C0429"/>
    <w:rsid w:val="004C2EDC"/>
    <w:rsid w:val="004C3325"/>
    <w:rsid w:val="004C3A45"/>
    <w:rsid w:val="004C4A94"/>
    <w:rsid w:val="004C4CFC"/>
    <w:rsid w:val="004C5A6A"/>
    <w:rsid w:val="004C5F85"/>
    <w:rsid w:val="004C7430"/>
    <w:rsid w:val="004C7565"/>
    <w:rsid w:val="004C7580"/>
    <w:rsid w:val="004C7C44"/>
    <w:rsid w:val="004D228E"/>
    <w:rsid w:val="004D2A78"/>
    <w:rsid w:val="004D34A0"/>
    <w:rsid w:val="004D3C32"/>
    <w:rsid w:val="004D3E74"/>
    <w:rsid w:val="004D3F6D"/>
    <w:rsid w:val="004D3F88"/>
    <w:rsid w:val="004D40DC"/>
    <w:rsid w:val="004D43B4"/>
    <w:rsid w:val="004D46B2"/>
    <w:rsid w:val="004D630A"/>
    <w:rsid w:val="004D6DE9"/>
    <w:rsid w:val="004E095B"/>
    <w:rsid w:val="004E1705"/>
    <w:rsid w:val="004E63AC"/>
    <w:rsid w:val="004E7055"/>
    <w:rsid w:val="004E71B1"/>
    <w:rsid w:val="004F0BA1"/>
    <w:rsid w:val="004F155E"/>
    <w:rsid w:val="004F1717"/>
    <w:rsid w:val="004F2B6C"/>
    <w:rsid w:val="004F3604"/>
    <w:rsid w:val="004F37A6"/>
    <w:rsid w:val="004F5108"/>
    <w:rsid w:val="004F555C"/>
    <w:rsid w:val="00500FCC"/>
    <w:rsid w:val="005026EA"/>
    <w:rsid w:val="00502D23"/>
    <w:rsid w:val="00502DC0"/>
    <w:rsid w:val="00502E54"/>
    <w:rsid w:val="00503DD3"/>
    <w:rsid w:val="00506C9F"/>
    <w:rsid w:val="005100C7"/>
    <w:rsid w:val="00510F5A"/>
    <w:rsid w:val="00511252"/>
    <w:rsid w:val="00511B0D"/>
    <w:rsid w:val="00511B63"/>
    <w:rsid w:val="00511BB8"/>
    <w:rsid w:val="00512687"/>
    <w:rsid w:val="005155F8"/>
    <w:rsid w:val="00516B09"/>
    <w:rsid w:val="00517242"/>
    <w:rsid w:val="00517CEC"/>
    <w:rsid w:val="00520634"/>
    <w:rsid w:val="00521657"/>
    <w:rsid w:val="00521BEE"/>
    <w:rsid w:val="00522161"/>
    <w:rsid w:val="0052245A"/>
    <w:rsid w:val="005225C7"/>
    <w:rsid w:val="00522BB0"/>
    <w:rsid w:val="00523171"/>
    <w:rsid w:val="0052499C"/>
    <w:rsid w:val="005249F8"/>
    <w:rsid w:val="00524F65"/>
    <w:rsid w:val="00525B13"/>
    <w:rsid w:val="00525C0A"/>
    <w:rsid w:val="00526148"/>
    <w:rsid w:val="005268FA"/>
    <w:rsid w:val="00527AB4"/>
    <w:rsid w:val="0053096A"/>
    <w:rsid w:val="00531F3D"/>
    <w:rsid w:val="00532330"/>
    <w:rsid w:val="005328BE"/>
    <w:rsid w:val="0053470E"/>
    <w:rsid w:val="005349AD"/>
    <w:rsid w:val="00534CF4"/>
    <w:rsid w:val="00535576"/>
    <w:rsid w:val="00535A6E"/>
    <w:rsid w:val="005361B0"/>
    <w:rsid w:val="00537764"/>
    <w:rsid w:val="005378AB"/>
    <w:rsid w:val="005405C7"/>
    <w:rsid w:val="00540705"/>
    <w:rsid w:val="00540AF4"/>
    <w:rsid w:val="00540B6B"/>
    <w:rsid w:val="00540B78"/>
    <w:rsid w:val="00540E29"/>
    <w:rsid w:val="005414BD"/>
    <w:rsid w:val="00541F10"/>
    <w:rsid w:val="00542813"/>
    <w:rsid w:val="0054594B"/>
    <w:rsid w:val="0054597A"/>
    <w:rsid w:val="005477A3"/>
    <w:rsid w:val="00547F74"/>
    <w:rsid w:val="00550315"/>
    <w:rsid w:val="00551A4B"/>
    <w:rsid w:val="00552BF8"/>
    <w:rsid w:val="00552DB7"/>
    <w:rsid w:val="0055344A"/>
    <w:rsid w:val="00553619"/>
    <w:rsid w:val="00554876"/>
    <w:rsid w:val="00554B5A"/>
    <w:rsid w:val="00554EDA"/>
    <w:rsid w:val="00554F15"/>
    <w:rsid w:val="0055541F"/>
    <w:rsid w:val="00560345"/>
    <w:rsid w:val="0056054D"/>
    <w:rsid w:val="00561442"/>
    <w:rsid w:val="00563AC9"/>
    <w:rsid w:val="00564CA5"/>
    <w:rsid w:val="00564E64"/>
    <w:rsid w:val="0056515B"/>
    <w:rsid w:val="005658BC"/>
    <w:rsid w:val="00567894"/>
    <w:rsid w:val="0057184A"/>
    <w:rsid w:val="00572673"/>
    <w:rsid w:val="0057297C"/>
    <w:rsid w:val="00573555"/>
    <w:rsid w:val="005745B7"/>
    <w:rsid w:val="005760A6"/>
    <w:rsid w:val="00576A36"/>
    <w:rsid w:val="00577C9F"/>
    <w:rsid w:val="00580597"/>
    <w:rsid w:val="005814BD"/>
    <w:rsid w:val="005815DE"/>
    <w:rsid w:val="00581ABB"/>
    <w:rsid w:val="00581F87"/>
    <w:rsid w:val="005837F0"/>
    <w:rsid w:val="00583F79"/>
    <w:rsid w:val="00583FA6"/>
    <w:rsid w:val="00584522"/>
    <w:rsid w:val="00585CF0"/>
    <w:rsid w:val="005862AD"/>
    <w:rsid w:val="00586317"/>
    <w:rsid w:val="0058787E"/>
    <w:rsid w:val="00587DF9"/>
    <w:rsid w:val="00592909"/>
    <w:rsid w:val="00592ADC"/>
    <w:rsid w:val="00592B98"/>
    <w:rsid w:val="00592D4D"/>
    <w:rsid w:val="00593083"/>
    <w:rsid w:val="005930D7"/>
    <w:rsid w:val="0059325B"/>
    <w:rsid w:val="005932B2"/>
    <w:rsid w:val="005935E7"/>
    <w:rsid w:val="00594C36"/>
    <w:rsid w:val="00594E2E"/>
    <w:rsid w:val="00596121"/>
    <w:rsid w:val="00596B13"/>
    <w:rsid w:val="00596FD6"/>
    <w:rsid w:val="00597D80"/>
    <w:rsid w:val="005A18D6"/>
    <w:rsid w:val="005A1B2B"/>
    <w:rsid w:val="005A1B5E"/>
    <w:rsid w:val="005A1B6C"/>
    <w:rsid w:val="005A2884"/>
    <w:rsid w:val="005A3215"/>
    <w:rsid w:val="005A410A"/>
    <w:rsid w:val="005A5124"/>
    <w:rsid w:val="005A570A"/>
    <w:rsid w:val="005A5E68"/>
    <w:rsid w:val="005A6FB4"/>
    <w:rsid w:val="005A76AF"/>
    <w:rsid w:val="005B0740"/>
    <w:rsid w:val="005B0AA8"/>
    <w:rsid w:val="005B1565"/>
    <w:rsid w:val="005B1DDE"/>
    <w:rsid w:val="005B2940"/>
    <w:rsid w:val="005B2C07"/>
    <w:rsid w:val="005B2D11"/>
    <w:rsid w:val="005B420D"/>
    <w:rsid w:val="005B4A04"/>
    <w:rsid w:val="005B4A6C"/>
    <w:rsid w:val="005B60DD"/>
    <w:rsid w:val="005B6C99"/>
    <w:rsid w:val="005C031B"/>
    <w:rsid w:val="005C23A1"/>
    <w:rsid w:val="005C2B1F"/>
    <w:rsid w:val="005C3428"/>
    <w:rsid w:val="005C391C"/>
    <w:rsid w:val="005C393B"/>
    <w:rsid w:val="005C3C66"/>
    <w:rsid w:val="005C578D"/>
    <w:rsid w:val="005C5F72"/>
    <w:rsid w:val="005C645C"/>
    <w:rsid w:val="005D0BFE"/>
    <w:rsid w:val="005D1361"/>
    <w:rsid w:val="005D14C5"/>
    <w:rsid w:val="005D1EF3"/>
    <w:rsid w:val="005D3181"/>
    <w:rsid w:val="005D3D2C"/>
    <w:rsid w:val="005D46FA"/>
    <w:rsid w:val="005D7B29"/>
    <w:rsid w:val="005E0D98"/>
    <w:rsid w:val="005E1CCA"/>
    <w:rsid w:val="005E210B"/>
    <w:rsid w:val="005E256E"/>
    <w:rsid w:val="005E2930"/>
    <w:rsid w:val="005E3703"/>
    <w:rsid w:val="005E42EC"/>
    <w:rsid w:val="005E44A0"/>
    <w:rsid w:val="005E4C91"/>
    <w:rsid w:val="005E5081"/>
    <w:rsid w:val="005E6FF2"/>
    <w:rsid w:val="005E74C8"/>
    <w:rsid w:val="005E762B"/>
    <w:rsid w:val="005F0954"/>
    <w:rsid w:val="005F35FB"/>
    <w:rsid w:val="005F3BBC"/>
    <w:rsid w:val="005F4060"/>
    <w:rsid w:val="005F411A"/>
    <w:rsid w:val="005F4F71"/>
    <w:rsid w:val="005F5678"/>
    <w:rsid w:val="005F58BF"/>
    <w:rsid w:val="005F6969"/>
    <w:rsid w:val="005F6A03"/>
    <w:rsid w:val="005F6A20"/>
    <w:rsid w:val="005F750B"/>
    <w:rsid w:val="005F7BA5"/>
    <w:rsid w:val="005F7E41"/>
    <w:rsid w:val="005F7F26"/>
    <w:rsid w:val="00600BB9"/>
    <w:rsid w:val="00601BA1"/>
    <w:rsid w:val="00602499"/>
    <w:rsid w:val="00602721"/>
    <w:rsid w:val="00603672"/>
    <w:rsid w:val="00604129"/>
    <w:rsid w:val="00604688"/>
    <w:rsid w:val="00604709"/>
    <w:rsid w:val="00604950"/>
    <w:rsid w:val="006053AD"/>
    <w:rsid w:val="00605C68"/>
    <w:rsid w:val="00605EAD"/>
    <w:rsid w:val="006072D9"/>
    <w:rsid w:val="00611036"/>
    <w:rsid w:val="00611CCC"/>
    <w:rsid w:val="00612916"/>
    <w:rsid w:val="0061295E"/>
    <w:rsid w:val="00612CB8"/>
    <w:rsid w:val="00613FF7"/>
    <w:rsid w:val="006141EF"/>
    <w:rsid w:val="00615BCE"/>
    <w:rsid w:val="00615C77"/>
    <w:rsid w:val="00616B16"/>
    <w:rsid w:val="00616B4E"/>
    <w:rsid w:val="00616D12"/>
    <w:rsid w:val="00616D8C"/>
    <w:rsid w:val="006177EB"/>
    <w:rsid w:val="00617B29"/>
    <w:rsid w:val="00617D14"/>
    <w:rsid w:val="00617E01"/>
    <w:rsid w:val="00620957"/>
    <w:rsid w:val="00620FF5"/>
    <w:rsid w:val="006227DE"/>
    <w:rsid w:val="00622FFC"/>
    <w:rsid w:val="0062307E"/>
    <w:rsid w:val="00623DB5"/>
    <w:rsid w:val="006243FB"/>
    <w:rsid w:val="006250BD"/>
    <w:rsid w:val="006253CF"/>
    <w:rsid w:val="006254BE"/>
    <w:rsid w:val="006254C1"/>
    <w:rsid w:val="006256B4"/>
    <w:rsid w:val="0062698F"/>
    <w:rsid w:val="00627245"/>
    <w:rsid w:val="00627D3D"/>
    <w:rsid w:val="00627EC8"/>
    <w:rsid w:val="0063037B"/>
    <w:rsid w:val="00630E92"/>
    <w:rsid w:val="0063160C"/>
    <w:rsid w:val="0063177B"/>
    <w:rsid w:val="00633381"/>
    <w:rsid w:val="00634333"/>
    <w:rsid w:val="00634AD1"/>
    <w:rsid w:val="00634B6F"/>
    <w:rsid w:val="00634E31"/>
    <w:rsid w:val="00635E0A"/>
    <w:rsid w:val="00635F7C"/>
    <w:rsid w:val="0063607A"/>
    <w:rsid w:val="00637782"/>
    <w:rsid w:val="006408E3"/>
    <w:rsid w:val="00642DE6"/>
    <w:rsid w:val="006435AD"/>
    <w:rsid w:val="006440FE"/>
    <w:rsid w:val="00644388"/>
    <w:rsid w:val="00645D65"/>
    <w:rsid w:val="00646017"/>
    <w:rsid w:val="0064614A"/>
    <w:rsid w:val="00646211"/>
    <w:rsid w:val="00646E82"/>
    <w:rsid w:val="00646EF9"/>
    <w:rsid w:val="00650E7A"/>
    <w:rsid w:val="0065246B"/>
    <w:rsid w:val="00652B93"/>
    <w:rsid w:val="006546A4"/>
    <w:rsid w:val="00655004"/>
    <w:rsid w:val="00655AAD"/>
    <w:rsid w:val="00656B2B"/>
    <w:rsid w:val="00657701"/>
    <w:rsid w:val="0066020A"/>
    <w:rsid w:val="006611B5"/>
    <w:rsid w:val="0066148A"/>
    <w:rsid w:val="006615D6"/>
    <w:rsid w:val="00662495"/>
    <w:rsid w:val="0066249D"/>
    <w:rsid w:val="00663576"/>
    <w:rsid w:val="006645B4"/>
    <w:rsid w:val="006646BE"/>
    <w:rsid w:val="006657E5"/>
    <w:rsid w:val="00665BBA"/>
    <w:rsid w:val="00665C5F"/>
    <w:rsid w:val="00666982"/>
    <w:rsid w:val="00666EF3"/>
    <w:rsid w:val="006679A8"/>
    <w:rsid w:val="00667E94"/>
    <w:rsid w:val="0067018C"/>
    <w:rsid w:val="00670240"/>
    <w:rsid w:val="006710F4"/>
    <w:rsid w:val="006716B9"/>
    <w:rsid w:val="00671D25"/>
    <w:rsid w:val="00672B13"/>
    <w:rsid w:val="00673956"/>
    <w:rsid w:val="00673C3A"/>
    <w:rsid w:val="006755CF"/>
    <w:rsid w:val="006764EA"/>
    <w:rsid w:val="006768B6"/>
    <w:rsid w:val="006771CD"/>
    <w:rsid w:val="00677201"/>
    <w:rsid w:val="006814C2"/>
    <w:rsid w:val="0068197A"/>
    <w:rsid w:val="006820F5"/>
    <w:rsid w:val="00682257"/>
    <w:rsid w:val="00682297"/>
    <w:rsid w:val="00682ABF"/>
    <w:rsid w:val="00682B9F"/>
    <w:rsid w:val="00682BEC"/>
    <w:rsid w:val="006839DB"/>
    <w:rsid w:val="006842B1"/>
    <w:rsid w:val="006850F4"/>
    <w:rsid w:val="0068596C"/>
    <w:rsid w:val="0068597F"/>
    <w:rsid w:val="00687B1D"/>
    <w:rsid w:val="00690794"/>
    <w:rsid w:val="00690C07"/>
    <w:rsid w:val="00691BC1"/>
    <w:rsid w:val="00692E2D"/>
    <w:rsid w:val="006931DC"/>
    <w:rsid w:val="00694973"/>
    <w:rsid w:val="00695847"/>
    <w:rsid w:val="006960AF"/>
    <w:rsid w:val="0069667A"/>
    <w:rsid w:val="00696C41"/>
    <w:rsid w:val="00697594"/>
    <w:rsid w:val="006A0E43"/>
    <w:rsid w:val="006A1A12"/>
    <w:rsid w:val="006A1B25"/>
    <w:rsid w:val="006A2024"/>
    <w:rsid w:val="006A2E08"/>
    <w:rsid w:val="006A2EA4"/>
    <w:rsid w:val="006A36B1"/>
    <w:rsid w:val="006A4C4E"/>
    <w:rsid w:val="006A6F08"/>
    <w:rsid w:val="006B02D3"/>
    <w:rsid w:val="006B0BBF"/>
    <w:rsid w:val="006B17D3"/>
    <w:rsid w:val="006B1B4A"/>
    <w:rsid w:val="006B1D20"/>
    <w:rsid w:val="006B2BBE"/>
    <w:rsid w:val="006B2C95"/>
    <w:rsid w:val="006B3077"/>
    <w:rsid w:val="006B4C86"/>
    <w:rsid w:val="006B58C5"/>
    <w:rsid w:val="006B5CDB"/>
    <w:rsid w:val="006B5E04"/>
    <w:rsid w:val="006B649F"/>
    <w:rsid w:val="006B7482"/>
    <w:rsid w:val="006B7A8E"/>
    <w:rsid w:val="006B7D13"/>
    <w:rsid w:val="006B7E29"/>
    <w:rsid w:val="006B7F4C"/>
    <w:rsid w:val="006C0593"/>
    <w:rsid w:val="006C0C9C"/>
    <w:rsid w:val="006C198E"/>
    <w:rsid w:val="006C3365"/>
    <w:rsid w:val="006C3588"/>
    <w:rsid w:val="006C5B23"/>
    <w:rsid w:val="006C6BBC"/>
    <w:rsid w:val="006C6EB7"/>
    <w:rsid w:val="006C7403"/>
    <w:rsid w:val="006C79A6"/>
    <w:rsid w:val="006D07C0"/>
    <w:rsid w:val="006D1179"/>
    <w:rsid w:val="006D122D"/>
    <w:rsid w:val="006D2477"/>
    <w:rsid w:val="006D26EB"/>
    <w:rsid w:val="006D2950"/>
    <w:rsid w:val="006D2D98"/>
    <w:rsid w:val="006D2E11"/>
    <w:rsid w:val="006D2F1E"/>
    <w:rsid w:val="006D3262"/>
    <w:rsid w:val="006D58D9"/>
    <w:rsid w:val="006D59DF"/>
    <w:rsid w:val="006D5E30"/>
    <w:rsid w:val="006D62D7"/>
    <w:rsid w:val="006D64DD"/>
    <w:rsid w:val="006D6F3D"/>
    <w:rsid w:val="006D73D8"/>
    <w:rsid w:val="006D74D1"/>
    <w:rsid w:val="006E0250"/>
    <w:rsid w:val="006E0269"/>
    <w:rsid w:val="006E04E9"/>
    <w:rsid w:val="006E0512"/>
    <w:rsid w:val="006E0626"/>
    <w:rsid w:val="006E15CD"/>
    <w:rsid w:val="006E38E3"/>
    <w:rsid w:val="006E3E88"/>
    <w:rsid w:val="006E4246"/>
    <w:rsid w:val="006E4518"/>
    <w:rsid w:val="006E57CD"/>
    <w:rsid w:val="006E5802"/>
    <w:rsid w:val="006E7571"/>
    <w:rsid w:val="006E777F"/>
    <w:rsid w:val="006E7BCA"/>
    <w:rsid w:val="006E7D57"/>
    <w:rsid w:val="006F091D"/>
    <w:rsid w:val="006F10DE"/>
    <w:rsid w:val="006F2907"/>
    <w:rsid w:val="006F2A93"/>
    <w:rsid w:val="006F2AD1"/>
    <w:rsid w:val="006F2B1A"/>
    <w:rsid w:val="006F3A9F"/>
    <w:rsid w:val="006F4696"/>
    <w:rsid w:val="006F651A"/>
    <w:rsid w:val="006F7126"/>
    <w:rsid w:val="00700181"/>
    <w:rsid w:val="00700484"/>
    <w:rsid w:val="00703FF9"/>
    <w:rsid w:val="00704B06"/>
    <w:rsid w:val="00704C7E"/>
    <w:rsid w:val="00705209"/>
    <w:rsid w:val="00705764"/>
    <w:rsid w:val="007059AC"/>
    <w:rsid w:val="00705F22"/>
    <w:rsid w:val="0070759C"/>
    <w:rsid w:val="00707D9D"/>
    <w:rsid w:val="007103A0"/>
    <w:rsid w:val="00711147"/>
    <w:rsid w:val="007116D4"/>
    <w:rsid w:val="00712705"/>
    <w:rsid w:val="007144D6"/>
    <w:rsid w:val="007145AB"/>
    <w:rsid w:val="00714F14"/>
    <w:rsid w:val="007150E8"/>
    <w:rsid w:val="00715D44"/>
    <w:rsid w:val="0072066A"/>
    <w:rsid w:val="00720E9F"/>
    <w:rsid w:val="00721405"/>
    <w:rsid w:val="007214C6"/>
    <w:rsid w:val="00722441"/>
    <w:rsid w:val="00722776"/>
    <w:rsid w:val="00722B59"/>
    <w:rsid w:val="00723E67"/>
    <w:rsid w:val="007251EF"/>
    <w:rsid w:val="00725446"/>
    <w:rsid w:val="0072556B"/>
    <w:rsid w:val="007255A0"/>
    <w:rsid w:val="00727039"/>
    <w:rsid w:val="00727507"/>
    <w:rsid w:val="007277CE"/>
    <w:rsid w:val="00727B7D"/>
    <w:rsid w:val="00727D47"/>
    <w:rsid w:val="00727EC8"/>
    <w:rsid w:val="00731FF5"/>
    <w:rsid w:val="00732505"/>
    <w:rsid w:val="0073272E"/>
    <w:rsid w:val="00732A44"/>
    <w:rsid w:val="00732A59"/>
    <w:rsid w:val="0073401D"/>
    <w:rsid w:val="00734C4E"/>
    <w:rsid w:val="007354B4"/>
    <w:rsid w:val="007357A3"/>
    <w:rsid w:val="00735C38"/>
    <w:rsid w:val="00737AC6"/>
    <w:rsid w:val="00737FEF"/>
    <w:rsid w:val="00740E19"/>
    <w:rsid w:val="007415B4"/>
    <w:rsid w:val="0074179C"/>
    <w:rsid w:val="00741898"/>
    <w:rsid w:val="00741D2E"/>
    <w:rsid w:val="00742C6E"/>
    <w:rsid w:val="00742E8B"/>
    <w:rsid w:val="00743180"/>
    <w:rsid w:val="00743C25"/>
    <w:rsid w:val="0074502C"/>
    <w:rsid w:val="0074524F"/>
    <w:rsid w:val="007452FC"/>
    <w:rsid w:val="00745535"/>
    <w:rsid w:val="00746036"/>
    <w:rsid w:val="007467BA"/>
    <w:rsid w:val="007470EC"/>
    <w:rsid w:val="00747B09"/>
    <w:rsid w:val="00747C72"/>
    <w:rsid w:val="00747FD5"/>
    <w:rsid w:val="00750825"/>
    <w:rsid w:val="0075175B"/>
    <w:rsid w:val="0075243F"/>
    <w:rsid w:val="00752E1D"/>
    <w:rsid w:val="0075303B"/>
    <w:rsid w:val="00753DEF"/>
    <w:rsid w:val="00753E1A"/>
    <w:rsid w:val="0075488F"/>
    <w:rsid w:val="00754916"/>
    <w:rsid w:val="007558DD"/>
    <w:rsid w:val="00755A02"/>
    <w:rsid w:val="00756AA0"/>
    <w:rsid w:val="00757AF3"/>
    <w:rsid w:val="00757D2A"/>
    <w:rsid w:val="00757E42"/>
    <w:rsid w:val="00761C20"/>
    <w:rsid w:val="007627E1"/>
    <w:rsid w:val="00764A74"/>
    <w:rsid w:val="00764D4A"/>
    <w:rsid w:val="00765B8E"/>
    <w:rsid w:val="007660CC"/>
    <w:rsid w:val="0076612D"/>
    <w:rsid w:val="007661F4"/>
    <w:rsid w:val="007673E0"/>
    <w:rsid w:val="0076799C"/>
    <w:rsid w:val="00771B45"/>
    <w:rsid w:val="00772E7C"/>
    <w:rsid w:val="00776319"/>
    <w:rsid w:val="00777A81"/>
    <w:rsid w:val="00780CA5"/>
    <w:rsid w:val="0078176B"/>
    <w:rsid w:val="007823FC"/>
    <w:rsid w:val="00782957"/>
    <w:rsid w:val="007837C5"/>
    <w:rsid w:val="00784684"/>
    <w:rsid w:val="007850A7"/>
    <w:rsid w:val="00785864"/>
    <w:rsid w:val="00785F2A"/>
    <w:rsid w:val="00787ECD"/>
    <w:rsid w:val="00790D83"/>
    <w:rsid w:val="00791B79"/>
    <w:rsid w:val="00791DD1"/>
    <w:rsid w:val="00792623"/>
    <w:rsid w:val="00792CC1"/>
    <w:rsid w:val="007A0122"/>
    <w:rsid w:val="007A0556"/>
    <w:rsid w:val="007A0569"/>
    <w:rsid w:val="007A0B7C"/>
    <w:rsid w:val="007A1867"/>
    <w:rsid w:val="007A19CA"/>
    <w:rsid w:val="007A1B19"/>
    <w:rsid w:val="007A1B92"/>
    <w:rsid w:val="007A2E71"/>
    <w:rsid w:val="007A38DC"/>
    <w:rsid w:val="007A5C07"/>
    <w:rsid w:val="007A5E74"/>
    <w:rsid w:val="007A66B2"/>
    <w:rsid w:val="007A7756"/>
    <w:rsid w:val="007A78CB"/>
    <w:rsid w:val="007A7D2D"/>
    <w:rsid w:val="007A7D59"/>
    <w:rsid w:val="007B0469"/>
    <w:rsid w:val="007B10D9"/>
    <w:rsid w:val="007B18F1"/>
    <w:rsid w:val="007B2C97"/>
    <w:rsid w:val="007B3884"/>
    <w:rsid w:val="007B424F"/>
    <w:rsid w:val="007B65BF"/>
    <w:rsid w:val="007B6A3F"/>
    <w:rsid w:val="007B6B49"/>
    <w:rsid w:val="007C13BF"/>
    <w:rsid w:val="007C27F6"/>
    <w:rsid w:val="007C38E8"/>
    <w:rsid w:val="007C3A7B"/>
    <w:rsid w:val="007C3B6D"/>
    <w:rsid w:val="007C3FE7"/>
    <w:rsid w:val="007C539B"/>
    <w:rsid w:val="007C557A"/>
    <w:rsid w:val="007C57AC"/>
    <w:rsid w:val="007C5985"/>
    <w:rsid w:val="007C7177"/>
    <w:rsid w:val="007D0870"/>
    <w:rsid w:val="007D26F9"/>
    <w:rsid w:val="007D3EA1"/>
    <w:rsid w:val="007D41D2"/>
    <w:rsid w:val="007D46A0"/>
    <w:rsid w:val="007D482E"/>
    <w:rsid w:val="007D6198"/>
    <w:rsid w:val="007D631A"/>
    <w:rsid w:val="007D6887"/>
    <w:rsid w:val="007D68AE"/>
    <w:rsid w:val="007D69EC"/>
    <w:rsid w:val="007D6F74"/>
    <w:rsid w:val="007D766E"/>
    <w:rsid w:val="007D7F94"/>
    <w:rsid w:val="007E068C"/>
    <w:rsid w:val="007E06BB"/>
    <w:rsid w:val="007E1036"/>
    <w:rsid w:val="007E19AE"/>
    <w:rsid w:val="007E2A79"/>
    <w:rsid w:val="007E2B11"/>
    <w:rsid w:val="007E4873"/>
    <w:rsid w:val="007E6965"/>
    <w:rsid w:val="007E7BEF"/>
    <w:rsid w:val="007F0D2B"/>
    <w:rsid w:val="007F0FC0"/>
    <w:rsid w:val="007F1678"/>
    <w:rsid w:val="007F17F5"/>
    <w:rsid w:val="007F2A10"/>
    <w:rsid w:val="007F2EEB"/>
    <w:rsid w:val="007F4740"/>
    <w:rsid w:val="007F4C9B"/>
    <w:rsid w:val="007F4D61"/>
    <w:rsid w:val="007F4F12"/>
    <w:rsid w:val="007F5B3B"/>
    <w:rsid w:val="007F60DC"/>
    <w:rsid w:val="007F6329"/>
    <w:rsid w:val="007F6533"/>
    <w:rsid w:val="007F74FF"/>
    <w:rsid w:val="007F7946"/>
    <w:rsid w:val="008025B6"/>
    <w:rsid w:val="00802998"/>
    <w:rsid w:val="00802BA5"/>
    <w:rsid w:val="00802DAD"/>
    <w:rsid w:val="00802FAF"/>
    <w:rsid w:val="00803041"/>
    <w:rsid w:val="00803B1D"/>
    <w:rsid w:val="00803FE0"/>
    <w:rsid w:val="0080478F"/>
    <w:rsid w:val="00804D95"/>
    <w:rsid w:val="00805CBA"/>
    <w:rsid w:val="00805E4A"/>
    <w:rsid w:val="00807D5F"/>
    <w:rsid w:val="00810C4B"/>
    <w:rsid w:val="008112DB"/>
    <w:rsid w:val="00811471"/>
    <w:rsid w:val="00812C7D"/>
    <w:rsid w:val="00812D8D"/>
    <w:rsid w:val="008131A1"/>
    <w:rsid w:val="00813634"/>
    <w:rsid w:val="008137F2"/>
    <w:rsid w:val="00813AD0"/>
    <w:rsid w:val="008144B4"/>
    <w:rsid w:val="00814E67"/>
    <w:rsid w:val="008154E5"/>
    <w:rsid w:val="0081599C"/>
    <w:rsid w:val="008160FC"/>
    <w:rsid w:val="00816137"/>
    <w:rsid w:val="0081633C"/>
    <w:rsid w:val="00816359"/>
    <w:rsid w:val="008168E6"/>
    <w:rsid w:val="00817349"/>
    <w:rsid w:val="008175FF"/>
    <w:rsid w:val="0082139F"/>
    <w:rsid w:val="00821E28"/>
    <w:rsid w:val="0082222A"/>
    <w:rsid w:val="008222C8"/>
    <w:rsid w:val="0082292A"/>
    <w:rsid w:val="00823807"/>
    <w:rsid w:val="00825706"/>
    <w:rsid w:val="00825DF3"/>
    <w:rsid w:val="00827010"/>
    <w:rsid w:val="008272C7"/>
    <w:rsid w:val="00827B91"/>
    <w:rsid w:val="00830EAB"/>
    <w:rsid w:val="008321B2"/>
    <w:rsid w:val="00833C1A"/>
    <w:rsid w:val="00834665"/>
    <w:rsid w:val="008357F5"/>
    <w:rsid w:val="00835D5E"/>
    <w:rsid w:val="0083600B"/>
    <w:rsid w:val="0083639C"/>
    <w:rsid w:val="00836574"/>
    <w:rsid w:val="0084030B"/>
    <w:rsid w:val="00841033"/>
    <w:rsid w:val="00841743"/>
    <w:rsid w:val="00842D6D"/>
    <w:rsid w:val="0084360E"/>
    <w:rsid w:val="008437D1"/>
    <w:rsid w:val="00843B99"/>
    <w:rsid w:val="00844377"/>
    <w:rsid w:val="008446BD"/>
    <w:rsid w:val="008449FF"/>
    <w:rsid w:val="0084527F"/>
    <w:rsid w:val="008462F6"/>
    <w:rsid w:val="00846723"/>
    <w:rsid w:val="0084748D"/>
    <w:rsid w:val="0084754F"/>
    <w:rsid w:val="00847615"/>
    <w:rsid w:val="00847766"/>
    <w:rsid w:val="00847B37"/>
    <w:rsid w:val="00850971"/>
    <w:rsid w:val="008526F9"/>
    <w:rsid w:val="00852812"/>
    <w:rsid w:val="00852FFC"/>
    <w:rsid w:val="008538F6"/>
    <w:rsid w:val="00853C2B"/>
    <w:rsid w:val="008549DD"/>
    <w:rsid w:val="00854C7A"/>
    <w:rsid w:val="008562A6"/>
    <w:rsid w:val="00856C27"/>
    <w:rsid w:val="00856E50"/>
    <w:rsid w:val="008571BD"/>
    <w:rsid w:val="00857450"/>
    <w:rsid w:val="00857A4F"/>
    <w:rsid w:val="00861930"/>
    <w:rsid w:val="00863951"/>
    <w:rsid w:val="008653C9"/>
    <w:rsid w:val="00865551"/>
    <w:rsid w:val="00865D08"/>
    <w:rsid w:val="0086794A"/>
    <w:rsid w:val="00867ED3"/>
    <w:rsid w:val="0087018D"/>
    <w:rsid w:val="00871274"/>
    <w:rsid w:val="00872160"/>
    <w:rsid w:val="0087222E"/>
    <w:rsid w:val="00873877"/>
    <w:rsid w:val="00873DEF"/>
    <w:rsid w:val="008744F4"/>
    <w:rsid w:val="0087555F"/>
    <w:rsid w:val="008760A5"/>
    <w:rsid w:val="00876F6E"/>
    <w:rsid w:val="00877E51"/>
    <w:rsid w:val="008801EE"/>
    <w:rsid w:val="00880D55"/>
    <w:rsid w:val="00881565"/>
    <w:rsid w:val="00883A0B"/>
    <w:rsid w:val="00883ACA"/>
    <w:rsid w:val="00883D6B"/>
    <w:rsid w:val="0088546A"/>
    <w:rsid w:val="0088743E"/>
    <w:rsid w:val="008878FA"/>
    <w:rsid w:val="008903B5"/>
    <w:rsid w:val="00890C97"/>
    <w:rsid w:val="00891214"/>
    <w:rsid w:val="00891BC4"/>
    <w:rsid w:val="00892D2B"/>
    <w:rsid w:val="00892DC0"/>
    <w:rsid w:val="00893126"/>
    <w:rsid w:val="00894BBF"/>
    <w:rsid w:val="00894E1A"/>
    <w:rsid w:val="00895F0E"/>
    <w:rsid w:val="00895F3D"/>
    <w:rsid w:val="0089637E"/>
    <w:rsid w:val="008976CF"/>
    <w:rsid w:val="008A04E1"/>
    <w:rsid w:val="008A1E39"/>
    <w:rsid w:val="008A2766"/>
    <w:rsid w:val="008A29F5"/>
    <w:rsid w:val="008A2F62"/>
    <w:rsid w:val="008A355A"/>
    <w:rsid w:val="008A3BE6"/>
    <w:rsid w:val="008A40AD"/>
    <w:rsid w:val="008A54AD"/>
    <w:rsid w:val="008A693E"/>
    <w:rsid w:val="008A78B1"/>
    <w:rsid w:val="008B00D6"/>
    <w:rsid w:val="008B0BD8"/>
    <w:rsid w:val="008B0EA9"/>
    <w:rsid w:val="008B1632"/>
    <w:rsid w:val="008B1C8D"/>
    <w:rsid w:val="008B1DA6"/>
    <w:rsid w:val="008B244F"/>
    <w:rsid w:val="008B3A46"/>
    <w:rsid w:val="008B438A"/>
    <w:rsid w:val="008B446F"/>
    <w:rsid w:val="008B4889"/>
    <w:rsid w:val="008B4A45"/>
    <w:rsid w:val="008B513C"/>
    <w:rsid w:val="008B5AE8"/>
    <w:rsid w:val="008B6C1E"/>
    <w:rsid w:val="008C0225"/>
    <w:rsid w:val="008C14D8"/>
    <w:rsid w:val="008C226F"/>
    <w:rsid w:val="008C272A"/>
    <w:rsid w:val="008C587B"/>
    <w:rsid w:val="008C591E"/>
    <w:rsid w:val="008C6770"/>
    <w:rsid w:val="008C697C"/>
    <w:rsid w:val="008C7B34"/>
    <w:rsid w:val="008D0269"/>
    <w:rsid w:val="008D219B"/>
    <w:rsid w:val="008D2B68"/>
    <w:rsid w:val="008D32B6"/>
    <w:rsid w:val="008D3865"/>
    <w:rsid w:val="008D38D5"/>
    <w:rsid w:val="008D3CAB"/>
    <w:rsid w:val="008D3CC7"/>
    <w:rsid w:val="008D5030"/>
    <w:rsid w:val="008D54B7"/>
    <w:rsid w:val="008D62A5"/>
    <w:rsid w:val="008D71A3"/>
    <w:rsid w:val="008D7340"/>
    <w:rsid w:val="008E085D"/>
    <w:rsid w:val="008E087B"/>
    <w:rsid w:val="008E0A9F"/>
    <w:rsid w:val="008E232D"/>
    <w:rsid w:val="008E2F91"/>
    <w:rsid w:val="008E5E15"/>
    <w:rsid w:val="008E5E23"/>
    <w:rsid w:val="008E5FA9"/>
    <w:rsid w:val="008E6EAB"/>
    <w:rsid w:val="008E7509"/>
    <w:rsid w:val="008F0503"/>
    <w:rsid w:val="008F107B"/>
    <w:rsid w:val="008F1B9F"/>
    <w:rsid w:val="008F225A"/>
    <w:rsid w:val="008F36DB"/>
    <w:rsid w:val="008F377A"/>
    <w:rsid w:val="008F3C8C"/>
    <w:rsid w:val="008F60AE"/>
    <w:rsid w:val="008F63BA"/>
    <w:rsid w:val="008F63D5"/>
    <w:rsid w:val="008F68AB"/>
    <w:rsid w:val="008F6ABD"/>
    <w:rsid w:val="008F6E7A"/>
    <w:rsid w:val="008F7AF8"/>
    <w:rsid w:val="00900AB5"/>
    <w:rsid w:val="0090106C"/>
    <w:rsid w:val="0090170A"/>
    <w:rsid w:val="00901ECD"/>
    <w:rsid w:val="00903878"/>
    <w:rsid w:val="009038BB"/>
    <w:rsid w:val="00903D85"/>
    <w:rsid w:val="009040A6"/>
    <w:rsid w:val="0090470D"/>
    <w:rsid w:val="00904968"/>
    <w:rsid w:val="00905E63"/>
    <w:rsid w:val="00906B02"/>
    <w:rsid w:val="00907508"/>
    <w:rsid w:val="00910411"/>
    <w:rsid w:val="009107BE"/>
    <w:rsid w:val="00910A45"/>
    <w:rsid w:val="0091293A"/>
    <w:rsid w:val="00913FBE"/>
    <w:rsid w:val="0091424E"/>
    <w:rsid w:val="009145F0"/>
    <w:rsid w:val="00914BF2"/>
    <w:rsid w:val="00917A2E"/>
    <w:rsid w:val="00917E4C"/>
    <w:rsid w:val="00917FC0"/>
    <w:rsid w:val="009201C8"/>
    <w:rsid w:val="00920251"/>
    <w:rsid w:val="009203B7"/>
    <w:rsid w:val="009216A2"/>
    <w:rsid w:val="009225EB"/>
    <w:rsid w:val="00922AA6"/>
    <w:rsid w:val="00923F63"/>
    <w:rsid w:val="0092421F"/>
    <w:rsid w:val="00924A1A"/>
    <w:rsid w:val="009258F5"/>
    <w:rsid w:val="00925D4C"/>
    <w:rsid w:val="00926696"/>
    <w:rsid w:val="00926873"/>
    <w:rsid w:val="009268FE"/>
    <w:rsid w:val="00926E88"/>
    <w:rsid w:val="009270F1"/>
    <w:rsid w:val="00930128"/>
    <w:rsid w:val="00930149"/>
    <w:rsid w:val="00930AC0"/>
    <w:rsid w:val="0093173F"/>
    <w:rsid w:val="00931740"/>
    <w:rsid w:val="009318E6"/>
    <w:rsid w:val="00931924"/>
    <w:rsid w:val="00932EDC"/>
    <w:rsid w:val="00933036"/>
    <w:rsid w:val="00933362"/>
    <w:rsid w:val="009340F6"/>
    <w:rsid w:val="00934727"/>
    <w:rsid w:val="00935878"/>
    <w:rsid w:val="00935DB9"/>
    <w:rsid w:val="00936A01"/>
    <w:rsid w:val="00936FCA"/>
    <w:rsid w:val="00937FA1"/>
    <w:rsid w:val="009403CF"/>
    <w:rsid w:val="00940E6C"/>
    <w:rsid w:val="00941807"/>
    <w:rsid w:val="00941AF9"/>
    <w:rsid w:val="00941F53"/>
    <w:rsid w:val="00942560"/>
    <w:rsid w:val="0094271D"/>
    <w:rsid w:val="0094320E"/>
    <w:rsid w:val="0094394E"/>
    <w:rsid w:val="00944DD5"/>
    <w:rsid w:val="00945044"/>
    <w:rsid w:val="00945F55"/>
    <w:rsid w:val="009461DF"/>
    <w:rsid w:val="00946E0D"/>
    <w:rsid w:val="00946E3F"/>
    <w:rsid w:val="0095086A"/>
    <w:rsid w:val="00950C60"/>
    <w:rsid w:val="0095144C"/>
    <w:rsid w:val="00952ED2"/>
    <w:rsid w:val="0095361C"/>
    <w:rsid w:val="009536D1"/>
    <w:rsid w:val="00954276"/>
    <w:rsid w:val="00954326"/>
    <w:rsid w:val="0095464B"/>
    <w:rsid w:val="00955261"/>
    <w:rsid w:val="00955D45"/>
    <w:rsid w:val="0096197B"/>
    <w:rsid w:val="009626FE"/>
    <w:rsid w:val="00962880"/>
    <w:rsid w:val="00963633"/>
    <w:rsid w:val="00963868"/>
    <w:rsid w:val="00963F06"/>
    <w:rsid w:val="00964D80"/>
    <w:rsid w:val="00965143"/>
    <w:rsid w:val="00967A03"/>
    <w:rsid w:val="00967A10"/>
    <w:rsid w:val="00967B58"/>
    <w:rsid w:val="00967D8C"/>
    <w:rsid w:val="0097118A"/>
    <w:rsid w:val="00971BC3"/>
    <w:rsid w:val="00971D95"/>
    <w:rsid w:val="00971E64"/>
    <w:rsid w:val="00972BBD"/>
    <w:rsid w:val="009730F9"/>
    <w:rsid w:val="00973B23"/>
    <w:rsid w:val="00974ABE"/>
    <w:rsid w:val="00975775"/>
    <w:rsid w:val="00975C0E"/>
    <w:rsid w:val="009767CC"/>
    <w:rsid w:val="00981DE9"/>
    <w:rsid w:val="0098270C"/>
    <w:rsid w:val="00982A8D"/>
    <w:rsid w:val="00984393"/>
    <w:rsid w:val="00984EF7"/>
    <w:rsid w:val="00985CF6"/>
    <w:rsid w:val="009860C9"/>
    <w:rsid w:val="00986E51"/>
    <w:rsid w:val="00987BF7"/>
    <w:rsid w:val="00990A27"/>
    <w:rsid w:val="0099173F"/>
    <w:rsid w:val="00991841"/>
    <w:rsid w:val="0099383C"/>
    <w:rsid w:val="00993BCD"/>
    <w:rsid w:val="00993D9F"/>
    <w:rsid w:val="009941A1"/>
    <w:rsid w:val="00995063"/>
    <w:rsid w:val="00996D79"/>
    <w:rsid w:val="009A05E6"/>
    <w:rsid w:val="009A13FA"/>
    <w:rsid w:val="009A1538"/>
    <w:rsid w:val="009A173A"/>
    <w:rsid w:val="009A1D25"/>
    <w:rsid w:val="009A232F"/>
    <w:rsid w:val="009A326C"/>
    <w:rsid w:val="009A394A"/>
    <w:rsid w:val="009A4318"/>
    <w:rsid w:val="009A4409"/>
    <w:rsid w:val="009A4AC3"/>
    <w:rsid w:val="009A6281"/>
    <w:rsid w:val="009A6812"/>
    <w:rsid w:val="009B042D"/>
    <w:rsid w:val="009B0BF0"/>
    <w:rsid w:val="009B10A4"/>
    <w:rsid w:val="009B1978"/>
    <w:rsid w:val="009B26AA"/>
    <w:rsid w:val="009B418D"/>
    <w:rsid w:val="009B42D2"/>
    <w:rsid w:val="009B4C2E"/>
    <w:rsid w:val="009B5C0A"/>
    <w:rsid w:val="009B5D89"/>
    <w:rsid w:val="009B73E4"/>
    <w:rsid w:val="009B78DD"/>
    <w:rsid w:val="009B7C57"/>
    <w:rsid w:val="009C1F2A"/>
    <w:rsid w:val="009C1FC7"/>
    <w:rsid w:val="009C2A01"/>
    <w:rsid w:val="009C3A1A"/>
    <w:rsid w:val="009C3E84"/>
    <w:rsid w:val="009C41C6"/>
    <w:rsid w:val="009C47E4"/>
    <w:rsid w:val="009C49B4"/>
    <w:rsid w:val="009C4DA8"/>
    <w:rsid w:val="009C5A40"/>
    <w:rsid w:val="009D2212"/>
    <w:rsid w:val="009D308A"/>
    <w:rsid w:val="009D4A15"/>
    <w:rsid w:val="009D5D6C"/>
    <w:rsid w:val="009D75FF"/>
    <w:rsid w:val="009D7663"/>
    <w:rsid w:val="009E0693"/>
    <w:rsid w:val="009E0E2F"/>
    <w:rsid w:val="009E14B3"/>
    <w:rsid w:val="009E1D18"/>
    <w:rsid w:val="009E1D72"/>
    <w:rsid w:val="009E4BE7"/>
    <w:rsid w:val="009E5690"/>
    <w:rsid w:val="009E5757"/>
    <w:rsid w:val="009E58C5"/>
    <w:rsid w:val="009E5B84"/>
    <w:rsid w:val="009E7B14"/>
    <w:rsid w:val="009F068A"/>
    <w:rsid w:val="009F07FF"/>
    <w:rsid w:val="009F14F4"/>
    <w:rsid w:val="009F1552"/>
    <w:rsid w:val="009F159B"/>
    <w:rsid w:val="009F30BE"/>
    <w:rsid w:val="009F335C"/>
    <w:rsid w:val="009F398D"/>
    <w:rsid w:val="009F4379"/>
    <w:rsid w:val="009F5F7A"/>
    <w:rsid w:val="009F6EC5"/>
    <w:rsid w:val="009F74B1"/>
    <w:rsid w:val="009F7B3B"/>
    <w:rsid w:val="009F7D62"/>
    <w:rsid w:val="009F7FD9"/>
    <w:rsid w:val="00A01AE9"/>
    <w:rsid w:val="00A01BAA"/>
    <w:rsid w:val="00A01C67"/>
    <w:rsid w:val="00A01F35"/>
    <w:rsid w:val="00A01F50"/>
    <w:rsid w:val="00A03B90"/>
    <w:rsid w:val="00A03CB8"/>
    <w:rsid w:val="00A04656"/>
    <w:rsid w:val="00A10A86"/>
    <w:rsid w:val="00A10B15"/>
    <w:rsid w:val="00A10FEC"/>
    <w:rsid w:val="00A119ED"/>
    <w:rsid w:val="00A12975"/>
    <w:rsid w:val="00A15613"/>
    <w:rsid w:val="00A159C2"/>
    <w:rsid w:val="00A15C2B"/>
    <w:rsid w:val="00A15F72"/>
    <w:rsid w:val="00A16483"/>
    <w:rsid w:val="00A201C4"/>
    <w:rsid w:val="00A204B4"/>
    <w:rsid w:val="00A20584"/>
    <w:rsid w:val="00A20B11"/>
    <w:rsid w:val="00A20B93"/>
    <w:rsid w:val="00A20D6D"/>
    <w:rsid w:val="00A214D1"/>
    <w:rsid w:val="00A217B6"/>
    <w:rsid w:val="00A21E81"/>
    <w:rsid w:val="00A227E2"/>
    <w:rsid w:val="00A228FB"/>
    <w:rsid w:val="00A23004"/>
    <w:rsid w:val="00A239A3"/>
    <w:rsid w:val="00A24FDB"/>
    <w:rsid w:val="00A2506C"/>
    <w:rsid w:val="00A25DC9"/>
    <w:rsid w:val="00A266FB"/>
    <w:rsid w:val="00A26BBB"/>
    <w:rsid w:val="00A302B8"/>
    <w:rsid w:val="00A3169D"/>
    <w:rsid w:val="00A317F8"/>
    <w:rsid w:val="00A320E8"/>
    <w:rsid w:val="00A3328F"/>
    <w:rsid w:val="00A33BEF"/>
    <w:rsid w:val="00A34117"/>
    <w:rsid w:val="00A34406"/>
    <w:rsid w:val="00A37D58"/>
    <w:rsid w:val="00A4045B"/>
    <w:rsid w:val="00A42A20"/>
    <w:rsid w:val="00A42F2E"/>
    <w:rsid w:val="00A4302E"/>
    <w:rsid w:val="00A435E2"/>
    <w:rsid w:val="00A43732"/>
    <w:rsid w:val="00A44446"/>
    <w:rsid w:val="00A45BC8"/>
    <w:rsid w:val="00A461C9"/>
    <w:rsid w:val="00A46A9B"/>
    <w:rsid w:val="00A47266"/>
    <w:rsid w:val="00A47285"/>
    <w:rsid w:val="00A522A0"/>
    <w:rsid w:val="00A52817"/>
    <w:rsid w:val="00A52B32"/>
    <w:rsid w:val="00A53361"/>
    <w:rsid w:val="00A53380"/>
    <w:rsid w:val="00A53A28"/>
    <w:rsid w:val="00A53E5B"/>
    <w:rsid w:val="00A5417F"/>
    <w:rsid w:val="00A54212"/>
    <w:rsid w:val="00A54279"/>
    <w:rsid w:val="00A545F9"/>
    <w:rsid w:val="00A551DB"/>
    <w:rsid w:val="00A553C4"/>
    <w:rsid w:val="00A55710"/>
    <w:rsid w:val="00A55BD8"/>
    <w:rsid w:val="00A55D9C"/>
    <w:rsid w:val="00A56D68"/>
    <w:rsid w:val="00A57383"/>
    <w:rsid w:val="00A5763E"/>
    <w:rsid w:val="00A6069D"/>
    <w:rsid w:val="00A607D9"/>
    <w:rsid w:val="00A615D9"/>
    <w:rsid w:val="00A619EC"/>
    <w:rsid w:val="00A62438"/>
    <w:rsid w:val="00A6316E"/>
    <w:rsid w:val="00A65315"/>
    <w:rsid w:val="00A65354"/>
    <w:rsid w:val="00A65498"/>
    <w:rsid w:val="00A657E7"/>
    <w:rsid w:val="00A65944"/>
    <w:rsid w:val="00A65A31"/>
    <w:rsid w:val="00A670B4"/>
    <w:rsid w:val="00A67EE5"/>
    <w:rsid w:val="00A70BDE"/>
    <w:rsid w:val="00A71456"/>
    <w:rsid w:val="00A71555"/>
    <w:rsid w:val="00A7220F"/>
    <w:rsid w:val="00A72633"/>
    <w:rsid w:val="00A72637"/>
    <w:rsid w:val="00A7693A"/>
    <w:rsid w:val="00A76C96"/>
    <w:rsid w:val="00A7710C"/>
    <w:rsid w:val="00A77290"/>
    <w:rsid w:val="00A77568"/>
    <w:rsid w:val="00A80571"/>
    <w:rsid w:val="00A80899"/>
    <w:rsid w:val="00A80C2C"/>
    <w:rsid w:val="00A813AC"/>
    <w:rsid w:val="00A83349"/>
    <w:rsid w:val="00A84B8E"/>
    <w:rsid w:val="00A84E2A"/>
    <w:rsid w:val="00A867AB"/>
    <w:rsid w:val="00A86E7D"/>
    <w:rsid w:val="00A86F06"/>
    <w:rsid w:val="00A87B16"/>
    <w:rsid w:val="00A87FE9"/>
    <w:rsid w:val="00A9177F"/>
    <w:rsid w:val="00A921C9"/>
    <w:rsid w:val="00A92582"/>
    <w:rsid w:val="00A92C6A"/>
    <w:rsid w:val="00A92E28"/>
    <w:rsid w:val="00A9598F"/>
    <w:rsid w:val="00A9616D"/>
    <w:rsid w:val="00AA0044"/>
    <w:rsid w:val="00AA0592"/>
    <w:rsid w:val="00AA08D5"/>
    <w:rsid w:val="00AA0C85"/>
    <w:rsid w:val="00AA0D2D"/>
    <w:rsid w:val="00AA1391"/>
    <w:rsid w:val="00AA5074"/>
    <w:rsid w:val="00AA6751"/>
    <w:rsid w:val="00AA71E9"/>
    <w:rsid w:val="00AA77C1"/>
    <w:rsid w:val="00AA7D9B"/>
    <w:rsid w:val="00AA7ED6"/>
    <w:rsid w:val="00AB0465"/>
    <w:rsid w:val="00AB0481"/>
    <w:rsid w:val="00AB06E1"/>
    <w:rsid w:val="00AB1321"/>
    <w:rsid w:val="00AB1791"/>
    <w:rsid w:val="00AB33A3"/>
    <w:rsid w:val="00AB3DDC"/>
    <w:rsid w:val="00AB462B"/>
    <w:rsid w:val="00AB4C3C"/>
    <w:rsid w:val="00AB51A4"/>
    <w:rsid w:val="00AB626D"/>
    <w:rsid w:val="00AB65A8"/>
    <w:rsid w:val="00AB7229"/>
    <w:rsid w:val="00AB7245"/>
    <w:rsid w:val="00AB7834"/>
    <w:rsid w:val="00AB7835"/>
    <w:rsid w:val="00AC0014"/>
    <w:rsid w:val="00AC45DB"/>
    <w:rsid w:val="00AC4EB3"/>
    <w:rsid w:val="00AC5A42"/>
    <w:rsid w:val="00AC5E92"/>
    <w:rsid w:val="00AC6835"/>
    <w:rsid w:val="00AC76DB"/>
    <w:rsid w:val="00AD31FE"/>
    <w:rsid w:val="00AD33C7"/>
    <w:rsid w:val="00AD38E8"/>
    <w:rsid w:val="00AD4020"/>
    <w:rsid w:val="00AD4090"/>
    <w:rsid w:val="00AD4AEF"/>
    <w:rsid w:val="00AD6090"/>
    <w:rsid w:val="00AD7536"/>
    <w:rsid w:val="00AE0458"/>
    <w:rsid w:val="00AE21E1"/>
    <w:rsid w:val="00AE29C0"/>
    <w:rsid w:val="00AE33D1"/>
    <w:rsid w:val="00AE3D99"/>
    <w:rsid w:val="00AE5136"/>
    <w:rsid w:val="00AE5193"/>
    <w:rsid w:val="00AE69D4"/>
    <w:rsid w:val="00AE7A1D"/>
    <w:rsid w:val="00AE7E03"/>
    <w:rsid w:val="00AF1B3B"/>
    <w:rsid w:val="00AF2208"/>
    <w:rsid w:val="00AF2A2D"/>
    <w:rsid w:val="00AF305F"/>
    <w:rsid w:val="00AF3203"/>
    <w:rsid w:val="00AF3703"/>
    <w:rsid w:val="00AF4B48"/>
    <w:rsid w:val="00AF4C76"/>
    <w:rsid w:val="00AF50E9"/>
    <w:rsid w:val="00AF7211"/>
    <w:rsid w:val="00AF7A82"/>
    <w:rsid w:val="00B00174"/>
    <w:rsid w:val="00B00C1E"/>
    <w:rsid w:val="00B00EFC"/>
    <w:rsid w:val="00B010F7"/>
    <w:rsid w:val="00B03FBE"/>
    <w:rsid w:val="00B046CD"/>
    <w:rsid w:val="00B0491E"/>
    <w:rsid w:val="00B05314"/>
    <w:rsid w:val="00B059B3"/>
    <w:rsid w:val="00B05B2E"/>
    <w:rsid w:val="00B05F98"/>
    <w:rsid w:val="00B062BE"/>
    <w:rsid w:val="00B072FE"/>
    <w:rsid w:val="00B108BE"/>
    <w:rsid w:val="00B119FD"/>
    <w:rsid w:val="00B11C2D"/>
    <w:rsid w:val="00B128AA"/>
    <w:rsid w:val="00B1378B"/>
    <w:rsid w:val="00B13CE3"/>
    <w:rsid w:val="00B13F8A"/>
    <w:rsid w:val="00B15168"/>
    <w:rsid w:val="00B16168"/>
    <w:rsid w:val="00B16690"/>
    <w:rsid w:val="00B16BEF"/>
    <w:rsid w:val="00B171D7"/>
    <w:rsid w:val="00B20397"/>
    <w:rsid w:val="00B204F9"/>
    <w:rsid w:val="00B20F71"/>
    <w:rsid w:val="00B20F7E"/>
    <w:rsid w:val="00B22C73"/>
    <w:rsid w:val="00B22D00"/>
    <w:rsid w:val="00B23156"/>
    <w:rsid w:val="00B24F6E"/>
    <w:rsid w:val="00B252EF"/>
    <w:rsid w:val="00B2592D"/>
    <w:rsid w:val="00B26653"/>
    <w:rsid w:val="00B30964"/>
    <w:rsid w:val="00B314C8"/>
    <w:rsid w:val="00B31D06"/>
    <w:rsid w:val="00B3205D"/>
    <w:rsid w:val="00B3223F"/>
    <w:rsid w:val="00B3350F"/>
    <w:rsid w:val="00B33563"/>
    <w:rsid w:val="00B33E44"/>
    <w:rsid w:val="00B35189"/>
    <w:rsid w:val="00B360A7"/>
    <w:rsid w:val="00B360B9"/>
    <w:rsid w:val="00B36BF1"/>
    <w:rsid w:val="00B3722C"/>
    <w:rsid w:val="00B3776E"/>
    <w:rsid w:val="00B37DC0"/>
    <w:rsid w:val="00B409CE"/>
    <w:rsid w:val="00B40B11"/>
    <w:rsid w:val="00B41039"/>
    <w:rsid w:val="00B42D1C"/>
    <w:rsid w:val="00B42D4A"/>
    <w:rsid w:val="00B43077"/>
    <w:rsid w:val="00B43CBE"/>
    <w:rsid w:val="00B4446F"/>
    <w:rsid w:val="00B4450C"/>
    <w:rsid w:val="00B44770"/>
    <w:rsid w:val="00B454A9"/>
    <w:rsid w:val="00B47AFD"/>
    <w:rsid w:val="00B52F0E"/>
    <w:rsid w:val="00B53C8F"/>
    <w:rsid w:val="00B54AE7"/>
    <w:rsid w:val="00B54AEE"/>
    <w:rsid w:val="00B56CF8"/>
    <w:rsid w:val="00B57D82"/>
    <w:rsid w:val="00B609F1"/>
    <w:rsid w:val="00B60D18"/>
    <w:rsid w:val="00B61E23"/>
    <w:rsid w:val="00B61F12"/>
    <w:rsid w:val="00B61F67"/>
    <w:rsid w:val="00B62AC7"/>
    <w:rsid w:val="00B62B07"/>
    <w:rsid w:val="00B6329E"/>
    <w:rsid w:val="00B63FC8"/>
    <w:rsid w:val="00B66F45"/>
    <w:rsid w:val="00B67139"/>
    <w:rsid w:val="00B721A8"/>
    <w:rsid w:val="00B72D92"/>
    <w:rsid w:val="00B73E6E"/>
    <w:rsid w:val="00B741A7"/>
    <w:rsid w:val="00B74E8C"/>
    <w:rsid w:val="00B75460"/>
    <w:rsid w:val="00B7562A"/>
    <w:rsid w:val="00B75FA6"/>
    <w:rsid w:val="00B764D4"/>
    <w:rsid w:val="00B76593"/>
    <w:rsid w:val="00B771B3"/>
    <w:rsid w:val="00B77790"/>
    <w:rsid w:val="00B77EE8"/>
    <w:rsid w:val="00B806A5"/>
    <w:rsid w:val="00B81EE6"/>
    <w:rsid w:val="00B81F10"/>
    <w:rsid w:val="00B81F59"/>
    <w:rsid w:val="00B82BEB"/>
    <w:rsid w:val="00B83374"/>
    <w:rsid w:val="00B83814"/>
    <w:rsid w:val="00B842A0"/>
    <w:rsid w:val="00B8471E"/>
    <w:rsid w:val="00B86495"/>
    <w:rsid w:val="00B87C9D"/>
    <w:rsid w:val="00B95354"/>
    <w:rsid w:val="00B964F6"/>
    <w:rsid w:val="00B96C29"/>
    <w:rsid w:val="00B970AB"/>
    <w:rsid w:val="00BA07DC"/>
    <w:rsid w:val="00BA0BFA"/>
    <w:rsid w:val="00BA1104"/>
    <w:rsid w:val="00BA16C5"/>
    <w:rsid w:val="00BA182B"/>
    <w:rsid w:val="00BA23EB"/>
    <w:rsid w:val="00BA32FC"/>
    <w:rsid w:val="00BA3E46"/>
    <w:rsid w:val="00BA4288"/>
    <w:rsid w:val="00BA4B8A"/>
    <w:rsid w:val="00BA65C2"/>
    <w:rsid w:val="00BA6CFB"/>
    <w:rsid w:val="00BA74B2"/>
    <w:rsid w:val="00BB0EDD"/>
    <w:rsid w:val="00BB0F85"/>
    <w:rsid w:val="00BB106C"/>
    <w:rsid w:val="00BB1D01"/>
    <w:rsid w:val="00BB2367"/>
    <w:rsid w:val="00BB258F"/>
    <w:rsid w:val="00BB2992"/>
    <w:rsid w:val="00BB2E28"/>
    <w:rsid w:val="00BB305D"/>
    <w:rsid w:val="00BB3229"/>
    <w:rsid w:val="00BB446B"/>
    <w:rsid w:val="00BB4F2D"/>
    <w:rsid w:val="00BB4FAA"/>
    <w:rsid w:val="00BB512E"/>
    <w:rsid w:val="00BB5BF2"/>
    <w:rsid w:val="00BB7DE1"/>
    <w:rsid w:val="00BC2E82"/>
    <w:rsid w:val="00BC37C8"/>
    <w:rsid w:val="00BC4A8F"/>
    <w:rsid w:val="00BC4BDE"/>
    <w:rsid w:val="00BC5400"/>
    <w:rsid w:val="00BC5678"/>
    <w:rsid w:val="00BC571C"/>
    <w:rsid w:val="00BC69E3"/>
    <w:rsid w:val="00BC6C0B"/>
    <w:rsid w:val="00BC783F"/>
    <w:rsid w:val="00BD0800"/>
    <w:rsid w:val="00BD1081"/>
    <w:rsid w:val="00BD124B"/>
    <w:rsid w:val="00BD15A7"/>
    <w:rsid w:val="00BD2064"/>
    <w:rsid w:val="00BD272A"/>
    <w:rsid w:val="00BD2E7D"/>
    <w:rsid w:val="00BD4CFA"/>
    <w:rsid w:val="00BD5694"/>
    <w:rsid w:val="00BD5BBC"/>
    <w:rsid w:val="00BD6672"/>
    <w:rsid w:val="00BD6A8E"/>
    <w:rsid w:val="00BD71D3"/>
    <w:rsid w:val="00BE0010"/>
    <w:rsid w:val="00BE0522"/>
    <w:rsid w:val="00BE055F"/>
    <w:rsid w:val="00BE085B"/>
    <w:rsid w:val="00BE163A"/>
    <w:rsid w:val="00BE16CD"/>
    <w:rsid w:val="00BE24A8"/>
    <w:rsid w:val="00BE275C"/>
    <w:rsid w:val="00BE289D"/>
    <w:rsid w:val="00BE2D42"/>
    <w:rsid w:val="00BE2E04"/>
    <w:rsid w:val="00BE5C4A"/>
    <w:rsid w:val="00BE5E65"/>
    <w:rsid w:val="00BE6990"/>
    <w:rsid w:val="00BE6A68"/>
    <w:rsid w:val="00BE73BC"/>
    <w:rsid w:val="00BE7ECB"/>
    <w:rsid w:val="00BF05AE"/>
    <w:rsid w:val="00BF2A34"/>
    <w:rsid w:val="00BF2A5A"/>
    <w:rsid w:val="00BF2D0C"/>
    <w:rsid w:val="00BF35E0"/>
    <w:rsid w:val="00BF3AAF"/>
    <w:rsid w:val="00BF43E0"/>
    <w:rsid w:val="00BF4764"/>
    <w:rsid w:val="00BF5344"/>
    <w:rsid w:val="00BF55C5"/>
    <w:rsid w:val="00BF60C5"/>
    <w:rsid w:val="00BF6108"/>
    <w:rsid w:val="00BF7F1A"/>
    <w:rsid w:val="00C005E8"/>
    <w:rsid w:val="00C006F6"/>
    <w:rsid w:val="00C02CE6"/>
    <w:rsid w:val="00C04140"/>
    <w:rsid w:val="00C0567C"/>
    <w:rsid w:val="00C05BD9"/>
    <w:rsid w:val="00C063EB"/>
    <w:rsid w:val="00C06755"/>
    <w:rsid w:val="00C07697"/>
    <w:rsid w:val="00C0778F"/>
    <w:rsid w:val="00C07F6D"/>
    <w:rsid w:val="00C10782"/>
    <w:rsid w:val="00C109A3"/>
    <w:rsid w:val="00C10CF5"/>
    <w:rsid w:val="00C121E1"/>
    <w:rsid w:val="00C1256F"/>
    <w:rsid w:val="00C1283C"/>
    <w:rsid w:val="00C128DF"/>
    <w:rsid w:val="00C13461"/>
    <w:rsid w:val="00C1349B"/>
    <w:rsid w:val="00C13862"/>
    <w:rsid w:val="00C13E01"/>
    <w:rsid w:val="00C1425E"/>
    <w:rsid w:val="00C15666"/>
    <w:rsid w:val="00C156D6"/>
    <w:rsid w:val="00C15CE6"/>
    <w:rsid w:val="00C1648D"/>
    <w:rsid w:val="00C174F2"/>
    <w:rsid w:val="00C200F6"/>
    <w:rsid w:val="00C214AA"/>
    <w:rsid w:val="00C216FC"/>
    <w:rsid w:val="00C22AA2"/>
    <w:rsid w:val="00C22B8A"/>
    <w:rsid w:val="00C231B5"/>
    <w:rsid w:val="00C24776"/>
    <w:rsid w:val="00C24C48"/>
    <w:rsid w:val="00C24E19"/>
    <w:rsid w:val="00C25C1C"/>
    <w:rsid w:val="00C2651D"/>
    <w:rsid w:val="00C26C71"/>
    <w:rsid w:val="00C26CBE"/>
    <w:rsid w:val="00C274B8"/>
    <w:rsid w:val="00C30A87"/>
    <w:rsid w:val="00C30B3E"/>
    <w:rsid w:val="00C32A72"/>
    <w:rsid w:val="00C32F27"/>
    <w:rsid w:val="00C3445B"/>
    <w:rsid w:val="00C34508"/>
    <w:rsid w:val="00C34668"/>
    <w:rsid w:val="00C34928"/>
    <w:rsid w:val="00C34DA8"/>
    <w:rsid w:val="00C368FA"/>
    <w:rsid w:val="00C36CE9"/>
    <w:rsid w:val="00C37890"/>
    <w:rsid w:val="00C40876"/>
    <w:rsid w:val="00C40B77"/>
    <w:rsid w:val="00C41247"/>
    <w:rsid w:val="00C41A57"/>
    <w:rsid w:val="00C42553"/>
    <w:rsid w:val="00C42627"/>
    <w:rsid w:val="00C42A18"/>
    <w:rsid w:val="00C42AEE"/>
    <w:rsid w:val="00C43CF4"/>
    <w:rsid w:val="00C44C0C"/>
    <w:rsid w:val="00C44CF1"/>
    <w:rsid w:val="00C46121"/>
    <w:rsid w:val="00C4638B"/>
    <w:rsid w:val="00C46576"/>
    <w:rsid w:val="00C470FA"/>
    <w:rsid w:val="00C4710B"/>
    <w:rsid w:val="00C47EAF"/>
    <w:rsid w:val="00C5000A"/>
    <w:rsid w:val="00C5025F"/>
    <w:rsid w:val="00C50420"/>
    <w:rsid w:val="00C505F7"/>
    <w:rsid w:val="00C52BED"/>
    <w:rsid w:val="00C52FF8"/>
    <w:rsid w:val="00C534AE"/>
    <w:rsid w:val="00C53F37"/>
    <w:rsid w:val="00C54CF1"/>
    <w:rsid w:val="00C57495"/>
    <w:rsid w:val="00C57ED4"/>
    <w:rsid w:val="00C60038"/>
    <w:rsid w:val="00C6106A"/>
    <w:rsid w:val="00C613D2"/>
    <w:rsid w:val="00C615B1"/>
    <w:rsid w:val="00C61DA2"/>
    <w:rsid w:val="00C61EE5"/>
    <w:rsid w:val="00C623E9"/>
    <w:rsid w:val="00C62710"/>
    <w:rsid w:val="00C62984"/>
    <w:rsid w:val="00C63755"/>
    <w:rsid w:val="00C64A34"/>
    <w:rsid w:val="00C70866"/>
    <w:rsid w:val="00C711C7"/>
    <w:rsid w:val="00C728EE"/>
    <w:rsid w:val="00C72F0C"/>
    <w:rsid w:val="00C73F4D"/>
    <w:rsid w:val="00C74286"/>
    <w:rsid w:val="00C745B9"/>
    <w:rsid w:val="00C7527C"/>
    <w:rsid w:val="00C753C9"/>
    <w:rsid w:val="00C7643B"/>
    <w:rsid w:val="00C76898"/>
    <w:rsid w:val="00C76D5C"/>
    <w:rsid w:val="00C8016E"/>
    <w:rsid w:val="00C80417"/>
    <w:rsid w:val="00C8180B"/>
    <w:rsid w:val="00C81851"/>
    <w:rsid w:val="00C8306D"/>
    <w:rsid w:val="00C8316D"/>
    <w:rsid w:val="00C83F9B"/>
    <w:rsid w:val="00C84879"/>
    <w:rsid w:val="00C85F1C"/>
    <w:rsid w:val="00C87393"/>
    <w:rsid w:val="00C87ED7"/>
    <w:rsid w:val="00C9086E"/>
    <w:rsid w:val="00C92151"/>
    <w:rsid w:val="00C9292D"/>
    <w:rsid w:val="00C92E24"/>
    <w:rsid w:val="00C93020"/>
    <w:rsid w:val="00C93CD0"/>
    <w:rsid w:val="00C94099"/>
    <w:rsid w:val="00C952B7"/>
    <w:rsid w:val="00C95B90"/>
    <w:rsid w:val="00CA0EE6"/>
    <w:rsid w:val="00CA1042"/>
    <w:rsid w:val="00CA1495"/>
    <w:rsid w:val="00CA264C"/>
    <w:rsid w:val="00CA3C24"/>
    <w:rsid w:val="00CA404F"/>
    <w:rsid w:val="00CA53FD"/>
    <w:rsid w:val="00CA7036"/>
    <w:rsid w:val="00CA75DD"/>
    <w:rsid w:val="00CB1373"/>
    <w:rsid w:val="00CB195E"/>
    <w:rsid w:val="00CB2828"/>
    <w:rsid w:val="00CB3B0D"/>
    <w:rsid w:val="00CB3EEA"/>
    <w:rsid w:val="00CB419C"/>
    <w:rsid w:val="00CB5BD9"/>
    <w:rsid w:val="00CB7A19"/>
    <w:rsid w:val="00CC0646"/>
    <w:rsid w:val="00CC12FF"/>
    <w:rsid w:val="00CC1F4B"/>
    <w:rsid w:val="00CC2497"/>
    <w:rsid w:val="00CC31C1"/>
    <w:rsid w:val="00CC3332"/>
    <w:rsid w:val="00CC3D5B"/>
    <w:rsid w:val="00CC629C"/>
    <w:rsid w:val="00CC62B2"/>
    <w:rsid w:val="00CC6D58"/>
    <w:rsid w:val="00CD01A1"/>
    <w:rsid w:val="00CD2AC8"/>
    <w:rsid w:val="00CD3701"/>
    <w:rsid w:val="00CD4077"/>
    <w:rsid w:val="00CD43FA"/>
    <w:rsid w:val="00CD4A67"/>
    <w:rsid w:val="00CD4B8A"/>
    <w:rsid w:val="00CD4D1C"/>
    <w:rsid w:val="00CD4F3D"/>
    <w:rsid w:val="00CD5119"/>
    <w:rsid w:val="00CD6D23"/>
    <w:rsid w:val="00CD6D8E"/>
    <w:rsid w:val="00CD701C"/>
    <w:rsid w:val="00CE0F97"/>
    <w:rsid w:val="00CE16D3"/>
    <w:rsid w:val="00CE3612"/>
    <w:rsid w:val="00CE46D9"/>
    <w:rsid w:val="00CE4ABA"/>
    <w:rsid w:val="00CE51C2"/>
    <w:rsid w:val="00CE5F09"/>
    <w:rsid w:val="00CE7242"/>
    <w:rsid w:val="00CE7BAA"/>
    <w:rsid w:val="00CF1100"/>
    <w:rsid w:val="00CF1843"/>
    <w:rsid w:val="00CF261C"/>
    <w:rsid w:val="00CF27DF"/>
    <w:rsid w:val="00CF4D92"/>
    <w:rsid w:val="00CF5932"/>
    <w:rsid w:val="00CF5AEA"/>
    <w:rsid w:val="00CF5EBF"/>
    <w:rsid w:val="00CF64B6"/>
    <w:rsid w:val="00CF7843"/>
    <w:rsid w:val="00D01017"/>
    <w:rsid w:val="00D0149B"/>
    <w:rsid w:val="00D014FA"/>
    <w:rsid w:val="00D02392"/>
    <w:rsid w:val="00D03264"/>
    <w:rsid w:val="00D03346"/>
    <w:rsid w:val="00D03E92"/>
    <w:rsid w:val="00D04748"/>
    <w:rsid w:val="00D047DC"/>
    <w:rsid w:val="00D04C35"/>
    <w:rsid w:val="00D055D8"/>
    <w:rsid w:val="00D05B5A"/>
    <w:rsid w:val="00D07973"/>
    <w:rsid w:val="00D07E9D"/>
    <w:rsid w:val="00D10C1B"/>
    <w:rsid w:val="00D12285"/>
    <w:rsid w:val="00D13EE2"/>
    <w:rsid w:val="00D13F91"/>
    <w:rsid w:val="00D15DD6"/>
    <w:rsid w:val="00D16449"/>
    <w:rsid w:val="00D1666D"/>
    <w:rsid w:val="00D16D43"/>
    <w:rsid w:val="00D175D8"/>
    <w:rsid w:val="00D219DC"/>
    <w:rsid w:val="00D21FA1"/>
    <w:rsid w:val="00D241D3"/>
    <w:rsid w:val="00D24686"/>
    <w:rsid w:val="00D26AB9"/>
    <w:rsid w:val="00D2778E"/>
    <w:rsid w:val="00D2791B"/>
    <w:rsid w:val="00D27BB8"/>
    <w:rsid w:val="00D301F8"/>
    <w:rsid w:val="00D30527"/>
    <w:rsid w:val="00D32420"/>
    <w:rsid w:val="00D32862"/>
    <w:rsid w:val="00D339FE"/>
    <w:rsid w:val="00D340EF"/>
    <w:rsid w:val="00D34477"/>
    <w:rsid w:val="00D351BB"/>
    <w:rsid w:val="00D353EA"/>
    <w:rsid w:val="00D35B6D"/>
    <w:rsid w:val="00D35CA8"/>
    <w:rsid w:val="00D361C9"/>
    <w:rsid w:val="00D36B55"/>
    <w:rsid w:val="00D40BC7"/>
    <w:rsid w:val="00D40C15"/>
    <w:rsid w:val="00D41063"/>
    <w:rsid w:val="00D4253E"/>
    <w:rsid w:val="00D42A13"/>
    <w:rsid w:val="00D43048"/>
    <w:rsid w:val="00D43104"/>
    <w:rsid w:val="00D4496D"/>
    <w:rsid w:val="00D44E93"/>
    <w:rsid w:val="00D451FF"/>
    <w:rsid w:val="00D459BE"/>
    <w:rsid w:val="00D45A4A"/>
    <w:rsid w:val="00D46506"/>
    <w:rsid w:val="00D50CAE"/>
    <w:rsid w:val="00D50DAF"/>
    <w:rsid w:val="00D50FAB"/>
    <w:rsid w:val="00D514A3"/>
    <w:rsid w:val="00D51AE5"/>
    <w:rsid w:val="00D5355B"/>
    <w:rsid w:val="00D53DF2"/>
    <w:rsid w:val="00D54038"/>
    <w:rsid w:val="00D54092"/>
    <w:rsid w:val="00D5461E"/>
    <w:rsid w:val="00D5506E"/>
    <w:rsid w:val="00D551CC"/>
    <w:rsid w:val="00D5545A"/>
    <w:rsid w:val="00D55EE8"/>
    <w:rsid w:val="00D56B2E"/>
    <w:rsid w:val="00D608F4"/>
    <w:rsid w:val="00D611D4"/>
    <w:rsid w:val="00D61A8B"/>
    <w:rsid w:val="00D61B69"/>
    <w:rsid w:val="00D623A2"/>
    <w:rsid w:val="00D62903"/>
    <w:rsid w:val="00D638C6"/>
    <w:rsid w:val="00D63DC3"/>
    <w:rsid w:val="00D64195"/>
    <w:rsid w:val="00D64B35"/>
    <w:rsid w:val="00D64D91"/>
    <w:rsid w:val="00D65940"/>
    <w:rsid w:val="00D66710"/>
    <w:rsid w:val="00D66BD1"/>
    <w:rsid w:val="00D71C8C"/>
    <w:rsid w:val="00D71E24"/>
    <w:rsid w:val="00D72135"/>
    <w:rsid w:val="00D72CB7"/>
    <w:rsid w:val="00D7303F"/>
    <w:rsid w:val="00D73124"/>
    <w:rsid w:val="00D736A8"/>
    <w:rsid w:val="00D7382E"/>
    <w:rsid w:val="00D74812"/>
    <w:rsid w:val="00D74DE2"/>
    <w:rsid w:val="00D75112"/>
    <w:rsid w:val="00D7526C"/>
    <w:rsid w:val="00D75792"/>
    <w:rsid w:val="00D75BDC"/>
    <w:rsid w:val="00D76348"/>
    <w:rsid w:val="00D76597"/>
    <w:rsid w:val="00D766FE"/>
    <w:rsid w:val="00D773A8"/>
    <w:rsid w:val="00D80A15"/>
    <w:rsid w:val="00D8126A"/>
    <w:rsid w:val="00D827A5"/>
    <w:rsid w:val="00D82F9A"/>
    <w:rsid w:val="00D8348A"/>
    <w:rsid w:val="00D83525"/>
    <w:rsid w:val="00D83935"/>
    <w:rsid w:val="00D84C2A"/>
    <w:rsid w:val="00D84E44"/>
    <w:rsid w:val="00D85445"/>
    <w:rsid w:val="00D85855"/>
    <w:rsid w:val="00D85F82"/>
    <w:rsid w:val="00D86A0B"/>
    <w:rsid w:val="00D8745A"/>
    <w:rsid w:val="00D879BF"/>
    <w:rsid w:val="00D9055E"/>
    <w:rsid w:val="00D90ADA"/>
    <w:rsid w:val="00D90DF1"/>
    <w:rsid w:val="00D917F4"/>
    <w:rsid w:val="00D91CCB"/>
    <w:rsid w:val="00D9240F"/>
    <w:rsid w:val="00D92559"/>
    <w:rsid w:val="00D92E48"/>
    <w:rsid w:val="00D9325C"/>
    <w:rsid w:val="00D9338A"/>
    <w:rsid w:val="00D934C3"/>
    <w:rsid w:val="00D934D2"/>
    <w:rsid w:val="00D93558"/>
    <w:rsid w:val="00D940B9"/>
    <w:rsid w:val="00D94859"/>
    <w:rsid w:val="00D9576A"/>
    <w:rsid w:val="00D95AD8"/>
    <w:rsid w:val="00D96660"/>
    <w:rsid w:val="00D969C6"/>
    <w:rsid w:val="00D96EAC"/>
    <w:rsid w:val="00DA10C1"/>
    <w:rsid w:val="00DA4E30"/>
    <w:rsid w:val="00DA5D26"/>
    <w:rsid w:val="00DA6CAC"/>
    <w:rsid w:val="00DA6D51"/>
    <w:rsid w:val="00DB046E"/>
    <w:rsid w:val="00DB04A2"/>
    <w:rsid w:val="00DB0675"/>
    <w:rsid w:val="00DB07E7"/>
    <w:rsid w:val="00DB0C1E"/>
    <w:rsid w:val="00DB0C2A"/>
    <w:rsid w:val="00DB2C14"/>
    <w:rsid w:val="00DB33DC"/>
    <w:rsid w:val="00DB359F"/>
    <w:rsid w:val="00DB3BC3"/>
    <w:rsid w:val="00DB3EE4"/>
    <w:rsid w:val="00DB4AFA"/>
    <w:rsid w:val="00DB56BF"/>
    <w:rsid w:val="00DB6E2F"/>
    <w:rsid w:val="00DC0E8D"/>
    <w:rsid w:val="00DC1774"/>
    <w:rsid w:val="00DC1C9E"/>
    <w:rsid w:val="00DC2051"/>
    <w:rsid w:val="00DC2E5D"/>
    <w:rsid w:val="00DC4C3E"/>
    <w:rsid w:val="00DC5B62"/>
    <w:rsid w:val="00DC784C"/>
    <w:rsid w:val="00DD1292"/>
    <w:rsid w:val="00DD2524"/>
    <w:rsid w:val="00DD27E9"/>
    <w:rsid w:val="00DD3462"/>
    <w:rsid w:val="00DD40DC"/>
    <w:rsid w:val="00DD417E"/>
    <w:rsid w:val="00DD55C3"/>
    <w:rsid w:val="00DD56B6"/>
    <w:rsid w:val="00DD5CD2"/>
    <w:rsid w:val="00DD5E47"/>
    <w:rsid w:val="00DD6520"/>
    <w:rsid w:val="00DD670C"/>
    <w:rsid w:val="00DD6F3A"/>
    <w:rsid w:val="00DE0679"/>
    <w:rsid w:val="00DE0BE2"/>
    <w:rsid w:val="00DE1743"/>
    <w:rsid w:val="00DE1CAD"/>
    <w:rsid w:val="00DE2111"/>
    <w:rsid w:val="00DE2B25"/>
    <w:rsid w:val="00DE30D5"/>
    <w:rsid w:val="00DE3A1D"/>
    <w:rsid w:val="00DE3C60"/>
    <w:rsid w:val="00DE4FAA"/>
    <w:rsid w:val="00DE78C8"/>
    <w:rsid w:val="00DF2ED8"/>
    <w:rsid w:val="00DF2FEB"/>
    <w:rsid w:val="00DF42D5"/>
    <w:rsid w:val="00DF59A8"/>
    <w:rsid w:val="00DF5B9D"/>
    <w:rsid w:val="00DF5D70"/>
    <w:rsid w:val="00DF6134"/>
    <w:rsid w:val="00DF652F"/>
    <w:rsid w:val="00DF6B23"/>
    <w:rsid w:val="00DF6F0A"/>
    <w:rsid w:val="00DF7454"/>
    <w:rsid w:val="00DF7DCF"/>
    <w:rsid w:val="00DF7FAB"/>
    <w:rsid w:val="00E00BE4"/>
    <w:rsid w:val="00E00D2F"/>
    <w:rsid w:val="00E01B43"/>
    <w:rsid w:val="00E02B1A"/>
    <w:rsid w:val="00E0363C"/>
    <w:rsid w:val="00E03CA8"/>
    <w:rsid w:val="00E047BB"/>
    <w:rsid w:val="00E04AA4"/>
    <w:rsid w:val="00E04D0C"/>
    <w:rsid w:val="00E05FDC"/>
    <w:rsid w:val="00E103A5"/>
    <w:rsid w:val="00E10FB8"/>
    <w:rsid w:val="00E110E2"/>
    <w:rsid w:val="00E114F7"/>
    <w:rsid w:val="00E11796"/>
    <w:rsid w:val="00E1182E"/>
    <w:rsid w:val="00E133DC"/>
    <w:rsid w:val="00E13765"/>
    <w:rsid w:val="00E14048"/>
    <w:rsid w:val="00E14E14"/>
    <w:rsid w:val="00E15012"/>
    <w:rsid w:val="00E16A96"/>
    <w:rsid w:val="00E17CED"/>
    <w:rsid w:val="00E21538"/>
    <w:rsid w:val="00E220EE"/>
    <w:rsid w:val="00E224B7"/>
    <w:rsid w:val="00E2292B"/>
    <w:rsid w:val="00E24099"/>
    <w:rsid w:val="00E245BC"/>
    <w:rsid w:val="00E259AC"/>
    <w:rsid w:val="00E259B0"/>
    <w:rsid w:val="00E25B5E"/>
    <w:rsid w:val="00E2646B"/>
    <w:rsid w:val="00E2661D"/>
    <w:rsid w:val="00E26F5A"/>
    <w:rsid w:val="00E279DA"/>
    <w:rsid w:val="00E27BC0"/>
    <w:rsid w:val="00E30B86"/>
    <w:rsid w:val="00E317DA"/>
    <w:rsid w:val="00E31F63"/>
    <w:rsid w:val="00E335CE"/>
    <w:rsid w:val="00E344FA"/>
    <w:rsid w:val="00E34AF6"/>
    <w:rsid w:val="00E35CA1"/>
    <w:rsid w:val="00E3626B"/>
    <w:rsid w:val="00E3700B"/>
    <w:rsid w:val="00E4012B"/>
    <w:rsid w:val="00E402B3"/>
    <w:rsid w:val="00E40AD5"/>
    <w:rsid w:val="00E41105"/>
    <w:rsid w:val="00E416BA"/>
    <w:rsid w:val="00E41A5D"/>
    <w:rsid w:val="00E423DF"/>
    <w:rsid w:val="00E42BC1"/>
    <w:rsid w:val="00E44045"/>
    <w:rsid w:val="00E44D08"/>
    <w:rsid w:val="00E44EEE"/>
    <w:rsid w:val="00E45775"/>
    <w:rsid w:val="00E4648D"/>
    <w:rsid w:val="00E46A63"/>
    <w:rsid w:val="00E47C12"/>
    <w:rsid w:val="00E501B8"/>
    <w:rsid w:val="00E5128B"/>
    <w:rsid w:val="00E523F1"/>
    <w:rsid w:val="00E524E0"/>
    <w:rsid w:val="00E52529"/>
    <w:rsid w:val="00E52FAA"/>
    <w:rsid w:val="00E53E7A"/>
    <w:rsid w:val="00E55836"/>
    <w:rsid w:val="00E55A21"/>
    <w:rsid w:val="00E562E4"/>
    <w:rsid w:val="00E56D9C"/>
    <w:rsid w:val="00E60105"/>
    <w:rsid w:val="00E619F8"/>
    <w:rsid w:val="00E623F0"/>
    <w:rsid w:val="00E6245A"/>
    <w:rsid w:val="00E628AD"/>
    <w:rsid w:val="00E6578F"/>
    <w:rsid w:val="00E65E4D"/>
    <w:rsid w:val="00E65FEE"/>
    <w:rsid w:val="00E7005C"/>
    <w:rsid w:val="00E713A4"/>
    <w:rsid w:val="00E71803"/>
    <w:rsid w:val="00E71F6E"/>
    <w:rsid w:val="00E7212E"/>
    <w:rsid w:val="00E723A1"/>
    <w:rsid w:val="00E7560F"/>
    <w:rsid w:val="00E76069"/>
    <w:rsid w:val="00E76FBF"/>
    <w:rsid w:val="00E800E4"/>
    <w:rsid w:val="00E80925"/>
    <w:rsid w:val="00E80BD7"/>
    <w:rsid w:val="00E83031"/>
    <w:rsid w:val="00E83550"/>
    <w:rsid w:val="00E83980"/>
    <w:rsid w:val="00E84F6D"/>
    <w:rsid w:val="00E862F1"/>
    <w:rsid w:val="00E87E8B"/>
    <w:rsid w:val="00E87EC4"/>
    <w:rsid w:val="00E90022"/>
    <w:rsid w:val="00E903F4"/>
    <w:rsid w:val="00E90521"/>
    <w:rsid w:val="00E90A64"/>
    <w:rsid w:val="00E90AD5"/>
    <w:rsid w:val="00E90C81"/>
    <w:rsid w:val="00E9227F"/>
    <w:rsid w:val="00E926A4"/>
    <w:rsid w:val="00E928CE"/>
    <w:rsid w:val="00E9338D"/>
    <w:rsid w:val="00E94C3A"/>
    <w:rsid w:val="00E95DC7"/>
    <w:rsid w:val="00E96664"/>
    <w:rsid w:val="00E975FF"/>
    <w:rsid w:val="00EA0EA2"/>
    <w:rsid w:val="00EA1DA7"/>
    <w:rsid w:val="00EA3AD9"/>
    <w:rsid w:val="00EA3AF5"/>
    <w:rsid w:val="00EA55C6"/>
    <w:rsid w:val="00EA58F7"/>
    <w:rsid w:val="00EA5B49"/>
    <w:rsid w:val="00EA5C7E"/>
    <w:rsid w:val="00EA629E"/>
    <w:rsid w:val="00EA67B1"/>
    <w:rsid w:val="00EA6B3F"/>
    <w:rsid w:val="00EA7420"/>
    <w:rsid w:val="00EA7C37"/>
    <w:rsid w:val="00EA7C64"/>
    <w:rsid w:val="00EA7F32"/>
    <w:rsid w:val="00EB0175"/>
    <w:rsid w:val="00EB1635"/>
    <w:rsid w:val="00EB2DF0"/>
    <w:rsid w:val="00EB611D"/>
    <w:rsid w:val="00EB6443"/>
    <w:rsid w:val="00EB6F0F"/>
    <w:rsid w:val="00EC03A1"/>
    <w:rsid w:val="00EC08D9"/>
    <w:rsid w:val="00EC092E"/>
    <w:rsid w:val="00EC1A2C"/>
    <w:rsid w:val="00EC1D58"/>
    <w:rsid w:val="00EC2661"/>
    <w:rsid w:val="00EC4813"/>
    <w:rsid w:val="00EC5933"/>
    <w:rsid w:val="00EC5E50"/>
    <w:rsid w:val="00EC6327"/>
    <w:rsid w:val="00EC7506"/>
    <w:rsid w:val="00ED06AF"/>
    <w:rsid w:val="00ED0781"/>
    <w:rsid w:val="00ED0B94"/>
    <w:rsid w:val="00ED2A04"/>
    <w:rsid w:val="00ED4374"/>
    <w:rsid w:val="00ED5B9D"/>
    <w:rsid w:val="00ED79D6"/>
    <w:rsid w:val="00ED79DB"/>
    <w:rsid w:val="00ED7B16"/>
    <w:rsid w:val="00EE0000"/>
    <w:rsid w:val="00EE1C0A"/>
    <w:rsid w:val="00EE256A"/>
    <w:rsid w:val="00EE2CD6"/>
    <w:rsid w:val="00EE305E"/>
    <w:rsid w:val="00EE3CE3"/>
    <w:rsid w:val="00EE44D3"/>
    <w:rsid w:val="00EE6225"/>
    <w:rsid w:val="00EE656F"/>
    <w:rsid w:val="00EE6B7D"/>
    <w:rsid w:val="00EE71DE"/>
    <w:rsid w:val="00EE7ADA"/>
    <w:rsid w:val="00EE7C1E"/>
    <w:rsid w:val="00EE7C9A"/>
    <w:rsid w:val="00EF150F"/>
    <w:rsid w:val="00EF1A5D"/>
    <w:rsid w:val="00EF4904"/>
    <w:rsid w:val="00EF668E"/>
    <w:rsid w:val="00EF6889"/>
    <w:rsid w:val="00EF6CE0"/>
    <w:rsid w:val="00EF74BD"/>
    <w:rsid w:val="00F00275"/>
    <w:rsid w:val="00F0082B"/>
    <w:rsid w:val="00F00D33"/>
    <w:rsid w:val="00F021BB"/>
    <w:rsid w:val="00F04493"/>
    <w:rsid w:val="00F04A28"/>
    <w:rsid w:val="00F04E95"/>
    <w:rsid w:val="00F067A9"/>
    <w:rsid w:val="00F0782A"/>
    <w:rsid w:val="00F07D88"/>
    <w:rsid w:val="00F10E5D"/>
    <w:rsid w:val="00F12719"/>
    <w:rsid w:val="00F12EFA"/>
    <w:rsid w:val="00F13363"/>
    <w:rsid w:val="00F13980"/>
    <w:rsid w:val="00F149AE"/>
    <w:rsid w:val="00F150E5"/>
    <w:rsid w:val="00F15C90"/>
    <w:rsid w:val="00F171DA"/>
    <w:rsid w:val="00F17619"/>
    <w:rsid w:val="00F17A3A"/>
    <w:rsid w:val="00F2077A"/>
    <w:rsid w:val="00F222E8"/>
    <w:rsid w:val="00F2369B"/>
    <w:rsid w:val="00F23ECA"/>
    <w:rsid w:val="00F2435E"/>
    <w:rsid w:val="00F2444A"/>
    <w:rsid w:val="00F24E73"/>
    <w:rsid w:val="00F26A50"/>
    <w:rsid w:val="00F305B8"/>
    <w:rsid w:val="00F3381E"/>
    <w:rsid w:val="00F3553D"/>
    <w:rsid w:val="00F368A8"/>
    <w:rsid w:val="00F40622"/>
    <w:rsid w:val="00F4138A"/>
    <w:rsid w:val="00F415D2"/>
    <w:rsid w:val="00F4370E"/>
    <w:rsid w:val="00F445B5"/>
    <w:rsid w:val="00F44B7C"/>
    <w:rsid w:val="00F454FD"/>
    <w:rsid w:val="00F4660E"/>
    <w:rsid w:val="00F47663"/>
    <w:rsid w:val="00F50374"/>
    <w:rsid w:val="00F503D6"/>
    <w:rsid w:val="00F51103"/>
    <w:rsid w:val="00F520EF"/>
    <w:rsid w:val="00F5254B"/>
    <w:rsid w:val="00F52760"/>
    <w:rsid w:val="00F5302A"/>
    <w:rsid w:val="00F5302D"/>
    <w:rsid w:val="00F53615"/>
    <w:rsid w:val="00F53F8A"/>
    <w:rsid w:val="00F56C52"/>
    <w:rsid w:val="00F572DE"/>
    <w:rsid w:val="00F5757E"/>
    <w:rsid w:val="00F60272"/>
    <w:rsid w:val="00F605BF"/>
    <w:rsid w:val="00F612B0"/>
    <w:rsid w:val="00F61328"/>
    <w:rsid w:val="00F615FB"/>
    <w:rsid w:val="00F61F58"/>
    <w:rsid w:val="00F639C0"/>
    <w:rsid w:val="00F64150"/>
    <w:rsid w:val="00F64151"/>
    <w:rsid w:val="00F64562"/>
    <w:rsid w:val="00F65339"/>
    <w:rsid w:val="00F66500"/>
    <w:rsid w:val="00F66603"/>
    <w:rsid w:val="00F666E3"/>
    <w:rsid w:val="00F678D1"/>
    <w:rsid w:val="00F7015D"/>
    <w:rsid w:val="00F7143D"/>
    <w:rsid w:val="00F71C6B"/>
    <w:rsid w:val="00F727FF"/>
    <w:rsid w:val="00F72D15"/>
    <w:rsid w:val="00F73268"/>
    <w:rsid w:val="00F73C73"/>
    <w:rsid w:val="00F73EE5"/>
    <w:rsid w:val="00F74615"/>
    <w:rsid w:val="00F747A4"/>
    <w:rsid w:val="00F74F3E"/>
    <w:rsid w:val="00F75064"/>
    <w:rsid w:val="00F77F01"/>
    <w:rsid w:val="00F81361"/>
    <w:rsid w:val="00F81969"/>
    <w:rsid w:val="00F832D2"/>
    <w:rsid w:val="00F83696"/>
    <w:rsid w:val="00F84AD2"/>
    <w:rsid w:val="00F85F2E"/>
    <w:rsid w:val="00F86394"/>
    <w:rsid w:val="00F91875"/>
    <w:rsid w:val="00F92299"/>
    <w:rsid w:val="00F92D23"/>
    <w:rsid w:val="00F92E0B"/>
    <w:rsid w:val="00F933F2"/>
    <w:rsid w:val="00F960BD"/>
    <w:rsid w:val="00F9686E"/>
    <w:rsid w:val="00F97DD0"/>
    <w:rsid w:val="00FA01D5"/>
    <w:rsid w:val="00FA04E4"/>
    <w:rsid w:val="00FA076F"/>
    <w:rsid w:val="00FA0B0D"/>
    <w:rsid w:val="00FA3358"/>
    <w:rsid w:val="00FA3452"/>
    <w:rsid w:val="00FA417A"/>
    <w:rsid w:val="00FA4B9D"/>
    <w:rsid w:val="00FA511A"/>
    <w:rsid w:val="00FA5186"/>
    <w:rsid w:val="00FA6A3C"/>
    <w:rsid w:val="00FA708E"/>
    <w:rsid w:val="00FA7581"/>
    <w:rsid w:val="00FB0EE5"/>
    <w:rsid w:val="00FB1B3C"/>
    <w:rsid w:val="00FB1E41"/>
    <w:rsid w:val="00FB2B22"/>
    <w:rsid w:val="00FB35DE"/>
    <w:rsid w:val="00FB3897"/>
    <w:rsid w:val="00FB3F85"/>
    <w:rsid w:val="00FB4F3A"/>
    <w:rsid w:val="00FB5D82"/>
    <w:rsid w:val="00FB7E7A"/>
    <w:rsid w:val="00FC0116"/>
    <w:rsid w:val="00FC03DC"/>
    <w:rsid w:val="00FC0439"/>
    <w:rsid w:val="00FC0550"/>
    <w:rsid w:val="00FC0B68"/>
    <w:rsid w:val="00FC2BFB"/>
    <w:rsid w:val="00FC2E1F"/>
    <w:rsid w:val="00FC334E"/>
    <w:rsid w:val="00FC3AE9"/>
    <w:rsid w:val="00FC3C3D"/>
    <w:rsid w:val="00FC3E17"/>
    <w:rsid w:val="00FC422C"/>
    <w:rsid w:val="00FC4BBD"/>
    <w:rsid w:val="00FC4C05"/>
    <w:rsid w:val="00FC5EFD"/>
    <w:rsid w:val="00FD2836"/>
    <w:rsid w:val="00FD355D"/>
    <w:rsid w:val="00FD39BD"/>
    <w:rsid w:val="00FD4389"/>
    <w:rsid w:val="00FD5588"/>
    <w:rsid w:val="00FD7930"/>
    <w:rsid w:val="00FE17EF"/>
    <w:rsid w:val="00FE1E2D"/>
    <w:rsid w:val="00FE1E39"/>
    <w:rsid w:val="00FE1E4F"/>
    <w:rsid w:val="00FE326E"/>
    <w:rsid w:val="00FE4A97"/>
    <w:rsid w:val="00FE54E8"/>
    <w:rsid w:val="00FE5D29"/>
    <w:rsid w:val="00FE7526"/>
    <w:rsid w:val="00FF0B47"/>
    <w:rsid w:val="00FF0C83"/>
    <w:rsid w:val="00FF564E"/>
    <w:rsid w:val="00FF5CFD"/>
    <w:rsid w:val="00FF6291"/>
    <w:rsid w:val="00FF653A"/>
    <w:rsid w:val="00FF7C37"/>
    <w:rsid w:val="00FF7FD7"/>
  </w:rsids>
  <m:mathPr>
    <m:mathFont m:val="Cambria Math"/>
    <m:brkBin m:val="before"/>
    <m:brkBinSub m:val="--"/>
    <m:smallFrac/>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DFD825"/>
  <w15:docId w15:val="{3DCB1C41-BA07-4C86-A3A4-88FA3B33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561"/>
    <w:pPr>
      <w:spacing w:after="0" w:line="240" w:lineRule="auto"/>
      <w:jc w:val="both"/>
    </w:pPr>
    <w:rPr>
      <w:rFonts w:ascii="Verdana" w:eastAsia="Times New Roman" w:hAnsi="Verdana" w:cs="Times New Roman"/>
      <w:sz w:val="20"/>
      <w:szCs w:val="24"/>
      <w:lang w:val="en-US"/>
    </w:rPr>
  </w:style>
  <w:style w:type="paragraph" w:styleId="Ttulo1">
    <w:name w:val="heading 1"/>
    <w:basedOn w:val="Normal"/>
    <w:next w:val="Normal"/>
    <w:link w:val="Ttulo1Car"/>
    <w:uiPriority w:val="9"/>
    <w:qFormat/>
    <w:rsid w:val="00D75BDC"/>
    <w:pPr>
      <w:keepNext/>
      <w:keepLines/>
      <w:spacing w:before="120" w:after="240"/>
      <w:jc w:val="center"/>
      <w:outlineLvl w:val="0"/>
    </w:pPr>
    <w:rPr>
      <w:rFonts w:eastAsiaTheme="majorEastAsia" w:cstheme="majorBidi"/>
      <w:b/>
      <w:bCs/>
      <w:caps/>
      <w:szCs w:val="28"/>
    </w:rPr>
  </w:style>
  <w:style w:type="paragraph" w:styleId="Ttulo2">
    <w:name w:val="heading 2"/>
    <w:basedOn w:val="Prrafodelista"/>
    <w:next w:val="Normal"/>
    <w:link w:val="Ttulo2Car"/>
    <w:qFormat/>
    <w:rsid w:val="00234F19"/>
    <w:pPr>
      <w:numPr>
        <w:numId w:val="2"/>
      </w:numPr>
      <w:tabs>
        <w:tab w:val="left" w:pos="567"/>
        <w:tab w:val="left" w:pos="993"/>
      </w:tabs>
      <w:spacing w:before="240" w:after="120"/>
      <w:ind w:left="924" w:hanging="357"/>
      <w:outlineLvl w:val="1"/>
    </w:pPr>
    <w:rPr>
      <w:b/>
      <w:i/>
      <w:szCs w:val="20"/>
      <w:lang w:val="es-CR"/>
    </w:rPr>
  </w:style>
  <w:style w:type="paragraph" w:styleId="Ttulo3">
    <w:name w:val="heading 3"/>
    <w:basedOn w:val="Prrafodelista"/>
    <w:next w:val="Normal"/>
    <w:link w:val="Ttulo3Car"/>
    <w:qFormat/>
    <w:rsid w:val="00C76D5C"/>
    <w:pPr>
      <w:tabs>
        <w:tab w:val="left" w:pos="567"/>
      </w:tabs>
      <w:spacing w:before="120" w:after="120"/>
      <w:ind w:left="1418"/>
      <w:outlineLvl w:val="2"/>
    </w:pPr>
    <w:rPr>
      <w:i/>
      <w:lang w:val="es-CO"/>
    </w:rPr>
  </w:style>
  <w:style w:type="paragraph" w:styleId="Ttulo4">
    <w:name w:val="heading 4"/>
    <w:basedOn w:val="Normal"/>
    <w:next w:val="Normal"/>
    <w:link w:val="Ttulo4Car"/>
    <w:uiPriority w:val="9"/>
    <w:unhideWhenUsed/>
    <w:qFormat/>
    <w:rsid w:val="00963868"/>
    <w:pPr>
      <w:ind w:left="1416"/>
      <w:outlineLvl w:val="3"/>
    </w:pPr>
    <w:rPr>
      <w:u w:val="single"/>
      <w:lang w:val="es-CR" w:eastAsia="es-MX"/>
    </w:rPr>
  </w:style>
  <w:style w:type="paragraph" w:styleId="Ttulo5">
    <w:name w:val="heading 5"/>
    <w:basedOn w:val="Normal"/>
    <w:next w:val="Normal"/>
    <w:link w:val="Ttulo5Car"/>
    <w:uiPriority w:val="9"/>
    <w:unhideWhenUsed/>
    <w:qFormat/>
    <w:rsid w:val="00727039"/>
    <w:pPr>
      <w:keepNext/>
      <w:ind w:firstLine="708"/>
      <w:outlineLvl w:val="4"/>
    </w:pPr>
    <w:rPr>
      <w:b/>
      <w:lang w:val="es-CR"/>
    </w:rPr>
  </w:style>
  <w:style w:type="paragraph" w:styleId="Ttulo6">
    <w:name w:val="heading 6"/>
    <w:basedOn w:val="Normal"/>
    <w:next w:val="Normal"/>
    <w:link w:val="Ttulo6Car"/>
    <w:uiPriority w:val="9"/>
    <w:unhideWhenUsed/>
    <w:qFormat/>
    <w:rsid w:val="005C031B"/>
    <w:pPr>
      <w:keepNext/>
      <w:jc w:val="center"/>
      <w:outlineLvl w:val="5"/>
    </w:pPr>
    <w:rPr>
      <w:b/>
      <w:lang w:val="es-CR"/>
    </w:rPr>
  </w:style>
  <w:style w:type="paragraph" w:styleId="Ttulo7">
    <w:name w:val="heading 7"/>
    <w:basedOn w:val="Normal"/>
    <w:next w:val="Normal"/>
    <w:link w:val="Ttulo7Car"/>
    <w:uiPriority w:val="9"/>
    <w:unhideWhenUsed/>
    <w:qFormat/>
    <w:rsid w:val="007A5C07"/>
    <w:pPr>
      <w:keepNext/>
      <w:tabs>
        <w:tab w:val="left" w:pos="567"/>
      </w:tabs>
      <w:ind w:left="207"/>
      <w:outlineLvl w:val="6"/>
    </w:pPr>
    <w:rPr>
      <w:b/>
      <w:szCs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DC"/>
    <w:rPr>
      <w:rFonts w:ascii="Verdana" w:eastAsiaTheme="majorEastAsia" w:hAnsi="Verdana" w:cstheme="majorBidi"/>
      <w:b/>
      <w:bCs/>
      <w:caps/>
      <w:sz w:val="20"/>
      <w:szCs w:val="28"/>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de nota al pie,norma"/>
    <w:link w:val="FootnotesrefssChar1Char"/>
    <w:uiPriority w:val="99"/>
    <w:qFormat/>
    <w:rsid w:val="00735C38"/>
    <w:rPr>
      <w:rFonts w:ascii="Verdana" w:hAnsi="Verdana"/>
      <w:sz w:val="20"/>
      <w:szCs w:val="20"/>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D75BDC"/>
    <w:pPr>
      <w:tabs>
        <w:tab w:val="left" w:pos="567"/>
      </w:tabs>
      <w:spacing w:before="120" w:after="120"/>
    </w:pPr>
    <w:rPr>
      <w:sz w:val="16"/>
      <w:szCs w:val="20"/>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D75BDC"/>
    <w:rPr>
      <w:rFonts w:ascii="Verdana" w:eastAsia="Times New Roman" w:hAnsi="Verdana" w:cs="Times New Roman"/>
      <w:sz w:val="16"/>
      <w:szCs w:val="20"/>
      <w:lang w:val="es-ES_tradnl" w:eastAsia="es-ES"/>
    </w:rPr>
  </w:style>
  <w:style w:type="character" w:customStyle="1" w:styleId="Ttulo3Car">
    <w:name w:val="Título 3 Car"/>
    <w:link w:val="Ttulo3"/>
    <w:rsid w:val="00C76D5C"/>
    <w:rPr>
      <w:rFonts w:ascii="Verdana" w:eastAsia="Times New Roman" w:hAnsi="Verdana" w:cs="Times New Roman"/>
      <w:i/>
      <w:sz w:val="20"/>
      <w:szCs w:val="24"/>
      <w:lang w:val="es-CO"/>
    </w:rPr>
  </w:style>
  <w:style w:type="character" w:customStyle="1" w:styleId="Ttulo2Car">
    <w:name w:val="Título 2 Car"/>
    <w:link w:val="Ttulo2"/>
    <w:rsid w:val="00234F19"/>
    <w:rPr>
      <w:rFonts w:ascii="Verdana" w:eastAsia="Times New Roman" w:hAnsi="Verdana" w:cs="Times New Roman"/>
      <w:b/>
      <w:i/>
      <w:sz w:val="20"/>
      <w:szCs w:val="20"/>
    </w:rPr>
  </w:style>
  <w:style w:type="paragraph" w:customStyle="1" w:styleId="PrrafodeSentencia">
    <w:name w:val="*. Párrafo de Sentencia"/>
    <w:basedOn w:val="Normal"/>
    <w:next w:val="Normal"/>
    <w:link w:val="PrrafodeSentenciaChar"/>
    <w:qFormat/>
    <w:rsid w:val="00040D1E"/>
    <w:pPr>
      <w:numPr>
        <w:numId w:val="1"/>
      </w:numPr>
      <w:tabs>
        <w:tab w:val="left" w:pos="567"/>
      </w:tabs>
      <w:ind w:left="0" w:firstLine="0"/>
    </w:pPr>
    <w:rPr>
      <w:rFonts w:eastAsia="Batang" w:cstheme="minorBidi"/>
      <w:spacing w:val="-4"/>
      <w:szCs w:val="22"/>
      <w:lang w:val="es-CR" w:eastAsia="es-MX"/>
    </w:rPr>
  </w:style>
  <w:style w:type="character" w:customStyle="1" w:styleId="PrrafodeSentenciaChar">
    <w:name w:val="*. Párrafo de Sentencia Char"/>
    <w:link w:val="PrrafodeSentencia"/>
    <w:locked/>
    <w:rsid w:val="00040D1E"/>
    <w:rPr>
      <w:rFonts w:ascii="Verdana" w:eastAsia="Batang" w:hAnsi="Verdana"/>
      <w:spacing w:val="-4"/>
      <w:sz w:val="20"/>
      <w:lang w:eastAsia="es-MX"/>
    </w:rPr>
  </w:style>
  <w:style w:type="character" w:customStyle="1" w:styleId="Ttulo4Car">
    <w:name w:val="Título 4 Car"/>
    <w:basedOn w:val="Fuentedeprrafopredeter"/>
    <w:link w:val="Ttulo4"/>
    <w:uiPriority w:val="9"/>
    <w:rsid w:val="00963868"/>
    <w:rPr>
      <w:rFonts w:ascii="Verdana" w:eastAsia="MS Mincho" w:hAnsi="Verdana" w:cs="Times New Roman"/>
      <w:sz w:val="20"/>
      <w:szCs w:val="24"/>
      <w:u w:val="single"/>
      <w:lang w:eastAsia="es-MX"/>
    </w:rPr>
  </w:style>
  <w:style w:type="paragraph" w:styleId="Prrafodelista">
    <w:name w:val="List Paragraph"/>
    <w:aliases w:val="Párrafo de lista1,List Paragraph1,Colorful List - Accent 11,List Paragraph11,List Paragraph2,Lista vistosa - Énfasis 11,Subtle Emphasis1,Footnote1,Parrafos"/>
    <w:basedOn w:val="Normal"/>
    <w:link w:val="PrrafodelistaCar"/>
    <w:qFormat/>
    <w:rsid w:val="00727039"/>
    <w:pPr>
      <w:ind w:left="720"/>
      <w:contextualSpacing/>
    </w:pPr>
  </w:style>
  <w:style w:type="character" w:customStyle="1" w:styleId="Ttulo5Car">
    <w:name w:val="Título 5 Car"/>
    <w:basedOn w:val="Fuentedeprrafopredeter"/>
    <w:link w:val="Ttulo5"/>
    <w:uiPriority w:val="9"/>
    <w:rsid w:val="00727039"/>
    <w:rPr>
      <w:rFonts w:ascii="Verdana" w:eastAsia="MS Mincho" w:hAnsi="Verdana" w:cs="Times New Roman"/>
      <w:b/>
      <w:sz w:val="20"/>
      <w:szCs w:val="24"/>
    </w:rPr>
  </w:style>
  <w:style w:type="character" w:styleId="Refdecomentario">
    <w:name w:val="annotation reference"/>
    <w:basedOn w:val="Fuentedeprrafopredeter"/>
    <w:uiPriority w:val="99"/>
    <w:unhideWhenUsed/>
    <w:rsid w:val="00727039"/>
    <w:rPr>
      <w:sz w:val="16"/>
      <w:szCs w:val="16"/>
    </w:rPr>
  </w:style>
  <w:style w:type="paragraph" w:styleId="Textocomentario">
    <w:name w:val="annotation text"/>
    <w:basedOn w:val="Normal"/>
    <w:link w:val="TextocomentarioCar"/>
    <w:uiPriority w:val="99"/>
    <w:unhideWhenUsed/>
    <w:rsid w:val="00727039"/>
    <w:rPr>
      <w:szCs w:val="20"/>
    </w:rPr>
  </w:style>
  <w:style w:type="character" w:customStyle="1" w:styleId="TextocomentarioCar">
    <w:name w:val="Texto comentario Car"/>
    <w:basedOn w:val="Fuentedeprrafopredeter"/>
    <w:link w:val="Textocomentario"/>
    <w:uiPriority w:val="99"/>
    <w:rsid w:val="00727039"/>
    <w:rPr>
      <w:rFonts w:ascii="Verdana" w:eastAsia="MS Mincho" w:hAnsi="Verdana" w:cs="Times New Roman"/>
      <w:sz w:val="20"/>
      <w:szCs w:val="20"/>
      <w:lang w:val="en-US"/>
    </w:rPr>
  </w:style>
  <w:style w:type="paragraph" w:styleId="Asuntodelcomentario">
    <w:name w:val="annotation subject"/>
    <w:basedOn w:val="Textocomentario"/>
    <w:next w:val="Textocomentario"/>
    <w:link w:val="AsuntodelcomentarioCar"/>
    <w:uiPriority w:val="99"/>
    <w:unhideWhenUsed/>
    <w:rsid w:val="00727039"/>
    <w:rPr>
      <w:b/>
      <w:bCs/>
    </w:rPr>
  </w:style>
  <w:style w:type="character" w:customStyle="1" w:styleId="AsuntodelcomentarioCar">
    <w:name w:val="Asunto del comentario Car"/>
    <w:basedOn w:val="TextocomentarioCar"/>
    <w:link w:val="Asuntodelcomentario"/>
    <w:uiPriority w:val="99"/>
    <w:rsid w:val="00727039"/>
    <w:rPr>
      <w:rFonts w:ascii="Verdana" w:eastAsia="MS Mincho" w:hAnsi="Verdana" w:cs="Times New Roman"/>
      <w:b/>
      <w:bCs/>
      <w:sz w:val="20"/>
      <w:szCs w:val="20"/>
      <w:lang w:val="en-US"/>
    </w:rPr>
  </w:style>
  <w:style w:type="paragraph" w:styleId="Textodeglobo">
    <w:name w:val="Balloon Text"/>
    <w:basedOn w:val="Normal"/>
    <w:link w:val="TextodegloboCar"/>
    <w:uiPriority w:val="99"/>
    <w:semiHidden/>
    <w:unhideWhenUsed/>
    <w:rsid w:val="00727039"/>
    <w:rPr>
      <w:rFonts w:ascii="Tahoma" w:hAnsi="Tahoma" w:cs="Tahoma"/>
      <w:sz w:val="16"/>
      <w:szCs w:val="16"/>
    </w:rPr>
  </w:style>
  <w:style w:type="character" w:customStyle="1" w:styleId="TextodegloboCar">
    <w:name w:val="Texto de globo Car"/>
    <w:basedOn w:val="Fuentedeprrafopredeter"/>
    <w:link w:val="Textodeglobo"/>
    <w:uiPriority w:val="99"/>
    <w:semiHidden/>
    <w:rsid w:val="00727039"/>
    <w:rPr>
      <w:rFonts w:ascii="Tahoma" w:eastAsia="MS Mincho" w:hAnsi="Tahoma" w:cs="Tahoma"/>
      <w:sz w:val="16"/>
      <w:szCs w:val="16"/>
      <w:lang w:val="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735C38"/>
    <w:pPr>
      <w:spacing w:after="160" w:line="240" w:lineRule="exact"/>
    </w:pPr>
    <w:rPr>
      <w:rFonts w:eastAsiaTheme="minorHAnsi" w:cstheme="minorBidi"/>
      <w:szCs w:val="20"/>
      <w:vertAlign w:val="superscript"/>
      <w:lang w:val="es-CR"/>
    </w:rPr>
  </w:style>
  <w:style w:type="character" w:customStyle="1" w:styleId="PrrafodelistaCar">
    <w:name w:val="Párrafo de lista Car"/>
    <w:aliases w:val="Párrafo de lista1 Car,List Paragraph1 Car,Colorful List - Accent 11 Car,List Paragraph11 Car,List Paragraph2 Car,Lista vistosa - Énfasis 11 Car,Subtle Emphasis1 Car,Footnote1 Car,Parrafos Car"/>
    <w:link w:val="Prrafodelista"/>
    <w:locked/>
    <w:rsid w:val="00CE5F09"/>
    <w:rPr>
      <w:rFonts w:ascii="Verdana" w:eastAsia="MS Mincho" w:hAnsi="Verdana" w:cs="Times New Roman"/>
      <w:sz w:val="20"/>
      <w:szCs w:val="24"/>
      <w:lang w:val="en-US"/>
    </w:rPr>
  </w:style>
  <w:style w:type="paragraph" w:customStyle="1" w:styleId="Footnotes">
    <w:name w:val="**. Footnotes"/>
    <w:basedOn w:val="Textonotapie"/>
    <w:link w:val="FootnotesChar"/>
    <w:autoRedefine/>
    <w:qFormat/>
    <w:rsid w:val="00D43048"/>
    <w:pPr>
      <w:tabs>
        <w:tab w:val="clear" w:pos="567"/>
        <w:tab w:val="left" w:pos="426"/>
      </w:tabs>
    </w:pPr>
    <w:rPr>
      <w:rFonts w:cs="Palatino-Italic"/>
      <w:iCs/>
      <w:spacing w:val="-4"/>
      <w:szCs w:val="16"/>
      <w:lang w:val="es-ES" w:eastAsia="en-US" w:bidi="en-US"/>
    </w:rPr>
  </w:style>
  <w:style w:type="character" w:customStyle="1" w:styleId="FootnotesChar">
    <w:name w:val="**. Footnotes Char"/>
    <w:basedOn w:val="Fuentedeprrafopredeter"/>
    <w:link w:val="Footnotes"/>
    <w:rsid w:val="00D43048"/>
    <w:rPr>
      <w:rFonts w:ascii="Verdana" w:eastAsia="Times New Roman" w:hAnsi="Verdana" w:cs="Palatino-Italic"/>
      <w:iCs/>
      <w:spacing w:val="-4"/>
      <w:sz w:val="16"/>
      <w:szCs w:val="16"/>
      <w:lang w:val="es-ES" w:bidi="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qFormat/>
    <w:rsid w:val="001275B6"/>
    <w:rPr>
      <w:sz w:val="16"/>
      <w:szCs w:val="22"/>
      <w:vertAlign w:val="superscript"/>
      <w:lang w:val="es-CR"/>
    </w:rPr>
  </w:style>
  <w:style w:type="character" w:styleId="Textoennegrita">
    <w:name w:val="Strong"/>
    <w:aliases w:val="Heading 2.1"/>
    <w:basedOn w:val="Fuentedeprrafopredeter"/>
    <w:uiPriority w:val="22"/>
    <w:qFormat/>
    <w:rsid w:val="00ED0B94"/>
    <w:rPr>
      <w:b/>
      <w:bCs/>
    </w:rPr>
  </w:style>
  <w:style w:type="paragraph" w:styleId="Encabezado">
    <w:name w:val="header"/>
    <w:aliases w:val="encabezado"/>
    <w:basedOn w:val="Normal"/>
    <w:link w:val="EncabezadoCar"/>
    <w:uiPriority w:val="99"/>
    <w:rsid w:val="006657E5"/>
    <w:pPr>
      <w:tabs>
        <w:tab w:val="center" w:pos="4320"/>
        <w:tab w:val="right" w:pos="8640"/>
      </w:tabs>
    </w:pPr>
    <w:rPr>
      <w:rFonts w:ascii="Garamond" w:hAnsi="Garamond"/>
      <w:szCs w:val="20"/>
      <w:lang w:val="es-ES_tradnl"/>
    </w:rPr>
  </w:style>
  <w:style w:type="character" w:customStyle="1" w:styleId="EncabezadoCar">
    <w:name w:val="Encabezado Car"/>
    <w:aliases w:val="encabezado Car"/>
    <w:basedOn w:val="Fuentedeprrafopredeter"/>
    <w:link w:val="Encabezado"/>
    <w:uiPriority w:val="99"/>
    <w:rsid w:val="006657E5"/>
    <w:rPr>
      <w:rFonts w:ascii="Garamond" w:eastAsia="Times New Roman" w:hAnsi="Garamond" w:cs="Times New Roman"/>
      <w:sz w:val="20"/>
      <w:szCs w:val="20"/>
      <w:lang w:val="es-ES_tradnl"/>
    </w:rPr>
  </w:style>
  <w:style w:type="character" w:customStyle="1" w:styleId="Ttulo6Car">
    <w:name w:val="Título 6 Car"/>
    <w:basedOn w:val="Fuentedeprrafopredeter"/>
    <w:link w:val="Ttulo6"/>
    <w:uiPriority w:val="9"/>
    <w:rsid w:val="005C031B"/>
    <w:rPr>
      <w:rFonts w:ascii="Verdana" w:eastAsia="MS Mincho" w:hAnsi="Verdana" w:cs="Times New Roman"/>
      <w:b/>
      <w:sz w:val="20"/>
      <w:szCs w:val="24"/>
    </w:rPr>
  </w:style>
  <w:style w:type="paragraph" w:styleId="Piedepgina">
    <w:name w:val="footer"/>
    <w:basedOn w:val="Normal"/>
    <w:link w:val="PiedepginaCar"/>
    <w:uiPriority w:val="99"/>
    <w:unhideWhenUsed/>
    <w:rsid w:val="004E095B"/>
    <w:pPr>
      <w:tabs>
        <w:tab w:val="center" w:pos="4419"/>
        <w:tab w:val="right" w:pos="8838"/>
      </w:tabs>
    </w:pPr>
  </w:style>
  <w:style w:type="character" w:customStyle="1" w:styleId="PiedepginaCar">
    <w:name w:val="Pie de página Car"/>
    <w:basedOn w:val="Fuentedeprrafopredeter"/>
    <w:link w:val="Piedepgina"/>
    <w:uiPriority w:val="99"/>
    <w:rsid w:val="004E095B"/>
    <w:rPr>
      <w:rFonts w:ascii="Verdana" w:eastAsia="MS Mincho" w:hAnsi="Verdana" w:cs="Times New Roman"/>
      <w:sz w:val="20"/>
      <w:szCs w:val="24"/>
      <w:lang w:val="en-US"/>
    </w:rPr>
  </w:style>
  <w:style w:type="character" w:customStyle="1" w:styleId="ListParagraphChar1">
    <w:name w:val="List Paragraph Char1"/>
    <w:aliases w:val="Párrafo de lista1 Char1,List Paragraph1 Char1,Colorful List - Accent 11 Char1,List Paragraph11 Char1,List Paragraph2 Char1,Lista vistosa - Énfasis 11 Char1"/>
    <w:locked/>
    <w:rsid w:val="001B2C75"/>
    <w:rPr>
      <w:rFonts w:ascii="Cambria" w:eastAsia="Cambria" w:hAnsi="Cambria" w:cs="Cambria"/>
      <w:color w:val="000000"/>
      <w:u w:color="000000"/>
      <w:bdr w:val="nil"/>
    </w:rPr>
  </w:style>
  <w:style w:type="character" w:customStyle="1" w:styleId="Ttulo7Car">
    <w:name w:val="Título 7 Car"/>
    <w:basedOn w:val="Fuentedeprrafopredeter"/>
    <w:link w:val="Ttulo7"/>
    <w:uiPriority w:val="9"/>
    <w:rsid w:val="007A5C07"/>
    <w:rPr>
      <w:rFonts w:ascii="Verdana" w:eastAsia="MS Mincho" w:hAnsi="Verdana" w:cs="Times New Roman"/>
      <w:b/>
      <w:sz w:val="20"/>
      <w:szCs w:val="20"/>
    </w:rPr>
  </w:style>
  <w:style w:type="paragraph" w:styleId="Ttulo">
    <w:name w:val="Title"/>
    <w:basedOn w:val="Ttulo1"/>
    <w:next w:val="Normal"/>
    <w:link w:val="TtuloCar"/>
    <w:qFormat/>
    <w:rsid w:val="00D75BDC"/>
    <w:pPr>
      <w:keepNext w:val="0"/>
      <w:keepLines w:val="0"/>
      <w:tabs>
        <w:tab w:val="center" w:pos="4320"/>
        <w:tab w:val="right" w:pos="8640"/>
      </w:tabs>
      <w:spacing w:before="240"/>
    </w:pPr>
    <w:rPr>
      <w:rFonts w:eastAsia="Times New Roman" w:cs="Times New Roman"/>
      <w:bCs w:val="0"/>
      <w:caps w:val="0"/>
      <w:sz w:val="22"/>
      <w:szCs w:val="20"/>
      <w:lang w:val="es-CR" w:eastAsia="es-ES"/>
    </w:rPr>
  </w:style>
  <w:style w:type="character" w:customStyle="1" w:styleId="TtuloCar">
    <w:name w:val="Título Car"/>
    <w:basedOn w:val="Fuentedeprrafopredeter"/>
    <w:link w:val="Ttulo"/>
    <w:rsid w:val="00D75BDC"/>
    <w:rPr>
      <w:rFonts w:ascii="Verdana" w:eastAsia="Times New Roman" w:hAnsi="Verdana" w:cs="Times New Roman"/>
      <w:b/>
      <w:caps/>
      <w:szCs w:val="20"/>
      <w:lang w:eastAsia="es-ES"/>
    </w:rPr>
  </w:style>
  <w:style w:type="paragraph" w:customStyle="1" w:styleId="1">
    <w:name w:val="1"/>
    <w:basedOn w:val="Normal"/>
    <w:rsid w:val="00F454FD"/>
    <w:pPr>
      <w:spacing w:after="160" w:line="240" w:lineRule="exact"/>
    </w:pPr>
    <w:rPr>
      <w:sz w:val="16"/>
      <w:vertAlign w:val="superscript"/>
    </w:rPr>
  </w:style>
  <w:style w:type="paragraph" w:styleId="Textoindependiente">
    <w:name w:val="Body Text"/>
    <w:basedOn w:val="Normal"/>
    <w:link w:val="TextoindependienteCar"/>
    <w:uiPriority w:val="99"/>
    <w:unhideWhenUsed/>
    <w:rsid w:val="006C7403"/>
    <w:rPr>
      <w:color w:val="00B050"/>
      <w:szCs w:val="20"/>
      <w:lang w:val="es-CO"/>
    </w:rPr>
  </w:style>
  <w:style w:type="character" w:customStyle="1" w:styleId="TextoindependienteCar">
    <w:name w:val="Texto independiente Car"/>
    <w:basedOn w:val="Fuentedeprrafopredeter"/>
    <w:link w:val="Textoindependiente"/>
    <w:uiPriority w:val="99"/>
    <w:rsid w:val="006C7403"/>
    <w:rPr>
      <w:rFonts w:ascii="Verdana" w:eastAsia="MS Mincho" w:hAnsi="Verdana" w:cs="Times New Roman"/>
      <w:color w:val="00B050"/>
      <w:sz w:val="20"/>
      <w:szCs w:val="20"/>
      <w:lang w:val="es-CO"/>
    </w:rPr>
  </w:style>
  <w:style w:type="paragraph" w:styleId="NormalWeb">
    <w:name w:val="Normal (Web)"/>
    <w:basedOn w:val="Normal"/>
    <w:uiPriority w:val="99"/>
    <w:unhideWhenUsed/>
    <w:rsid w:val="00485013"/>
    <w:pPr>
      <w:spacing w:before="100" w:beforeAutospacing="1" w:after="100" w:afterAutospacing="1"/>
    </w:pPr>
    <w:rPr>
      <w:lang w:val="es-CR" w:eastAsia="es-CR"/>
    </w:rPr>
  </w:style>
  <w:style w:type="character" w:styleId="Nmerodelnea">
    <w:name w:val="line number"/>
    <w:basedOn w:val="Fuentedeprrafopredeter"/>
    <w:uiPriority w:val="99"/>
    <w:semiHidden/>
    <w:unhideWhenUsed/>
    <w:rsid w:val="007F2EEB"/>
  </w:style>
  <w:style w:type="character" w:styleId="Hipervnculo">
    <w:name w:val="Hyperlink"/>
    <w:basedOn w:val="Fuentedeprrafopredeter"/>
    <w:uiPriority w:val="99"/>
    <w:unhideWhenUsed/>
    <w:rsid w:val="00F5757E"/>
    <w:rPr>
      <w:color w:val="0000FF" w:themeColor="hyperlink"/>
      <w:u w:val="single"/>
    </w:rPr>
  </w:style>
  <w:style w:type="paragraph" w:customStyle="1" w:styleId="Textoindependiente1">
    <w:name w:val="Texto independiente1"/>
    <w:basedOn w:val="Normal"/>
    <w:rsid w:val="00F5757E"/>
    <w:pPr>
      <w:widowControl w:val="0"/>
    </w:pPr>
    <w:rPr>
      <w:rFonts w:ascii="New York" w:hAnsi="New York"/>
      <w:szCs w:val="20"/>
      <w:lang w:val="es-ES_tradnl"/>
    </w:rPr>
  </w:style>
  <w:style w:type="paragraph" w:styleId="Sinespaciado">
    <w:name w:val="No Spacing"/>
    <w:uiPriority w:val="1"/>
    <w:qFormat/>
    <w:rsid w:val="00F5757E"/>
    <w:pPr>
      <w:spacing w:after="0" w:line="240" w:lineRule="auto"/>
    </w:pPr>
    <w:rPr>
      <w:rFonts w:ascii="Times New Roman" w:eastAsia="Times New Roman" w:hAnsi="Times New Roman" w:cs="Times New Roman"/>
      <w:sz w:val="24"/>
      <w:szCs w:val="24"/>
      <w:lang w:val="es-MX"/>
    </w:rPr>
  </w:style>
  <w:style w:type="paragraph" w:customStyle="1" w:styleId="citaindirecta">
    <w:name w:val="cita indirecta"/>
    <w:basedOn w:val="Normal"/>
    <w:uiPriority w:val="99"/>
    <w:rsid w:val="00F5757E"/>
    <w:pPr>
      <w:ind w:left="708"/>
    </w:pPr>
    <w:rPr>
      <w:szCs w:val="20"/>
      <w:lang w:val="es-ES_tradnl" w:eastAsia="es-MX"/>
    </w:rPr>
  </w:style>
  <w:style w:type="paragraph" w:styleId="TtuloTDC">
    <w:name w:val="TOC Heading"/>
    <w:basedOn w:val="Ttulo1"/>
    <w:next w:val="Normal"/>
    <w:uiPriority w:val="39"/>
    <w:unhideWhenUsed/>
    <w:qFormat/>
    <w:rsid w:val="001F73BD"/>
    <w:pPr>
      <w:spacing w:before="480" w:line="276" w:lineRule="auto"/>
      <w:jc w:val="left"/>
      <w:outlineLvl w:val="9"/>
    </w:pPr>
    <w:rPr>
      <w:rFonts w:asciiTheme="majorHAnsi" w:hAnsiTheme="majorHAnsi"/>
      <w:color w:val="365F91" w:themeColor="accent1" w:themeShade="BF"/>
      <w:sz w:val="28"/>
      <w:lang w:eastAsia="ja-JP"/>
    </w:rPr>
  </w:style>
  <w:style w:type="paragraph" w:styleId="TDC2">
    <w:name w:val="toc 2"/>
    <w:basedOn w:val="Normal"/>
    <w:next w:val="Normal"/>
    <w:autoRedefine/>
    <w:uiPriority w:val="39"/>
    <w:unhideWhenUsed/>
    <w:qFormat/>
    <w:rsid w:val="009B10A4"/>
    <w:pPr>
      <w:tabs>
        <w:tab w:val="left" w:pos="284"/>
        <w:tab w:val="right" w:leader="dot" w:pos="9394"/>
      </w:tabs>
    </w:pPr>
    <w:rPr>
      <w:rFonts w:asciiTheme="minorHAnsi" w:hAnsiTheme="minorHAnsi"/>
      <w:i/>
      <w:iCs/>
      <w:szCs w:val="20"/>
    </w:rPr>
  </w:style>
  <w:style w:type="paragraph" w:styleId="TDC1">
    <w:name w:val="toc 1"/>
    <w:basedOn w:val="Normal"/>
    <w:next w:val="Normal"/>
    <w:autoRedefine/>
    <w:uiPriority w:val="39"/>
    <w:unhideWhenUsed/>
    <w:qFormat/>
    <w:rsid w:val="00697594"/>
    <w:pPr>
      <w:tabs>
        <w:tab w:val="left" w:pos="426"/>
        <w:tab w:val="right" w:leader="dot" w:pos="9394"/>
      </w:tabs>
      <w:jc w:val="center"/>
    </w:pPr>
    <w:rPr>
      <w:b/>
      <w:bCs/>
      <w:noProof/>
      <w:color w:val="000000" w:themeColor="text1"/>
      <w:szCs w:val="20"/>
    </w:rPr>
  </w:style>
  <w:style w:type="paragraph" w:styleId="TDC3">
    <w:name w:val="toc 3"/>
    <w:basedOn w:val="Normal"/>
    <w:next w:val="Normal"/>
    <w:autoRedefine/>
    <w:uiPriority w:val="39"/>
    <w:unhideWhenUsed/>
    <w:qFormat/>
    <w:rsid w:val="001F73BD"/>
    <w:pPr>
      <w:ind w:left="400"/>
    </w:pPr>
    <w:rPr>
      <w:rFonts w:asciiTheme="minorHAnsi" w:hAnsiTheme="minorHAnsi"/>
      <w:szCs w:val="20"/>
    </w:rPr>
  </w:style>
  <w:style w:type="paragraph" w:styleId="TDC4">
    <w:name w:val="toc 4"/>
    <w:basedOn w:val="Normal"/>
    <w:next w:val="Normal"/>
    <w:autoRedefine/>
    <w:uiPriority w:val="39"/>
    <w:unhideWhenUsed/>
    <w:rsid w:val="001F73BD"/>
    <w:pPr>
      <w:ind w:left="600"/>
    </w:pPr>
    <w:rPr>
      <w:rFonts w:asciiTheme="minorHAnsi" w:hAnsiTheme="minorHAnsi"/>
      <w:szCs w:val="20"/>
    </w:rPr>
  </w:style>
  <w:style w:type="paragraph" w:styleId="TDC5">
    <w:name w:val="toc 5"/>
    <w:basedOn w:val="Normal"/>
    <w:next w:val="Normal"/>
    <w:autoRedefine/>
    <w:uiPriority w:val="39"/>
    <w:unhideWhenUsed/>
    <w:rsid w:val="001F73BD"/>
    <w:pPr>
      <w:ind w:left="800"/>
    </w:pPr>
    <w:rPr>
      <w:rFonts w:asciiTheme="minorHAnsi" w:hAnsiTheme="minorHAnsi"/>
      <w:szCs w:val="20"/>
    </w:rPr>
  </w:style>
  <w:style w:type="paragraph" w:styleId="TDC6">
    <w:name w:val="toc 6"/>
    <w:basedOn w:val="Normal"/>
    <w:next w:val="Normal"/>
    <w:autoRedefine/>
    <w:uiPriority w:val="39"/>
    <w:unhideWhenUsed/>
    <w:rsid w:val="001F73BD"/>
    <w:pPr>
      <w:ind w:left="1000"/>
    </w:pPr>
    <w:rPr>
      <w:rFonts w:asciiTheme="minorHAnsi" w:hAnsiTheme="minorHAnsi"/>
      <w:szCs w:val="20"/>
    </w:rPr>
  </w:style>
  <w:style w:type="paragraph" w:styleId="TDC7">
    <w:name w:val="toc 7"/>
    <w:basedOn w:val="Normal"/>
    <w:next w:val="Normal"/>
    <w:autoRedefine/>
    <w:uiPriority w:val="39"/>
    <w:unhideWhenUsed/>
    <w:rsid w:val="001F73BD"/>
    <w:pPr>
      <w:ind w:left="1200"/>
    </w:pPr>
    <w:rPr>
      <w:rFonts w:asciiTheme="minorHAnsi" w:hAnsiTheme="minorHAnsi"/>
      <w:szCs w:val="20"/>
    </w:rPr>
  </w:style>
  <w:style w:type="paragraph" w:styleId="TDC8">
    <w:name w:val="toc 8"/>
    <w:basedOn w:val="Normal"/>
    <w:next w:val="Normal"/>
    <w:autoRedefine/>
    <w:uiPriority w:val="39"/>
    <w:unhideWhenUsed/>
    <w:rsid w:val="001F73BD"/>
    <w:pPr>
      <w:ind w:left="1400"/>
    </w:pPr>
    <w:rPr>
      <w:rFonts w:asciiTheme="minorHAnsi" w:hAnsiTheme="minorHAnsi"/>
      <w:szCs w:val="20"/>
    </w:rPr>
  </w:style>
  <w:style w:type="paragraph" w:styleId="TDC9">
    <w:name w:val="toc 9"/>
    <w:basedOn w:val="Normal"/>
    <w:next w:val="Normal"/>
    <w:autoRedefine/>
    <w:uiPriority w:val="39"/>
    <w:unhideWhenUsed/>
    <w:rsid w:val="001F73BD"/>
    <w:pPr>
      <w:ind w:left="1600"/>
    </w:pPr>
    <w:rPr>
      <w:rFonts w:asciiTheme="minorHAnsi" w:hAnsiTheme="minorHAnsi"/>
      <w:szCs w:val="20"/>
    </w:rPr>
  </w:style>
  <w:style w:type="character" w:styleId="Nmerodepgina">
    <w:name w:val="page number"/>
    <w:basedOn w:val="Fuentedeprrafopredeter"/>
    <w:uiPriority w:val="99"/>
    <w:semiHidden/>
    <w:unhideWhenUsed/>
    <w:rsid w:val="006A0E43"/>
  </w:style>
  <w:style w:type="character" w:customStyle="1" w:styleId="FootnoteAnchor">
    <w:name w:val="Footnote Anchor"/>
    <w:rsid w:val="00A80899"/>
    <w:rPr>
      <w:vertAlign w:val="superscript"/>
    </w:rPr>
  </w:style>
  <w:style w:type="paragraph" w:customStyle="1" w:styleId="Textonotapie1">
    <w:name w:val="Texto nota pie1"/>
    <w:basedOn w:val="Normal"/>
    <w:qFormat/>
    <w:rsid w:val="00A80899"/>
    <w:rPr>
      <w:szCs w:val="20"/>
      <w:lang w:eastAsia="es-ES"/>
    </w:rPr>
  </w:style>
  <w:style w:type="paragraph" w:customStyle="1" w:styleId="Normal1">
    <w:name w:val="Normal1"/>
    <w:rsid w:val="00E13765"/>
    <w:pPr>
      <w:widowControl w:val="0"/>
      <w:spacing w:after="0" w:line="240" w:lineRule="auto"/>
    </w:pPr>
    <w:rPr>
      <w:rFonts w:ascii="Times New Roman" w:eastAsia="Times New Roman" w:hAnsi="Times New Roman" w:cs="Times New Roman"/>
      <w:sz w:val="24"/>
      <w:szCs w:val="24"/>
    </w:rPr>
  </w:style>
  <w:style w:type="character" w:customStyle="1" w:styleId="Smbolodenotaalpie">
    <w:name w:val="Símbolo de nota al pie"/>
    <w:rsid w:val="00B33E44"/>
    <w:rPr>
      <w:rFonts w:cs="Times New Roman"/>
      <w:szCs w:val="20"/>
      <w:vertAlign w:val="superscript"/>
    </w:rPr>
  </w:style>
  <w:style w:type="paragraph" w:customStyle="1" w:styleId="Heading23">
    <w:name w:val="Heading 2.3"/>
    <w:basedOn w:val="Normal"/>
    <w:uiPriority w:val="99"/>
    <w:qFormat/>
    <w:rsid w:val="00E928CE"/>
    <w:rPr>
      <w:rFonts w:eastAsia="Calibri"/>
      <w:sz w:val="16"/>
      <w:szCs w:val="16"/>
      <w:vertAlign w:val="superscript"/>
      <w:lang w:val="x-none" w:eastAsia="x-none"/>
    </w:rPr>
  </w:style>
  <w:style w:type="character" w:styleId="nfasis">
    <w:name w:val="Emphasis"/>
    <w:basedOn w:val="Fuentedeprrafopredeter"/>
    <w:uiPriority w:val="20"/>
    <w:qFormat/>
    <w:rsid w:val="00757AF3"/>
    <w:rPr>
      <w:i/>
      <w:iCs/>
    </w:rPr>
  </w:style>
  <w:style w:type="character" w:customStyle="1" w:styleId="fontstyle01">
    <w:name w:val="fontstyle01"/>
    <w:basedOn w:val="Fuentedeprrafopredeter"/>
    <w:rsid w:val="00757AF3"/>
    <w:rPr>
      <w:rFonts w:ascii="Calibri-Bold" w:hAnsi="Calibri-Bold" w:hint="default"/>
      <w:b/>
      <w:bCs/>
      <w:i w:val="0"/>
      <w:iCs w:val="0"/>
      <w:color w:val="000000"/>
      <w:sz w:val="28"/>
      <w:szCs w:val="28"/>
    </w:rPr>
  </w:style>
  <w:style w:type="character" w:customStyle="1" w:styleId="fontstyle21">
    <w:name w:val="fontstyle21"/>
    <w:basedOn w:val="Fuentedeprrafopredeter"/>
    <w:rsid w:val="00757AF3"/>
    <w:rPr>
      <w:rFonts w:ascii="Calibri" w:hAnsi="Calibri" w:hint="default"/>
      <w:b w:val="0"/>
      <w:bCs w:val="0"/>
      <w:i w:val="0"/>
      <w:iCs w:val="0"/>
      <w:color w:val="000000"/>
      <w:sz w:val="20"/>
      <w:szCs w:val="20"/>
    </w:rPr>
  </w:style>
  <w:style w:type="character" w:customStyle="1" w:styleId="s7d2086b4">
    <w:name w:val="s7d2086b4"/>
    <w:basedOn w:val="Fuentedeprrafopredeter"/>
    <w:rsid w:val="00757AF3"/>
  </w:style>
  <w:style w:type="character" w:styleId="nfasissutil">
    <w:name w:val="Subtle Emphasis"/>
    <w:basedOn w:val="Fuentedeprrafopredeter"/>
    <w:uiPriority w:val="19"/>
    <w:qFormat/>
    <w:rsid w:val="00330468"/>
    <w:rPr>
      <w:i/>
      <w:iCs/>
      <w:color w:val="404040" w:themeColor="text1" w:themeTint="BF"/>
    </w:rPr>
  </w:style>
  <w:style w:type="character" w:customStyle="1" w:styleId="normal--char">
    <w:name w:val="normal--char"/>
    <w:basedOn w:val="Fuentedeprrafopredeter"/>
    <w:rsid w:val="001B1F36"/>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uiPriority w:val="99"/>
    <w:qFormat/>
    <w:rsid w:val="00843B99"/>
    <w:rPr>
      <w:rFonts w:ascii="Verdana" w:eastAsia="Batang" w:hAnsi="Verdana" w:cs="Times"/>
      <w:noProof/>
      <w:sz w:val="16"/>
      <w:szCs w:val="20"/>
      <w:lang w:val="es-ES_tradnl"/>
    </w:rPr>
  </w:style>
  <w:style w:type="character" w:customStyle="1" w:styleId="Refdenotaalpie1">
    <w:name w:val="Ref. de nota al pie1"/>
    <w:rsid w:val="00616B16"/>
    <w:rPr>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8924">
      <w:bodyDiv w:val="1"/>
      <w:marLeft w:val="0"/>
      <w:marRight w:val="0"/>
      <w:marTop w:val="0"/>
      <w:marBottom w:val="0"/>
      <w:divBdr>
        <w:top w:val="none" w:sz="0" w:space="0" w:color="auto"/>
        <w:left w:val="none" w:sz="0" w:space="0" w:color="auto"/>
        <w:bottom w:val="none" w:sz="0" w:space="0" w:color="auto"/>
        <w:right w:val="none" w:sz="0" w:space="0" w:color="auto"/>
      </w:divBdr>
    </w:div>
    <w:div w:id="459493268">
      <w:bodyDiv w:val="1"/>
      <w:marLeft w:val="0"/>
      <w:marRight w:val="0"/>
      <w:marTop w:val="0"/>
      <w:marBottom w:val="0"/>
      <w:divBdr>
        <w:top w:val="none" w:sz="0" w:space="0" w:color="auto"/>
        <w:left w:val="none" w:sz="0" w:space="0" w:color="auto"/>
        <w:bottom w:val="none" w:sz="0" w:space="0" w:color="auto"/>
        <w:right w:val="none" w:sz="0" w:space="0" w:color="auto"/>
      </w:divBdr>
      <w:divsChild>
        <w:div w:id="347491264">
          <w:marLeft w:val="0"/>
          <w:marRight w:val="0"/>
          <w:marTop w:val="0"/>
          <w:marBottom w:val="0"/>
          <w:divBdr>
            <w:top w:val="none" w:sz="0" w:space="0" w:color="auto"/>
            <w:left w:val="none" w:sz="0" w:space="0" w:color="auto"/>
            <w:bottom w:val="none" w:sz="0" w:space="0" w:color="auto"/>
            <w:right w:val="none" w:sz="0" w:space="0" w:color="auto"/>
          </w:divBdr>
          <w:divsChild>
            <w:div w:id="833644485">
              <w:marLeft w:val="0"/>
              <w:marRight w:val="0"/>
              <w:marTop w:val="0"/>
              <w:marBottom w:val="0"/>
              <w:divBdr>
                <w:top w:val="none" w:sz="0" w:space="0" w:color="auto"/>
                <w:left w:val="none" w:sz="0" w:space="0" w:color="auto"/>
                <w:bottom w:val="none" w:sz="0" w:space="0" w:color="auto"/>
                <w:right w:val="none" w:sz="0" w:space="0" w:color="auto"/>
              </w:divBdr>
              <w:divsChild>
                <w:div w:id="334461371">
                  <w:marLeft w:val="0"/>
                  <w:marRight w:val="0"/>
                  <w:marTop w:val="0"/>
                  <w:marBottom w:val="0"/>
                  <w:divBdr>
                    <w:top w:val="none" w:sz="0" w:space="0" w:color="auto"/>
                    <w:left w:val="none" w:sz="0" w:space="0" w:color="auto"/>
                    <w:bottom w:val="none" w:sz="0" w:space="0" w:color="auto"/>
                    <w:right w:val="none" w:sz="0" w:space="0" w:color="auto"/>
                  </w:divBdr>
                  <w:divsChild>
                    <w:div w:id="1665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33817">
      <w:bodyDiv w:val="1"/>
      <w:marLeft w:val="0"/>
      <w:marRight w:val="0"/>
      <w:marTop w:val="0"/>
      <w:marBottom w:val="0"/>
      <w:divBdr>
        <w:top w:val="none" w:sz="0" w:space="0" w:color="auto"/>
        <w:left w:val="none" w:sz="0" w:space="0" w:color="auto"/>
        <w:bottom w:val="none" w:sz="0" w:space="0" w:color="auto"/>
        <w:right w:val="none" w:sz="0" w:space="0" w:color="auto"/>
      </w:divBdr>
    </w:div>
    <w:div w:id="640841270">
      <w:bodyDiv w:val="1"/>
      <w:marLeft w:val="0"/>
      <w:marRight w:val="0"/>
      <w:marTop w:val="0"/>
      <w:marBottom w:val="0"/>
      <w:divBdr>
        <w:top w:val="none" w:sz="0" w:space="0" w:color="auto"/>
        <w:left w:val="none" w:sz="0" w:space="0" w:color="auto"/>
        <w:bottom w:val="none" w:sz="0" w:space="0" w:color="auto"/>
        <w:right w:val="none" w:sz="0" w:space="0" w:color="auto"/>
      </w:divBdr>
    </w:div>
    <w:div w:id="665207570">
      <w:bodyDiv w:val="1"/>
      <w:marLeft w:val="0"/>
      <w:marRight w:val="0"/>
      <w:marTop w:val="0"/>
      <w:marBottom w:val="0"/>
      <w:divBdr>
        <w:top w:val="none" w:sz="0" w:space="0" w:color="auto"/>
        <w:left w:val="none" w:sz="0" w:space="0" w:color="auto"/>
        <w:bottom w:val="none" w:sz="0" w:space="0" w:color="auto"/>
        <w:right w:val="none" w:sz="0" w:space="0" w:color="auto"/>
      </w:divBdr>
      <w:divsChild>
        <w:div w:id="1048914074">
          <w:marLeft w:val="0"/>
          <w:marRight w:val="0"/>
          <w:marTop w:val="0"/>
          <w:marBottom w:val="0"/>
          <w:divBdr>
            <w:top w:val="none" w:sz="0" w:space="0" w:color="auto"/>
            <w:left w:val="none" w:sz="0" w:space="0" w:color="auto"/>
            <w:bottom w:val="none" w:sz="0" w:space="0" w:color="auto"/>
            <w:right w:val="none" w:sz="0" w:space="0" w:color="auto"/>
          </w:divBdr>
          <w:divsChild>
            <w:div w:id="1089423310">
              <w:marLeft w:val="0"/>
              <w:marRight w:val="0"/>
              <w:marTop w:val="0"/>
              <w:marBottom w:val="0"/>
              <w:divBdr>
                <w:top w:val="none" w:sz="0" w:space="0" w:color="auto"/>
                <w:left w:val="none" w:sz="0" w:space="0" w:color="auto"/>
                <w:bottom w:val="none" w:sz="0" w:space="0" w:color="auto"/>
                <w:right w:val="none" w:sz="0" w:space="0" w:color="auto"/>
              </w:divBdr>
              <w:divsChild>
                <w:div w:id="19817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247531">
      <w:bodyDiv w:val="1"/>
      <w:marLeft w:val="0"/>
      <w:marRight w:val="0"/>
      <w:marTop w:val="0"/>
      <w:marBottom w:val="0"/>
      <w:divBdr>
        <w:top w:val="none" w:sz="0" w:space="0" w:color="auto"/>
        <w:left w:val="none" w:sz="0" w:space="0" w:color="auto"/>
        <w:bottom w:val="none" w:sz="0" w:space="0" w:color="auto"/>
        <w:right w:val="none" w:sz="0" w:space="0" w:color="auto"/>
      </w:divBdr>
    </w:div>
    <w:div w:id="822311571">
      <w:bodyDiv w:val="1"/>
      <w:marLeft w:val="0"/>
      <w:marRight w:val="0"/>
      <w:marTop w:val="0"/>
      <w:marBottom w:val="0"/>
      <w:divBdr>
        <w:top w:val="none" w:sz="0" w:space="0" w:color="auto"/>
        <w:left w:val="none" w:sz="0" w:space="0" w:color="auto"/>
        <w:bottom w:val="none" w:sz="0" w:space="0" w:color="auto"/>
        <w:right w:val="none" w:sz="0" w:space="0" w:color="auto"/>
      </w:divBdr>
    </w:div>
    <w:div w:id="868757141">
      <w:bodyDiv w:val="1"/>
      <w:marLeft w:val="0"/>
      <w:marRight w:val="0"/>
      <w:marTop w:val="0"/>
      <w:marBottom w:val="0"/>
      <w:divBdr>
        <w:top w:val="none" w:sz="0" w:space="0" w:color="auto"/>
        <w:left w:val="none" w:sz="0" w:space="0" w:color="auto"/>
        <w:bottom w:val="none" w:sz="0" w:space="0" w:color="auto"/>
        <w:right w:val="none" w:sz="0" w:space="0" w:color="auto"/>
      </w:divBdr>
    </w:div>
    <w:div w:id="890850431">
      <w:bodyDiv w:val="1"/>
      <w:marLeft w:val="0"/>
      <w:marRight w:val="0"/>
      <w:marTop w:val="0"/>
      <w:marBottom w:val="0"/>
      <w:divBdr>
        <w:top w:val="none" w:sz="0" w:space="0" w:color="auto"/>
        <w:left w:val="none" w:sz="0" w:space="0" w:color="auto"/>
        <w:bottom w:val="none" w:sz="0" w:space="0" w:color="auto"/>
        <w:right w:val="none" w:sz="0" w:space="0" w:color="auto"/>
      </w:divBdr>
    </w:div>
    <w:div w:id="1043023861">
      <w:bodyDiv w:val="1"/>
      <w:marLeft w:val="0"/>
      <w:marRight w:val="0"/>
      <w:marTop w:val="0"/>
      <w:marBottom w:val="0"/>
      <w:divBdr>
        <w:top w:val="none" w:sz="0" w:space="0" w:color="auto"/>
        <w:left w:val="none" w:sz="0" w:space="0" w:color="auto"/>
        <w:bottom w:val="none" w:sz="0" w:space="0" w:color="auto"/>
        <w:right w:val="none" w:sz="0" w:space="0" w:color="auto"/>
      </w:divBdr>
    </w:div>
    <w:div w:id="1045838870">
      <w:bodyDiv w:val="1"/>
      <w:marLeft w:val="0"/>
      <w:marRight w:val="0"/>
      <w:marTop w:val="0"/>
      <w:marBottom w:val="0"/>
      <w:divBdr>
        <w:top w:val="none" w:sz="0" w:space="0" w:color="auto"/>
        <w:left w:val="none" w:sz="0" w:space="0" w:color="auto"/>
        <w:bottom w:val="none" w:sz="0" w:space="0" w:color="auto"/>
        <w:right w:val="none" w:sz="0" w:space="0" w:color="auto"/>
      </w:divBdr>
    </w:div>
    <w:div w:id="1085417317">
      <w:bodyDiv w:val="1"/>
      <w:marLeft w:val="0"/>
      <w:marRight w:val="0"/>
      <w:marTop w:val="0"/>
      <w:marBottom w:val="0"/>
      <w:divBdr>
        <w:top w:val="none" w:sz="0" w:space="0" w:color="auto"/>
        <w:left w:val="none" w:sz="0" w:space="0" w:color="auto"/>
        <w:bottom w:val="none" w:sz="0" w:space="0" w:color="auto"/>
        <w:right w:val="none" w:sz="0" w:space="0" w:color="auto"/>
      </w:divBdr>
    </w:div>
    <w:div w:id="1183320539">
      <w:bodyDiv w:val="1"/>
      <w:marLeft w:val="0"/>
      <w:marRight w:val="0"/>
      <w:marTop w:val="0"/>
      <w:marBottom w:val="0"/>
      <w:divBdr>
        <w:top w:val="none" w:sz="0" w:space="0" w:color="auto"/>
        <w:left w:val="none" w:sz="0" w:space="0" w:color="auto"/>
        <w:bottom w:val="none" w:sz="0" w:space="0" w:color="auto"/>
        <w:right w:val="none" w:sz="0" w:space="0" w:color="auto"/>
      </w:divBdr>
    </w:div>
    <w:div w:id="1211040322">
      <w:bodyDiv w:val="1"/>
      <w:marLeft w:val="0"/>
      <w:marRight w:val="0"/>
      <w:marTop w:val="0"/>
      <w:marBottom w:val="0"/>
      <w:divBdr>
        <w:top w:val="none" w:sz="0" w:space="0" w:color="auto"/>
        <w:left w:val="none" w:sz="0" w:space="0" w:color="auto"/>
        <w:bottom w:val="none" w:sz="0" w:space="0" w:color="auto"/>
        <w:right w:val="none" w:sz="0" w:space="0" w:color="auto"/>
      </w:divBdr>
    </w:div>
    <w:div w:id="1424184814">
      <w:bodyDiv w:val="1"/>
      <w:marLeft w:val="0"/>
      <w:marRight w:val="0"/>
      <w:marTop w:val="0"/>
      <w:marBottom w:val="0"/>
      <w:divBdr>
        <w:top w:val="none" w:sz="0" w:space="0" w:color="auto"/>
        <w:left w:val="none" w:sz="0" w:space="0" w:color="auto"/>
        <w:bottom w:val="none" w:sz="0" w:space="0" w:color="auto"/>
        <w:right w:val="none" w:sz="0" w:space="0" w:color="auto"/>
      </w:divBdr>
    </w:div>
    <w:div w:id="1503619526">
      <w:bodyDiv w:val="1"/>
      <w:marLeft w:val="0"/>
      <w:marRight w:val="0"/>
      <w:marTop w:val="0"/>
      <w:marBottom w:val="0"/>
      <w:divBdr>
        <w:top w:val="none" w:sz="0" w:space="0" w:color="auto"/>
        <w:left w:val="none" w:sz="0" w:space="0" w:color="auto"/>
        <w:bottom w:val="none" w:sz="0" w:space="0" w:color="auto"/>
        <w:right w:val="none" w:sz="0" w:space="0" w:color="auto"/>
      </w:divBdr>
    </w:div>
    <w:div w:id="1762949361">
      <w:bodyDiv w:val="1"/>
      <w:marLeft w:val="0"/>
      <w:marRight w:val="0"/>
      <w:marTop w:val="0"/>
      <w:marBottom w:val="0"/>
      <w:divBdr>
        <w:top w:val="none" w:sz="0" w:space="0" w:color="auto"/>
        <w:left w:val="none" w:sz="0" w:space="0" w:color="auto"/>
        <w:bottom w:val="none" w:sz="0" w:space="0" w:color="auto"/>
        <w:right w:val="none" w:sz="0" w:space="0" w:color="auto"/>
      </w:divBdr>
    </w:div>
    <w:div w:id="1845590127">
      <w:bodyDiv w:val="1"/>
      <w:marLeft w:val="0"/>
      <w:marRight w:val="0"/>
      <w:marTop w:val="0"/>
      <w:marBottom w:val="0"/>
      <w:divBdr>
        <w:top w:val="none" w:sz="0" w:space="0" w:color="auto"/>
        <w:left w:val="none" w:sz="0" w:space="0" w:color="auto"/>
        <w:bottom w:val="none" w:sz="0" w:space="0" w:color="auto"/>
        <w:right w:val="none" w:sz="0" w:space="0" w:color="auto"/>
      </w:divBdr>
    </w:div>
    <w:div w:id="1940405794">
      <w:bodyDiv w:val="1"/>
      <w:marLeft w:val="0"/>
      <w:marRight w:val="0"/>
      <w:marTop w:val="0"/>
      <w:marBottom w:val="0"/>
      <w:divBdr>
        <w:top w:val="none" w:sz="0" w:space="0" w:color="auto"/>
        <w:left w:val="none" w:sz="0" w:space="0" w:color="auto"/>
        <w:bottom w:val="none" w:sz="0" w:space="0" w:color="auto"/>
        <w:right w:val="none" w:sz="0" w:space="0" w:color="auto"/>
      </w:divBdr>
    </w:div>
    <w:div w:id="204833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C8CBE-1BD3-44AE-BC39-C60B781A3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3598</Words>
  <Characters>19795</Characters>
  <Application>Microsoft Office Word</Application>
  <DocSecurity>0</DocSecurity>
  <Lines>164</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2021-07-09T17:20:00Z</cp:lastPrinted>
  <dcterms:created xsi:type="dcterms:W3CDTF">2021-07-23T15:32:00Z</dcterms:created>
  <dcterms:modified xsi:type="dcterms:W3CDTF">2021-07-23T15:32:00Z</dcterms:modified>
</cp:coreProperties>
</file>