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19D0D" w14:textId="77777777" w:rsidR="00EC5530" w:rsidRPr="00977573" w:rsidRDefault="00EC5530" w:rsidP="000F3BE2">
      <w:pPr>
        <w:ind w:left="708" w:hanging="708"/>
        <w:rPr>
          <w:rFonts w:ascii="Verdana" w:hAnsi="Verdana"/>
          <w:b/>
          <w:sz w:val="20"/>
          <w:szCs w:val="20"/>
          <w:lang w:val="es-CO"/>
        </w:rPr>
      </w:pPr>
    </w:p>
    <w:p w14:paraId="2072F974" w14:textId="77777777" w:rsidR="00EC5530" w:rsidRPr="00977573" w:rsidRDefault="00EC5530" w:rsidP="000F3BE2">
      <w:pPr>
        <w:jc w:val="center"/>
        <w:rPr>
          <w:rFonts w:ascii="Verdana" w:hAnsi="Verdana"/>
          <w:b/>
          <w:sz w:val="20"/>
          <w:szCs w:val="20"/>
          <w:lang w:val="es-CO"/>
        </w:rPr>
      </w:pPr>
    </w:p>
    <w:p w14:paraId="75D8A92F" w14:textId="77777777" w:rsidR="00EC5530" w:rsidRPr="00977573" w:rsidRDefault="00EC5530" w:rsidP="000F3BE2">
      <w:pPr>
        <w:jc w:val="center"/>
        <w:rPr>
          <w:rFonts w:ascii="Verdana" w:hAnsi="Verdana"/>
          <w:b/>
          <w:sz w:val="20"/>
          <w:szCs w:val="20"/>
          <w:lang w:val="es-CO"/>
        </w:rPr>
      </w:pPr>
    </w:p>
    <w:p w14:paraId="13DF6C4F" w14:textId="77777777" w:rsidR="00EC5530" w:rsidRPr="00977573" w:rsidRDefault="00EC5530" w:rsidP="000F3BE2">
      <w:pPr>
        <w:jc w:val="center"/>
        <w:rPr>
          <w:rFonts w:ascii="Verdana" w:hAnsi="Verdana"/>
          <w:b/>
          <w:sz w:val="20"/>
          <w:szCs w:val="20"/>
          <w:lang w:val="es-CO"/>
        </w:rPr>
      </w:pPr>
      <w:r w:rsidRPr="00977573">
        <w:rPr>
          <w:rFonts w:ascii="Verdana" w:hAnsi="Verdana"/>
          <w:b/>
          <w:sz w:val="20"/>
          <w:szCs w:val="20"/>
          <w:lang w:val="es-CO"/>
        </w:rPr>
        <w:t>CORTE INTERAMERICANA DE DERECHOS HUMANOS</w:t>
      </w:r>
    </w:p>
    <w:p w14:paraId="7D4ACC77" w14:textId="77777777" w:rsidR="00EC5530" w:rsidRPr="00977573" w:rsidRDefault="00EC5530" w:rsidP="000F3BE2">
      <w:pPr>
        <w:jc w:val="center"/>
        <w:rPr>
          <w:rFonts w:ascii="Verdana" w:hAnsi="Verdana"/>
          <w:b/>
          <w:sz w:val="20"/>
          <w:szCs w:val="20"/>
          <w:lang w:val="es-CO"/>
        </w:rPr>
      </w:pPr>
    </w:p>
    <w:p w14:paraId="3992F328" w14:textId="77777777" w:rsidR="00EC5530" w:rsidRPr="00977573" w:rsidRDefault="00EC5530" w:rsidP="000F3BE2">
      <w:pPr>
        <w:jc w:val="center"/>
        <w:rPr>
          <w:rFonts w:ascii="Verdana" w:hAnsi="Verdana"/>
          <w:b/>
          <w:sz w:val="20"/>
          <w:szCs w:val="20"/>
          <w:lang w:val="es-CO"/>
        </w:rPr>
      </w:pPr>
    </w:p>
    <w:p w14:paraId="55871E2C" w14:textId="77777777" w:rsidR="00EC5530" w:rsidRPr="00977573" w:rsidRDefault="00EC5530" w:rsidP="000F3BE2">
      <w:pPr>
        <w:jc w:val="center"/>
        <w:rPr>
          <w:rFonts w:ascii="Verdana" w:hAnsi="Verdana"/>
          <w:b/>
          <w:sz w:val="20"/>
          <w:szCs w:val="20"/>
          <w:lang w:val="es-CO"/>
        </w:rPr>
      </w:pPr>
    </w:p>
    <w:p w14:paraId="3B9D5341" w14:textId="77777777" w:rsidR="00EC5530" w:rsidRPr="00977573" w:rsidRDefault="00EC5530" w:rsidP="000F3BE2">
      <w:pPr>
        <w:jc w:val="center"/>
        <w:rPr>
          <w:rFonts w:ascii="Verdana" w:hAnsi="Verdana"/>
          <w:b/>
          <w:sz w:val="20"/>
          <w:szCs w:val="20"/>
          <w:lang w:val="es-CO"/>
        </w:rPr>
      </w:pPr>
      <w:r w:rsidRPr="00977573">
        <w:rPr>
          <w:rFonts w:ascii="Verdana" w:hAnsi="Verdana"/>
          <w:b/>
          <w:sz w:val="20"/>
          <w:szCs w:val="20"/>
          <w:lang w:val="es-CO"/>
        </w:rPr>
        <w:t>CASO MOYA SOLÍS VS. PERÚ</w:t>
      </w:r>
    </w:p>
    <w:p w14:paraId="1D8FB337" w14:textId="77777777" w:rsidR="00EC5530" w:rsidRPr="00977573" w:rsidRDefault="00EC5530" w:rsidP="000F3BE2">
      <w:pPr>
        <w:jc w:val="center"/>
        <w:rPr>
          <w:rFonts w:ascii="Verdana" w:hAnsi="Verdana"/>
          <w:b/>
          <w:sz w:val="20"/>
          <w:szCs w:val="20"/>
          <w:lang w:val="es-CO"/>
        </w:rPr>
      </w:pPr>
    </w:p>
    <w:p w14:paraId="2CDB0D36" w14:textId="77777777" w:rsidR="00EC5530" w:rsidRPr="00977573" w:rsidRDefault="00EC5530" w:rsidP="000F3BE2">
      <w:pPr>
        <w:jc w:val="center"/>
        <w:rPr>
          <w:rFonts w:ascii="Verdana" w:hAnsi="Verdana"/>
          <w:b/>
          <w:sz w:val="20"/>
          <w:szCs w:val="20"/>
          <w:lang w:val="es-CO"/>
        </w:rPr>
      </w:pPr>
    </w:p>
    <w:p w14:paraId="6A96AE5A" w14:textId="77777777" w:rsidR="00EC5530" w:rsidRPr="00977573" w:rsidRDefault="00EC5530" w:rsidP="000F3BE2">
      <w:pPr>
        <w:jc w:val="center"/>
        <w:rPr>
          <w:rFonts w:ascii="Verdana" w:hAnsi="Verdana"/>
          <w:b/>
          <w:sz w:val="20"/>
          <w:szCs w:val="20"/>
          <w:lang w:val="es-CO"/>
        </w:rPr>
      </w:pPr>
    </w:p>
    <w:p w14:paraId="31AB9574" w14:textId="77777777" w:rsidR="00EC5530" w:rsidRPr="00977573" w:rsidRDefault="00EC5530" w:rsidP="000F3BE2">
      <w:pPr>
        <w:jc w:val="center"/>
        <w:rPr>
          <w:rFonts w:ascii="Verdana" w:hAnsi="Verdana"/>
          <w:b/>
          <w:sz w:val="20"/>
          <w:szCs w:val="20"/>
          <w:lang w:val="es-CO"/>
        </w:rPr>
      </w:pPr>
      <w:r w:rsidRPr="00977573">
        <w:rPr>
          <w:rFonts w:ascii="Verdana" w:hAnsi="Verdana"/>
          <w:b/>
          <w:sz w:val="20"/>
          <w:szCs w:val="20"/>
          <w:lang w:val="es-CO"/>
        </w:rPr>
        <w:t xml:space="preserve">SENTENCIA DE </w:t>
      </w:r>
      <w:r w:rsidR="00AC03FC">
        <w:rPr>
          <w:rFonts w:ascii="Verdana" w:hAnsi="Verdana"/>
          <w:b/>
          <w:sz w:val="20"/>
          <w:szCs w:val="20"/>
          <w:lang w:val="es-CO"/>
        </w:rPr>
        <w:t>3</w:t>
      </w:r>
      <w:r w:rsidRPr="00977573">
        <w:rPr>
          <w:rFonts w:ascii="Verdana" w:hAnsi="Verdana"/>
          <w:b/>
          <w:sz w:val="20"/>
          <w:szCs w:val="20"/>
          <w:lang w:val="es-CO"/>
        </w:rPr>
        <w:t xml:space="preserve"> DE </w:t>
      </w:r>
      <w:r w:rsidR="00AC03FC">
        <w:rPr>
          <w:rFonts w:ascii="Verdana" w:hAnsi="Verdana"/>
          <w:b/>
          <w:sz w:val="20"/>
          <w:szCs w:val="20"/>
          <w:lang w:val="es-CO"/>
        </w:rPr>
        <w:t>JUNIO</w:t>
      </w:r>
      <w:r w:rsidRPr="00977573">
        <w:rPr>
          <w:rFonts w:ascii="Verdana" w:hAnsi="Verdana"/>
          <w:b/>
          <w:sz w:val="20"/>
          <w:szCs w:val="20"/>
          <w:lang w:val="es-CO"/>
        </w:rPr>
        <w:t xml:space="preserve"> DE 2021</w:t>
      </w:r>
    </w:p>
    <w:p w14:paraId="1E91460E" w14:textId="77777777" w:rsidR="00EC5530" w:rsidRPr="00977573" w:rsidRDefault="00EC5530" w:rsidP="000F3BE2">
      <w:pPr>
        <w:jc w:val="center"/>
        <w:rPr>
          <w:rFonts w:ascii="Verdana" w:hAnsi="Verdana"/>
          <w:b/>
          <w:sz w:val="20"/>
          <w:szCs w:val="20"/>
          <w:lang w:val="es-CO"/>
        </w:rPr>
      </w:pPr>
    </w:p>
    <w:p w14:paraId="4639426E" w14:textId="77777777" w:rsidR="00EC5530" w:rsidRPr="00977573" w:rsidRDefault="00EC5530" w:rsidP="000F3BE2">
      <w:pPr>
        <w:jc w:val="center"/>
        <w:rPr>
          <w:rFonts w:ascii="Verdana" w:hAnsi="Verdana"/>
          <w:b/>
          <w:sz w:val="20"/>
          <w:szCs w:val="20"/>
          <w:lang w:val="es-CO"/>
        </w:rPr>
      </w:pPr>
      <w:r w:rsidRPr="00977573">
        <w:rPr>
          <w:rFonts w:ascii="Verdana" w:hAnsi="Verdana"/>
          <w:b/>
          <w:sz w:val="20"/>
          <w:szCs w:val="20"/>
          <w:lang w:val="es-CO"/>
        </w:rPr>
        <w:t>(Excepci</w:t>
      </w:r>
      <w:r w:rsidR="000636E8" w:rsidRPr="00977573">
        <w:rPr>
          <w:rFonts w:ascii="Verdana" w:hAnsi="Verdana"/>
          <w:b/>
          <w:sz w:val="20"/>
          <w:szCs w:val="20"/>
          <w:lang w:val="es-CO"/>
        </w:rPr>
        <w:t>ones</w:t>
      </w:r>
      <w:r w:rsidRPr="00977573">
        <w:rPr>
          <w:rFonts w:ascii="Verdana" w:hAnsi="Verdana"/>
          <w:b/>
          <w:sz w:val="20"/>
          <w:szCs w:val="20"/>
          <w:lang w:val="es-CO"/>
        </w:rPr>
        <w:t xml:space="preserve"> Preliminar</w:t>
      </w:r>
      <w:r w:rsidR="000636E8" w:rsidRPr="00977573">
        <w:rPr>
          <w:rFonts w:ascii="Verdana" w:hAnsi="Verdana"/>
          <w:b/>
          <w:sz w:val="20"/>
          <w:szCs w:val="20"/>
          <w:lang w:val="es-CO"/>
        </w:rPr>
        <w:t>es,</w:t>
      </w:r>
      <w:r w:rsidRPr="00977573">
        <w:rPr>
          <w:rFonts w:ascii="Verdana" w:hAnsi="Verdana"/>
          <w:b/>
          <w:sz w:val="20"/>
          <w:szCs w:val="20"/>
          <w:lang w:val="es-CO"/>
        </w:rPr>
        <w:t xml:space="preserve"> Fondo</w:t>
      </w:r>
      <w:r w:rsidR="000636E8" w:rsidRPr="00977573">
        <w:rPr>
          <w:rFonts w:ascii="Verdana" w:hAnsi="Verdana"/>
          <w:b/>
          <w:sz w:val="20"/>
          <w:szCs w:val="20"/>
          <w:lang w:val="es-CO"/>
        </w:rPr>
        <w:t>, Reparaciones y Costas</w:t>
      </w:r>
      <w:r w:rsidRPr="00977573">
        <w:rPr>
          <w:rFonts w:ascii="Verdana" w:hAnsi="Verdana"/>
          <w:b/>
          <w:sz w:val="20"/>
          <w:szCs w:val="20"/>
          <w:lang w:val="es-CO"/>
        </w:rPr>
        <w:t>)</w:t>
      </w:r>
    </w:p>
    <w:p w14:paraId="1DB64A68" w14:textId="77777777" w:rsidR="00EC5530" w:rsidRPr="00977573" w:rsidRDefault="00EC5530" w:rsidP="000F3BE2">
      <w:pPr>
        <w:jc w:val="both"/>
        <w:rPr>
          <w:rFonts w:ascii="Verdana" w:hAnsi="Verdana"/>
          <w:sz w:val="20"/>
          <w:szCs w:val="20"/>
          <w:lang w:val="es-CO"/>
        </w:rPr>
      </w:pPr>
    </w:p>
    <w:p w14:paraId="75514674" w14:textId="77777777" w:rsidR="00EC5530" w:rsidRPr="00977573" w:rsidRDefault="00EC5530" w:rsidP="000F3BE2">
      <w:pPr>
        <w:jc w:val="both"/>
        <w:rPr>
          <w:rFonts w:ascii="Verdana" w:hAnsi="Verdana"/>
          <w:sz w:val="20"/>
          <w:szCs w:val="20"/>
          <w:lang w:val="es-CO"/>
        </w:rPr>
      </w:pPr>
    </w:p>
    <w:p w14:paraId="4A08C5B4" w14:textId="77777777" w:rsidR="00EC5530" w:rsidRPr="00977573" w:rsidRDefault="00EC5530" w:rsidP="000F3BE2">
      <w:pPr>
        <w:jc w:val="both"/>
        <w:rPr>
          <w:rFonts w:ascii="Verdana" w:hAnsi="Verdana"/>
          <w:sz w:val="20"/>
          <w:szCs w:val="20"/>
          <w:lang w:val="es-CO"/>
        </w:rPr>
      </w:pPr>
    </w:p>
    <w:p w14:paraId="4D956414" w14:textId="77777777" w:rsidR="00EC5530" w:rsidRPr="00977573" w:rsidRDefault="00EC5530" w:rsidP="000F3BE2">
      <w:pPr>
        <w:jc w:val="both"/>
        <w:rPr>
          <w:rFonts w:ascii="Verdana" w:hAnsi="Verdana"/>
          <w:sz w:val="20"/>
          <w:szCs w:val="20"/>
          <w:lang w:val="es-CO"/>
        </w:rPr>
      </w:pPr>
    </w:p>
    <w:p w14:paraId="772D3D5C" w14:textId="77777777" w:rsidR="00EC5530" w:rsidRPr="00977573" w:rsidRDefault="00EC5530" w:rsidP="000F3BE2">
      <w:pPr>
        <w:jc w:val="both"/>
        <w:rPr>
          <w:rFonts w:ascii="Verdana" w:hAnsi="Verdana"/>
          <w:sz w:val="20"/>
          <w:szCs w:val="20"/>
          <w:lang w:val="es-CO"/>
        </w:rPr>
      </w:pPr>
      <w:r w:rsidRPr="00977573">
        <w:rPr>
          <w:rFonts w:ascii="Verdana" w:hAnsi="Verdana"/>
          <w:sz w:val="20"/>
          <w:szCs w:val="20"/>
          <w:lang w:val="es-CO"/>
        </w:rPr>
        <w:t xml:space="preserve">En el </w:t>
      </w:r>
      <w:r w:rsidRPr="00977573">
        <w:rPr>
          <w:rFonts w:ascii="Verdana" w:hAnsi="Verdana"/>
          <w:i/>
          <w:iCs/>
          <w:sz w:val="20"/>
          <w:szCs w:val="20"/>
          <w:lang w:val="es-CO"/>
        </w:rPr>
        <w:t>Caso Moya Solís Vs. Perú</w:t>
      </w:r>
      <w:r w:rsidRPr="00977573">
        <w:rPr>
          <w:rFonts w:ascii="Verdana" w:hAnsi="Verdana"/>
          <w:sz w:val="20"/>
          <w:szCs w:val="20"/>
          <w:lang w:val="es-CO"/>
        </w:rPr>
        <w:t>,</w:t>
      </w:r>
    </w:p>
    <w:p w14:paraId="1D97FA6B" w14:textId="77777777" w:rsidR="00EC5530" w:rsidRPr="00977573" w:rsidRDefault="00EC5530" w:rsidP="000F3BE2">
      <w:pPr>
        <w:jc w:val="both"/>
        <w:rPr>
          <w:rFonts w:ascii="Verdana" w:hAnsi="Verdana"/>
          <w:sz w:val="20"/>
          <w:szCs w:val="20"/>
          <w:lang w:val="es-CO"/>
        </w:rPr>
      </w:pPr>
    </w:p>
    <w:p w14:paraId="6A6EA86B" w14:textId="77777777" w:rsidR="00EC5530" w:rsidRPr="00977573" w:rsidRDefault="00EC5530" w:rsidP="000F3BE2">
      <w:pPr>
        <w:jc w:val="both"/>
        <w:rPr>
          <w:rFonts w:ascii="Verdana" w:hAnsi="Verdana"/>
          <w:sz w:val="20"/>
          <w:szCs w:val="20"/>
          <w:lang w:val="es-CO"/>
        </w:rPr>
      </w:pPr>
      <w:r w:rsidRPr="00977573">
        <w:rPr>
          <w:rFonts w:ascii="Verdana" w:hAnsi="Verdana"/>
          <w:sz w:val="20"/>
          <w:szCs w:val="20"/>
          <w:lang w:val="es-CO"/>
        </w:rPr>
        <w:t>la Corte Interamericana de Derechos Humanos (en adelante “la Corte Interamericana”, “la Corte” o “este Tribunal”), integrada por los siguientes jueces:</w:t>
      </w:r>
    </w:p>
    <w:p w14:paraId="32401100" w14:textId="77777777" w:rsidR="00EC5530" w:rsidRPr="00977573" w:rsidRDefault="00EC5530" w:rsidP="000F3BE2">
      <w:pPr>
        <w:jc w:val="both"/>
        <w:rPr>
          <w:rFonts w:ascii="Verdana" w:hAnsi="Verdana"/>
          <w:sz w:val="20"/>
          <w:szCs w:val="20"/>
          <w:lang w:val="es-CO"/>
        </w:rPr>
      </w:pPr>
    </w:p>
    <w:p w14:paraId="5ED8F7B4" w14:textId="77777777" w:rsidR="00EC5530" w:rsidRPr="00977573" w:rsidRDefault="00EC5530" w:rsidP="000F3BE2">
      <w:pPr>
        <w:jc w:val="both"/>
        <w:rPr>
          <w:rFonts w:ascii="Verdana" w:hAnsi="Verdana"/>
          <w:sz w:val="20"/>
          <w:szCs w:val="20"/>
          <w:lang w:val="es-CO"/>
        </w:rPr>
      </w:pPr>
      <w:r w:rsidRPr="00977573">
        <w:rPr>
          <w:rFonts w:ascii="Verdana" w:hAnsi="Verdana"/>
          <w:sz w:val="20"/>
          <w:szCs w:val="20"/>
          <w:lang w:val="es-CO"/>
        </w:rPr>
        <w:t xml:space="preserve">Elizabeth Odio Benito, Presidenta; </w:t>
      </w:r>
    </w:p>
    <w:p w14:paraId="44A391E7" w14:textId="77777777" w:rsidR="00EC5530" w:rsidRPr="00977573" w:rsidRDefault="00EC5530" w:rsidP="000F3BE2">
      <w:pPr>
        <w:jc w:val="both"/>
        <w:rPr>
          <w:rFonts w:ascii="Verdana" w:hAnsi="Verdana"/>
          <w:sz w:val="20"/>
          <w:szCs w:val="20"/>
          <w:lang w:val="es-CO"/>
        </w:rPr>
      </w:pPr>
      <w:r w:rsidRPr="00977573">
        <w:rPr>
          <w:rFonts w:ascii="Verdana" w:hAnsi="Verdana"/>
          <w:sz w:val="20"/>
          <w:szCs w:val="20"/>
          <w:lang w:val="es-CO"/>
        </w:rPr>
        <w:t>L. Patricio Pazmiño Freire, Vicepresidente;</w:t>
      </w:r>
    </w:p>
    <w:p w14:paraId="522118C5" w14:textId="77777777" w:rsidR="00EC5530" w:rsidRPr="00977573" w:rsidRDefault="00EC5530" w:rsidP="000F3BE2">
      <w:pPr>
        <w:jc w:val="both"/>
        <w:rPr>
          <w:rFonts w:ascii="Verdana" w:hAnsi="Verdana"/>
          <w:sz w:val="20"/>
          <w:szCs w:val="20"/>
          <w:lang w:val="es-CO"/>
        </w:rPr>
      </w:pPr>
      <w:r w:rsidRPr="00977573">
        <w:rPr>
          <w:rFonts w:ascii="Verdana" w:hAnsi="Verdana"/>
          <w:sz w:val="20"/>
          <w:szCs w:val="20"/>
          <w:lang w:val="es-CO"/>
        </w:rPr>
        <w:t xml:space="preserve">Eduardo Vio Grossi, Juez; </w:t>
      </w:r>
    </w:p>
    <w:p w14:paraId="5AC00CD7" w14:textId="77777777" w:rsidR="00EC5530" w:rsidRPr="00977573" w:rsidRDefault="00EC5530" w:rsidP="000F3BE2">
      <w:pPr>
        <w:jc w:val="both"/>
        <w:rPr>
          <w:rFonts w:ascii="Verdana" w:hAnsi="Verdana"/>
          <w:sz w:val="20"/>
          <w:szCs w:val="20"/>
          <w:lang w:val="es-CO"/>
        </w:rPr>
      </w:pPr>
      <w:r w:rsidRPr="00977573">
        <w:rPr>
          <w:rFonts w:ascii="Verdana" w:hAnsi="Verdana"/>
          <w:sz w:val="20"/>
          <w:szCs w:val="20"/>
          <w:lang w:val="es-CO"/>
        </w:rPr>
        <w:t>Humberto Antonio Sierra Porto, Juez;</w:t>
      </w:r>
    </w:p>
    <w:p w14:paraId="14B974B1" w14:textId="77777777" w:rsidR="00EC5530" w:rsidRPr="00977573" w:rsidRDefault="00EC5530" w:rsidP="000F3BE2">
      <w:pPr>
        <w:jc w:val="both"/>
        <w:rPr>
          <w:rFonts w:ascii="Verdana" w:hAnsi="Verdana"/>
          <w:sz w:val="20"/>
          <w:szCs w:val="20"/>
          <w:lang w:val="es-CO"/>
        </w:rPr>
      </w:pPr>
      <w:r w:rsidRPr="00977573">
        <w:rPr>
          <w:rFonts w:ascii="Verdana" w:hAnsi="Verdana"/>
          <w:sz w:val="20"/>
          <w:szCs w:val="20"/>
          <w:lang w:val="es-CO"/>
        </w:rPr>
        <w:t>Eduardo Ferrer Mac-Gregor Poisot, Juez;</w:t>
      </w:r>
    </w:p>
    <w:p w14:paraId="29BE62F3" w14:textId="77777777" w:rsidR="00EC5530" w:rsidRPr="00977573" w:rsidRDefault="00EC5530" w:rsidP="000F3BE2">
      <w:pPr>
        <w:jc w:val="both"/>
        <w:rPr>
          <w:rFonts w:ascii="Verdana" w:hAnsi="Verdana"/>
          <w:sz w:val="20"/>
          <w:szCs w:val="20"/>
          <w:lang w:val="es-CO"/>
        </w:rPr>
      </w:pPr>
      <w:r w:rsidRPr="00977573">
        <w:rPr>
          <w:rFonts w:ascii="Verdana" w:hAnsi="Verdana"/>
          <w:sz w:val="20"/>
          <w:szCs w:val="20"/>
          <w:lang w:val="es-CO"/>
        </w:rPr>
        <w:t>Eugenio Raúl Zaffaroni, Juez, y</w:t>
      </w:r>
    </w:p>
    <w:p w14:paraId="07E6C40C" w14:textId="77777777" w:rsidR="00EC5530" w:rsidRPr="00977573" w:rsidRDefault="00EC5530" w:rsidP="000F3BE2">
      <w:pPr>
        <w:jc w:val="both"/>
        <w:rPr>
          <w:rFonts w:ascii="Verdana" w:hAnsi="Verdana"/>
          <w:sz w:val="20"/>
          <w:szCs w:val="20"/>
          <w:lang w:val="es-CO"/>
        </w:rPr>
      </w:pPr>
      <w:r w:rsidRPr="00977573">
        <w:rPr>
          <w:rFonts w:ascii="Verdana" w:hAnsi="Verdana"/>
          <w:sz w:val="20"/>
          <w:szCs w:val="20"/>
          <w:lang w:val="es-CO"/>
        </w:rPr>
        <w:t>Ricardo Pérez Manrique, Juez;</w:t>
      </w:r>
    </w:p>
    <w:p w14:paraId="3AFBA394" w14:textId="77777777" w:rsidR="00EC5530" w:rsidRPr="00977573" w:rsidRDefault="00EC5530" w:rsidP="000F3BE2">
      <w:pPr>
        <w:jc w:val="both"/>
        <w:rPr>
          <w:rFonts w:ascii="Verdana" w:hAnsi="Verdana"/>
          <w:sz w:val="20"/>
          <w:szCs w:val="20"/>
          <w:lang w:val="es-CO"/>
        </w:rPr>
      </w:pPr>
    </w:p>
    <w:p w14:paraId="62BF267A" w14:textId="77777777" w:rsidR="00EC5530" w:rsidRPr="00977573" w:rsidRDefault="00EC5530" w:rsidP="000F3BE2">
      <w:pPr>
        <w:jc w:val="both"/>
        <w:rPr>
          <w:rFonts w:ascii="Verdana" w:hAnsi="Verdana"/>
          <w:sz w:val="20"/>
          <w:szCs w:val="20"/>
          <w:lang w:val="es-CO"/>
        </w:rPr>
      </w:pPr>
    </w:p>
    <w:p w14:paraId="5A33FB9F" w14:textId="77777777" w:rsidR="00EC5530" w:rsidRPr="00977573" w:rsidRDefault="00EC5530" w:rsidP="000F3BE2">
      <w:pPr>
        <w:jc w:val="both"/>
        <w:rPr>
          <w:rFonts w:ascii="Verdana" w:hAnsi="Verdana"/>
          <w:sz w:val="20"/>
          <w:szCs w:val="20"/>
          <w:lang w:val="es-CO"/>
        </w:rPr>
      </w:pPr>
      <w:r w:rsidRPr="00977573">
        <w:rPr>
          <w:rFonts w:ascii="Verdana" w:hAnsi="Verdana"/>
          <w:sz w:val="20"/>
          <w:szCs w:val="20"/>
          <w:lang w:val="es-CO"/>
        </w:rPr>
        <w:t>presentes, además,</w:t>
      </w:r>
    </w:p>
    <w:p w14:paraId="1748F2C8" w14:textId="77777777" w:rsidR="00EC5530" w:rsidRPr="00977573" w:rsidRDefault="00EC5530" w:rsidP="000F3BE2">
      <w:pPr>
        <w:jc w:val="both"/>
        <w:rPr>
          <w:rFonts w:ascii="Verdana" w:hAnsi="Verdana"/>
          <w:sz w:val="20"/>
          <w:szCs w:val="20"/>
          <w:lang w:val="es-CO"/>
        </w:rPr>
      </w:pPr>
    </w:p>
    <w:p w14:paraId="6496AB56" w14:textId="77777777" w:rsidR="00EC5530" w:rsidRPr="00977573" w:rsidRDefault="00EC5530" w:rsidP="000F3BE2">
      <w:pPr>
        <w:jc w:val="both"/>
        <w:rPr>
          <w:rFonts w:ascii="Verdana" w:hAnsi="Verdana"/>
          <w:sz w:val="20"/>
          <w:szCs w:val="20"/>
          <w:lang w:val="es-CO"/>
        </w:rPr>
      </w:pPr>
      <w:r w:rsidRPr="00977573">
        <w:rPr>
          <w:rFonts w:ascii="Verdana" w:hAnsi="Verdana"/>
          <w:sz w:val="20"/>
          <w:szCs w:val="20"/>
          <w:lang w:val="es-CO"/>
        </w:rPr>
        <w:t>Pablo Saavedra Alessandri, Secretario, y</w:t>
      </w:r>
    </w:p>
    <w:p w14:paraId="0337E36E" w14:textId="77777777" w:rsidR="00EC5530" w:rsidRPr="00977573" w:rsidRDefault="00EC5530" w:rsidP="000F3BE2">
      <w:pPr>
        <w:jc w:val="both"/>
        <w:rPr>
          <w:rFonts w:ascii="Verdana" w:hAnsi="Verdana"/>
          <w:sz w:val="20"/>
          <w:szCs w:val="20"/>
          <w:lang w:val="es-CO"/>
        </w:rPr>
      </w:pPr>
      <w:r w:rsidRPr="00977573">
        <w:rPr>
          <w:rFonts w:ascii="Verdana" w:hAnsi="Verdana"/>
          <w:sz w:val="20"/>
          <w:szCs w:val="20"/>
          <w:lang w:val="es-CO"/>
        </w:rPr>
        <w:t>Romina I. Sijniensky, Secretaria Adjunta,</w:t>
      </w:r>
    </w:p>
    <w:p w14:paraId="121C96A1" w14:textId="77777777" w:rsidR="00EC5530" w:rsidRPr="00977573" w:rsidRDefault="00EC5530" w:rsidP="000F3BE2">
      <w:pPr>
        <w:jc w:val="both"/>
        <w:rPr>
          <w:rFonts w:ascii="Verdana" w:hAnsi="Verdana"/>
          <w:sz w:val="20"/>
          <w:szCs w:val="20"/>
          <w:lang w:val="es-CO"/>
        </w:rPr>
      </w:pPr>
    </w:p>
    <w:p w14:paraId="6DCB63A6" w14:textId="77777777" w:rsidR="00EC5530" w:rsidRPr="00977573" w:rsidRDefault="00EC5530" w:rsidP="000F3BE2">
      <w:pPr>
        <w:jc w:val="both"/>
        <w:rPr>
          <w:rFonts w:ascii="Verdana" w:hAnsi="Verdana"/>
          <w:sz w:val="20"/>
          <w:szCs w:val="20"/>
          <w:lang w:val="es-CO"/>
        </w:rPr>
      </w:pPr>
      <w:r w:rsidRPr="00977573">
        <w:rPr>
          <w:rFonts w:ascii="Verdana" w:hAnsi="Verdana"/>
          <w:sz w:val="20"/>
          <w:szCs w:val="20"/>
          <w:lang w:val="es-CO"/>
        </w:rPr>
        <w:t>de conformidad con los artículos 62.3 y 63.1 de la Convención Americana sobre Derechos Humanos (en adelante “la Convención Americana” o “la Convención”) y con los artículos 31, 32, 42, 65 y 67 del Reglamento de la Corte (en adelante “el Reglamento” o “el Reglamento de la Corte”), dicta la presente Sentencia, que se estructura en el siguiente orden:</w:t>
      </w:r>
      <w:r w:rsidR="00DA3590" w:rsidRPr="00977573">
        <w:rPr>
          <w:rFonts w:ascii="Verdana" w:hAnsi="Verdana"/>
          <w:sz w:val="20"/>
          <w:szCs w:val="20"/>
          <w:lang w:val="es-CO"/>
        </w:rPr>
        <w:t xml:space="preserve"> </w:t>
      </w:r>
    </w:p>
    <w:p w14:paraId="2EBABAE3" w14:textId="77777777" w:rsidR="00F85CF0" w:rsidRPr="00977573" w:rsidRDefault="00F85CF0" w:rsidP="000F3BE2">
      <w:pPr>
        <w:jc w:val="center"/>
        <w:rPr>
          <w:rFonts w:ascii="Verdana" w:hAnsi="Verdana"/>
          <w:b/>
          <w:sz w:val="20"/>
          <w:szCs w:val="20"/>
          <w:lang w:val="es-CO"/>
        </w:rPr>
      </w:pPr>
    </w:p>
    <w:p w14:paraId="4CA05960" w14:textId="77777777" w:rsidR="00EC5530" w:rsidRPr="00977573" w:rsidRDefault="00EC5530" w:rsidP="000F3BE2">
      <w:pPr>
        <w:rPr>
          <w:rFonts w:ascii="Verdana" w:hAnsi="Verdana"/>
          <w:b/>
          <w:sz w:val="20"/>
          <w:szCs w:val="20"/>
          <w:lang w:val="es-CO"/>
        </w:rPr>
      </w:pPr>
      <w:r w:rsidRPr="00977573">
        <w:rPr>
          <w:rFonts w:ascii="Verdana" w:hAnsi="Verdana"/>
          <w:b/>
          <w:sz w:val="20"/>
          <w:szCs w:val="20"/>
          <w:lang w:val="es-CO"/>
        </w:rPr>
        <w:br w:type="page"/>
      </w:r>
    </w:p>
    <w:p w14:paraId="3E919995" w14:textId="77777777" w:rsidR="00EC5530" w:rsidRPr="00977573" w:rsidRDefault="00EC5530" w:rsidP="000F3BE2">
      <w:pPr>
        <w:jc w:val="center"/>
        <w:rPr>
          <w:rFonts w:ascii="Verdana" w:hAnsi="Verdana"/>
          <w:b/>
          <w:sz w:val="20"/>
          <w:szCs w:val="20"/>
          <w:lang w:val="es-CO"/>
        </w:rPr>
      </w:pPr>
      <w:r w:rsidRPr="00977573">
        <w:rPr>
          <w:rFonts w:ascii="Verdana" w:hAnsi="Verdana"/>
          <w:b/>
          <w:sz w:val="20"/>
          <w:szCs w:val="20"/>
          <w:lang w:val="es-CO"/>
        </w:rPr>
        <w:lastRenderedPageBreak/>
        <w:t>TABLA DE CONTENIDO</w:t>
      </w:r>
    </w:p>
    <w:p w14:paraId="72BDBD92" w14:textId="77777777" w:rsidR="00573A15" w:rsidRPr="00C873B7" w:rsidRDefault="00573A15" w:rsidP="000F3BE2">
      <w:pPr>
        <w:jc w:val="center"/>
        <w:rPr>
          <w:rFonts w:ascii="Verdana" w:hAnsi="Verdana"/>
          <w:b/>
          <w:sz w:val="18"/>
          <w:szCs w:val="20"/>
          <w:lang w:val="es-CO"/>
        </w:rPr>
      </w:pPr>
    </w:p>
    <w:p w14:paraId="741E7F13" w14:textId="0E60CD61" w:rsidR="00C873B7" w:rsidRPr="00C873B7" w:rsidRDefault="000636E8" w:rsidP="000F3BE2">
      <w:pPr>
        <w:pStyle w:val="TDC1"/>
        <w:tabs>
          <w:tab w:val="right" w:pos="9350"/>
        </w:tabs>
        <w:spacing w:before="0"/>
        <w:rPr>
          <w:rFonts w:ascii="Verdana" w:eastAsiaTheme="minorEastAsia" w:hAnsi="Verdana" w:cstheme="minorBidi"/>
          <w:b w:val="0"/>
          <w:bCs w:val="0"/>
          <w:caps w:val="0"/>
          <w:noProof/>
          <w:sz w:val="18"/>
          <w:szCs w:val="20"/>
          <w:lang w:val="es-CR" w:eastAsia="es-CR"/>
        </w:rPr>
      </w:pPr>
      <w:r w:rsidRPr="00C873B7">
        <w:rPr>
          <w:rFonts w:ascii="Verdana" w:hAnsi="Verdana"/>
          <w:bCs w:val="0"/>
          <w:caps w:val="0"/>
          <w:sz w:val="18"/>
          <w:szCs w:val="20"/>
          <w:lang w:val="es-CO"/>
        </w:rPr>
        <w:fldChar w:fldCharType="begin"/>
      </w:r>
      <w:r w:rsidRPr="00C873B7">
        <w:rPr>
          <w:rFonts w:ascii="Verdana" w:hAnsi="Verdana"/>
          <w:bCs w:val="0"/>
          <w:caps w:val="0"/>
          <w:sz w:val="18"/>
          <w:szCs w:val="20"/>
          <w:lang w:val="es-CO"/>
        </w:rPr>
        <w:instrText xml:space="preserve"> TOC \o "1-3" \h \z \u </w:instrText>
      </w:r>
      <w:r w:rsidRPr="00C873B7">
        <w:rPr>
          <w:rFonts w:ascii="Verdana" w:hAnsi="Verdana"/>
          <w:bCs w:val="0"/>
          <w:caps w:val="0"/>
          <w:sz w:val="18"/>
          <w:szCs w:val="20"/>
          <w:lang w:val="es-CO"/>
        </w:rPr>
        <w:fldChar w:fldCharType="separate"/>
      </w:r>
      <w:hyperlink w:anchor="_Toc74225352" w:history="1">
        <w:r w:rsidR="00C873B7" w:rsidRPr="00C873B7">
          <w:rPr>
            <w:rStyle w:val="Hipervnculo"/>
            <w:rFonts w:ascii="Verdana" w:hAnsi="Verdana"/>
            <w:noProof/>
            <w:sz w:val="18"/>
            <w:szCs w:val="20"/>
            <w:lang w:val="es-CO"/>
          </w:rPr>
          <w:t>I INTRODUCCIÓN DE LA CAUSA Y OBJETO DE LA CONTROVERSIA</w:t>
        </w:r>
        <w:r w:rsidR="00C873B7" w:rsidRPr="00C873B7">
          <w:rPr>
            <w:rFonts w:ascii="Verdana" w:hAnsi="Verdana"/>
            <w:noProof/>
            <w:webHidden/>
            <w:sz w:val="18"/>
            <w:szCs w:val="20"/>
          </w:rPr>
          <w:tab/>
        </w:r>
        <w:r w:rsidR="00C873B7" w:rsidRPr="00C873B7">
          <w:rPr>
            <w:rFonts w:ascii="Verdana" w:hAnsi="Verdana"/>
            <w:noProof/>
            <w:webHidden/>
            <w:sz w:val="18"/>
            <w:szCs w:val="20"/>
          </w:rPr>
          <w:fldChar w:fldCharType="begin"/>
        </w:r>
        <w:r w:rsidR="00C873B7" w:rsidRPr="00C873B7">
          <w:rPr>
            <w:rFonts w:ascii="Verdana" w:hAnsi="Verdana"/>
            <w:noProof/>
            <w:webHidden/>
            <w:sz w:val="18"/>
            <w:szCs w:val="20"/>
          </w:rPr>
          <w:instrText xml:space="preserve"> PAGEREF _Toc74225352 \h </w:instrText>
        </w:r>
        <w:r w:rsidR="00C873B7" w:rsidRPr="00C873B7">
          <w:rPr>
            <w:rFonts w:ascii="Verdana" w:hAnsi="Verdana"/>
            <w:noProof/>
            <w:webHidden/>
            <w:sz w:val="18"/>
            <w:szCs w:val="20"/>
          </w:rPr>
        </w:r>
        <w:r w:rsidR="00C873B7" w:rsidRPr="00C873B7">
          <w:rPr>
            <w:rFonts w:ascii="Verdana" w:hAnsi="Verdana"/>
            <w:noProof/>
            <w:webHidden/>
            <w:sz w:val="18"/>
            <w:szCs w:val="20"/>
          </w:rPr>
          <w:fldChar w:fldCharType="separate"/>
        </w:r>
        <w:r w:rsidR="00EA0625">
          <w:rPr>
            <w:rFonts w:ascii="Verdana" w:hAnsi="Verdana"/>
            <w:noProof/>
            <w:webHidden/>
            <w:sz w:val="18"/>
            <w:szCs w:val="20"/>
          </w:rPr>
          <w:t>3</w:t>
        </w:r>
        <w:r w:rsidR="00C873B7" w:rsidRPr="00C873B7">
          <w:rPr>
            <w:rFonts w:ascii="Verdana" w:hAnsi="Verdana"/>
            <w:noProof/>
            <w:webHidden/>
            <w:sz w:val="18"/>
            <w:szCs w:val="20"/>
          </w:rPr>
          <w:fldChar w:fldCharType="end"/>
        </w:r>
      </w:hyperlink>
    </w:p>
    <w:p w14:paraId="50FDF19D" w14:textId="1FA20EB1" w:rsidR="00C873B7" w:rsidRPr="00C873B7" w:rsidRDefault="001C076F" w:rsidP="000F3BE2">
      <w:pPr>
        <w:pStyle w:val="TDC1"/>
        <w:tabs>
          <w:tab w:val="right" w:pos="9350"/>
        </w:tabs>
        <w:spacing w:before="0"/>
        <w:rPr>
          <w:rFonts w:ascii="Verdana" w:eastAsiaTheme="minorEastAsia" w:hAnsi="Verdana" w:cstheme="minorBidi"/>
          <w:b w:val="0"/>
          <w:bCs w:val="0"/>
          <w:caps w:val="0"/>
          <w:noProof/>
          <w:sz w:val="18"/>
          <w:szCs w:val="20"/>
          <w:lang w:val="es-CR" w:eastAsia="es-CR"/>
        </w:rPr>
      </w:pPr>
      <w:hyperlink w:anchor="_Toc74225353" w:history="1">
        <w:r w:rsidR="00C873B7" w:rsidRPr="00C873B7">
          <w:rPr>
            <w:rStyle w:val="Hipervnculo"/>
            <w:rFonts w:ascii="Verdana" w:hAnsi="Verdana"/>
            <w:noProof/>
            <w:sz w:val="18"/>
            <w:szCs w:val="20"/>
            <w:lang w:val="es-CO"/>
          </w:rPr>
          <w:t>II PROCEDIMIENTO ANTE LA CORTE</w:t>
        </w:r>
        <w:r w:rsidR="00C873B7" w:rsidRPr="00C873B7">
          <w:rPr>
            <w:rFonts w:ascii="Verdana" w:hAnsi="Verdana"/>
            <w:noProof/>
            <w:webHidden/>
            <w:sz w:val="18"/>
            <w:szCs w:val="20"/>
          </w:rPr>
          <w:tab/>
        </w:r>
        <w:r w:rsidR="00C873B7" w:rsidRPr="00C873B7">
          <w:rPr>
            <w:rFonts w:ascii="Verdana" w:hAnsi="Verdana"/>
            <w:noProof/>
            <w:webHidden/>
            <w:sz w:val="18"/>
            <w:szCs w:val="20"/>
          </w:rPr>
          <w:fldChar w:fldCharType="begin"/>
        </w:r>
        <w:r w:rsidR="00C873B7" w:rsidRPr="00C873B7">
          <w:rPr>
            <w:rFonts w:ascii="Verdana" w:hAnsi="Verdana"/>
            <w:noProof/>
            <w:webHidden/>
            <w:sz w:val="18"/>
            <w:szCs w:val="20"/>
          </w:rPr>
          <w:instrText xml:space="preserve"> PAGEREF _Toc74225353 \h </w:instrText>
        </w:r>
        <w:r w:rsidR="00C873B7" w:rsidRPr="00C873B7">
          <w:rPr>
            <w:rFonts w:ascii="Verdana" w:hAnsi="Verdana"/>
            <w:noProof/>
            <w:webHidden/>
            <w:sz w:val="18"/>
            <w:szCs w:val="20"/>
          </w:rPr>
        </w:r>
        <w:r w:rsidR="00C873B7" w:rsidRPr="00C873B7">
          <w:rPr>
            <w:rFonts w:ascii="Verdana" w:hAnsi="Verdana"/>
            <w:noProof/>
            <w:webHidden/>
            <w:sz w:val="18"/>
            <w:szCs w:val="20"/>
          </w:rPr>
          <w:fldChar w:fldCharType="separate"/>
        </w:r>
        <w:r w:rsidR="00EA0625">
          <w:rPr>
            <w:rFonts w:ascii="Verdana" w:hAnsi="Verdana"/>
            <w:noProof/>
            <w:webHidden/>
            <w:sz w:val="18"/>
            <w:szCs w:val="20"/>
          </w:rPr>
          <w:t>4</w:t>
        </w:r>
        <w:r w:rsidR="00C873B7" w:rsidRPr="00C873B7">
          <w:rPr>
            <w:rFonts w:ascii="Verdana" w:hAnsi="Verdana"/>
            <w:noProof/>
            <w:webHidden/>
            <w:sz w:val="18"/>
            <w:szCs w:val="20"/>
          </w:rPr>
          <w:fldChar w:fldCharType="end"/>
        </w:r>
      </w:hyperlink>
    </w:p>
    <w:p w14:paraId="392AFBA9" w14:textId="5073D8B6" w:rsidR="00C873B7" w:rsidRPr="00C873B7" w:rsidRDefault="001C076F" w:rsidP="000F3BE2">
      <w:pPr>
        <w:pStyle w:val="TDC1"/>
        <w:tabs>
          <w:tab w:val="right" w:pos="9350"/>
        </w:tabs>
        <w:spacing w:before="0"/>
        <w:rPr>
          <w:rFonts w:ascii="Verdana" w:eastAsiaTheme="minorEastAsia" w:hAnsi="Verdana" w:cstheme="minorBidi"/>
          <w:b w:val="0"/>
          <w:bCs w:val="0"/>
          <w:caps w:val="0"/>
          <w:noProof/>
          <w:sz w:val="18"/>
          <w:szCs w:val="20"/>
          <w:lang w:val="es-CR" w:eastAsia="es-CR"/>
        </w:rPr>
      </w:pPr>
      <w:hyperlink w:anchor="_Toc74225354" w:history="1">
        <w:r w:rsidR="00C873B7" w:rsidRPr="00C873B7">
          <w:rPr>
            <w:rStyle w:val="Hipervnculo"/>
            <w:rFonts w:ascii="Verdana" w:hAnsi="Verdana"/>
            <w:noProof/>
            <w:sz w:val="18"/>
            <w:szCs w:val="20"/>
            <w:lang w:val="es-CO"/>
          </w:rPr>
          <w:t>III COMPETENCIA</w:t>
        </w:r>
        <w:r w:rsidR="00C873B7" w:rsidRPr="00C873B7">
          <w:rPr>
            <w:rFonts w:ascii="Verdana" w:hAnsi="Verdana"/>
            <w:noProof/>
            <w:webHidden/>
            <w:sz w:val="18"/>
            <w:szCs w:val="20"/>
          </w:rPr>
          <w:tab/>
        </w:r>
        <w:r w:rsidR="00C873B7" w:rsidRPr="00C873B7">
          <w:rPr>
            <w:rFonts w:ascii="Verdana" w:hAnsi="Verdana"/>
            <w:noProof/>
            <w:webHidden/>
            <w:sz w:val="18"/>
            <w:szCs w:val="20"/>
          </w:rPr>
          <w:fldChar w:fldCharType="begin"/>
        </w:r>
        <w:r w:rsidR="00C873B7" w:rsidRPr="00C873B7">
          <w:rPr>
            <w:rFonts w:ascii="Verdana" w:hAnsi="Verdana"/>
            <w:noProof/>
            <w:webHidden/>
            <w:sz w:val="18"/>
            <w:szCs w:val="20"/>
          </w:rPr>
          <w:instrText xml:space="preserve"> PAGEREF _Toc74225354 \h </w:instrText>
        </w:r>
        <w:r w:rsidR="00C873B7" w:rsidRPr="00C873B7">
          <w:rPr>
            <w:rFonts w:ascii="Verdana" w:hAnsi="Verdana"/>
            <w:noProof/>
            <w:webHidden/>
            <w:sz w:val="18"/>
            <w:szCs w:val="20"/>
          </w:rPr>
        </w:r>
        <w:r w:rsidR="00C873B7" w:rsidRPr="00C873B7">
          <w:rPr>
            <w:rFonts w:ascii="Verdana" w:hAnsi="Verdana"/>
            <w:noProof/>
            <w:webHidden/>
            <w:sz w:val="18"/>
            <w:szCs w:val="20"/>
          </w:rPr>
          <w:fldChar w:fldCharType="separate"/>
        </w:r>
        <w:r w:rsidR="00EA0625">
          <w:rPr>
            <w:rFonts w:ascii="Verdana" w:hAnsi="Verdana"/>
            <w:noProof/>
            <w:webHidden/>
            <w:sz w:val="18"/>
            <w:szCs w:val="20"/>
          </w:rPr>
          <w:t>5</w:t>
        </w:r>
        <w:r w:rsidR="00C873B7" w:rsidRPr="00C873B7">
          <w:rPr>
            <w:rFonts w:ascii="Verdana" w:hAnsi="Verdana"/>
            <w:noProof/>
            <w:webHidden/>
            <w:sz w:val="18"/>
            <w:szCs w:val="20"/>
          </w:rPr>
          <w:fldChar w:fldCharType="end"/>
        </w:r>
      </w:hyperlink>
    </w:p>
    <w:p w14:paraId="41056440" w14:textId="5094FC14" w:rsidR="00C873B7" w:rsidRPr="00C873B7" w:rsidRDefault="001C076F" w:rsidP="000F3BE2">
      <w:pPr>
        <w:pStyle w:val="TDC1"/>
        <w:tabs>
          <w:tab w:val="right" w:pos="9350"/>
        </w:tabs>
        <w:spacing w:before="0"/>
        <w:rPr>
          <w:rFonts w:ascii="Verdana" w:eastAsiaTheme="minorEastAsia" w:hAnsi="Verdana" w:cstheme="minorBidi"/>
          <w:b w:val="0"/>
          <w:bCs w:val="0"/>
          <w:caps w:val="0"/>
          <w:noProof/>
          <w:sz w:val="18"/>
          <w:szCs w:val="20"/>
          <w:lang w:val="es-CR" w:eastAsia="es-CR"/>
        </w:rPr>
      </w:pPr>
      <w:hyperlink w:anchor="_Toc74225355" w:history="1">
        <w:r w:rsidR="00C873B7" w:rsidRPr="00C873B7">
          <w:rPr>
            <w:rStyle w:val="Hipervnculo"/>
            <w:rFonts w:ascii="Verdana" w:hAnsi="Verdana"/>
            <w:noProof/>
            <w:sz w:val="18"/>
            <w:szCs w:val="20"/>
            <w:lang w:val="es-CO"/>
          </w:rPr>
          <w:t>IV EXCEPCIONES PRELIMINARES</w:t>
        </w:r>
        <w:r w:rsidR="00C873B7" w:rsidRPr="00C873B7">
          <w:rPr>
            <w:rFonts w:ascii="Verdana" w:hAnsi="Verdana"/>
            <w:noProof/>
            <w:webHidden/>
            <w:sz w:val="18"/>
            <w:szCs w:val="20"/>
          </w:rPr>
          <w:tab/>
        </w:r>
        <w:r w:rsidR="00C873B7" w:rsidRPr="00C873B7">
          <w:rPr>
            <w:rFonts w:ascii="Verdana" w:hAnsi="Verdana"/>
            <w:noProof/>
            <w:webHidden/>
            <w:sz w:val="18"/>
            <w:szCs w:val="20"/>
          </w:rPr>
          <w:fldChar w:fldCharType="begin"/>
        </w:r>
        <w:r w:rsidR="00C873B7" w:rsidRPr="00C873B7">
          <w:rPr>
            <w:rFonts w:ascii="Verdana" w:hAnsi="Verdana"/>
            <w:noProof/>
            <w:webHidden/>
            <w:sz w:val="18"/>
            <w:szCs w:val="20"/>
          </w:rPr>
          <w:instrText xml:space="preserve"> PAGEREF _Toc74225355 \h </w:instrText>
        </w:r>
        <w:r w:rsidR="00C873B7" w:rsidRPr="00C873B7">
          <w:rPr>
            <w:rFonts w:ascii="Verdana" w:hAnsi="Verdana"/>
            <w:noProof/>
            <w:webHidden/>
            <w:sz w:val="18"/>
            <w:szCs w:val="20"/>
          </w:rPr>
        </w:r>
        <w:r w:rsidR="00C873B7" w:rsidRPr="00C873B7">
          <w:rPr>
            <w:rFonts w:ascii="Verdana" w:hAnsi="Verdana"/>
            <w:noProof/>
            <w:webHidden/>
            <w:sz w:val="18"/>
            <w:szCs w:val="20"/>
          </w:rPr>
          <w:fldChar w:fldCharType="separate"/>
        </w:r>
        <w:r w:rsidR="00EA0625">
          <w:rPr>
            <w:rFonts w:ascii="Verdana" w:hAnsi="Verdana"/>
            <w:noProof/>
            <w:webHidden/>
            <w:sz w:val="18"/>
            <w:szCs w:val="20"/>
          </w:rPr>
          <w:t>5</w:t>
        </w:r>
        <w:r w:rsidR="00C873B7" w:rsidRPr="00C873B7">
          <w:rPr>
            <w:rFonts w:ascii="Verdana" w:hAnsi="Verdana"/>
            <w:noProof/>
            <w:webHidden/>
            <w:sz w:val="18"/>
            <w:szCs w:val="20"/>
          </w:rPr>
          <w:fldChar w:fldCharType="end"/>
        </w:r>
      </w:hyperlink>
    </w:p>
    <w:p w14:paraId="06E3CDA2" w14:textId="3EECC354" w:rsidR="00C873B7" w:rsidRPr="00C873B7" w:rsidRDefault="001C076F" w:rsidP="000F3BE2">
      <w:pPr>
        <w:pStyle w:val="TDC2"/>
        <w:tabs>
          <w:tab w:val="left" w:pos="480"/>
          <w:tab w:val="right" w:pos="9350"/>
        </w:tabs>
        <w:spacing w:before="0"/>
        <w:rPr>
          <w:rFonts w:ascii="Verdana" w:eastAsiaTheme="minorEastAsia" w:hAnsi="Verdana" w:cstheme="minorBidi"/>
          <w:b w:val="0"/>
          <w:bCs w:val="0"/>
          <w:noProof/>
          <w:sz w:val="18"/>
          <w:lang w:val="es-CR" w:eastAsia="es-CR"/>
        </w:rPr>
      </w:pPr>
      <w:hyperlink w:anchor="_Toc74225356" w:history="1">
        <w:r w:rsidR="00C873B7" w:rsidRPr="00C873B7">
          <w:rPr>
            <w:rStyle w:val="Hipervnculo"/>
            <w:rFonts w:ascii="Verdana" w:hAnsi="Verdana"/>
            <w:noProof/>
            <w:sz w:val="18"/>
            <w:lang w:eastAsia="es-MX"/>
          </w:rPr>
          <w:t>A.</w:t>
        </w:r>
        <w:r w:rsidR="00C873B7" w:rsidRPr="00C873B7">
          <w:rPr>
            <w:rFonts w:ascii="Verdana" w:eastAsiaTheme="minorEastAsia" w:hAnsi="Verdana" w:cstheme="minorBidi"/>
            <w:b w:val="0"/>
            <w:bCs w:val="0"/>
            <w:noProof/>
            <w:sz w:val="18"/>
            <w:lang w:val="es-CR" w:eastAsia="es-CR"/>
          </w:rPr>
          <w:tab/>
        </w:r>
        <w:r w:rsidR="00C873B7" w:rsidRPr="00C873B7">
          <w:rPr>
            <w:rStyle w:val="Hipervnculo"/>
            <w:rFonts w:ascii="Verdana" w:hAnsi="Verdana"/>
            <w:noProof/>
            <w:sz w:val="18"/>
            <w:lang w:eastAsia="es-MX"/>
          </w:rPr>
          <w:t>Solicitud de control de legalidad por parte de la Corte Interamericana en relación con la alegada falta de agotamiento de recursos internos</w:t>
        </w:r>
        <w:r w:rsidR="00C873B7" w:rsidRPr="00C873B7">
          <w:rPr>
            <w:rFonts w:ascii="Verdana" w:hAnsi="Verdana"/>
            <w:noProof/>
            <w:webHidden/>
            <w:sz w:val="18"/>
          </w:rPr>
          <w:tab/>
        </w:r>
        <w:r w:rsidR="00C873B7" w:rsidRPr="00C873B7">
          <w:rPr>
            <w:rFonts w:ascii="Verdana" w:hAnsi="Verdana"/>
            <w:noProof/>
            <w:webHidden/>
            <w:sz w:val="18"/>
          </w:rPr>
          <w:fldChar w:fldCharType="begin"/>
        </w:r>
        <w:r w:rsidR="00C873B7" w:rsidRPr="00C873B7">
          <w:rPr>
            <w:rFonts w:ascii="Verdana" w:hAnsi="Verdana"/>
            <w:noProof/>
            <w:webHidden/>
            <w:sz w:val="18"/>
          </w:rPr>
          <w:instrText xml:space="preserve"> PAGEREF _Toc74225356 \h </w:instrText>
        </w:r>
        <w:r w:rsidR="00C873B7" w:rsidRPr="00C873B7">
          <w:rPr>
            <w:rFonts w:ascii="Verdana" w:hAnsi="Verdana"/>
            <w:noProof/>
            <w:webHidden/>
            <w:sz w:val="18"/>
          </w:rPr>
        </w:r>
        <w:r w:rsidR="00C873B7" w:rsidRPr="00C873B7">
          <w:rPr>
            <w:rFonts w:ascii="Verdana" w:hAnsi="Verdana"/>
            <w:noProof/>
            <w:webHidden/>
            <w:sz w:val="18"/>
          </w:rPr>
          <w:fldChar w:fldCharType="separate"/>
        </w:r>
        <w:r w:rsidR="00EA0625">
          <w:rPr>
            <w:rFonts w:ascii="Verdana" w:hAnsi="Verdana"/>
            <w:noProof/>
            <w:webHidden/>
            <w:sz w:val="18"/>
          </w:rPr>
          <w:t>5</w:t>
        </w:r>
        <w:r w:rsidR="00C873B7" w:rsidRPr="00C873B7">
          <w:rPr>
            <w:rFonts w:ascii="Verdana" w:hAnsi="Verdana"/>
            <w:noProof/>
            <w:webHidden/>
            <w:sz w:val="18"/>
          </w:rPr>
          <w:fldChar w:fldCharType="end"/>
        </w:r>
      </w:hyperlink>
    </w:p>
    <w:p w14:paraId="6C548648" w14:textId="071806F8" w:rsidR="00C873B7" w:rsidRPr="00C873B7" w:rsidRDefault="001C076F" w:rsidP="000F3BE2">
      <w:pPr>
        <w:pStyle w:val="TDC3"/>
        <w:tabs>
          <w:tab w:val="right" w:pos="9350"/>
        </w:tabs>
        <w:rPr>
          <w:rFonts w:ascii="Verdana" w:eastAsiaTheme="minorEastAsia" w:hAnsi="Verdana" w:cstheme="minorBidi"/>
          <w:noProof/>
          <w:sz w:val="18"/>
          <w:lang w:val="es-CR" w:eastAsia="es-CR"/>
        </w:rPr>
      </w:pPr>
      <w:hyperlink w:anchor="_Toc74225357" w:history="1">
        <w:r w:rsidR="00C873B7" w:rsidRPr="00C873B7">
          <w:rPr>
            <w:rStyle w:val="Hipervnculo"/>
            <w:rFonts w:ascii="Verdana" w:hAnsi="Verdana"/>
            <w:noProof/>
            <w:sz w:val="18"/>
          </w:rPr>
          <w:t>A.1 Alegatos del Estado, observaciones de la Comisión y de la presunta víctima</w:t>
        </w:r>
        <w:r w:rsidR="00C873B7" w:rsidRPr="00C873B7">
          <w:rPr>
            <w:rFonts w:ascii="Verdana" w:hAnsi="Verdana"/>
            <w:noProof/>
            <w:webHidden/>
            <w:sz w:val="18"/>
          </w:rPr>
          <w:tab/>
        </w:r>
        <w:r w:rsidR="00C873B7" w:rsidRPr="00C873B7">
          <w:rPr>
            <w:rFonts w:ascii="Verdana" w:hAnsi="Verdana"/>
            <w:noProof/>
            <w:webHidden/>
            <w:sz w:val="18"/>
          </w:rPr>
          <w:fldChar w:fldCharType="begin"/>
        </w:r>
        <w:r w:rsidR="00C873B7" w:rsidRPr="00C873B7">
          <w:rPr>
            <w:rFonts w:ascii="Verdana" w:hAnsi="Verdana"/>
            <w:noProof/>
            <w:webHidden/>
            <w:sz w:val="18"/>
          </w:rPr>
          <w:instrText xml:space="preserve"> PAGEREF _Toc74225357 \h </w:instrText>
        </w:r>
        <w:r w:rsidR="00C873B7" w:rsidRPr="00C873B7">
          <w:rPr>
            <w:rFonts w:ascii="Verdana" w:hAnsi="Verdana"/>
            <w:noProof/>
            <w:webHidden/>
            <w:sz w:val="18"/>
          </w:rPr>
        </w:r>
        <w:r w:rsidR="00C873B7" w:rsidRPr="00C873B7">
          <w:rPr>
            <w:rFonts w:ascii="Verdana" w:hAnsi="Verdana"/>
            <w:noProof/>
            <w:webHidden/>
            <w:sz w:val="18"/>
          </w:rPr>
          <w:fldChar w:fldCharType="separate"/>
        </w:r>
        <w:r w:rsidR="00EA0625">
          <w:rPr>
            <w:rFonts w:ascii="Verdana" w:hAnsi="Verdana"/>
            <w:noProof/>
            <w:webHidden/>
            <w:sz w:val="18"/>
          </w:rPr>
          <w:t>5</w:t>
        </w:r>
        <w:r w:rsidR="00C873B7" w:rsidRPr="00C873B7">
          <w:rPr>
            <w:rFonts w:ascii="Verdana" w:hAnsi="Verdana"/>
            <w:noProof/>
            <w:webHidden/>
            <w:sz w:val="18"/>
          </w:rPr>
          <w:fldChar w:fldCharType="end"/>
        </w:r>
      </w:hyperlink>
    </w:p>
    <w:p w14:paraId="01B06E79" w14:textId="25F47A73" w:rsidR="00C873B7" w:rsidRPr="00C873B7" w:rsidRDefault="001C076F" w:rsidP="000F3BE2">
      <w:pPr>
        <w:pStyle w:val="TDC3"/>
        <w:tabs>
          <w:tab w:val="right" w:pos="9350"/>
        </w:tabs>
        <w:rPr>
          <w:rFonts w:ascii="Verdana" w:eastAsiaTheme="minorEastAsia" w:hAnsi="Verdana" w:cstheme="minorBidi"/>
          <w:noProof/>
          <w:sz w:val="18"/>
          <w:lang w:val="es-CR" w:eastAsia="es-CR"/>
        </w:rPr>
      </w:pPr>
      <w:hyperlink w:anchor="_Toc74225358" w:history="1">
        <w:r w:rsidR="00C873B7" w:rsidRPr="00C873B7">
          <w:rPr>
            <w:rStyle w:val="Hipervnculo"/>
            <w:rFonts w:ascii="Verdana" w:hAnsi="Verdana"/>
            <w:noProof/>
            <w:sz w:val="18"/>
          </w:rPr>
          <w:t>A.2 Consideraciones de la Corte</w:t>
        </w:r>
        <w:r w:rsidR="00C873B7" w:rsidRPr="00C873B7">
          <w:rPr>
            <w:rFonts w:ascii="Verdana" w:hAnsi="Verdana"/>
            <w:noProof/>
            <w:webHidden/>
            <w:sz w:val="18"/>
          </w:rPr>
          <w:tab/>
        </w:r>
        <w:r w:rsidR="00C873B7" w:rsidRPr="00C873B7">
          <w:rPr>
            <w:rFonts w:ascii="Verdana" w:hAnsi="Verdana"/>
            <w:noProof/>
            <w:webHidden/>
            <w:sz w:val="18"/>
          </w:rPr>
          <w:fldChar w:fldCharType="begin"/>
        </w:r>
        <w:r w:rsidR="00C873B7" w:rsidRPr="00C873B7">
          <w:rPr>
            <w:rFonts w:ascii="Verdana" w:hAnsi="Verdana"/>
            <w:noProof/>
            <w:webHidden/>
            <w:sz w:val="18"/>
          </w:rPr>
          <w:instrText xml:space="preserve"> PAGEREF _Toc74225358 \h </w:instrText>
        </w:r>
        <w:r w:rsidR="00C873B7" w:rsidRPr="00C873B7">
          <w:rPr>
            <w:rFonts w:ascii="Verdana" w:hAnsi="Verdana"/>
            <w:noProof/>
            <w:webHidden/>
            <w:sz w:val="18"/>
          </w:rPr>
        </w:r>
        <w:r w:rsidR="00C873B7" w:rsidRPr="00C873B7">
          <w:rPr>
            <w:rFonts w:ascii="Verdana" w:hAnsi="Verdana"/>
            <w:noProof/>
            <w:webHidden/>
            <w:sz w:val="18"/>
          </w:rPr>
          <w:fldChar w:fldCharType="separate"/>
        </w:r>
        <w:r w:rsidR="00EA0625">
          <w:rPr>
            <w:rFonts w:ascii="Verdana" w:hAnsi="Verdana"/>
            <w:noProof/>
            <w:webHidden/>
            <w:sz w:val="18"/>
          </w:rPr>
          <w:t>7</w:t>
        </w:r>
        <w:r w:rsidR="00C873B7" w:rsidRPr="00C873B7">
          <w:rPr>
            <w:rFonts w:ascii="Verdana" w:hAnsi="Verdana"/>
            <w:noProof/>
            <w:webHidden/>
            <w:sz w:val="18"/>
          </w:rPr>
          <w:fldChar w:fldCharType="end"/>
        </w:r>
      </w:hyperlink>
    </w:p>
    <w:p w14:paraId="688AC43D" w14:textId="2D71EE90" w:rsidR="00C873B7" w:rsidRPr="00C873B7" w:rsidRDefault="001C076F" w:rsidP="000F3BE2">
      <w:pPr>
        <w:pStyle w:val="TDC2"/>
        <w:tabs>
          <w:tab w:val="left" w:pos="480"/>
          <w:tab w:val="right" w:pos="9350"/>
        </w:tabs>
        <w:spacing w:before="0"/>
        <w:rPr>
          <w:rFonts w:ascii="Verdana" w:eastAsiaTheme="minorEastAsia" w:hAnsi="Verdana" w:cstheme="minorBidi"/>
          <w:b w:val="0"/>
          <w:bCs w:val="0"/>
          <w:noProof/>
          <w:sz w:val="18"/>
          <w:lang w:val="es-CR" w:eastAsia="es-CR"/>
        </w:rPr>
      </w:pPr>
      <w:hyperlink w:anchor="_Toc74225359" w:history="1">
        <w:r w:rsidR="00C873B7" w:rsidRPr="00C873B7">
          <w:rPr>
            <w:rStyle w:val="Hipervnculo"/>
            <w:rFonts w:ascii="Verdana" w:hAnsi="Verdana"/>
            <w:noProof/>
            <w:sz w:val="18"/>
            <w:lang w:eastAsia="es-MX"/>
          </w:rPr>
          <w:t>B.</w:t>
        </w:r>
        <w:r w:rsidR="00C873B7" w:rsidRPr="00C873B7">
          <w:rPr>
            <w:rFonts w:ascii="Verdana" w:eastAsiaTheme="minorEastAsia" w:hAnsi="Verdana" w:cstheme="minorBidi"/>
            <w:b w:val="0"/>
            <w:bCs w:val="0"/>
            <w:noProof/>
            <w:sz w:val="18"/>
            <w:lang w:val="es-CR" w:eastAsia="es-CR"/>
          </w:rPr>
          <w:tab/>
        </w:r>
        <w:r w:rsidR="00C873B7" w:rsidRPr="00C873B7">
          <w:rPr>
            <w:rStyle w:val="Hipervnculo"/>
            <w:rFonts w:ascii="Verdana" w:hAnsi="Verdana"/>
            <w:noProof/>
            <w:sz w:val="18"/>
            <w:lang w:eastAsia="es-MX"/>
          </w:rPr>
          <w:t>Alegada falta de competencia de la Corte Interamericana para actuar como cuarta instancia</w:t>
        </w:r>
        <w:r w:rsidR="00C873B7" w:rsidRPr="00C873B7">
          <w:rPr>
            <w:rFonts w:ascii="Verdana" w:hAnsi="Verdana"/>
            <w:noProof/>
            <w:webHidden/>
            <w:sz w:val="18"/>
          </w:rPr>
          <w:tab/>
        </w:r>
        <w:r w:rsidR="00C873B7" w:rsidRPr="00C873B7">
          <w:rPr>
            <w:rFonts w:ascii="Verdana" w:hAnsi="Verdana"/>
            <w:noProof/>
            <w:webHidden/>
            <w:sz w:val="18"/>
          </w:rPr>
          <w:fldChar w:fldCharType="begin"/>
        </w:r>
        <w:r w:rsidR="00C873B7" w:rsidRPr="00C873B7">
          <w:rPr>
            <w:rFonts w:ascii="Verdana" w:hAnsi="Verdana"/>
            <w:noProof/>
            <w:webHidden/>
            <w:sz w:val="18"/>
          </w:rPr>
          <w:instrText xml:space="preserve"> PAGEREF _Toc74225359 \h </w:instrText>
        </w:r>
        <w:r w:rsidR="00C873B7" w:rsidRPr="00C873B7">
          <w:rPr>
            <w:rFonts w:ascii="Verdana" w:hAnsi="Verdana"/>
            <w:noProof/>
            <w:webHidden/>
            <w:sz w:val="18"/>
          </w:rPr>
        </w:r>
        <w:r w:rsidR="00C873B7" w:rsidRPr="00C873B7">
          <w:rPr>
            <w:rFonts w:ascii="Verdana" w:hAnsi="Verdana"/>
            <w:noProof/>
            <w:webHidden/>
            <w:sz w:val="18"/>
          </w:rPr>
          <w:fldChar w:fldCharType="separate"/>
        </w:r>
        <w:r w:rsidR="00EA0625">
          <w:rPr>
            <w:rFonts w:ascii="Verdana" w:hAnsi="Verdana"/>
            <w:noProof/>
            <w:webHidden/>
            <w:sz w:val="18"/>
          </w:rPr>
          <w:t>8</w:t>
        </w:r>
        <w:r w:rsidR="00C873B7" w:rsidRPr="00C873B7">
          <w:rPr>
            <w:rFonts w:ascii="Verdana" w:hAnsi="Verdana"/>
            <w:noProof/>
            <w:webHidden/>
            <w:sz w:val="18"/>
          </w:rPr>
          <w:fldChar w:fldCharType="end"/>
        </w:r>
      </w:hyperlink>
    </w:p>
    <w:p w14:paraId="2E973F6A" w14:textId="0EC9D0A6" w:rsidR="00C873B7" w:rsidRPr="00C873B7" w:rsidRDefault="001C076F" w:rsidP="000F3BE2">
      <w:pPr>
        <w:pStyle w:val="TDC3"/>
        <w:tabs>
          <w:tab w:val="right" w:pos="9350"/>
        </w:tabs>
        <w:rPr>
          <w:rFonts w:ascii="Verdana" w:eastAsiaTheme="minorEastAsia" w:hAnsi="Verdana" w:cstheme="minorBidi"/>
          <w:noProof/>
          <w:sz w:val="18"/>
          <w:lang w:val="es-CR" w:eastAsia="es-CR"/>
        </w:rPr>
      </w:pPr>
      <w:hyperlink w:anchor="_Toc74225360" w:history="1">
        <w:r w:rsidR="00C873B7" w:rsidRPr="00C873B7">
          <w:rPr>
            <w:rStyle w:val="Hipervnculo"/>
            <w:rFonts w:ascii="Verdana" w:hAnsi="Verdana"/>
            <w:noProof/>
            <w:sz w:val="18"/>
          </w:rPr>
          <w:t>B.1. Alegatos del Estado, observaciones de la Comisión y de la presunta víctima</w:t>
        </w:r>
        <w:r w:rsidR="00C873B7" w:rsidRPr="00C873B7">
          <w:rPr>
            <w:rFonts w:ascii="Verdana" w:hAnsi="Verdana"/>
            <w:noProof/>
            <w:webHidden/>
            <w:sz w:val="18"/>
          </w:rPr>
          <w:tab/>
        </w:r>
        <w:r w:rsidR="00C873B7" w:rsidRPr="00C873B7">
          <w:rPr>
            <w:rFonts w:ascii="Verdana" w:hAnsi="Verdana"/>
            <w:noProof/>
            <w:webHidden/>
            <w:sz w:val="18"/>
          </w:rPr>
          <w:fldChar w:fldCharType="begin"/>
        </w:r>
        <w:r w:rsidR="00C873B7" w:rsidRPr="00C873B7">
          <w:rPr>
            <w:rFonts w:ascii="Verdana" w:hAnsi="Verdana"/>
            <w:noProof/>
            <w:webHidden/>
            <w:sz w:val="18"/>
          </w:rPr>
          <w:instrText xml:space="preserve"> PAGEREF _Toc74225360 \h </w:instrText>
        </w:r>
        <w:r w:rsidR="00C873B7" w:rsidRPr="00C873B7">
          <w:rPr>
            <w:rFonts w:ascii="Verdana" w:hAnsi="Verdana"/>
            <w:noProof/>
            <w:webHidden/>
            <w:sz w:val="18"/>
          </w:rPr>
        </w:r>
        <w:r w:rsidR="00C873B7" w:rsidRPr="00C873B7">
          <w:rPr>
            <w:rFonts w:ascii="Verdana" w:hAnsi="Verdana"/>
            <w:noProof/>
            <w:webHidden/>
            <w:sz w:val="18"/>
          </w:rPr>
          <w:fldChar w:fldCharType="separate"/>
        </w:r>
        <w:r w:rsidR="00EA0625">
          <w:rPr>
            <w:rFonts w:ascii="Verdana" w:hAnsi="Verdana"/>
            <w:noProof/>
            <w:webHidden/>
            <w:sz w:val="18"/>
          </w:rPr>
          <w:t>8</w:t>
        </w:r>
        <w:r w:rsidR="00C873B7" w:rsidRPr="00C873B7">
          <w:rPr>
            <w:rFonts w:ascii="Verdana" w:hAnsi="Verdana"/>
            <w:noProof/>
            <w:webHidden/>
            <w:sz w:val="18"/>
          </w:rPr>
          <w:fldChar w:fldCharType="end"/>
        </w:r>
      </w:hyperlink>
    </w:p>
    <w:p w14:paraId="7B689B86" w14:textId="2E19D8AF" w:rsidR="00C873B7" w:rsidRPr="00C873B7" w:rsidRDefault="001C076F" w:rsidP="000F3BE2">
      <w:pPr>
        <w:pStyle w:val="TDC3"/>
        <w:tabs>
          <w:tab w:val="right" w:pos="9350"/>
        </w:tabs>
        <w:rPr>
          <w:rFonts w:ascii="Verdana" w:eastAsiaTheme="minorEastAsia" w:hAnsi="Verdana" w:cstheme="minorBidi"/>
          <w:noProof/>
          <w:sz w:val="18"/>
          <w:lang w:val="es-CR" w:eastAsia="es-CR"/>
        </w:rPr>
      </w:pPr>
      <w:hyperlink w:anchor="_Toc74225361" w:history="1">
        <w:r w:rsidR="00C873B7" w:rsidRPr="00C873B7">
          <w:rPr>
            <w:rStyle w:val="Hipervnculo"/>
            <w:rFonts w:ascii="Verdana" w:hAnsi="Verdana"/>
            <w:noProof/>
            <w:sz w:val="18"/>
          </w:rPr>
          <w:t>B.2 Consideraciones de la Corte</w:t>
        </w:r>
        <w:r w:rsidR="00C873B7" w:rsidRPr="00C873B7">
          <w:rPr>
            <w:rFonts w:ascii="Verdana" w:hAnsi="Verdana"/>
            <w:noProof/>
            <w:webHidden/>
            <w:sz w:val="18"/>
          </w:rPr>
          <w:tab/>
        </w:r>
        <w:r w:rsidR="00C873B7" w:rsidRPr="00C873B7">
          <w:rPr>
            <w:rFonts w:ascii="Verdana" w:hAnsi="Verdana"/>
            <w:noProof/>
            <w:webHidden/>
            <w:sz w:val="18"/>
          </w:rPr>
          <w:fldChar w:fldCharType="begin"/>
        </w:r>
        <w:r w:rsidR="00C873B7" w:rsidRPr="00C873B7">
          <w:rPr>
            <w:rFonts w:ascii="Verdana" w:hAnsi="Verdana"/>
            <w:noProof/>
            <w:webHidden/>
            <w:sz w:val="18"/>
          </w:rPr>
          <w:instrText xml:space="preserve"> PAGEREF _Toc74225361 \h </w:instrText>
        </w:r>
        <w:r w:rsidR="00C873B7" w:rsidRPr="00C873B7">
          <w:rPr>
            <w:rFonts w:ascii="Verdana" w:hAnsi="Verdana"/>
            <w:noProof/>
            <w:webHidden/>
            <w:sz w:val="18"/>
          </w:rPr>
        </w:r>
        <w:r w:rsidR="00C873B7" w:rsidRPr="00C873B7">
          <w:rPr>
            <w:rFonts w:ascii="Verdana" w:hAnsi="Verdana"/>
            <w:noProof/>
            <w:webHidden/>
            <w:sz w:val="18"/>
          </w:rPr>
          <w:fldChar w:fldCharType="separate"/>
        </w:r>
        <w:r w:rsidR="00EA0625">
          <w:rPr>
            <w:rFonts w:ascii="Verdana" w:hAnsi="Verdana"/>
            <w:noProof/>
            <w:webHidden/>
            <w:sz w:val="18"/>
          </w:rPr>
          <w:t>8</w:t>
        </w:r>
        <w:r w:rsidR="00C873B7" w:rsidRPr="00C873B7">
          <w:rPr>
            <w:rFonts w:ascii="Verdana" w:hAnsi="Verdana"/>
            <w:noProof/>
            <w:webHidden/>
            <w:sz w:val="18"/>
          </w:rPr>
          <w:fldChar w:fldCharType="end"/>
        </w:r>
      </w:hyperlink>
    </w:p>
    <w:p w14:paraId="77235199" w14:textId="22E509D3" w:rsidR="00C873B7" w:rsidRPr="00C873B7" w:rsidRDefault="001C076F" w:rsidP="000F3BE2">
      <w:pPr>
        <w:pStyle w:val="TDC2"/>
        <w:tabs>
          <w:tab w:val="left" w:pos="480"/>
          <w:tab w:val="right" w:pos="9350"/>
        </w:tabs>
        <w:spacing w:before="0"/>
        <w:rPr>
          <w:rFonts w:ascii="Verdana" w:eastAsiaTheme="minorEastAsia" w:hAnsi="Verdana" w:cstheme="minorBidi"/>
          <w:b w:val="0"/>
          <w:bCs w:val="0"/>
          <w:noProof/>
          <w:sz w:val="18"/>
          <w:lang w:val="es-CR" w:eastAsia="es-CR"/>
        </w:rPr>
      </w:pPr>
      <w:hyperlink w:anchor="_Toc74225362" w:history="1">
        <w:r w:rsidR="00C873B7" w:rsidRPr="00C873B7">
          <w:rPr>
            <w:rStyle w:val="Hipervnculo"/>
            <w:rFonts w:ascii="Verdana" w:hAnsi="Verdana"/>
            <w:noProof/>
            <w:sz w:val="18"/>
            <w:lang w:eastAsia="es-MX"/>
          </w:rPr>
          <w:t>C.</w:t>
        </w:r>
        <w:r w:rsidR="00C873B7" w:rsidRPr="00C873B7">
          <w:rPr>
            <w:rFonts w:ascii="Verdana" w:eastAsiaTheme="minorEastAsia" w:hAnsi="Verdana" w:cstheme="minorBidi"/>
            <w:b w:val="0"/>
            <w:bCs w:val="0"/>
            <w:noProof/>
            <w:sz w:val="18"/>
            <w:lang w:val="es-CR" w:eastAsia="es-CR"/>
          </w:rPr>
          <w:tab/>
        </w:r>
        <w:r w:rsidR="00C873B7" w:rsidRPr="00C873B7">
          <w:rPr>
            <w:rStyle w:val="Hipervnculo"/>
            <w:rFonts w:ascii="Verdana" w:hAnsi="Verdana"/>
            <w:noProof/>
            <w:sz w:val="18"/>
            <w:lang w:eastAsia="es-MX"/>
          </w:rPr>
          <w:t>Alegada indebida inclusión de los artículos 5 y 11 en el Escrito de Solicitudes y Argumentos</w:t>
        </w:r>
        <w:r w:rsidR="00C873B7" w:rsidRPr="00C873B7">
          <w:rPr>
            <w:rFonts w:ascii="Verdana" w:hAnsi="Verdana"/>
            <w:noProof/>
            <w:webHidden/>
            <w:sz w:val="18"/>
          </w:rPr>
          <w:tab/>
        </w:r>
        <w:r w:rsidR="00C873B7" w:rsidRPr="00C873B7">
          <w:rPr>
            <w:rFonts w:ascii="Verdana" w:hAnsi="Verdana"/>
            <w:noProof/>
            <w:webHidden/>
            <w:sz w:val="18"/>
          </w:rPr>
          <w:fldChar w:fldCharType="begin"/>
        </w:r>
        <w:r w:rsidR="00C873B7" w:rsidRPr="00C873B7">
          <w:rPr>
            <w:rFonts w:ascii="Verdana" w:hAnsi="Verdana"/>
            <w:noProof/>
            <w:webHidden/>
            <w:sz w:val="18"/>
          </w:rPr>
          <w:instrText xml:space="preserve"> PAGEREF _Toc74225362 \h </w:instrText>
        </w:r>
        <w:r w:rsidR="00C873B7" w:rsidRPr="00C873B7">
          <w:rPr>
            <w:rFonts w:ascii="Verdana" w:hAnsi="Verdana"/>
            <w:noProof/>
            <w:webHidden/>
            <w:sz w:val="18"/>
          </w:rPr>
        </w:r>
        <w:r w:rsidR="00C873B7" w:rsidRPr="00C873B7">
          <w:rPr>
            <w:rFonts w:ascii="Verdana" w:hAnsi="Verdana"/>
            <w:noProof/>
            <w:webHidden/>
            <w:sz w:val="18"/>
          </w:rPr>
          <w:fldChar w:fldCharType="separate"/>
        </w:r>
        <w:r w:rsidR="00EA0625">
          <w:rPr>
            <w:rFonts w:ascii="Verdana" w:hAnsi="Verdana"/>
            <w:noProof/>
            <w:webHidden/>
            <w:sz w:val="18"/>
          </w:rPr>
          <w:t>9</w:t>
        </w:r>
        <w:r w:rsidR="00C873B7" w:rsidRPr="00C873B7">
          <w:rPr>
            <w:rFonts w:ascii="Verdana" w:hAnsi="Verdana"/>
            <w:noProof/>
            <w:webHidden/>
            <w:sz w:val="18"/>
          </w:rPr>
          <w:fldChar w:fldCharType="end"/>
        </w:r>
      </w:hyperlink>
    </w:p>
    <w:p w14:paraId="20FE4668" w14:textId="0E9D6D6E" w:rsidR="00C873B7" w:rsidRPr="00C873B7" w:rsidRDefault="001C076F" w:rsidP="000F3BE2">
      <w:pPr>
        <w:pStyle w:val="TDC3"/>
        <w:tabs>
          <w:tab w:val="right" w:pos="9350"/>
        </w:tabs>
        <w:rPr>
          <w:rFonts w:ascii="Verdana" w:eastAsiaTheme="minorEastAsia" w:hAnsi="Verdana" w:cstheme="minorBidi"/>
          <w:noProof/>
          <w:sz w:val="18"/>
          <w:lang w:val="es-CR" w:eastAsia="es-CR"/>
        </w:rPr>
      </w:pPr>
      <w:hyperlink w:anchor="_Toc74225363" w:history="1">
        <w:r w:rsidR="00C873B7" w:rsidRPr="00C873B7">
          <w:rPr>
            <w:rStyle w:val="Hipervnculo"/>
            <w:rFonts w:ascii="Verdana" w:hAnsi="Verdana"/>
            <w:noProof/>
            <w:sz w:val="18"/>
          </w:rPr>
          <w:t>C.1. Alegatos del Estado, observaciones de la Comisión y de la presunta víctima</w:t>
        </w:r>
        <w:r w:rsidR="00C873B7" w:rsidRPr="00C873B7">
          <w:rPr>
            <w:rFonts w:ascii="Verdana" w:hAnsi="Verdana"/>
            <w:noProof/>
            <w:webHidden/>
            <w:sz w:val="18"/>
          </w:rPr>
          <w:tab/>
        </w:r>
        <w:r w:rsidR="00C873B7" w:rsidRPr="00C873B7">
          <w:rPr>
            <w:rFonts w:ascii="Verdana" w:hAnsi="Verdana"/>
            <w:noProof/>
            <w:webHidden/>
            <w:sz w:val="18"/>
          </w:rPr>
          <w:fldChar w:fldCharType="begin"/>
        </w:r>
        <w:r w:rsidR="00C873B7" w:rsidRPr="00C873B7">
          <w:rPr>
            <w:rFonts w:ascii="Verdana" w:hAnsi="Verdana"/>
            <w:noProof/>
            <w:webHidden/>
            <w:sz w:val="18"/>
          </w:rPr>
          <w:instrText xml:space="preserve"> PAGEREF _Toc74225363 \h </w:instrText>
        </w:r>
        <w:r w:rsidR="00C873B7" w:rsidRPr="00C873B7">
          <w:rPr>
            <w:rFonts w:ascii="Verdana" w:hAnsi="Verdana"/>
            <w:noProof/>
            <w:webHidden/>
            <w:sz w:val="18"/>
          </w:rPr>
        </w:r>
        <w:r w:rsidR="00C873B7" w:rsidRPr="00C873B7">
          <w:rPr>
            <w:rFonts w:ascii="Verdana" w:hAnsi="Verdana"/>
            <w:noProof/>
            <w:webHidden/>
            <w:sz w:val="18"/>
          </w:rPr>
          <w:fldChar w:fldCharType="separate"/>
        </w:r>
        <w:r w:rsidR="00EA0625">
          <w:rPr>
            <w:rFonts w:ascii="Verdana" w:hAnsi="Verdana"/>
            <w:noProof/>
            <w:webHidden/>
            <w:sz w:val="18"/>
          </w:rPr>
          <w:t>9</w:t>
        </w:r>
        <w:r w:rsidR="00C873B7" w:rsidRPr="00C873B7">
          <w:rPr>
            <w:rFonts w:ascii="Verdana" w:hAnsi="Verdana"/>
            <w:noProof/>
            <w:webHidden/>
            <w:sz w:val="18"/>
          </w:rPr>
          <w:fldChar w:fldCharType="end"/>
        </w:r>
      </w:hyperlink>
    </w:p>
    <w:p w14:paraId="55DFC5F1" w14:textId="74BFA4E5" w:rsidR="00C873B7" w:rsidRPr="00C873B7" w:rsidRDefault="001C076F" w:rsidP="000F3BE2">
      <w:pPr>
        <w:pStyle w:val="TDC3"/>
        <w:tabs>
          <w:tab w:val="right" w:pos="9350"/>
        </w:tabs>
        <w:rPr>
          <w:rFonts w:ascii="Verdana" w:eastAsiaTheme="minorEastAsia" w:hAnsi="Verdana" w:cstheme="minorBidi"/>
          <w:noProof/>
          <w:sz w:val="18"/>
          <w:lang w:val="es-CR" w:eastAsia="es-CR"/>
        </w:rPr>
      </w:pPr>
      <w:hyperlink w:anchor="_Toc74225364" w:history="1">
        <w:r w:rsidR="00C873B7" w:rsidRPr="00C873B7">
          <w:rPr>
            <w:rStyle w:val="Hipervnculo"/>
            <w:rFonts w:ascii="Verdana" w:hAnsi="Verdana"/>
            <w:noProof/>
            <w:sz w:val="18"/>
          </w:rPr>
          <w:t>C.2 Consideraciones de la Corte</w:t>
        </w:r>
        <w:r w:rsidR="00C873B7" w:rsidRPr="00C873B7">
          <w:rPr>
            <w:rFonts w:ascii="Verdana" w:hAnsi="Verdana"/>
            <w:noProof/>
            <w:webHidden/>
            <w:sz w:val="18"/>
          </w:rPr>
          <w:tab/>
        </w:r>
        <w:r w:rsidR="00C873B7" w:rsidRPr="00C873B7">
          <w:rPr>
            <w:rFonts w:ascii="Verdana" w:hAnsi="Verdana"/>
            <w:noProof/>
            <w:webHidden/>
            <w:sz w:val="18"/>
          </w:rPr>
          <w:fldChar w:fldCharType="begin"/>
        </w:r>
        <w:r w:rsidR="00C873B7" w:rsidRPr="00C873B7">
          <w:rPr>
            <w:rFonts w:ascii="Verdana" w:hAnsi="Verdana"/>
            <w:noProof/>
            <w:webHidden/>
            <w:sz w:val="18"/>
          </w:rPr>
          <w:instrText xml:space="preserve"> PAGEREF _Toc74225364 \h </w:instrText>
        </w:r>
        <w:r w:rsidR="00C873B7" w:rsidRPr="00C873B7">
          <w:rPr>
            <w:rFonts w:ascii="Verdana" w:hAnsi="Verdana"/>
            <w:noProof/>
            <w:webHidden/>
            <w:sz w:val="18"/>
          </w:rPr>
        </w:r>
        <w:r w:rsidR="00C873B7" w:rsidRPr="00C873B7">
          <w:rPr>
            <w:rFonts w:ascii="Verdana" w:hAnsi="Verdana"/>
            <w:noProof/>
            <w:webHidden/>
            <w:sz w:val="18"/>
          </w:rPr>
          <w:fldChar w:fldCharType="separate"/>
        </w:r>
        <w:r w:rsidR="00EA0625">
          <w:rPr>
            <w:rFonts w:ascii="Verdana" w:hAnsi="Verdana"/>
            <w:noProof/>
            <w:webHidden/>
            <w:sz w:val="18"/>
          </w:rPr>
          <w:t>9</w:t>
        </w:r>
        <w:r w:rsidR="00C873B7" w:rsidRPr="00C873B7">
          <w:rPr>
            <w:rFonts w:ascii="Verdana" w:hAnsi="Verdana"/>
            <w:noProof/>
            <w:webHidden/>
            <w:sz w:val="18"/>
          </w:rPr>
          <w:fldChar w:fldCharType="end"/>
        </w:r>
      </w:hyperlink>
    </w:p>
    <w:p w14:paraId="04B9974E" w14:textId="11F59578" w:rsidR="00C873B7" w:rsidRPr="00C873B7" w:rsidRDefault="001C076F" w:rsidP="000F3BE2">
      <w:pPr>
        <w:pStyle w:val="TDC1"/>
        <w:tabs>
          <w:tab w:val="right" w:pos="9350"/>
        </w:tabs>
        <w:spacing w:before="0"/>
        <w:rPr>
          <w:rFonts w:ascii="Verdana" w:eastAsiaTheme="minorEastAsia" w:hAnsi="Verdana" w:cstheme="minorBidi"/>
          <w:b w:val="0"/>
          <w:bCs w:val="0"/>
          <w:caps w:val="0"/>
          <w:noProof/>
          <w:sz w:val="18"/>
          <w:szCs w:val="20"/>
          <w:lang w:val="es-CR" w:eastAsia="es-CR"/>
        </w:rPr>
      </w:pPr>
      <w:hyperlink w:anchor="_Toc74225365" w:history="1">
        <w:r w:rsidR="00C873B7" w:rsidRPr="00C873B7">
          <w:rPr>
            <w:rStyle w:val="Hipervnculo"/>
            <w:rFonts w:ascii="Verdana" w:hAnsi="Verdana"/>
            <w:noProof/>
            <w:sz w:val="18"/>
            <w:szCs w:val="20"/>
            <w:lang w:val="es-CO"/>
          </w:rPr>
          <w:t>V PRUEBA</w:t>
        </w:r>
        <w:r w:rsidR="00C873B7" w:rsidRPr="00C873B7">
          <w:rPr>
            <w:rFonts w:ascii="Verdana" w:hAnsi="Verdana"/>
            <w:noProof/>
            <w:webHidden/>
            <w:sz w:val="18"/>
            <w:szCs w:val="20"/>
          </w:rPr>
          <w:tab/>
        </w:r>
        <w:r w:rsidR="00C873B7" w:rsidRPr="00C873B7">
          <w:rPr>
            <w:rFonts w:ascii="Verdana" w:hAnsi="Verdana"/>
            <w:noProof/>
            <w:webHidden/>
            <w:sz w:val="18"/>
            <w:szCs w:val="20"/>
          </w:rPr>
          <w:fldChar w:fldCharType="begin"/>
        </w:r>
        <w:r w:rsidR="00C873B7" w:rsidRPr="00C873B7">
          <w:rPr>
            <w:rFonts w:ascii="Verdana" w:hAnsi="Verdana"/>
            <w:noProof/>
            <w:webHidden/>
            <w:sz w:val="18"/>
            <w:szCs w:val="20"/>
          </w:rPr>
          <w:instrText xml:space="preserve"> PAGEREF _Toc74225365 \h </w:instrText>
        </w:r>
        <w:r w:rsidR="00C873B7" w:rsidRPr="00C873B7">
          <w:rPr>
            <w:rFonts w:ascii="Verdana" w:hAnsi="Verdana"/>
            <w:noProof/>
            <w:webHidden/>
            <w:sz w:val="18"/>
            <w:szCs w:val="20"/>
          </w:rPr>
        </w:r>
        <w:r w:rsidR="00C873B7" w:rsidRPr="00C873B7">
          <w:rPr>
            <w:rFonts w:ascii="Verdana" w:hAnsi="Verdana"/>
            <w:noProof/>
            <w:webHidden/>
            <w:sz w:val="18"/>
            <w:szCs w:val="20"/>
          </w:rPr>
          <w:fldChar w:fldCharType="separate"/>
        </w:r>
        <w:r w:rsidR="00EA0625">
          <w:rPr>
            <w:rFonts w:ascii="Verdana" w:hAnsi="Verdana"/>
            <w:noProof/>
            <w:webHidden/>
            <w:sz w:val="18"/>
            <w:szCs w:val="20"/>
          </w:rPr>
          <w:t>10</w:t>
        </w:r>
        <w:r w:rsidR="00C873B7" w:rsidRPr="00C873B7">
          <w:rPr>
            <w:rFonts w:ascii="Verdana" w:hAnsi="Verdana"/>
            <w:noProof/>
            <w:webHidden/>
            <w:sz w:val="18"/>
            <w:szCs w:val="20"/>
          </w:rPr>
          <w:fldChar w:fldCharType="end"/>
        </w:r>
      </w:hyperlink>
    </w:p>
    <w:p w14:paraId="5EEE3C43" w14:textId="4BE03885" w:rsidR="00C873B7" w:rsidRPr="00C873B7" w:rsidRDefault="001C076F" w:rsidP="000F3BE2">
      <w:pPr>
        <w:pStyle w:val="TDC2"/>
        <w:tabs>
          <w:tab w:val="left" w:pos="480"/>
          <w:tab w:val="right" w:pos="9350"/>
        </w:tabs>
        <w:spacing w:before="0"/>
        <w:rPr>
          <w:rFonts w:ascii="Verdana" w:eastAsiaTheme="minorEastAsia" w:hAnsi="Verdana" w:cstheme="minorBidi"/>
          <w:b w:val="0"/>
          <w:bCs w:val="0"/>
          <w:noProof/>
          <w:sz w:val="18"/>
          <w:lang w:val="es-CR" w:eastAsia="es-CR"/>
        </w:rPr>
      </w:pPr>
      <w:hyperlink w:anchor="_Toc74225366" w:history="1">
        <w:r w:rsidR="00C873B7" w:rsidRPr="00C873B7">
          <w:rPr>
            <w:rStyle w:val="Hipervnculo"/>
            <w:rFonts w:ascii="Verdana" w:hAnsi="Verdana"/>
            <w:noProof/>
            <w:sz w:val="18"/>
          </w:rPr>
          <w:t>A.</w:t>
        </w:r>
        <w:r w:rsidR="00C873B7" w:rsidRPr="00C873B7">
          <w:rPr>
            <w:rFonts w:ascii="Verdana" w:eastAsiaTheme="minorEastAsia" w:hAnsi="Verdana" w:cstheme="minorBidi"/>
            <w:b w:val="0"/>
            <w:bCs w:val="0"/>
            <w:noProof/>
            <w:sz w:val="18"/>
            <w:lang w:val="es-CR" w:eastAsia="es-CR"/>
          </w:rPr>
          <w:tab/>
        </w:r>
        <w:r w:rsidR="00C873B7" w:rsidRPr="00C873B7">
          <w:rPr>
            <w:rStyle w:val="Hipervnculo"/>
            <w:rFonts w:ascii="Verdana" w:hAnsi="Verdana"/>
            <w:noProof/>
            <w:sz w:val="18"/>
          </w:rPr>
          <w:t>Admisibilidad de la prueba documental</w:t>
        </w:r>
        <w:r w:rsidR="00C873B7" w:rsidRPr="00C873B7">
          <w:rPr>
            <w:rFonts w:ascii="Verdana" w:hAnsi="Verdana"/>
            <w:noProof/>
            <w:webHidden/>
            <w:sz w:val="18"/>
          </w:rPr>
          <w:tab/>
        </w:r>
        <w:r w:rsidR="00C873B7" w:rsidRPr="00C873B7">
          <w:rPr>
            <w:rFonts w:ascii="Verdana" w:hAnsi="Verdana"/>
            <w:noProof/>
            <w:webHidden/>
            <w:sz w:val="18"/>
          </w:rPr>
          <w:fldChar w:fldCharType="begin"/>
        </w:r>
        <w:r w:rsidR="00C873B7" w:rsidRPr="00C873B7">
          <w:rPr>
            <w:rFonts w:ascii="Verdana" w:hAnsi="Verdana"/>
            <w:noProof/>
            <w:webHidden/>
            <w:sz w:val="18"/>
          </w:rPr>
          <w:instrText xml:space="preserve"> PAGEREF _Toc74225366 \h </w:instrText>
        </w:r>
        <w:r w:rsidR="00C873B7" w:rsidRPr="00C873B7">
          <w:rPr>
            <w:rFonts w:ascii="Verdana" w:hAnsi="Verdana"/>
            <w:noProof/>
            <w:webHidden/>
            <w:sz w:val="18"/>
          </w:rPr>
        </w:r>
        <w:r w:rsidR="00C873B7" w:rsidRPr="00C873B7">
          <w:rPr>
            <w:rFonts w:ascii="Verdana" w:hAnsi="Verdana"/>
            <w:noProof/>
            <w:webHidden/>
            <w:sz w:val="18"/>
          </w:rPr>
          <w:fldChar w:fldCharType="separate"/>
        </w:r>
        <w:r w:rsidR="00EA0625">
          <w:rPr>
            <w:rFonts w:ascii="Verdana" w:hAnsi="Verdana"/>
            <w:noProof/>
            <w:webHidden/>
            <w:sz w:val="18"/>
          </w:rPr>
          <w:t>10</w:t>
        </w:r>
        <w:r w:rsidR="00C873B7" w:rsidRPr="00C873B7">
          <w:rPr>
            <w:rFonts w:ascii="Verdana" w:hAnsi="Verdana"/>
            <w:noProof/>
            <w:webHidden/>
            <w:sz w:val="18"/>
          </w:rPr>
          <w:fldChar w:fldCharType="end"/>
        </w:r>
      </w:hyperlink>
    </w:p>
    <w:p w14:paraId="748AC7A1" w14:textId="29DC10CF" w:rsidR="00C873B7" w:rsidRPr="00C873B7" w:rsidRDefault="001C076F" w:rsidP="000F3BE2">
      <w:pPr>
        <w:pStyle w:val="TDC2"/>
        <w:tabs>
          <w:tab w:val="left" w:pos="480"/>
          <w:tab w:val="right" w:pos="9350"/>
        </w:tabs>
        <w:spacing w:before="0"/>
        <w:rPr>
          <w:rFonts w:ascii="Verdana" w:eastAsiaTheme="minorEastAsia" w:hAnsi="Verdana" w:cstheme="minorBidi"/>
          <w:b w:val="0"/>
          <w:bCs w:val="0"/>
          <w:noProof/>
          <w:sz w:val="18"/>
          <w:lang w:val="es-CR" w:eastAsia="es-CR"/>
        </w:rPr>
      </w:pPr>
      <w:hyperlink w:anchor="_Toc74225367" w:history="1">
        <w:r w:rsidR="00C873B7" w:rsidRPr="00C873B7">
          <w:rPr>
            <w:rStyle w:val="Hipervnculo"/>
            <w:rFonts w:ascii="Verdana" w:hAnsi="Verdana"/>
            <w:noProof/>
            <w:sz w:val="18"/>
          </w:rPr>
          <w:t>B.</w:t>
        </w:r>
        <w:r w:rsidR="00C873B7" w:rsidRPr="00C873B7">
          <w:rPr>
            <w:rFonts w:ascii="Verdana" w:eastAsiaTheme="minorEastAsia" w:hAnsi="Verdana" w:cstheme="minorBidi"/>
            <w:b w:val="0"/>
            <w:bCs w:val="0"/>
            <w:noProof/>
            <w:sz w:val="18"/>
            <w:lang w:val="es-CR" w:eastAsia="es-CR"/>
          </w:rPr>
          <w:tab/>
        </w:r>
        <w:r w:rsidR="00C873B7" w:rsidRPr="00C873B7">
          <w:rPr>
            <w:rStyle w:val="Hipervnculo"/>
            <w:rFonts w:ascii="Verdana" w:hAnsi="Verdana"/>
            <w:noProof/>
            <w:sz w:val="18"/>
          </w:rPr>
          <w:t>Admisibilidad de la prueba testimonial y pericial</w:t>
        </w:r>
        <w:r w:rsidR="00C873B7" w:rsidRPr="00C873B7">
          <w:rPr>
            <w:rFonts w:ascii="Verdana" w:hAnsi="Verdana"/>
            <w:noProof/>
            <w:webHidden/>
            <w:sz w:val="18"/>
          </w:rPr>
          <w:tab/>
        </w:r>
        <w:r w:rsidR="00C873B7" w:rsidRPr="00C873B7">
          <w:rPr>
            <w:rFonts w:ascii="Verdana" w:hAnsi="Verdana"/>
            <w:noProof/>
            <w:webHidden/>
            <w:sz w:val="18"/>
          </w:rPr>
          <w:fldChar w:fldCharType="begin"/>
        </w:r>
        <w:r w:rsidR="00C873B7" w:rsidRPr="00C873B7">
          <w:rPr>
            <w:rFonts w:ascii="Verdana" w:hAnsi="Verdana"/>
            <w:noProof/>
            <w:webHidden/>
            <w:sz w:val="18"/>
          </w:rPr>
          <w:instrText xml:space="preserve"> PAGEREF _Toc74225367 \h </w:instrText>
        </w:r>
        <w:r w:rsidR="00C873B7" w:rsidRPr="00C873B7">
          <w:rPr>
            <w:rFonts w:ascii="Verdana" w:hAnsi="Verdana"/>
            <w:noProof/>
            <w:webHidden/>
            <w:sz w:val="18"/>
          </w:rPr>
        </w:r>
        <w:r w:rsidR="00C873B7" w:rsidRPr="00C873B7">
          <w:rPr>
            <w:rFonts w:ascii="Verdana" w:hAnsi="Verdana"/>
            <w:noProof/>
            <w:webHidden/>
            <w:sz w:val="18"/>
          </w:rPr>
          <w:fldChar w:fldCharType="separate"/>
        </w:r>
        <w:r w:rsidR="00EA0625">
          <w:rPr>
            <w:rFonts w:ascii="Verdana" w:hAnsi="Verdana"/>
            <w:noProof/>
            <w:webHidden/>
            <w:sz w:val="18"/>
          </w:rPr>
          <w:t>11</w:t>
        </w:r>
        <w:r w:rsidR="00C873B7" w:rsidRPr="00C873B7">
          <w:rPr>
            <w:rFonts w:ascii="Verdana" w:hAnsi="Verdana"/>
            <w:noProof/>
            <w:webHidden/>
            <w:sz w:val="18"/>
          </w:rPr>
          <w:fldChar w:fldCharType="end"/>
        </w:r>
      </w:hyperlink>
    </w:p>
    <w:p w14:paraId="0B195DE8" w14:textId="601FB768" w:rsidR="00C873B7" w:rsidRPr="00C873B7" w:rsidRDefault="001C076F" w:rsidP="000F3BE2">
      <w:pPr>
        <w:pStyle w:val="TDC1"/>
        <w:tabs>
          <w:tab w:val="right" w:pos="9350"/>
        </w:tabs>
        <w:spacing w:before="0"/>
        <w:rPr>
          <w:rFonts w:ascii="Verdana" w:eastAsiaTheme="minorEastAsia" w:hAnsi="Verdana" w:cstheme="minorBidi"/>
          <w:b w:val="0"/>
          <w:bCs w:val="0"/>
          <w:caps w:val="0"/>
          <w:noProof/>
          <w:sz w:val="18"/>
          <w:szCs w:val="20"/>
          <w:lang w:val="es-CR" w:eastAsia="es-CR"/>
        </w:rPr>
      </w:pPr>
      <w:hyperlink w:anchor="_Toc74225368" w:history="1">
        <w:r w:rsidR="00C873B7" w:rsidRPr="00C873B7">
          <w:rPr>
            <w:rStyle w:val="Hipervnculo"/>
            <w:rFonts w:ascii="Verdana" w:hAnsi="Verdana"/>
            <w:noProof/>
            <w:sz w:val="18"/>
            <w:szCs w:val="20"/>
            <w:lang w:val="es-CO"/>
          </w:rPr>
          <w:t>VI HECHOS</w:t>
        </w:r>
        <w:r w:rsidR="00C873B7" w:rsidRPr="00C873B7">
          <w:rPr>
            <w:rFonts w:ascii="Verdana" w:hAnsi="Verdana"/>
            <w:noProof/>
            <w:webHidden/>
            <w:sz w:val="18"/>
            <w:szCs w:val="20"/>
          </w:rPr>
          <w:tab/>
        </w:r>
        <w:r w:rsidR="00C873B7" w:rsidRPr="00C873B7">
          <w:rPr>
            <w:rFonts w:ascii="Verdana" w:hAnsi="Verdana"/>
            <w:noProof/>
            <w:webHidden/>
            <w:sz w:val="18"/>
            <w:szCs w:val="20"/>
          </w:rPr>
          <w:fldChar w:fldCharType="begin"/>
        </w:r>
        <w:r w:rsidR="00C873B7" w:rsidRPr="00C873B7">
          <w:rPr>
            <w:rFonts w:ascii="Verdana" w:hAnsi="Verdana"/>
            <w:noProof/>
            <w:webHidden/>
            <w:sz w:val="18"/>
            <w:szCs w:val="20"/>
          </w:rPr>
          <w:instrText xml:space="preserve"> PAGEREF _Toc74225368 \h </w:instrText>
        </w:r>
        <w:r w:rsidR="00C873B7" w:rsidRPr="00C873B7">
          <w:rPr>
            <w:rFonts w:ascii="Verdana" w:hAnsi="Verdana"/>
            <w:noProof/>
            <w:webHidden/>
            <w:sz w:val="18"/>
            <w:szCs w:val="20"/>
          </w:rPr>
        </w:r>
        <w:r w:rsidR="00C873B7" w:rsidRPr="00C873B7">
          <w:rPr>
            <w:rFonts w:ascii="Verdana" w:hAnsi="Verdana"/>
            <w:noProof/>
            <w:webHidden/>
            <w:sz w:val="18"/>
            <w:szCs w:val="20"/>
          </w:rPr>
          <w:fldChar w:fldCharType="separate"/>
        </w:r>
        <w:r w:rsidR="00EA0625">
          <w:rPr>
            <w:rFonts w:ascii="Verdana" w:hAnsi="Verdana"/>
            <w:noProof/>
            <w:webHidden/>
            <w:sz w:val="18"/>
            <w:szCs w:val="20"/>
          </w:rPr>
          <w:t>11</w:t>
        </w:r>
        <w:r w:rsidR="00C873B7" w:rsidRPr="00C873B7">
          <w:rPr>
            <w:rFonts w:ascii="Verdana" w:hAnsi="Verdana"/>
            <w:noProof/>
            <w:webHidden/>
            <w:sz w:val="18"/>
            <w:szCs w:val="20"/>
          </w:rPr>
          <w:fldChar w:fldCharType="end"/>
        </w:r>
      </w:hyperlink>
    </w:p>
    <w:p w14:paraId="67344ED7" w14:textId="412C098E" w:rsidR="00C873B7" w:rsidRPr="00C873B7" w:rsidRDefault="001C076F" w:rsidP="000F3BE2">
      <w:pPr>
        <w:pStyle w:val="TDC2"/>
        <w:tabs>
          <w:tab w:val="left" w:pos="480"/>
          <w:tab w:val="right" w:pos="9350"/>
        </w:tabs>
        <w:spacing w:before="0"/>
        <w:rPr>
          <w:rFonts w:ascii="Verdana" w:eastAsiaTheme="minorEastAsia" w:hAnsi="Verdana" w:cstheme="minorBidi"/>
          <w:b w:val="0"/>
          <w:bCs w:val="0"/>
          <w:noProof/>
          <w:sz w:val="18"/>
          <w:lang w:val="es-CR" w:eastAsia="es-CR"/>
        </w:rPr>
      </w:pPr>
      <w:hyperlink w:anchor="_Toc74225369" w:history="1">
        <w:r w:rsidR="00C873B7" w:rsidRPr="00C873B7">
          <w:rPr>
            <w:rStyle w:val="Hipervnculo"/>
            <w:rFonts w:ascii="Verdana" w:hAnsi="Verdana"/>
            <w:noProof/>
            <w:sz w:val="18"/>
          </w:rPr>
          <w:t>A.</w:t>
        </w:r>
        <w:r w:rsidR="00C873B7" w:rsidRPr="00C873B7">
          <w:rPr>
            <w:rFonts w:ascii="Verdana" w:eastAsiaTheme="minorEastAsia" w:hAnsi="Verdana" w:cstheme="minorBidi"/>
            <w:b w:val="0"/>
            <w:bCs w:val="0"/>
            <w:noProof/>
            <w:sz w:val="18"/>
            <w:lang w:val="es-CR" w:eastAsia="es-CR"/>
          </w:rPr>
          <w:tab/>
        </w:r>
        <w:r w:rsidR="00C873B7" w:rsidRPr="00C873B7">
          <w:rPr>
            <w:rStyle w:val="Hipervnculo"/>
            <w:rFonts w:ascii="Verdana" w:hAnsi="Verdana"/>
            <w:noProof/>
            <w:sz w:val="18"/>
          </w:rPr>
          <w:t>Marco normativo nacional relevante</w:t>
        </w:r>
        <w:r w:rsidR="00C873B7" w:rsidRPr="00C873B7">
          <w:rPr>
            <w:rFonts w:ascii="Verdana" w:hAnsi="Verdana"/>
            <w:noProof/>
            <w:webHidden/>
            <w:sz w:val="18"/>
          </w:rPr>
          <w:tab/>
        </w:r>
        <w:r w:rsidR="00C873B7" w:rsidRPr="00C873B7">
          <w:rPr>
            <w:rFonts w:ascii="Verdana" w:hAnsi="Verdana"/>
            <w:noProof/>
            <w:webHidden/>
            <w:sz w:val="18"/>
          </w:rPr>
          <w:fldChar w:fldCharType="begin"/>
        </w:r>
        <w:r w:rsidR="00C873B7" w:rsidRPr="00C873B7">
          <w:rPr>
            <w:rFonts w:ascii="Verdana" w:hAnsi="Verdana"/>
            <w:noProof/>
            <w:webHidden/>
            <w:sz w:val="18"/>
          </w:rPr>
          <w:instrText xml:space="preserve"> PAGEREF _Toc74225369 \h </w:instrText>
        </w:r>
        <w:r w:rsidR="00C873B7" w:rsidRPr="00C873B7">
          <w:rPr>
            <w:rFonts w:ascii="Verdana" w:hAnsi="Verdana"/>
            <w:noProof/>
            <w:webHidden/>
            <w:sz w:val="18"/>
          </w:rPr>
        </w:r>
        <w:r w:rsidR="00C873B7" w:rsidRPr="00C873B7">
          <w:rPr>
            <w:rFonts w:ascii="Verdana" w:hAnsi="Verdana"/>
            <w:noProof/>
            <w:webHidden/>
            <w:sz w:val="18"/>
          </w:rPr>
          <w:fldChar w:fldCharType="separate"/>
        </w:r>
        <w:r w:rsidR="00EA0625">
          <w:rPr>
            <w:rFonts w:ascii="Verdana" w:hAnsi="Verdana"/>
            <w:noProof/>
            <w:webHidden/>
            <w:sz w:val="18"/>
          </w:rPr>
          <w:t>12</w:t>
        </w:r>
        <w:r w:rsidR="00C873B7" w:rsidRPr="00C873B7">
          <w:rPr>
            <w:rFonts w:ascii="Verdana" w:hAnsi="Verdana"/>
            <w:noProof/>
            <w:webHidden/>
            <w:sz w:val="18"/>
          </w:rPr>
          <w:fldChar w:fldCharType="end"/>
        </w:r>
      </w:hyperlink>
    </w:p>
    <w:p w14:paraId="5CC18BD5" w14:textId="6A5B6A8A" w:rsidR="00C873B7" w:rsidRPr="00C873B7" w:rsidRDefault="001C076F" w:rsidP="000F3BE2">
      <w:pPr>
        <w:pStyle w:val="TDC2"/>
        <w:tabs>
          <w:tab w:val="left" w:pos="480"/>
          <w:tab w:val="right" w:pos="9350"/>
        </w:tabs>
        <w:spacing w:before="0"/>
        <w:rPr>
          <w:rFonts w:ascii="Verdana" w:eastAsiaTheme="minorEastAsia" w:hAnsi="Verdana" w:cstheme="minorBidi"/>
          <w:b w:val="0"/>
          <w:bCs w:val="0"/>
          <w:noProof/>
          <w:sz w:val="18"/>
          <w:lang w:val="es-CR" w:eastAsia="es-CR"/>
        </w:rPr>
      </w:pPr>
      <w:hyperlink w:anchor="_Toc74225370" w:history="1">
        <w:r w:rsidR="00C873B7" w:rsidRPr="00C873B7">
          <w:rPr>
            <w:rStyle w:val="Hipervnculo"/>
            <w:rFonts w:ascii="Verdana" w:hAnsi="Verdana"/>
            <w:noProof/>
            <w:sz w:val="18"/>
          </w:rPr>
          <w:t>B.</w:t>
        </w:r>
        <w:r w:rsidR="00C873B7" w:rsidRPr="00C873B7">
          <w:rPr>
            <w:rFonts w:ascii="Verdana" w:eastAsiaTheme="minorEastAsia" w:hAnsi="Verdana" w:cstheme="minorBidi"/>
            <w:b w:val="0"/>
            <w:bCs w:val="0"/>
            <w:noProof/>
            <w:sz w:val="18"/>
            <w:lang w:val="es-CR" w:eastAsia="es-CR"/>
          </w:rPr>
          <w:tab/>
        </w:r>
        <w:r w:rsidR="00C873B7" w:rsidRPr="00C873B7">
          <w:rPr>
            <w:rStyle w:val="Hipervnculo"/>
            <w:rFonts w:ascii="Verdana" w:hAnsi="Verdana"/>
            <w:noProof/>
            <w:sz w:val="18"/>
          </w:rPr>
          <w:t>Sobre la señora Moya Solís y su proceso de ratificación</w:t>
        </w:r>
        <w:r w:rsidR="00C873B7" w:rsidRPr="00C873B7">
          <w:rPr>
            <w:rFonts w:ascii="Verdana" w:hAnsi="Verdana"/>
            <w:noProof/>
            <w:webHidden/>
            <w:sz w:val="18"/>
          </w:rPr>
          <w:tab/>
        </w:r>
        <w:r w:rsidR="00C873B7" w:rsidRPr="00C873B7">
          <w:rPr>
            <w:rFonts w:ascii="Verdana" w:hAnsi="Verdana"/>
            <w:noProof/>
            <w:webHidden/>
            <w:sz w:val="18"/>
          </w:rPr>
          <w:fldChar w:fldCharType="begin"/>
        </w:r>
        <w:r w:rsidR="00C873B7" w:rsidRPr="00C873B7">
          <w:rPr>
            <w:rFonts w:ascii="Verdana" w:hAnsi="Verdana"/>
            <w:noProof/>
            <w:webHidden/>
            <w:sz w:val="18"/>
          </w:rPr>
          <w:instrText xml:space="preserve"> PAGEREF _Toc74225370 \h </w:instrText>
        </w:r>
        <w:r w:rsidR="00C873B7" w:rsidRPr="00C873B7">
          <w:rPr>
            <w:rFonts w:ascii="Verdana" w:hAnsi="Verdana"/>
            <w:noProof/>
            <w:webHidden/>
            <w:sz w:val="18"/>
          </w:rPr>
        </w:r>
        <w:r w:rsidR="00C873B7" w:rsidRPr="00C873B7">
          <w:rPr>
            <w:rFonts w:ascii="Verdana" w:hAnsi="Verdana"/>
            <w:noProof/>
            <w:webHidden/>
            <w:sz w:val="18"/>
          </w:rPr>
          <w:fldChar w:fldCharType="separate"/>
        </w:r>
        <w:r w:rsidR="00EA0625">
          <w:rPr>
            <w:rFonts w:ascii="Verdana" w:hAnsi="Verdana"/>
            <w:noProof/>
            <w:webHidden/>
            <w:sz w:val="18"/>
          </w:rPr>
          <w:t>13</w:t>
        </w:r>
        <w:r w:rsidR="00C873B7" w:rsidRPr="00C873B7">
          <w:rPr>
            <w:rFonts w:ascii="Verdana" w:hAnsi="Verdana"/>
            <w:noProof/>
            <w:webHidden/>
            <w:sz w:val="18"/>
          </w:rPr>
          <w:fldChar w:fldCharType="end"/>
        </w:r>
      </w:hyperlink>
    </w:p>
    <w:p w14:paraId="081E62A4" w14:textId="08F24ECE" w:rsidR="00C873B7" w:rsidRPr="00C873B7" w:rsidRDefault="001C076F" w:rsidP="000F3BE2">
      <w:pPr>
        <w:pStyle w:val="TDC2"/>
        <w:tabs>
          <w:tab w:val="left" w:pos="480"/>
          <w:tab w:val="right" w:pos="9350"/>
        </w:tabs>
        <w:spacing w:before="0"/>
        <w:rPr>
          <w:rFonts w:ascii="Verdana" w:eastAsiaTheme="minorEastAsia" w:hAnsi="Verdana" w:cstheme="minorBidi"/>
          <w:b w:val="0"/>
          <w:bCs w:val="0"/>
          <w:noProof/>
          <w:sz w:val="18"/>
          <w:lang w:val="es-CR" w:eastAsia="es-CR"/>
        </w:rPr>
      </w:pPr>
      <w:hyperlink w:anchor="_Toc74225371" w:history="1">
        <w:r w:rsidR="00C873B7" w:rsidRPr="00C873B7">
          <w:rPr>
            <w:rStyle w:val="Hipervnculo"/>
            <w:rFonts w:ascii="Verdana" w:hAnsi="Verdana"/>
            <w:noProof/>
            <w:sz w:val="18"/>
          </w:rPr>
          <w:t>C.</w:t>
        </w:r>
        <w:r w:rsidR="00C873B7" w:rsidRPr="00C873B7">
          <w:rPr>
            <w:rFonts w:ascii="Verdana" w:eastAsiaTheme="minorEastAsia" w:hAnsi="Verdana" w:cstheme="minorBidi"/>
            <w:b w:val="0"/>
            <w:bCs w:val="0"/>
            <w:noProof/>
            <w:sz w:val="18"/>
            <w:lang w:val="es-CR" w:eastAsia="es-CR"/>
          </w:rPr>
          <w:tab/>
        </w:r>
        <w:r w:rsidR="00C873B7" w:rsidRPr="00C873B7">
          <w:rPr>
            <w:rStyle w:val="Hipervnculo"/>
            <w:rFonts w:ascii="Verdana" w:hAnsi="Verdana"/>
            <w:noProof/>
            <w:sz w:val="18"/>
          </w:rPr>
          <w:t>Recursos interpuestos por la señora Moya Solís</w:t>
        </w:r>
        <w:r w:rsidR="00C873B7" w:rsidRPr="00C873B7">
          <w:rPr>
            <w:rFonts w:ascii="Verdana" w:hAnsi="Verdana"/>
            <w:noProof/>
            <w:webHidden/>
            <w:sz w:val="18"/>
          </w:rPr>
          <w:tab/>
        </w:r>
        <w:r w:rsidR="00C873B7" w:rsidRPr="00C873B7">
          <w:rPr>
            <w:rFonts w:ascii="Verdana" w:hAnsi="Verdana"/>
            <w:noProof/>
            <w:webHidden/>
            <w:sz w:val="18"/>
          </w:rPr>
          <w:fldChar w:fldCharType="begin"/>
        </w:r>
        <w:r w:rsidR="00C873B7" w:rsidRPr="00C873B7">
          <w:rPr>
            <w:rFonts w:ascii="Verdana" w:hAnsi="Verdana"/>
            <w:noProof/>
            <w:webHidden/>
            <w:sz w:val="18"/>
          </w:rPr>
          <w:instrText xml:space="preserve"> PAGEREF _Toc74225371 \h </w:instrText>
        </w:r>
        <w:r w:rsidR="00C873B7" w:rsidRPr="00C873B7">
          <w:rPr>
            <w:rFonts w:ascii="Verdana" w:hAnsi="Verdana"/>
            <w:noProof/>
            <w:webHidden/>
            <w:sz w:val="18"/>
          </w:rPr>
        </w:r>
        <w:r w:rsidR="00C873B7" w:rsidRPr="00C873B7">
          <w:rPr>
            <w:rFonts w:ascii="Verdana" w:hAnsi="Verdana"/>
            <w:noProof/>
            <w:webHidden/>
            <w:sz w:val="18"/>
          </w:rPr>
          <w:fldChar w:fldCharType="separate"/>
        </w:r>
        <w:r w:rsidR="00EA0625">
          <w:rPr>
            <w:rFonts w:ascii="Verdana" w:hAnsi="Verdana"/>
            <w:noProof/>
            <w:webHidden/>
            <w:sz w:val="18"/>
          </w:rPr>
          <w:t>14</w:t>
        </w:r>
        <w:r w:rsidR="00C873B7" w:rsidRPr="00C873B7">
          <w:rPr>
            <w:rFonts w:ascii="Verdana" w:hAnsi="Verdana"/>
            <w:noProof/>
            <w:webHidden/>
            <w:sz w:val="18"/>
          </w:rPr>
          <w:fldChar w:fldCharType="end"/>
        </w:r>
      </w:hyperlink>
    </w:p>
    <w:p w14:paraId="10BAF583" w14:textId="66EC60C0" w:rsidR="00C873B7" w:rsidRPr="00C873B7" w:rsidRDefault="001C076F" w:rsidP="000F3BE2">
      <w:pPr>
        <w:pStyle w:val="TDC3"/>
        <w:tabs>
          <w:tab w:val="right" w:pos="9350"/>
        </w:tabs>
        <w:rPr>
          <w:rFonts w:ascii="Verdana" w:eastAsiaTheme="minorEastAsia" w:hAnsi="Verdana" w:cstheme="minorBidi"/>
          <w:noProof/>
          <w:sz w:val="18"/>
          <w:lang w:val="es-CR" w:eastAsia="es-CR"/>
        </w:rPr>
      </w:pPr>
      <w:hyperlink w:anchor="_Toc74225372" w:history="1">
        <w:r w:rsidR="00C873B7" w:rsidRPr="00C873B7">
          <w:rPr>
            <w:rStyle w:val="Hipervnculo"/>
            <w:rFonts w:ascii="Verdana" w:hAnsi="Verdana"/>
            <w:noProof/>
            <w:sz w:val="18"/>
          </w:rPr>
          <w:t>C.1 Recurso de Revisión</w:t>
        </w:r>
        <w:r w:rsidR="00C873B7" w:rsidRPr="00C873B7">
          <w:rPr>
            <w:rFonts w:ascii="Verdana" w:hAnsi="Verdana"/>
            <w:noProof/>
            <w:webHidden/>
            <w:sz w:val="18"/>
          </w:rPr>
          <w:tab/>
        </w:r>
        <w:r w:rsidR="00C873B7" w:rsidRPr="00C873B7">
          <w:rPr>
            <w:rFonts w:ascii="Verdana" w:hAnsi="Verdana"/>
            <w:noProof/>
            <w:webHidden/>
            <w:sz w:val="18"/>
          </w:rPr>
          <w:fldChar w:fldCharType="begin"/>
        </w:r>
        <w:r w:rsidR="00C873B7" w:rsidRPr="00C873B7">
          <w:rPr>
            <w:rFonts w:ascii="Verdana" w:hAnsi="Verdana"/>
            <w:noProof/>
            <w:webHidden/>
            <w:sz w:val="18"/>
          </w:rPr>
          <w:instrText xml:space="preserve"> PAGEREF _Toc74225372 \h </w:instrText>
        </w:r>
        <w:r w:rsidR="00C873B7" w:rsidRPr="00C873B7">
          <w:rPr>
            <w:rFonts w:ascii="Verdana" w:hAnsi="Verdana"/>
            <w:noProof/>
            <w:webHidden/>
            <w:sz w:val="18"/>
          </w:rPr>
        </w:r>
        <w:r w:rsidR="00C873B7" w:rsidRPr="00C873B7">
          <w:rPr>
            <w:rFonts w:ascii="Verdana" w:hAnsi="Verdana"/>
            <w:noProof/>
            <w:webHidden/>
            <w:sz w:val="18"/>
          </w:rPr>
          <w:fldChar w:fldCharType="separate"/>
        </w:r>
        <w:r w:rsidR="00EA0625">
          <w:rPr>
            <w:rFonts w:ascii="Verdana" w:hAnsi="Verdana"/>
            <w:noProof/>
            <w:webHidden/>
            <w:sz w:val="18"/>
          </w:rPr>
          <w:t>14</w:t>
        </w:r>
        <w:r w:rsidR="00C873B7" w:rsidRPr="00C873B7">
          <w:rPr>
            <w:rFonts w:ascii="Verdana" w:hAnsi="Verdana"/>
            <w:noProof/>
            <w:webHidden/>
            <w:sz w:val="18"/>
          </w:rPr>
          <w:fldChar w:fldCharType="end"/>
        </w:r>
      </w:hyperlink>
    </w:p>
    <w:p w14:paraId="6F696473" w14:textId="5380E9B6" w:rsidR="00C873B7" w:rsidRPr="00C873B7" w:rsidRDefault="001C076F" w:rsidP="000F3BE2">
      <w:pPr>
        <w:pStyle w:val="TDC3"/>
        <w:tabs>
          <w:tab w:val="right" w:pos="9350"/>
        </w:tabs>
        <w:rPr>
          <w:rFonts w:ascii="Verdana" w:eastAsiaTheme="minorEastAsia" w:hAnsi="Verdana" w:cstheme="minorBidi"/>
          <w:noProof/>
          <w:sz w:val="18"/>
          <w:lang w:val="es-CR" w:eastAsia="es-CR"/>
        </w:rPr>
      </w:pPr>
      <w:hyperlink w:anchor="_Toc74225373" w:history="1">
        <w:r w:rsidR="00C873B7" w:rsidRPr="00C873B7">
          <w:rPr>
            <w:rStyle w:val="Hipervnculo"/>
            <w:rFonts w:ascii="Verdana" w:hAnsi="Verdana"/>
            <w:noProof/>
            <w:sz w:val="18"/>
          </w:rPr>
          <w:t>C.2 Primer recurso de amparo</w:t>
        </w:r>
        <w:r w:rsidR="00C873B7" w:rsidRPr="00C873B7">
          <w:rPr>
            <w:rFonts w:ascii="Verdana" w:hAnsi="Verdana"/>
            <w:noProof/>
            <w:webHidden/>
            <w:sz w:val="18"/>
          </w:rPr>
          <w:tab/>
        </w:r>
        <w:r w:rsidR="00C873B7" w:rsidRPr="00C873B7">
          <w:rPr>
            <w:rFonts w:ascii="Verdana" w:hAnsi="Verdana"/>
            <w:noProof/>
            <w:webHidden/>
            <w:sz w:val="18"/>
          </w:rPr>
          <w:fldChar w:fldCharType="begin"/>
        </w:r>
        <w:r w:rsidR="00C873B7" w:rsidRPr="00C873B7">
          <w:rPr>
            <w:rFonts w:ascii="Verdana" w:hAnsi="Verdana"/>
            <w:noProof/>
            <w:webHidden/>
            <w:sz w:val="18"/>
          </w:rPr>
          <w:instrText xml:space="preserve"> PAGEREF _Toc74225373 \h </w:instrText>
        </w:r>
        <w:r w:rsidR="00C873B7" w:rsidRPr="00C873B7">
          <w:rPr>
            <w:rFonts w:ascii="Verdana" w:hAnsi="Verdana"/>
            <w:noProof/>
            <w:webHidden/>
            <w:sz w:val="18"/>
          </w:rPr>
        </w:r>
        <w:r w:rsidR="00C873B7" w:rsidRPr="00C873B7">
          <w:rPr>
            <w:rFonts w:ascii="Verdana" w:hAnsi="Verdana"/>
            <w:noProof/>
            <w:webHidden/>
            <w:sz w:val="18"/>
          </w:rPr>
          <w:fldChar w:fldCharType="separate"/>
        </w:r>
        <w:r w:rsidR="00EA0625">
          <w:rPr>
            <w:rFonts w:ascii="Verdana" w:hAnsi="Verdana"/>
            <w:noProof/>
            <w:webHidden/>
            <w:sz w:val="18"/>
          </w:rPr>
          <w:t>15</w:t>
        </w:r>
        <w:r w:rsidR="00C873B7" w:rsidRPr="00C873B7">
          <w:rPr>
            <w:rFonts w:ascii="Verdana" w:hAnsi="Verdana"/>
            <w:noProof/>
            <w:webHidden/>
            <w:sz w:val="18"/>
          </w:rPr>
          <w:fldChar w:fldCharType="end"/>
        </w:r>
      </w:hyperlink>
    </w:p>
    <w:p w14:paraId="393F8305" w14:textId="709F2284" w:rsidR="00C873B7" w:rsidRPr="00C873B7" w:rsidRDefault="001C076F" w:rsidP="000F3BE2">
      <w:pPr>
        <w:pStyle w:val="TDC3"/>
        <w:tabs>
          <w:tab w:val="right" w:pos="9350"/>
        </w:tabs>
        <w:rPr>
          <w:rFonts w:ascii="Verdana" w:eastAsiaTheme="minorEastAsia" w:hAnsi="Verdana" w:cstheme="minorBidi"/>
          <w:noProof/>
          <w:sz w:val="18"/>
          <w:lang w:val="es-CR" w:eastAsia="es-CR"/>
        </w:rPr>
      </w:pPr>
      <w:hyperlink w:anchor="_Toc74225374" w:history="1">
        <w:r w:rsidR="00C873B7" w:rsidRPr="00C873B7">
          <w:rPr>
            <w:rStyle w:val="Hipervnculo"/>
            <w:rFonts w:ascii="Verdana" w:hAnsi="Verdana"/>
            <w:noProof/>
            <w:sz w:val="18"/>
          </w:rPr>
          <w:t>C.3 Segundo fallo de amparo</w:t>
        </w:r>
        <w:r w:rsidR="00C873B7" w:rsidRPr="00C873B7">
          <w:rPr>
            <w:rFonts w:ascii="Verdana" w:hAnsi="Verdana"/>
            <w:noProof/>
            <w:webHidden/>
            <w:sz w:val="18"/>
          </w:rPr>
          <w:tab/>
        </w:r>
        <w:r w:rsidR="00C873B7" w:rsidRPr="00C873B7">
          <w:rPr>
            <w:rFonts w:ascii="Verdana" w:hAnsi="Verdana"/>
            <w:noProof/>
            <w:webHidden/>
            <w:sz w:val="18"/>
          </w:rPr>
          <w:fldChar w:fldCharType="begin"/>
        </w:r>
        <w:r w:rsidR="00C873B7" w:rsidRPr="00C873B7">
          <w:rPr>
            <w:rFonts w:ascii="Verdana" w:hAnsi="Verdana"/>
            <w:noProof/>
            <w:webHidden/>
            <w:sz w:val="18"/>
          </w:rPr>
          <w:instrText xml:space="preserve"> PAGEREF _Toc74225374 \h </w:instrText>
        </w:r>
        <w:r w:rsidR="00C873B7" w:rsidRPr="00C873B7">
          <w:rPr>
            <w:rFonts w:ascii="Verdana" w:hAnsi="Verdana"/>
            <w:noProof/>
            <w:webHidden/>
            <w:sz w:val="18"/>
          </w:rPr>
        </w:r>
        <w:r w:rsidR="00C873B7" w:rsidRPr="00C873B7">
          <w:rPr>
            <w:rFonts w:ascii="Verdana" w:hAnsi="Verdana"/>
            <w:noProof/>
            <w:webHidden/>
            <w:sz w:val="18"/>
          </w:rPr>
          <w:fldChar w:fldCharType="separate"/>
        </w:r>
        <w:r w:rsidR="00EA0625">
          <w:rPr>
            <w:rFonts w:ascii="Verdana" w:hAnsi="Verdana"/>
            <w:noProof/>
            <w:webHidden/>
            <w:sz w:val="18"/>
          </w:rPr>
          <w:t>16</w:t>
        </w:r>
        <w:r w:rsidR="00C873B7" w:rsidRPr="00C873B7">
          <w:rPr>
            <w:rFonts w:ascii="Verdana" w:hAnsi="Verdana"/>
            <w:noProof/>
            <w:webHidden/>
            <w:sz w:val="18"/>
          </w:rPr>
          <w:fldChar w:fldCharType="end"/>
        </w:r>
      </w:hyperlink>
    </w:p>
    <w:p w14:paraId="54921861" w14:textId="77B5C6B9" w:rsidR="00C873B7" w:rsidRPr="00C873B7" w:rsidRDefault="001C076F" w:rsidP="000F3BE2">
      <w:pPr>
        <w:pStyle w:val="TDC1"/>
        <w:tabs>
          <w:tab w:val="right" w:pos="9350"/>
        </w:tabs>
        <w:spacing w:before="0"/>
        <w:rPr>
          <w:rFonts w:ascii="Verdana" w:eastAsiaTheme="minorEastAsia" w:hAnsi="Verdana" w:cstheme="minorBidi"/>
          <w:b w:val="0"/>
          <w:bCs w:val="0"/>
          <w:caps w:val="0"/>
          <w:noProof/>
          <w:sz w:val="18"/>
          <w:szCs w:val="20"/>
          <w:lang w:val="es-CR" w:eastAsia="es-CR"/>
        </w:rPr>
      </w:pPr>
      <w:hyperlink w:anchor="_Toc74225375" w:history="1">
        <w:r w:rsidR="00C873B7" w:rsidRPr="00C873B7">
          <w:rPr>
            <w:rStyle w:val="Hipervnculo"/>
            <w:rFonts w:ascii="Verdana" w:hAnsi="Verdana"/>
            <w:noProof/>
            <w:sz w:val="18"/>
            <w:szCs w:val="20"/>
            <w:lang w:val="es-CO"/>
          </w:rPr>
          <w:t>VII FONDO</w:t>
        </w:r>
        <w:r w:rsidR="00C873B7" w:rsidRPr="00C873B7">
          <w:rPr>
            <w:rFonts w:ascii="Verdana" w:hAnsi="Verdana"/>
            <w:noProof/>
            <w:webHidden/>
            <w:sz w:val="18"/>
            <w:szCs w:val="20"/>
          </w:rPr>
          <w:tab/>
        </w:r>
        <w:r w:rsidR="00C873B7" w:rsidRPr="00C873B7">
          <w:rPr>
            <w:rFonts w:ascii="Verdana" w:hAnsi="Verdana"/>
            <w:noProof/>
            <w:webHidden/>
            <w:sz w:val="18"/>
            <w:szCs w:val="20"/>
          </w:rPr>
          <w:fldChar w:fldCharType="begin"/>
        </w:r>
        <w:r w:rsidR="00C873B7" w:rsidRPr="00C873B7">
          <w:rPr>
            <w:rFonts w:ascii="Verdana" w:hAnsi="Verdana"/>
            <w:noProof/>
            <w:webHidden/>
            <w:sz w:val="18"/>
            <w:szCs w:val="20"/>
          </w:rPr>
          <w:instrText xml:space="preserve"> PAGEREF _Toc74225375 \h </w:instrText>
        </w:r>
        <w:r w:rsidR="00C873B7" w:rsidRPr="00C873B7">
          <w:rPr>
            <w:rFonts w:ascii="Verdana" w:hAnsi="Verdana"/>
            <w:noProof/>
            <w:webHidden/>
            <w:sz w:val="18"/>
            <w:szCs w:val="20"/>
          </w:rPr>
        </w:r>
        <w:r w:rsidR="00C873B7" w:rsidRPr="00C873B7">
          <w:rPr>
            <w:rFonts w:ascii="Verdana" w:hAnsi="Verdana"/>
            <w:noProof/>
            <w:webHidden/>
            <w:sz w:val="18"/>
            <w:szCs w:val="20"/>
          </w:rPr>
          <w:fldChar w:fldCharType="separate"/>
        </w:r>
        <w:r w:rsidR="00EA0625">
          <w:rPr>
            <w:rFonts w:ascii="Verdana" w:hAnsi="Verdana"/>
            <w:noProof/>
            <w:webHidden/>
            <w:sz w:val="18"/>
            <w:szCs w:val="20"/>
          </w:rPr>
          <w:t>17</w:t>
        </w:r>
        <w:r w:rsidR="00C873B7" w:rsidRPr="00C873B7">
          <w:rPr>
            <w:rFonts w:ascii="Verdana" w:hAnsi="Verdana"/>
            <w:noProof/>
            <w:webHidden/>
            <w:sz w:val="18"/>
            <w:szCs w:val="20"/>
          </w:rPr>
          <w:fldChar w:fldCharType="end"/>
        </w:r>
      </w:hyperlink>
    </w:p>
    <w:p w14:paraId="03BE189C" w14:textId="70CF4E53" w:rsidR="00C873B7" w:rsidRPr="00C873B7" w:rsidRDefault="001C076F" w:rsidP="000F3BE2">
      <w:pPr>
        <w:pStyle w:val="TDC1"/>
        <w:tabs>
          <w:tab w:val="right" w:pos="9350"/>
        </w:tabs>
        <w:spacing w:before="0"/>
        <w:rPr>
          <w:rFonts w:ascii="Verdana" w:eastAsiaTheme="minorEastAsia" w:hAnsi="Verdana" w:cstheme="minorBidi"/>
          <w:b w:val="0"/>
          <w:bCs w:val="0"/>
          <w:caps w:val="0"/>
          <w:noProof/>
          <w:sz w:val="18"/>
          <w:szCs w:val="20"/>
          <w:lang w:val="es-CR" w:eastAsia="es-CR"/>
        </w:rPr>
      </w:pPr>
      <w:hyperlink w:anchor="_Toc74225376" w:history="1">
        <w:r w:rsidR="00C873B7" w:rsidRPr="00C873B7">
          <w:rPr>
            <w:rStyle w:val="Hipervnculo"/>
            <w:rFonts w:ascii="Verdana" w:hAnsi="Verdana"/>
            <w:noProof/>
            <w:sz w:val="18"/>
            <w:szCs w:val="20"/>
            <w:lang w:val="es-CO"/>
          </w:rPr>
          <w:t>VII-1 GARANTÍAS JUDICIALES Y PRINCIPIO DE LEGALIDAD</w:t>
        </w:r>
        <w:r w:rsidR="00C873B7" w:rsidRPr="00C873B7">
          <w:rPr>
            <w:rFonts w:ascii="Verdana" w:hAnsi="Verdana"/>
            <w:noProof/>
            <w:webHidden/>
            <w:sz w:val="18"/>
            <w:szCs w:val="20"/>
          </w:rPr>
          <w:tab/>
        </w:r>
        <w:r w:rsidR="00C873B7" w:rsidRPr="00C873B7">
          <w:rPr>
            <w:rFonts w:ascii="Verdana" w:hAnsi="Verdana"/>
            <w:noProof/>
            <w:webHidden/>
            <w:sz w:val="18"/>
            <w:szCs w:val="20"/>
          </w:rPr>
          <w:fldChar w:fldCharType="begin"/>
        </w:r>
        <w:r w:rsidR="00C873B7" w:rsidRPr="00C873B7">
          <w:rPr>
            <w:rFonts w:ascii="Verdana" w:hAnsi="Verdana"/>
            <w:noProof/>
            <w:webHidden/>
            <w:sz w:val="18"/>
            <w:szCs w:val="20"/>
          </w:rPr>
          <w:instrText xml:space="preserve"> PAGEREF _Toc74225376 \h </w:instrText>
        </w:r>
        <w:r w:rsidR="00C873B7" w:rsidRPr="00C873B7">
          <w:rPr>
            <w:rFonts w:ascii="Verdana" w:hAnsi="Verdana"/>
            <w:noProof/>
            <w:webHidden/>
            <w:sz w:val="18"/>
            <w:szCs w:val="20"/>
          </w:rPr>
        </w:r>
        <w:r w:rsidR="00C873B7" w:rsidRPr="00C873B7">
          <w:rPr>
            <w:rFonts w:ascii="Verdana" w:hAnsi="Verdana"/>
            <w:noProof/>
            <w:webHidden/>
            <w:sz w:val="18"/>
            <w:szCs w:val="20"/>
          </w:rPr>
          <w:fldChar w:fldCharType="separate"/>
        </w:r>
        <w:r w:rsidR="00EA0625">
          <w:rPr>
            <w:rFonts w:ascii="Verdana" w:hAnsi="Verdana"/>
            <w:noProof/>
            <w:webHidden/>
            <w:sz w:val="18"/>
            <w:szCs w:val="20"/>
          </w:rPr>
          <w:t>17</w:t>
        </w:r>
        <w:r w:rsidR="00C873B7" w:rsidRPr="00C873B7">
          <w:rPr>
            <w:rFonts w:ascii="Verdana" w:hAnsi="Verdana"/>
            <w:noProof/>
            <w:webHidden/>
            <w:sz w:val="18"/>
            <w:szCs w:val="20"/>
          </w:rPr>
          <w:fldChar w:fldCharType="end"/>
        </w:r>
      </w:hyperlink>
    </w:p>
    <w:p w14:paraId="2EC2C435" w14:textId="1FD933F3" w:rsidR="00C873B7" w:rsidRPr="00C873B7" w:rsidRDefault="001C076F" w:rsidP="000F3BE2">
      <w:pPr>
        <w:pStyle w:val="TDC2"/>
        <w:tabs>
          <w:tab w:val="left" w:pos="480"/>
          <w:tab w:val="right" w:pos="9350"/>
        </w:tabs>
        <w:spacing w:before="0"/>
        <w:rPr>
          <w:rFonts w:ascii="Verdana" w:eastAsiaTheme="minorEastAsia" w:hAnsi="Verdana" w:cstheme="minorBidi"/>
          <w:b w:val="0"/>
          <w:bCs w:val="0"/>
          <w:noProof/>
          <w:sz w:val="18"/>
          <w:lang w:val="es-CR" w:eastAsia="es-CR"/>
        </w:rPr>
      </w:pPr>
      <w:hyperlink w:anchor="_Toc74225377" w:history="1">
        <w:r w:rsidR="00C873B7" w:rsidRPr="00C873B7">
          <w:rPr>
            <w:rStyle w:val="Hipervnculo"/>
            <w:rFonts w:ascii="Verdana" w:hAnsi="Verdana"/>
            <w:noProof/>
            <w:sz w:val="18"/>
          </w:rPr>
          <w:t>A.</w:t>
        </w:r>
        <w:r w:rsidR="00C873B7" w:rsidRPr="00C873B7">
          <w:rPr>
            <w:rFonts w:ascii="Verdana" w:eastAsiaTheme="minorEastAsia" w:hAnsi="Verdana" w:cstheme="minorBidi"/>
            <w:b w:val="0"/>
            <w:bCs w:val="0"/>
            <w:noProof/>
            <w:sz w:val="18"/>
            <w:lang w:val="es-CR" w:eastAsia="es-CR"/>
          </w:rPr>
          <w:tab/>
        </w:r>
        <w:r w:rsidR="00C873B7" w:rsidRPr="00C873B7">
          <w:rPr>
            <w:rStyle w:val="Hipervnculo"/>
            <w:rFonts w:ascii="Verdana" w:hAnsi="Verdana"/>
            <w:noProof/>
            <w:sz w:val="18"/>
          </w:rPr>
          <w:t>Alegatos de las partes y de la Comisión</w:t>
        </w:r>
        <w:r w:rsidR="00C873B7" w:rsidRPr="00C873B7">
          <w:rPr>
            <w:rFonts w:ascii="Verdana" w:hAnsi="Verdana"/>
            <w:noProof/>
            <w:webHidden/>
            <w:sz w:val="18"/>
          </w:rPr>
          <w:tab/>
        </w:r>
        <w:r w:rsidR="00C873B7" w:rsidRPr="00C873B7">
          <w:rPr>
            <w:rFonts w:ascii="Verdana" w:hAnsi="Verdana"/>
            <w:noProof/>
            <w:webHidden/>
            <w:sz w:val="18"/>
          </w:rPr>
          <w:fldChar w:fldCharType="begin"/>
        </w:r>
        <w:r w:rsidR="00C873B7" w:rsidRPr="00C873B7">
          <w:rPr>
            <w:rFonts w:ascii="Verdana" w:hAnsi="Verdana"/>
            <w:noProof/>
            <w:webHidden/>
            <w:sz w:val="18"/>
          </w:rPr>
          <w:instrText xml:space="preserve"> PAGEREF _Toc74225377 \h </w:instrText>
        </w:r>
        <w:r w:rsidR="00C873B7" w:rsidRPr="00C873B7">
          <w:rPr>
            <w:rFonts w:ascii="Verdana" w:hAnsi="Verdana"/>
            <w:noProof/>
            <w:webHidden/>
            <w:sz w:val="18"/>
          </w:rPr>
        </w:r>
        <w:r w:rsidR="00C873B7" w:rsidRPr="00C873B7">
          <w:rPr>
            <w:rFonts w:ascii="Verdana" w:hAnsi="Verdana"/>
            <w:noProof/>
            <w:webHidden/>
            <w:sz w:val="18"/>
          </w:rPr>
          <w:fldChar w:fldCharType="separate"/>
        </w:r>
        <w:r w:rsidR="00EA0625">
          <w:rPr>
            <w:rFonts w:ascii="Verdana" w:hAnsi="Verdana"/>
            <w:noProof/>
            <w:webHidden/>
            <w:sz w:val="18"/>
          </w:rPr>
          <w:t>17</w:t>
        </w:r>
        <w:r w:rsidR="00C873B7" w:rsidRPr="00C873B7">
          <w:rPr>
            <w:rFonts w:ascii="Verdana" w:hAnsi="Verdana"/>
            <w:noProof/>
            <w:webHidden/>
            <w:sz w:val="18"/>
          </w:rPr>
          <w:fldChar w:fldCharType="end"/>
        </w:r>
      </w:hyperlink>
    </w:p>
    <w:p w14:paraId="00EDED30" w14:textId="2EB1CE21" w:rsidR="00C873B7" w:rsidRPr="00C873B7" w:rsidRDefault="001C076F" w:rsidP="000F3BE2">
      <w:pPr>
        <w:pStyle w:val="TDC2"/>
        <w:tabs>
          <w:tab w:val="left" w:pos="480"/>
          <w:tab w:val="right" w:pos="9350"/>
        </w:tabs>
        <w:spacing w:before="0"/>
        <w:rPr>
          <w:rFonts w:ascii="Verdana" w:eastAsiaTheme="minorEastAsia" w:hAnsi="Verdana" w:cstheme="minorBidi"/>
          <w:b w:val="0"/>
          <w:bCs w:val="0"/>
          <w:noProof/>
          <w:sz w:val="18"/>
          <w:lang w:val="es-CR" w:eastAsia="es-CR"/>
        </w:rPr>
      </w:pPr>
      <w:hyperlink w:anchor="_Toc74225378" w:history="1">
        <w:r w:rsidR="00C873B7" w:rsidRPr="00C873B7">
          <w:rPr>
            <w:rStyle w:val="Hipervnculo"/>
            <w:rFonts w:ascii="Verdana" w:hAnsi="Verdana"/>
            <w:noProof/>
            <w:sz w:val="18"/>
          </w:rPr>
          <w:t>B.</w:t>
        </w:r>
        <w:r w:rsidR="00C873B7" w:rsidRPr="00C873B7">
          <w:rPr>
            <w:rFonts w:ascii="Verdana" w:eastAsiaTheme="minorEastAsia" w:hAnsi="Verdana" w:cstheme="minorBidi"/>
            <w:b w:val="0"/>
            <w:bCs w:val="0"/>
            <w:noProof/>
            <w:sz w:val="18"/>
            <w:lang w:val="es-CR" w:eastAsia="es-CR"/>
          </w:rPr>
          <w:tab/>
        </w:r>
        <w:r w:rsidR="00C873B7" w:rsidRPr="00C873B7">
          <w:rPr>
            <w:rStyle w:val="Hipervnculo"/>
            <w:rFonts w:ascii="Verdana" w:hAnsi="Verdana"/>
            <w:noProof/>
            <w:sz w:val="18"/>
          </w:rPr>
          <w:t>Consideraciones de la Corte</w:t>
        </w:r>
        <w:r w:rsidR="00C873B7" w:rsidRPr="00C873B7">
          <w:rPr>
            <w:rFonts w:ascii="Verdana" w:hAnsi="Verdana"/>
            <w:noProof/>
            <w:webHidden/>
            <w:sz w:val="18"/>
          </w:rPr>
          <w:tab/>
        </w:r>
        <w:r w:rsidR="00C873B7" w:rsidRPr="00C873B7">
          <w:rPr>
            <w:rFonts w:ascii="Verdana" w:hAnsi="Verdana"/>
            <w:noProof/>
            <w:webHidden/>
            <w:sz w:val="18"/>
          </w:rPr>
          <w:fldChar w:fldCharType="begin"/>
        </w:r>
        <w:r w:rsidR="00C873B7" w:rsidRPr="00C873B7">
          <w:rPr>
            <w:rFonts w:ascii="Verdana" w:hAnsi="Verdana"/>
            <w:noProof/>
            <w:webHidden/>
            <w:sz w:val="18"/>
          </w:rPr>
          <w:instrText xml:space="preserve"> PAGEREF _Toc74225378 \h </w:instrText>
        </w:r>
        <w:r w:rsidR="00C873B7" w:rsidRPr="00C873B7">
          <w:rPr>
            <w:rFonts w:ascii="Verdana" w:hAnsi="Verdana"/>
            <w:noProof/>
            <w:webHidden/>
            <w:sz w:val="18"/>
          </w:rPr>
        </w:r>
        <w:r w:rsidR="00C873B7" w:rsidRPr="00C873B7">
          <w:rPr>
            <w:rFonts w:ascii="Verdana" w:hAnsi="Verdana"/>
            <w:noProof/>
            <w:webHidden/>
            <w:sz w:val="18"/>
          </w:rPr>
          <w:fldChar w:fldCharType="separate"/>
        </w:r>
        <w:r w:rsidR="00EA0625">
          <w:rPr>
            <w:rFonts w:ascii="Verdana" w:hAnsi="Verdana"/>
            <w:noProof/>
            <w:webHidden/>
            <w:sz w:val="18"/>
          </w:rPr>
          <w:t>18</w:t>
        </w:r>
        <w:r w:rsidR="00C873B7" w:rsidRPr="00C873B7">
          <w:rPr>
            <w:rFonts w:ascii="Verdana" w:hAnsi="Verdana"/>
            <w:noProof/>
            <w:webHidden/>
            <w:sz w:val="18"/>
          </w:rPr>
          <w:fldChar w:fldCharType="end"/>
        </w:r>
      </w:hyperlink>
    </w:p>
    <w:p w14:paraId="42B10C4D" w14:textId="667E0EF2" w:rsidR="00C873B7" w:rsidRPr="00C873B7" w:rsidRDefault="001C076F" w:rsidP="000F3BE2">
      <w:pPr>
        <w:pStyle w:val="TDC3"/>
        <w:tabs>
          <w:tab w:val="right" w:pos="9350"/>
        </w:tabs>
        <w:rPr>
          <w:rFonts w:ascii="Verdana" w:eastAsiaTheme="minorEastAsia" w:hAnsi="Verdana" w:cstheme="minorBidi"/>
          <w:noProof/>
          <w:sz w:val="18"/>
          <w:lang w:val="es-CR" w:eastAsia="es-CR"/>
        </w:rPr>
      </w:pPr>
      <w:hyperlink w:anchor="_Toc74225379" w:history="1">
        <w:r w:rsidR="00C873B7" w:rsidRPr="00C873B7">
          <w:rPr>
            <w:rStyle w:val="Hipervnculo"/>
            <w:rFonts w:ascii="Verdana" w:hAnsi="Verdana"/>
            <w:noProof/>
            <w:sz w:val="18"/>
          </w:rPr>
          <w:t>B.1 En relación con el derecho a conocer previa y detalladamente la acusación formulada y a contar con el tiempo y los medios adecuados para preparar la defensa</w:t>
        </w:r>
        <w:r w:rsidR="00C873B7" w:rsidRPr="00C873B7">
          <w:rPr>
            <w:rFonts w:ascii="Verdana" w:hAnsi="Verdana"/>
            <w:noProof/>
            <w:webHidden/>
            <w:sz w:val="18"/>
          </w:rPr>
          <w:tab/>
        </w:r>
        <w:r w:rsidR="00C873B7" w:rsidRPr="00C873B7">
          <w:rPr>
            <w:rFonts w:ascii="Verdana" w:hAnsi="Verdana"/>
            <w:noProof/>
            <w:webHidden/>
            <w:sz w:val="18"/>
          </w:rPr>
          <w:fldChar w:fldCharType="begin"/>
        </w:r>
        <w:r w:rsidR="00C873B7" w:rsidRPr="00C873B7">
          <w:rPr>
            <w:rFonts w:ascii="Verdana" w:hAnsi="Verdana"/>
            <w:noProof/>
            <w:webHidden/>
            <w:sz w:val="18"/>
          </w:rPr>
          <w:instrText xml:space="preserve"> PAGEREF _Toc74225379 \h </w:instrText>
        </w:r>
        <w:r w:rsidR="00C873B7" w:rsidRPr="00C873B7">
          <w:rPr>
            <w:rFonts w:ascii="Verdana" w:hAnsi="Verdana"/>
            <w:noProof/>
            <w:webHidden/>
            <w:sz w:val="18"/>
          </w:rPr>
        </w:r>
        <w:r w:rsidR="00C873B7" w:rsidRPr="00C873B7">
          <w:rPr>
            <w:rFonts w:ascii="Verdana" w:hAnsi="Verdana"/>
            <w:noProof/>
            <w:webHidden/>
            <w:sz w:val="18"/>
          </w:rPr>
          <w:fldChar w:fldCharType="separate"/>
        </w:r>
        <w:r w:rsidR="00EA0625">
          <w:rPr>
            <w:rFonts w:ascii="Verdana" w:hAnsi="Verdana"/>
            <w:noProof/>
            <w:webHidden/>
            <w:sz w:val="18"/>
          </w:rPr>
          <w:t>18</w:t>
        </w:r>
        <w:r w:rsidR="00C873B7" w:rsidRPr="00C873B7">
          <w:rPr>
            <w:rFonts w:ascii="Verdana" w:hAnsi="Verdana"/>
            <w:noProof/>
            <w:webHidden/>
            <w:sz w:val="18"/>
          </w:rPr>
          <w:fldChar w:fldCharType="end"/>
        </w:r>
      </w:hyperlink>
    </w:p>
    <w:p w14:paraId="1D31B2DA" w14:textId="02A777F2" w:rsidR="00C873B7" w:rsidRPr="00C873B7" w:rsidRDefault="001C076F" w:rsidP="000F3BE2">
      <w:pPr>
        <w:pStyle w:val="TDC3"/>
        <w:tabs>
          <w:tab w:val="right" w:pos="9350"/>
        </w:tabs>
        <w:rPr>
          <w:rFonts w:ascii="Verdana" w:eastAsiaTheme="minorEastAsia" w:hAnsi="Verdana" w:cstheme="minorBidi"/>
          <w:noProof/>
          <w:sz w:val="18"/>
          <w:lang w:val="es-CR" w:eastAsia="es-CR"/>
        </w:rPr>
      </w:pPr>
      <w:hyperlink w:anchor="_Toc74225380" w:history="1">
        <w:r w:rsidR="00C873B7" w:rsidRPr="00C873B7">
          <w:rPr>
            <w:rStyle w:val="Hipervnculo"/>
            <w:rFonts w:ascii="Verdana" w:hAnsi="Verdana"/>
            <w:noProof/>
            <w:sz w:val="18"/>
          </w:rPr>
          <w:t>B.2 En relación con el derecho a contar con decisiones debidamente motivadas y el principio de legalidad</w:t>
        </w:r>
        <w:r w:rsidR="00C873B7" w:rsidRPr="00C873B7">
          <w:rPr>
            <w:rFonts w:ascii="Verdana" w:hAnsi="Verdana"/>
            <w:noProof/>
            <w:webHidden/>
            <w:sz w:val="18"/>
          </w:rPr>
          <w:tab/>
        </w:r>
        <w:r w:rsidR="00C873B7" w:rsidRPr="00C873B7">
          <w:rPr>
            <w:rFonts w:ascii="Verdana" w:hAnsi="Verdana"/>
            <w:noProof/>
            <w:webHidden/>
            <w:sz w:val="18"/>
          </w:rPr>
          <w:fldChar w:fldCharType="begin"/>
        </w:r>
        <w:r w:rsidR="00C873B7" w:rsidRPr="00C873B7">
          <w:rPr>
            <w:rFonts w:ascii="Verdana" w:hAnsi="Verdana"/>
            <w:noProof/>
            <w:webHidden/>
            <w:sz w:val="18"/>
          </w:rPr>
          <w:instrText xml:space="preserve"> PAGEREF _Toc74225380 \h </w:instrText>
        </w:r>
        <w:r w:rsidR="00C873B7" w:rsidRPr="00C873B7">
          <w:rPr>
            <w:rFonts w:ascii="Verdana" w:hAnsi="Verdana"/>
            <w:noProof/>
            <w:webHidden/>
            <w:sz w:val="18"/>
          </w:rPr>
        </w:r>
        <w:r w:rsidR="00C873B7" w:rsidRPr="00C873B7">
          <w:rPr>
            <w:rFonts w:ascii="Verdana" w:hAnsi="Verdana"/>
            <w:noProof/>
            <w:webHidden/>
            <w:sz w:val="18"/>
          </w:rPr>
          <w:fldChar w:fldCharType="separate"/>
        </w:r>
        <w:r w:rsidR="00EA0625">
          <w:rPr>
            <w:rFonts w:ascii="Verdana" w:hAnsi="Verdana"/>
            <w:noProof/>
            <w:webHidden/>
            <w:sz w:val="18"/>
          </w:rPr>
          <w:t>23</w:t>
        </w:r>
        <w:r w:rsidR="00C873B7" w:rsidRPr="00C873B7">
          <w:rPr>
            <w:rFonts w:ascii="Verdana" w:hAnsi="Verdana"/>
            <w:noProof/>
            <w:webHidden/>
            <w:sz w:val="18"/>
          </w:rPr>
          <w:fldChar w:fldCharType="end"/>
        </w:r>
      </w:hyperlink>
    </w:p>
    <w:p w14:paraId="16A72213" w14:textId="3B50C4FF" w:rsidR="00C873B7" w:rsidRPr="00C873B7" w:rsidRDefault="001C076F" w:rsidP="000F3BE2">
      <w:pPr>
        <w:pStyle w:val="TDC3"/>
        <w:tabs>
          <w:tab w:val="right" w:pos="9350"/>
        </w:tabs>
        <w:rPr>
          <w:rFonts w:ascii="Verdana" w:eastAsiaTheme="minorEastAsia" w:hAnsi="Verdana" w:cstheme="minorBidi"/>
          <w:noProof/>
          <w:sz w:val="18"/>
          <w:lang w:val="es-CR" w:eastAsia="es-CR"/>
        </w:rPr>
      </w:pPr>
      <w:hyperlink w:anchor="_Toc74225381" w:history="1">
        <w:r w:rsidR="00C873B7" w:rsidRPr="00C873B7">
          <w:rPr>
            <w:rStyle w:val="Hipervnculo"/>
            <w:rFonts w:ascii="Verdana" w:hAnsi="Verdana"/>
            <w:noProof/>
            <w:sz w:val="18"/>
          </w:rPr>
          <w:t>B.3. Conclusión</w:t>
        </w:r>
        <w:r w:rsidR="00C873B7" w:rsidRPr="00C873B7">
          <w:rPr>
            <w:rFonts w:ascii="Verdana" w:hAnsi="Verdana"/>
            <w:noProof/>
            <w:webHidden/>
            <w:sz w:val="18"/>
          </w:rPr>
          <w:tab/>
        </w:r>
        <w:r w:rsidR="00C873B7" w:rsidRPr="00C873B7">
          <w:rPr>
            <w:rFonts w:ascii="Verdana" w:hAnsi="Verdana"/>
            <w:noProof/>
            <w:webHidden/>
            <w:sz w:val="18"/>
          </w:rPr>
          <w:fldChar w:fldCharType="begin"/>
        </w:r>
        <w:r w:rsidR="00C873B7" w:rsidRPr="00C873B7">
          <w:rPr>
            <w:rFonts w:ascii="Verdana" w:hAnsi="Verdana"/>
            <w:noProof/>
            <w:webHidden/>
            <w:sz w:val="18"/>
          </w:rPr>
          <w:instrText xml:space="preserve"> PAGEREF _Toc74225381 \h </w:instrText>
        </w:r>
        <w:r w:rsidR="00C873B7" w:rsidRPr="00C873B7">
          <w:rPr>
            <w:rFonts w:ascii="Verdana" w:hAnsi="Verdana"/>
            <w:noProof/>
            <w:webHidden/>
            <w:sz w:val="18"/>
          </w:rPr>
        </w:r>
        <w:r w:rsidR="00C873B7" w:rsidRPr="00C873B7">
          <w:rPr>
            <w:rFonts w:ascii="Verdana" w:hAnsi="Verdana"/>
            <w:noProof/>
            <w:webHidden/>
            <w:sz w:val="18"/>
          </w:rPr>
          <w:fldChar w:fldCharType="separate"/>
        </w:r>
        <w:r w:rsidR="00EA0625">
          <w:rPr>
            <w:rFonts w:ascii="Verdana" w:hAnsi="Verdana"/>
            <w:noProof/>
            <w:webHidden/>
            <w:sz w:val="18"/>
          </w:rPr>
          <w:t>27</w:t>
        </w:r>
        <w:r w:rsidR="00C873B7" w:rsidRPr="00C873B7">
          <w:rPr>
            <w:rFonts w:ascii="Verdana" w:hAnsi="Verdana"/>
            <w:noProof/>
            <w:webHidden/>
            <w:sz w:val="18"/>
          </w:rPr>
          <w:fldChar w:fldCharType="end"/>
        </w:r>
      </w:hyperlink>
    </w:p>
    <w:p w14:paraId="24D2F451" w14:textId="18092756" w:rsidR="00C873B7" w:rsidRPr="00C873B7" w:rsidRDefault="001C076F" w:rsidP="000F3BE2">
      <w:pPr>
        <w:pStyle w:val="TDC1"/>
        <w:tabs>
          <w:tab w:val="right" w:pos="9350"/>
        </w:tabs>
        <w:spacing w:before="0"/>
        <w:rPr>
          <w:rFonts w:ascii="Verdana" w:eastAsiaTheme="minorEastAsia" w:hAnsi="Verdana" w:cstheme="minorBidi"/>
          <w:b w:val="0"/>
          <w:bCs w:val="0"/>
          <w:caps w:val="0"/>
          <w:noProof/>
          <w:sz w:val="18"/>
          <w:szCs w:val="20"/>
          <w:lang w:val="es-CR" w:eastAsia="es-CR"/>
        </w:rPr>
      </w:pPr>
      <w:hyperlink w:anchor="_Toc74225382" w:history="1">
        <w:r w:rsidR="00C873B7" w:rsidRPr="00C873B7">
          <w:rPr>
            <w:rStyle w:val="Hipervnculo"/>
            <w:rFonts w:ascii="Verdana" w:hAnsi="Verdana"/>
            <w:noProof/>
            <w:sz w:val="18"/>
            <w:szCs w:val="20"/>
            <w:lang w:val="es-CO"/>
          </w:rPr>
          <w:t>VII-2 PLAZO RAZONABLE Y PROTECCIÓN JUDICIAL</w:t>
        </w:r>
        <w:r w:rsidR="00C873B7" w:rsidRPr="00C873B7">
          <w:rPr>
            <w:rFonts w:ascii="Verdana" w:hAnsi="Verdana"/>
            <w:noProof/>
            <w:webHidden/>
            <w:sz w:val="18"/>
            <w:szCs w:val="20"/>
          </w:rPr>
          <w:tab/>
        </w:r>
        <w:r w:rsidR="00C873B7" w:rsidRPr="00C873B7">
          <w:rPr>
            <w:rFonts w:ascii="Verdana" w:hAnsi="Verdana"/>
            <w:noProof/>
            <w:webHidden/>
            <w:sz w:val="18"/>
            <w:szCs w:val="20"/>
          </w:rPr>
          <w:fldChar w:fldCharType="begin"/>
        </w:r>
        <w:r w:rsidR="00C873B7" w:rsidRPr="00C873B7">
          <w:rPr>
            <w:rFonts w:ascii="Verdana" w:hAnsi="Verdana"/>
            <w:noProof/>
            <w:webHidden/>
            <w:sz w:val="18"/>
            <w:szCs w:val="20"/>
          </w:rPr>
          <w:instrText xml:space="preserve"> PAGEREF _Toc74225382 \h </w:instrText>
        </w:r>
        <w:r w:rsidR="00C873B7" w:rsidRPr="00C873B7">
          <w:rPr>
            <w:rFonts w:ascii="Verdana" w:hAnsi="Verdana"/>
            <w:noProof/>
            <w:webHidden/>
            <w:sz w:val="18"/>
            <w:szCs w:val="20"/>
          </w:rPr>
        </w:r>
        <w:r w:rsidR="00C873B7" w:rsidRPr="00C873B7">
          <w:rPr>
            <w:rFonts w:ascii="Verdana" w:hAnsi="Verdana"/>
            <w:noProof/>
            <w:webHidden/>
            <w:sz w:val="18"/>
            <w:szCs w:val="20"/>
          </w:rPr>
          <w:fldChar w:fldCharType="separate"/>
        </w:r>
        <w:r w:rsidR="00EA0625">
          <w:rPr>
            <w:rFonts w:ascii="Verdana" w:hAnsi="Verdana"/>
            <w:noProof/>
            <w:webHidden/>
            <w:sz w:val="18"/>
            <w:szCs w:val="20"/>
          </w:rPr>
          <w:t>27</w:t>
        </w:r>
        <w:r w:rsidR="00C873B7" w:rsidRPr="00C873B7">
          <w:rPr>
            <w:rFonts w:ascii="Verdana" w:hAnsi="Verdana"/>
            <w:noProof/>
            <w:webHidden/>
            <w:sz w:val="18"/>
            <w:szCs w:val="20"/>
          </w:rPr>
          <w:fldChar w:fldCharType="end"/>
        </w:r>
      </w:hyperlink>
    </w:p>
    <w:p w14:paraId="4BF390DB" w14:textId="366D00A8" w:rsidR="00C873B7" w:rsidRPr="00C873B7" w:rsidRDefault="001C076F" w:rsidP="000F3BE2">
      <w:pPr>
        <w:pStyle w:val="TDC2"/>
        <w:tabs>
          <w:tab w:val="left" w:pos="480"/>
          <w:tab w:val="right" w:pos="9350"/>
        </w:tabs>
        <w:spacing w:before="0"/>
        <w:rPr>
          <w:rFonts w:ascii="Verdana" w:eastAsiaTheme="minorEastAsia" w:hAnsi="Verdana" w:cstheme="minorBidi"/>
          <w:b w:val="0"/>
          <w:bCs w:val="0"/>
          <w:noProof/>
          <w:sz w:val="18"/>
          <w:lang w:val="es-CR" w:eastAsia="es-CR"/>
        </w:rPr>
      </w:pPr>
      <w:hyperlink w:anchor="_Toc74225383" w:history="1">
        <w:r w:rsidR="00C873B7" w:rsidRPr="00C873B7">
          <w:rPr>
            <w:rStyle w:val="Hipervnculo"/>
            <w:rFonts w:ascii="Verdana" w:hAnsi="Verdana"/>
            <w:noProof/>
            <w:sz w:val="18"/>
          </w:rPr>
          <w:t>A.</w:t>
        </w:r>
        <w:r w:rsidR="00C873B7" w:rsidRPr="00C873B7">
          <w:rPr>
            <w:rFonts w:ascii="Verdana" w:eastAsiaTheme="minorEastAsia" w:hAnsi="Verdana" w:cstheme="minorBidi"/>
            <w:b w:val="0"/>
            <w:bCs w:val="0"/>
            <w:noProof/>
            <w:sz w:val="18"/>
            <w:lang w:val="es-CR" w:eastAsia="es-CR"/>
          </w:rPr>
          <w:tab/>
        </w:r>
        <w:r w:rsidR="00C873B7" w:rsidRPr="00C873B7">
          <w:rPr>
            <w:rStyle w:val="Hipervnculo"/>
            <w:rFonts w:ascii="Verdana" w:hAnsi="Verdana"/>
            <w:noProof/>
            <w:sz w:val="18"/>
          </w:rPr>
          <w:t>Alegatos de las partes y de la Comisión</w:t>
        </w:r>
        <w:r w:rsidR="00C873B7" w:rsidRPr="00C873B7">
          <w:rPr>
            <w:rFonts w:ascii="Verdana" w:hAnsi="Verdana"/>
            <w:noProof/>
            <w:webHidden/>
            <w:sz w:val="18"/>
          </w:rPr>
          <w:tab/>
        </w:r>
        <w:r w:rsidR="00C873B7" w:rsidRPr="00C873B7">
          <w:rPr>
            <w:rFonts w:ascii="Verdana" w:hAnsi="Verdana"/>
            <w:noProof/>
            <w:webHidden/>
            <w:sz w:val="18"/>
          </w:rPr>
          <w:fldChar w:fldCharType="begin"/>
        </w:r>
        <w:r w:rsidR="00C873B7" w:rsidRPr="00C873B7">
          <w:rPr>
            <w:rFonts w:ascii="Verdana" w:hAnsi="Verdana"/>
            <w:noProof/>
            <w:webHidden/>
            <w:sz w:val="18"/>
          </w:rPr>
          <w:instrText xml:space="preserve"> PAGEREF _Toc74225383 \h </w:instrText>
        </w:r>
        <w:r w:rsidR="00C873B7" w:rsidRPr="00C873B7">
          <w:rPr>
            <w:rFonts w:ascii="Verdana" w:hAnsi="Verdana"/>
            <w:noProof/>
            <w:webHidden/>
            <w:sz w:val="18"/>
          </w:rPr>
        </w:r>
        <w:r w:rsidR="00C873B7" w:rsidRPr="00C873B7">
          <w:rPr>
            <w:rFonts w:ascii="Verdana" w:hAnsi="Verdana"/>
            <w:noProof/>
            <w:webHidden/>
            <w:sz w:val="18"/>
          </w:rPr>
          <w:fldChar w:fldCharType="separate"/>
        </w:r>
        <w:r w:rsidR="00EA0625">
          <w:rPr>
            <w:rFonts w:ascii="Verdana" w:hAnsi="Verdana"/>
            <w:noProof/>
            <w:webHidden/>
            <w:sz w:val="18"/>
          </w:rPr>
          <w:t>27</w:t>
        </w:r>
        <w:r w:rsidR="00C873B7" w:rsidRPr="00C873B7">
          <w:rPr>
            <w:rFonts w:ascii="Verdana" w:hAnsi="Verdana"/>
            <w:noProof/>
            <w:webHidden/>
            <w:sz w:val="18"/>
          </w:rPr>
          <w:fldChar w:fldCharType="end"/>
        </w:r>
      </w:hyperlink>
    </w:p>
    <w:p w14:paraId="5A08FBB2" w14:textId="166C6D60" w:rsidR="00C873B7" w:rsidRPr="00C873B7" w:rsidRDefault="001C076F" w:rsidP="000F3BE2">
      <w:pPr>
        <w:pStyle w:val="TDC2"/>
        <w:tabs>
          <w:tab w:val="left" w:pos="480"/>
          <w:tab w:val="right" w:pos="9350"/>
        </w:tabs>
        <w:spacing w:before="0"/>
        <w:rPr>
          <w:rFonts w:ascii="Verdana" w:eastAsiaTheme="minorEastAsia" w:hAnsi="Verdana" w:cstheme="minorBidi"/>
          <w:b w:val="0"/>
          <w:bCs w:val="0"/>
          <w:noProof/>
          <w:sz w:val="18"/>
          <w:lang w:val="es-CR" w:eastAsia="es-CR"/>
        </w:rPr>
      </w:pPr>
      <w:hyperlink w:anchor="_Toc74225384" w:history="1">
        <w:r w:rsidR="00C873B7" w:rsidRPr="00C873B7">
          <w:rPr>
            <w:rStyle w:val="Hipervnculo"/>
            <w:rFonts w:ascii="Verdana" w:hAnsi="Verdana"/>
            <w:noProof/>
            <w:sz w:val="18"/>
          </w:rPr>
          <w:t>B.</w:t>
        </w:r>
        <w:r w:rsidR="00C873B7" w:rsidRPr="00C873B7">
          <w:rPr>
            <w:rFonts w:ascii="Verdana" w:eastAsiaTheme="minorEastAsia" w:hAnsi="Verdana" w:cstheme="minorBidi"/>
            <w:b w:val="0"/>
            <w:bCs w:val="0"/>
            <w:noProof/>
            <w:sz w:val="18"/>
            <w:lang w:val="es-CR" w:eastAsia="es-CR"/>
          </w:rPr>
          <w:tab/>
        </w:r>
        <w:r w:rsidR="00C873B7" w:rsidRPr="00C873B7">
          <w:rPr>
            <w:rStyle w:val="Hipervnculo"/>
            <w:rFonts w:ascii="Verdana" w:hAnsi="Verdana"/>
            <w:noProof/>
            <w:sz w:val="18"/>
          </w:rPr>
          <w:t>Consideraciones de la Corte</w:t>
        </w:r>
        <w:r w:rsidR="00C873B7" w:rsidRPr="00C873B7">
          <w:rPr>
            <w:rFonts w:ascii="Verdana" w:hAnsi="Verdana"/>
            <w:noProof/>
            <w:webHidden/>
            <w:sz w:val="18"/>
          </w:rPr>
          <w:tab/>
        </w:r>
        <w:r w:rsidR="00C873B7" w:rsidRPr="00C873B7">
          <w:rPr>
            <w:rFonts w:ascii="Verdana" w:hAnsi="Verdana"/>
            <w:noProof/>
            <w:webHidden/>
            <w:sz w:val="18"/>
          </w:rPr>
          <w:fldChar w:fldCharType="begin"/>
        </w:r>
        <w:r w:rsidR="00C873B7" w:rsidRPr="00C873B7">
          <w:rPr>
            <w:rFonts w:ascii="Verdana" w:hAnsi="Verdana"/>
            <w:noProof/>
            <w:webHidden/>
            <w:sz w:val="18"/>
          </w:rPr>
          <w:instrText xml:space="preserve"> PAGEREF _Toc74225384 \h </w:instrText>
        </w:r>
        <w:r w:rsidR="00C873B7" w:rsidRPr="00C873B7">
          <w:rPr>
            <w:rFonts w:ascii="Verdana" w:hAnsi="Verdana"/>
            <w:noProof/>
            <w:webHidden/>
            <w:sz w:val="18"/>
          </w:rPr>
        </w:r>
        <w:r w:rsidR="00C873B7" w:rsidRPr="00C873B7">
          <w:rPr>
            <w:rFonts w:ascii="Verdana" w:hAnsi="Verdana"/>
            <w:noProof/>
            <w:webHidden/>
            <w:sz w:val="18"/>
          </w:rPr>
          <w:fldChar w:fldCharType="separate"/>
        </w:r>
        <w:r w:rsidR="00EA0625">
          <w:rPr>
            <w:rFonts w:ascii="Verdana" w:hAnsi="Verdana"/>
            <w:noProof/>
            <w:webHidden/>
            <w:sz w:val="18"/>
          </w:rPr>
          <w:t>27</w:t>
        </w:r>
        <w:r w:rsidR="00C873B7" w:rsidRPr="00C873B7">
          <w:rPr>
            <w:rFonts w:ascii="Verdana" w:hAnsi="Verdana"/>
            <w:noProof/>
            <w:webHidden/>
            <w:sz w:val="18"/>
          </w:rPr>
          <w:fldChar w:fldCharType="end"/>
        </w:r>
      </w:hyperlink>
    </w:p>
    <w:p w14:paraId="25ACC936" w14:textId="122AC98A" w:rsidR="00C873B7" w:rsidRPr="00C873B7" w:rsidRDefault="001C076F" w:rsidP="000F3BE2">
      <w:pPr>
        <w:pStyle w:val="TDC1"/>
        <w:tabs>
          <w:tab w:val="right" w:pos="9350"/>
        </w:tabs>
        <w:spacing w:before="0"/>
        <w:rPr>
          <w:rFonts w:ascii="Verdana" w:eastAsiaTheme="minorEastAsia" w:hAnsi="Verdana" w:cstheme="minorBidi"/>
          <w:b w:val="0"/>
          <w:bCs w:val="0"/>
          <w:caps w:val="0"/>
          <w:noProof/>
          <w:sz w:val="18"/>
          <w:szCs w:val="20"/>
          <w:lang w:val="es-CR" w:eastAsia="es-CR"/>
        </w:rPr>
      </w:pPr>
      <w:hyperlink w:anchor="_Toc74225385" w:history="1">
        <w:r w:rsidR="00C873B7" w:rsidRPr="00C873B7">
          <w:rPr>
            <w:rStyle w:val="Hipervnculo"/>
            <w:rFonts w:ascii="Verdana" w:hAnsi="Verdana"/>
            <w:noProof/>
            <w:sz w:val="18"/>
            <w:szCs w:val="20"/>
            <w:lang w:val="es-CO"/>
          </w:rPr>
          <w:t>VII-3 DERECHOS POLÍTICOS</w:t>
        </w:r>
        <w:r w:rsidR="00C873B7" w:rsidRPr="00C873B7">
          <w:rPr>
            <w:rFonts w:ascii="Verdana" w:hAnsi="Verdana"/>
            <w:noProof/>
            <w:webHidden/>
            <w:sz w:val="18"/>
            <w:szCs w:val="20"/>
          </w:rPr>
          <w:tab/>
        </w:r>
        <w:r w:rsidR="00C873B7" w:rsidRPr="00C873B7">
          <w:rPr>
            <w:rFonts w:ascii="Verdana" w:hAnsi="Verdana"/>
            <w:noProof/>
            <w:webHidden/>
            <w:sz w:val="18"/>
            <w:szCs w:val="20"/>
          </w:rPr>
          <w:fldChar w:fldCharType="begin"/>
        </w:r>
        <w:r w:rsidR="00C873B7" w:rsidRPr="00C873B7">
          <w:rPr>
            <w:rFonts w:ascii="Verdana" w:hAnsi="Verdana"/>
            <w:noProof/>
            <w:webHidden/>
            <w:sz w:val="18"/>
            <w:szCs w:val="20"/>
          </w:rPr>
          <w:instrText xml:space="preserve"> PAGEREF _Toc74225385 \h </w:instrText>
        </w:r>
        <w:r w:rsidR="00C873B7" w:rsidRPr="00C873B7">
          <w:rPr>
            <w:rFonts w:ascii="Verdana" w:hAnsi="Verdana"/>
            <w:noProof/>
            <w:webHidden/>
            <w:sz w:val="18"/>
            <w:szCs w:val="20"/>
          </w:rPr>
        </w:r>
        <w:r w:rsidR="00C873B7" w:rsidRPr="00C873B7">
          <w:rPr>
            <w:rFonts w:ascii="Verdana" w:hAnsi="Verdana"/>
            <w:noProof/>
            <w:webHidden/>
            <w:sz w:val="18"/>
            <w:szCs w:val="20"/>
          </w:rPr>
          <w:fldChar w:fldCharType="separate"/>
        </w:r>
        <w:r w:rsidR="00EA0625">
          <w:rPr>
            <w:rFonts w:ascii="Verdana" w:hAnsi="Verdana"/>
            <w:noProof/>
            <w:webHidden/>
            <w:sz w:val="18"/>
            <w:szCs w:val="20"/>
          </w:rPr>
          <w:t>30</w:t>
        </w:r>
        <w:r w:rsidR="00C873B7" w:rsidRPr="00C873B7">
          <w:rPr>
            <w:rFonts w:ascii="Verdana" w:hAnsi="Verdana"/>
            <w:noProof/>
            <w:webHidden/>
            <w:sz w:val="18"/>
            <w:szCs w:val="20"/>
          </w:rPr>
          <w:fldChar w:fldCharType="end"/>
        </w:r>
      </w:hyperlink>
    </w:p>
    <w:p w14:paraId="70AFE585" w14:textId="5CF8653D" w:rsidR="00C873B7" w:rsidRPr="00C873B7" w:rsidRDefault="001C076F" w:rsidP="000F3BE2">
      <w:pPr>
        <w:pStyle w:val="TDC2"/>
        <w:tabs>
          <w:tab w:val="left" w:pos="480"/>
          <w:tab w:val="right" w:pos="9350"/>
        </w:tabs>
        <w:spacing w:before="0"/>
        <w:rPr>
          <w:rFonts w:ascii="Verdana" w:eastAsiaTheme="minorEastAsia" w:hAnsi="Verdana" w:cstheme="minorBidi"/>
          <w:b w:val="0"/>
          <w:bCs w:val="0"/>
          <w:noProof/>
          <w:sz w:val="18"/>
          <w:lang w:val="es-CR" w:eastAsia="es-CR"/>
        </w:rPr>
      </w:pPr>
      <w:hyperlink w:anchor="_Toc74225386" w:history="1">
        <w:r w:rsidR="00C873B7" w:rsidRPr="00C873B7">
          <w:rPr>
            <w:rStyle w:val="Hipervnculo"/>
            <w:rFonts w:ascii="Verdana" w:hAnsi="Verdana"/>
            <w:noProof/>
            <w:sz w:val="18"/>
          </w:rPr>
          <w:t>A.</w:t>
        </w:r>
        <w:r w:rsidR="00C873B7" w:rsidRPr="00C873B7">
          <w:rPr>
            <w:rFonts w:ascii="Verdana" w:eastAsiaTheme="minorEastAsia" w:hAnsi="Verdana" w:cstheme="minorBidi"/>
            <w:b w:val="0"/>
            <w:bCs w:val="0"/>
            <w:noProof/>
            <w:sz w:val="18"/>
            <w:lang w:val="es-CR" w:eastAsia="es-CR"/>
          </w:rPr>
          <w:tab/>
        </w:r>
        <w:r w:rsidR="00C873B7" w:rsidRPr="00C873B7">
          <w:rPr>
            <w:rStyle w:val="Hipervnculo"/>
            <w:rFonts w:ascii="Verdana" w:hAnsi="Verdana"/>
            <w:noProof/>
            <w:sz w:val="18"/>
          </w:rPr>
          <w:t>Alegatos de las partes y de la Comisión</w:t>
        </w:r>
        <w:r w:rsidR="00C873B7" w:rsidRPr="00C873B7">
          <w:rPr>
            <w:rFonts w:ascii="Verdana" w:hAnsi="Verdana"/>
            <w:noProof/>
            <w:webHidden/>
            <w:sz w:val="18"/>
          </w:rPr>
          <w:tab/>
        </w:r>
        <w:r w:rsidR="00C873B7" w:rsidRPr="00C873B7">
          <w:rPr>
            <w:rFonts w:ascii="Verdana" w:hAnsi="Verdana"/>
            <w:noProof/>
            <w:webHidden/>
            <w:sz w:val="18"/>
          </w:rPr>
          <w:fldChar w:fldCharType="begin"/>
        </w:r>
        <w:r w:rsidR="00C873B7" w:rsidRPr="00C873B7">
          <w:rPr>
            <w:rFonts w:ascii="Verdana" w:hAnsi="Verdana"/>
            <w:noProof/>
            <w:webHidden/>
            <w:sz w:val="18"/>
          </w:rPr>
          <w:instrText xml:space="preserve"> PAGEREF _Toc74225386 \h </w:instrText>
        </w:r>
        <w:r w:rsidR="00C873B7" w:rsidRPr="00C873B7">
          <w:rPr>
            <w:rFonts w:ascii="Verdana" w:hAnsi="Verdana"/>
            <w:noProof/>
            <w:webHidden/>
            <w:sz w:val="18"/>
          </w:rPr>
        </w:r>
        <w:r w:rsidR="00C873B7" w:rsidRPr="00C873B7">
          <w:rPr>
            <w:rFonts w:ascii="Verdana" w:hAnsi="Verdana"/>
            <w:noProof/>
            <w:webHidden/>
            <w:sz w:val="18"/>
          </w:rPr>
          <w:fldChar w:fldCharType="separate"/>
        </w:r>
        <w:r w:rsidR="00EA0625">
          <w:rPr>
            <w:rFonts w:ascii="Verdana" w:hAnsi="Verdana"/>
            <w:noProof/>
            <w:webHidden/>
            <w:sz w:val="18"/>
          </w:rPr>
          <w:t>30</w:t>
        </w:r>
        <w:r w:rsidR="00C873B7" w:rsidRPr="00C873B7">
          <w:rPr>
            <w:rFonts w:ascii="Verdana" w:hAnsi="Verdana"/>
            <w:noProof/>
            <w:webHidden/>
            <w:sz w:val="18"/>
          </w:rPr>
          <w:fldChar w:fldCharType="end"/>
        </w:r>
      </w:hyperlink>
    </w:p>
    <w:p w14:paraId="27051568" w14:textId="72F79A35" w:rsidR="00C873B7" w:rsidRPr="00C873B7" w:rsidRDefault="001C076F" w:rsidP="000F3BE2">
      <w:pPr>
        <w:pStyle w:val="TDC2"/>
        <w:tabs>
          <w:tab w:val="left" w:pos="480"/>
          <w:tab w:val="right" w:pos="9350"/>
        </w:tabs>
        <w:spacing w:before="0"/>
        <w:rPr>
          <w:rFonts w:ascii="Verdana" w:eastAsiaTheme="minorEastAsia" w:hAnsi="Verdana" w:cstheme="minorBidi"/>
          <w:b w:val="0"/>
          <w:bCs w:val="0"/>
          <w:noProof/>
          <w:sz w:val="18"/>
          <w:lang w:val="es-CR" w:eastAsia="es-CR"/>
        </w:rPr>
      </w:pPr>
      <w:hyperlink w:anchor="_Toc74225387" w:history="1">
        <w:r w:rsidR="00C873B7" w:rsidRPr="00C873B7">
          <w:rPr>
            <w:rStyle w:val="Hipervnculo"/>
            <w:rFonts w:ascii="Verdana" w:hAnsi="Verdana"/>
            <w:noProof/>
            <w:sz w:val="18"/>
            <w:lang w:eastAsia="es-MX"/>
          </w:rPr>
          <w:t>B.</w:t>
        </w:r>
        <w:r w:rsidR="00C873B7" w:rsidRPr="00C873B7">
          <w:rPr>
            <w:rFonts w:ascii="Verdana" w:eastAsiaTheme="minorEastAsia" w:hAnsi="Verdana" w:cstheme="minorBidi"/>
            <w:b w:val="0"/>
            <w:bCs w:val="0"/>
            <w:noProof/>
            <w:sz w:val="18"/>
            <w:lang w:val="es-CR" w:eastAsia="es-CR"/>
          </w:rPr>
          <w:tab/>
        </w:r>
        <w:r w:rsidR="00C873B7" w:rsidRPr="00C873B7">
          <w:rPr>
            <w:rStyle w:val="Hipervnculo"/>
            <w:rFonts w:ascii="Verdana" w:hAnsi="Verdana"/>
            <w:noProof/>
            <w:sz w:val="18"/>
          </w:rPr>
          <w:t>Consideraciones de la Corte</w:t>
        </w:r>
        <w:r w:rsidR="00C873B7" w:rsidRPr="00C873B7">
          <w:rPr>
            <w:rFonts w:ascii="Verdana" w:hAnsi="Verdana"/>
            <w:noProof/>
            <w:webHidden/>
            <w:sz w:val="18"/>
          </w:rPr>
          <w:tab/>
        </w:r>
        <w:r w:rsidR="00C873B7" w:rsidRPr="00C873B7">
          <w:rPr>
            <w:rFonts w:ascii="Verdana" w:hAnsi="Verdana"/>
            <w:noProof/>
            <w:webHidden/>
            <w:sz w:val="18"/>
          </w:rPr>
          <w:fldChar w:fldCharType="begin"/>
        </w:r>
        <w:r w:rsidR="00C873B7" w:rsidRPr="00C873B7">
          <w:rPr>
            <w:rFonts w:ascii="Verdana" w:hAnsi="Verdana"/>
            <w:noProof/>
            <w:webHidden/>
            <w:sz w:val="18"/>
          </w:rPr>
          <w:instrText xml:space="preserve"> PAGEREF _Toc74225387 \h </w:instrText>
        </w:r>
        <w:r w:rsidR="00C873B7" w:rsidRPr="00C873B7">
          <w:rPr>
            <w:rFonts w:ascii="Verdana" w:hAnsi="Verdana"/>
            <w:noProof/>
            <w:webHidden/>
            <w:sz w:val="18"/>
          </w:rPr>
        </w:r>
        <w:r w:rsidR="00C873B7" w:rsidRPr="00C873B7">
          <w:rPr>
            <w:rFonts w:ascii="Verdana" w:hAnsi="Verdana"/>
            <w:noProof/>
            <w:webHidden/>
            <w:sz w:val="18"/>
          </w:rPr>
          <w:fldChar w:fldCharType="separate"/>
        </w:r>
        <w:r w:rsidR="00EA0625">
          <w:rPr>
            <w:rFonts w:ascii="Verdana" w:hAnsi="Verdana"/>
            <w:noProof/>
            <w:webHidden/>
            <w:sz w:val="18"/>
          </w:rPr>
          <w:t>30</w:t>
        </w:r>
        <w:r w:rsidR="00C873B7" w:rsidRPr="00C873B7">
          <w:rPr>
            <w:rFonts w:ascii="Verdana" w:hAnsi="Verdana"/>
            <w:noProof/>
            <w:webHidden/>
            <w:sz w:val="18"/>
          </w:rPr>
          <w:fldChar w:fldCharType="end"/>
        </w:r>
      </w:hyperlink>
    </w:p>
    <w:p w14:paraId="0912F473" w14:textId="0431CAFD" w:rsidR="00C873B7" w:rsidRPr="00C873B7" w:rsidRDefault="001C076F" w:rsidP="000F3BE2">
      <w:pPr>
        <w:pStyle w:val="TDC1"/>
        <w:tabs>
          <w:tab w:val="right" w:pos="9350"/>
        </w:tabs>
        <w:spacing w:before="0"/>
        <w:rPr>
          <w:rFonts w:ascii="Verdana" w:eastAsiaTheme="minorEastAsia" w:hAnsi="Verdana" w:cstheme="minorBidi"/>
          <w:b w:val="0"/>
          <w:bCs w:val="0"/>
          <w:caps w:val="0"/>
          <w:noProof/>
          <w:sz w:val="18"/>
          <w:szCs w:val="20"/>
          <w:lang w:val="es-CR" w:eastAsia="es-CR"/>
        </w:rPr>
      </w:pPr>
      <w:hyperlink w:anchor="_Toc74225388" w:history="1">
        <w:r w:rsidR="00C873B7" w:rsidRPr="00C873B7">
          <w:rPr>
            <w:rStyle w:val="Hipervnculo"/>
            <w:rFonts w:ascii="Verdana" w:hAnsi="Verdana"/>
            <w:noProof/>
            <w:sz w:val="18"/>
            <w:szCs w:val="20"/>
            <w:lang w:val="es-CO"/>
          </w:rPr>
          <w:t>VIII REPARACIONES</w:t>
        </w:r>
        <w:r w:rsidR="00C873B7" w:rsidRPr="00C873B7">
          <w:rPr>
            <w:rFonts w:ascii="Verdana" w:hAnsi="Verdana"/>
            <w:noProof/>
            <w:webHidden/>
            <w:sz w:val="18"/>
            <w:szCs w:val="20"/>
          </w:rPr>
          <w:tab/>
        </w:r>
        <w:r w:rsidR="00C873B7" w:rsidRPr="00C873B7">
          <w:rPr>
            <w:rFonts w:ascii="Verdana" w:hAnsi="Verdana"/>
            <w:noProof/>
            <w:webHidden/>
            <w:sz w:val="18"/>
            <w:szCs w:val="20"/>
          </w:rPr>
          <w:fldChar w:fldCharType="begin"/>
        </w:r>
        <w:r w:rsidR="00C873B7" w:rsidRPr="00C873B7">
          <w:rPr>
            <w:rFonts w:ascii="Verdana" w:hAnsi="Verdana"/>
            <w:noProof/>
            <w:webHidden/>
            <w:sz w:val="18"/>
            <w:szCs w:val="20"/>
          </w:rPr>
          <w:instrText xml:space="preserve"> PAGEREF _Toc74225388 \h </w:instrText>
        </w:r>
        <w:r w:rsidR="00C873B7" w:rsidRPr="00C873B7">
          <w:rPr>
            <w:rFonts w:ascii="Verdana" w:hAnsi="Verdana"/>
            <w:noProof/>
            <w:webHidden/>
            <w:sz w:val="18"/>
            <w:szCs w:val="20"/>
          </w:rPr>
        </w:r>
        <w:r w:rsidR="00C873B7" w:rsidRPr="00C873B7">
          <w:rPr>
            <w:rFonts w:ascii="Verdana" w:hAnsi="Verdana"/>
            <w:noProof/>
            <w:webHidden/>
            <w:sz w:val="18"/>
            <w:szCs w:val="20"/>
          </w:rPr>
          <w:fldChar w:fldCharType="separate"/>
        </w:r>
        <w:r w:rsidR="00EA0625">
          <w:rPr>
            <w:rFonts w:ascii="Verdana" w:hAnsi="Verdana"/>
            <w:noProof/>
            <w:webHidden/>
            <w:sz w:val="18"/>
            <w:szCs w:val="20"/>
          </w:rPr>
          <w:t>31</w:t>
        </w:r>
        <w:r w:rsidR="00C873B7" w:rsidRPr="00C873B7">
          <w:rPr>
            <w:rFonts w:ascii="Verdana" w:hAnsi="Verdana"/>
            <w:noProof/>
            <w:webHidden/>
            <w:sz w:val="18"/>
            <w:szCs w:val="20"/>
          </w:rPr>
          <w:fldChar w:fldCharType="end"/>
        </w:r>
      </w:hyperlink>
    </w:p>
    <w:p w14:paraId="3738A610" w14:textId="76AD4B74" w:rsidR="00C873B7" w:rsidRPr="00C873B7" w:rsidRDefault="001C076F" w:rsidP="000F3BE2">
      <w:pPr>
        <w:pStyle w:val="TDC2"/>
        <w:tabs>
          <w:tab w:val="left" w:pos="480"/>
          <w:tab w:val="right" w:pos="9350"/>
        </w:tabs>
        <w:spacing w:before="0"/>
        <w:rPr>
          <w:rFonts w:ascii="Verdana" w:eastAsiaTheme="minorEastAsia" w:hAnsi="Verdana" w:cstheme="minorBidi"/>
          <w:b w:val="0"/>
          <w:bCs w:val="0"/>
          <w:noProof/>
          <w:sz w:val="18"/>
          <w:lang w:val="es-CR" w:eastAsia="es-CR"/>
        </w:rPr>
      </w:pPr>
      <w:hyperlink w:anchor="_Toc74225389" w:history="1">
        <w:r w:rsidR="00C873B7" w:rsidRPr="00C873B7">
          <w:rPr>
            <w:rStyle w:val="Hipervnculo"/>
            <w:rFonts w:ascii="Verdana" w:hAnsi="Verdana"/>
            <w:noProof/>
            <w:sz w:val="18"/>
          </w:rPr>
          <w:t>A.</w:t>
        </w:r>
        <w:r w:rsidR="00C873B7" w:rsidRPr="00C873B7">
          <w:rPr>
            <w:rFonts w:ascii="Verdana" w:eastAsiaTheme="minorEastAsia" w:hAnsi="Verdana" w:cstheme="minorBidi"/>
            <w:b w:val="0"/>
            <w:bCs w:val="0"/>
            <w:noProof/>
            <w:sz w:val="18"/>
            <w:lang w:val="es-CR" w:eastAsia="es-CR"/>
          </w:rPr>
          <w:tab/>
        </w:r>
        <w:r w:rsidR="00C873B7" w:rsidRPr="00C873B7">
          <w:rPr>
            <w:rStyle w:val="Hipervnculo"/>
            <w:rFonts w:ascii="Verdana" w:hAnsi="Verdana"/>
            <w:noProof/>
            <w:sz w:val="18"/>
          </w:rPr>
          <w:t>Parte Lesionada</w:t>
        </w:r>
        <w:r w:rsidR="00C873B7" w:rsidRPr="00C873B7">
          <w:rPr>
            <w:rFonts w:ascii="Verdana" w:hAnsi="Verdana"/>
            <w:noProof/>
            <w:webHidden/>
            <w:sz w:val="18"/>
          </w:rPr>
          <w:tab/>
        </w:r>
        <w:r w:rsidR="00C873B7" w:rsidRPr="00C873B7">
          <w:rPr>
            <w:rFonts w:ascii="Verdana" w:hAnsi="Verdana"/>
            <w:noProof/>
            <w:webHidden/>
            <w:sz w:val="18"/>
          </w:rPr>
          <w:fldChar w:fldCharType="begin"/>
        </w:r>
        <w:r w:rsidR="00C873B7" w:rsidRPr="00C873B7">
          <w:rPr>
            <w:rFonts w:ascii="Verdana" w:hAnsi="Verdana"/>
            <w:noProof/>
            <w:webHidden/>
            <w:sz w:val="18"/>
          </w:rPr>
          <w:instrText xml:space="preserve"> PAGEREF _Toc74225389 \h </w:instrText>
        </w:r>
        <w:r w:rsidR="00C873B7" w:rsidRPr="00C873B7">
          <w:rPr>
            <w:rFonts w:ascii="Verdana" w:hAnsi="Verdana"/>
            <w:noProof/>
            <w:webHidden/>
            <w:sz w:val="18"/>
          </w:rPr>
        </w:r>
        <w:r w:rsidR="00C873B7" w:rsidRPr="00C873B7">
          <w:rPr>
            <w:rFonts w:ascii="Verdana" w:hAnsi="Verdana"/>
            <w:noProof/>
            <w:webHidden/>
            <w:sz w:val="18"/>
          </w:rPr>
          <w:fldChar w:fldCharType="separate"/>
        </w:r>
        <w:r w:rsidR="00EA0625">
          <w:rPr>
            <w:rFonts w:ascii="Verdana" w:hAnsi="Verdana"/>
            <w:noProof/>
            <w:webHidden/>
            <w:sz w:val="18"/>
          </w:rPr>
          <w:t>31</w:t>
        </w:r>
        <w:r w:rsidR="00C873B7" w:rsidRPr="00C873B7">
          <w:rPr>
            <w:rFonts w:ascii="Verdana" w:hAnsi="Verdana"/>
            <w:noProof/>
            <w:webHidden/>
            <w:sz w:val="18"/>
          </w:rPr>
          <w:fldChar w:fldCharType="end"/>
        </w:r>
      </w:hyperlink>
    </w:p>
    <w:p w14:paraId="134775D4" w14:textId="2DF8F3F5" w:rsidR="00C873B7" w:rsidRPr="00C873B7" w:rsidRDefault="001C076F" w:rsidP="000F3BE2">
      <w:pPr>
        <w:pStyle w:val="TDC2"/>
        <w:tabs>
          <w:tab w:val="left" w:pos="480"/>
          <w:tab w:val="right" w:pos="9350"/>
        </w:tabs>
        <w:spacing w:before="0"/>
        <w:rPr>
          <w:rFonts w:ascii="Verdana" w:eastAsiaTheme="minorEastAsia" w:hAnsi="Verdana" w:cstheme="minorBidi"/>
          <w:b w:val="0"/>
          <w:bCs w:val="0"/>
          <w:noProof/>
          <w:sz w:val="18"/>
          <w:lang w:val="es-CR" w:eastAsia="es-CR"/>
        </w:rPr>
      </w:pPr>
      <w:hyperlink w:anchor="_Toc74225390" w:history="1">
        <w:r w:rsidR="00C873B7" w:rsidRPr="00C873B7">
          <w:rPr>
            <w:rStyle w:val="Hipervnculo"/>
            <w:rFonts w:ascii="Verdana" w:hAnsi="Verdana"/>
            <w:noProof/>
            <w:sz w:val="18"/>
          </w:rPr>
          <w:t>B.</w:t>
        </w:r>
        <w:r w:rsidR="00C873B7" w:rsidRPr="00C873B7">
          <w:rPr>
            <w:rFonts w:ascii="Verdana" w:eastAsiaTheme="minorEastAsia" w:hAnsi="Verdana" w:cstheme="minorBidi"/>
            <w:b w:val="0"/>
            <w:bCs w:val="0"/>
            <w:noProof/>
            <w:sz w:val="18"/>
            <w:lang w:val="es-CR" w:eastAsia="es-CR"/>
          </w:rPr>
          <w:tab/>
        </w:r>
        <w:r w:rsidR="00C873B7" w:rsidRPr="00C873B7">
          <w:rPr>
            <w:rStyle w:val="Hipervnculo"/>
            <w:rFonts w:ascii="Verdana" w:hAnsi="Verdana"/>
            <w:noProof/>
            <w:sz w:val="18"/>
          </w:rPr>
          <w:t>Medidas de Restitución</w:t>
        </w:r>
        <w:r w:rsidR="00C873B7" w:rsidRPr="00C873B7">
          <w:rPr>
            <w:rFonts w:ascii="Verdana" w:hAnsi="Verdana"/>
            <w:noProof/>
            <w:webHidden/>
            <w:sz w:val="18"/>
          </w:rPr>
          <w:tab/>
        </w:r>
        <w:r w:rsidR="00C873B7" w:rsidRPr="00C873B7">
          <w:rPr>
            <w:rFonts w:ascii="Verdana" w:hAnsi="Verdana"/>
            <w:noProof/>
            <w:webHidden/>
            <w:sz w:val="18"/>
          </w:rPr>
          <w:fldChar w:fldCharType="begin"/>
        </w:r>
        <w:r w:rsidR="00C873B7" w:rsidRPr="00C873B7">
          <w:rPr>
            <w:rFonts w:ascii="Verdana" w:hAnsi="Verdana"/>
            <w:noProof/>
            <w:webHidden/>
            <w:sz w:val="18"/>
          </w:rPr>
          <w:instrText xml:space="preserve"> PAGEREF _Toc74225390 \h </w:instrText>
        </w:r>
        <w:r w:rsidR="00C873B7" w:rsidRPr="00C873B7">
          <w:rPr>
            <w:rFonts w:ascii="Verdana" w:hAnsi="Verdana"/>
            <w:noProof/>
            <w:webHidden/>
            <w:sz w:val="18"/>
          </w:rPr>
        </w:r>
        <w:r w:rsidR="00C873B7" w:rsidRPr="00C873B7">
          <w:rPr>
            <w:rFonts w:ascii="Verdana" w:hAnsi="Verdana"/>
            <w:noProof/>
            <w:webHidden/>
            <w:sz w:val="18"/>
          </w:rPr>
          <w:fldChar w:fldCharType="separate"/>
        </w:r>
        <w:r w:rsidR="00EA0625">
          <w:rPr>
            <w:rFonts w:ascii="Verdana" w:hAnsi="Verdana"/>
            <w:noProof/>
            <w:webHidden/>
            <w:sz w:val="18"/>
          </w:rPr>
          <w:t>32</w:t>
        </w:r>
        <w:r w:rsidR="00C873B7" w:rsidRPr="00C873B7">
          <w:rPr>
            <w:rFonts w:ascii="Verdana" w:hAnsi="Verdana"/>
            <w:noProof/>
            <w:webHidden/>
            <w:sz w:val="18"/>
          </w:rPr>
          <w:fldChar w:fldCharType="end"/>
        </w:r>
      </w:hyperlink>
    </w:p>
    <w:p w14:paraId="377FFA77" w14:textId="305A5E21" w:rsidR="00C873B7" w:rsidRPr="00C873B7" w:rsidRDefault="001C076F" w:rsidP="000F3BE2">
      <w:pPr>
        <w:pStyle w:val="TDC2"/>
        <w:tabs>
          <w:tab w:val="left" w:pos="480"/>
          <w:tab w:val="right" w:pos="9350"/>
        </w:tabs>
        <w:spacing w:before="0"/>
        <w:rPr>
          <w:rFonts w:ascii="Verdana" w:eastAsiaTheme="minorEastAsia" w:hAnsi="Verdana" w:cstheme="minorBidi"/>
          <w:b w:val="0"/>
          <w:bCs w:val="0"/>
          <w:noProof/>
          <w:sz w:val="18"/>
          <w:lang w:val="es-CR" w:eastAsia="es-CR"/>
        </w:rPr>
      </w:pPr>
      <w:hyperlink w:anchor="_Toc74225391" w:history="1">
        <w:r w:rsidR="00C873B7" w:rsidRPr="00C873B7">
          <w:rPr>
            <w:rStyle w:val="Hipervnculo"/>
            <w:rFonts w:ascii="Verdana" w:hAnsi="Verdana"/>
            <w:noProof/>
            <w:sz w:val="18"/>
          </w:rPr>
          <w:t>C.</w:t>
        </w:r>
        <w:r w:rsidR="00C873B7" w:rsidRPr="00C873B7">
          <w:rPr>
            <w:rFonts w:ascii="Verdana" w:eastAsiaTheme="minorEastAsia" w:hAnsi="Verdana" w:cstheme="minorBidi"/>
            <w:b w:val="0"/>
            <w:bCs w:val="0"/>
            <w:noProof/>
            <w:sz w:val="18"/>
            <w:lang w:val="es-CR" w:eastAsia="es-CR"/>
          </w:rPr>
          <w:tab/>
        </w:r>
        <w:r w:rsidR="00C873B7" w:rsidRPr="00C873B7">
          <w:rPr>
            <w:rStyle w:val="Hipervnculo"/>
            <w:rFonts w:ascii="Verdana" w:hAnsi="Verdana"/>
            <w:noProof/>
            <w:sz w:val="18"/>
          </w:rPr>
          <w:t>Medidas de Satisfacción</w:t>
        </w:r>
        <w:r w:rsidR="00C873B7" w:rsidRPr="00C873B7">
          <w:rPr>
            <w:rFonts w:ascii="Verdana" w:hAnsi="Verdana"/>
            <w:noProof/>
            <w:webHidden/>
            <w:sz w:val="18"/>
          </w:rPr>
          <w:tab/>
        </w:r>
        <w:r w:rsidR="00C873B7" w:rsidRPr="00C873B7">
          <w:rPr>
            <w:rFonts w:ascii="Verdana" w:hAnsi="Verdana"/>
            <w:noProof/>
            <w:webHidden/>
            <w:sz w:val="18"/>
          </w:rPr>
          <w:fldChar w:fldCharType="begin"/>
        </w:r>
        <w:r w:rsidR="00C873B7" w:rsidRPr="00C873B7">
          <w:rPr>
            <w:rFonts w:ascii="Verdana" w:hAnsi="Verdana"/>
            <w:noProof/>
            <w:webHidden/>
            <w:sz w:val="18"/>
          </w:rPr>
          <w:instrText xml:space="preserve"> PAGEREF _Toc74225391 \h </w:instrText>
        </w:r>
        <w:r w:rsidR="00C873B7" w:rsidRPr="00C873B7">
          <w:rPr>
            <w:rFonts w:ascii="Verdana" w:hAnsi="Verdana"/>
            <w:noProof/>
            <w:webHidden/>
            <w:sz w:val="18"/>
          </w:rPr>
        </w:r>
        <w:r w:rsidR="00C873B7" w:rsidRPr="00C873B7">
          <w:rPr>
            <w:rFonts w:ascii="Verdana" w:hAnsi="Verdana"/>
            <w:noProof/>
            <w:webHidden/>
            <w:sz w:val="18"/>
          </w:rPr>
          <w:fldChar w:fldCharType="separate"/>
        </w:r>
        <w:r w:rsidR="00EA0625">
          <w:rPr>
            <w:rFonts w:ascii="Verdana" w:hAnsi="Verdana"/>
            <w:noProof/>
            <w:webHidden/>
            <w:sz w:val="18"/>
          </w:rPr>
          <w:t>32</w:t>
        </w:r>
        <w:r w:rsidR="00C873B7" w:rsidRPr="00C873B7">
          <w:rPr>
            <w:rFonts w:ascii="Verdana" w:hAnsi="Verdana"/>
            <w:noProof/>
            <w:webHidden/>
            <w:sz w:val="18"/>
          </w:rPr>
          <w:fldChar w:fldCharType="end"/>
        </w:r>
      </w:hyperlink>
    </w:p>
    <w:p w14:paraId="43B886C4" w14:textId="168C8EA2" w:rsidR="00C873B7" w:rsidRPr="00C873B7" w:rsidRDefault="001C076F" w:rsidP="000F3BE2">
      <w:pPr>
        <w:pStyle w:val="TDC2"/>
        <w:tabs>
          <w:tab w:val="left" w:pos="480"/>
          <w:tab w:val="right" w:pos="9350"/>
        </w:tabs>
        <w:spacing w:before="0"/>
        <w:rPr>
          <w:rFonts w:ascii="Verdana" w:eastAsiaTheme="minorEastAsia" w:hAnsi="Verdana" w:cstheme="minorBidi"/>
          <w:b w:val="0"/>
          <w:bCs w:val="0"/>
          <w:noProof/>
          <w:sz w:val="18"/>
          <w:lang w:val="es-CR" w:eastAsia="es-CR"/>
        </w:rPr>
      </w:pPr>
      <w:hyperlink w:anchor="_Toc74225392" w:history="1">
        <w:r w:rsidR="00C873B7" w:rsidRPr="00C873B7">
          <w:rPr>
            <w:rStyle w:val="Hipervnculo"/>
            <w:rFonts w:ascii="Verdana" w:hAnsi="Verdana"/>
            <w:noProof/>
            <w:sz w:val="18"/>
          </w:rPr>
          <w:t>D.</w:t>
        </w:r>
        <w:r w:rsidR="00C873B7" w:rsidRPr="00C873B7">
          <w:rPr>
            <w:rFonts w:ascii="Verdana" w:eastAsiaTheme="minorEastAsia" w:hAnsi="Verdana" w:cstheme="minorBidi"/>
            <w:b w:val="0"/>
            <w:bCs w:val="0"/>
            <w:noProof/>
            <w:sz w:val="18"/>
            <w:lang w:val="es-CR" w:eastAsia="es-CR"/>
          </w:rPr>
          <w:tab/>
        </w:r>
        <w:r w:rsidR="00C873B7" w:rsidRPr="00C873B7">
          <w:rPr>
            <w:rStyle w:val="Hipervnculo"/>
            <w:rFonts w:ascii="Verdana" w:hAnsi="Verdana"/>
            <w:noProof/>
            <w:sz w:val="18"/>
          </w:rPr>
          <w:t>Otras medidas solicitadas</w:t>
        </w:r>
        <w:r w:rsidR="00C873B7" w:rsidRPr="00C873B7">
          <w:rPr>
            <w:rFonts w:ascii="Verdana" w:hAnsi="Verdana"/>
            <w:noProof/>
            <w:webHidden/>
            <w:sz w:val="18"/>
          </w:rPr>
          <w:tab/>
        </w:r>
        <w:r w:rsidR="00C873B7" w:rsidRPr="00C873B7">
          <w:rPr>
            <w:rFonts w:ascii="Verdana" w:hAnsi="Verdana"/>
            <w:noProof/>
            <w:webHidden/>
            <w:sz w:val="18"/>
          </w:rPr>
          <w:fldChar w:fldCharType="begin"/>
        </w:r>
        <w:r w:rsidR="00C873B7" w:rsidRPr="00C873B7">
          <w:rPr>
            <w:rFonts w:ascii="Verdana" w:hAnsi="Verdana"/>
            <w:noProof/>
            <w:webHidden/>
            <w:sz w:val="18"/>
          </w:rPr>
          <w:instrText xml:space="preserve"> PAGEREF _Toc74225392 \h </w:instrText>
        </w:r>
        <w:r w:rsidR="00C873B7" w:rsidRPr="00C873B7">
          <w:rPr>
            <w:rFonts w:ascii="Verdana" w:hAnsi="Verdana"/>
            <w:noProof/>
            <w:webHidden/>
            <w:sz w:val="18"/>
          </w:rPr>
        </w:r>
        <w:r w:rsidR="00C873B7" w:rsidRPr="00C873B7">
          <w:rPr>
            <w:rFonts w:ascii="Verdana" w:hAnsi="Verdana"/>
            <w:noProof/>
            <w:webHidden/>
            <w:sz w:val="18"/>
          </w:rPr>
          <w:fldChar w:fldCharType="separate"/>
        </w:r>
        <w:r w:rsidR="00EA0625">
          <w:rPr>
            <w:rFonts w:ascii="Verdana" w:hAnsi="Verdana"/>
            <w:noProof/>
            <w:webHidden/>
            <w:sz w:val="18"/>
          </w:rPr>
          <w:t>33</w:t>
        </w:r>
        <w:r w:rsidR="00C873B7" w:rsidRPr="00C873B7">
          <w:rPr>
            <w:rFonts w:ascii="Verdana" w:hAnsi="Verdana"/>
            <w:noProof/>
            <w:webHidden/>
            <w:sz w:val="18"/>
          </w:rPr>
          <w:fldChar w:fldCharType="end"/>
        </w:r>
      </w:hyperlink>
    </w:p>
    <w:p w14:paraId="1916D763" w14:textId="2653355C" w:rsidR="00C873B7" w:rsidRPr="00C873B7" w:rsidRDefault="001C076F" w:rsidP="000F3BE2">
      <w:pPr>
        <w:pStyle w:val="TDC2"/>
        <w:tabs>
          <w:tab w:val="left" w:pos="480"/>
          <w:tab w:val="right" w:pos="9350"/>
        </w:tabs>
        <w:spacing w:before="0"/>
        <w:rPr>
          <w:rFonts w:ascii="Verdana" w:eastAsiaTheme="minorEastAsia" w:hAnsi="Verdana" w:cstheme="minorBidi"/>
          <w:b w:val="0"/>
          <w:bCs w:val="0"/>
          <w:noProof/>
          <w:sz w:val="18"/>
          <w:lang w:val="es-CR" w:eastAsia="es-CR"/>
        </w:rPr>
      </w:pPr>
      <w:hyperlink w:anchor="_Toc74225393" w:history="1">
        <w:r w:rsidR="00C873B7" w:rsidRPr="00C873B7">
          <w:rPr>
            <w:rStyle w:val="Hipervnculo"/>
            <w:rFonts w:ascii="Verdana" w:hAnsi="Verdana"/>
            <w:noProof/>
            <w:sz w:val="18"/>
          </w:rPr>
          <w:t>E.</w:t>
        </w:r>
        <w:r w:rsidR="00C873B7" w:rsidRPr="00C873B7">
          <w:rPr>
            <w:rFonts w:ascii="Verdana" w:eastAsiaTheme="minorEastAsia" w:hAnsi="Verdana" w:cstheme="minorBidi"/>
            <w:b w:val="0"/>
            <w:bCs w:val="0"/>
            <w:noProof/>
            <w:sz w:val="18"/>
            <w:lang w:val="es-CR" w:eastAsia="es-CR"/>
          </w:rPr>
          <w:tab/>
        </w:r>
        <w:r w:rsidR="00C873B7" w:rsidRPr="00C873B7">
          <w:rPr>
            <w:rStyle w:val="Hipervnculo"/>
            <w:rFonts w:ascii="Verdana" w:hAnsi="Verdana"/>
            <w:noProof/>
            <w:sz w:val="18"/>
          </w:rPr>
          <w:t>Indemnizaciones compensatorias</w:t>
        </w:r>
        <w:r w:rsidR="00C873B7" w:rsidRPr="00C873B7">
          <w:rPr>
            <w:rFonts w:ascii="Verdana" w:hAnsi="Verdana"/>
            <w:noProof/>
            <w:webHidden/>
            <w:sz w:val="18"/>
          </w:rPr>
          <w:tab/>
        </w:r>
        <w:r w:rsidR="00C873B7" w:rsidRPr="00C873B7">
          <w:rPr>
            <w:rFonts w:ascii="Verdana" w:hAnsi="Verdana"/>
            <w:noProof/>
            <w:webHidden/>
            <w:sz w:val="18"/>
          </w:rPr>
          <w:fldChar w:fldCharType="begin"/>
        </w:r>
        <w:r w:rsidR="00C873B7" w:rsidRPr="00C873B7">
          <w:rPr>
            <w:rFonts w:ascii="Verdana" w:hAnsi="Verdana"/>
            <w:noProof/>
            <w:webHidden/>
            <w:sz w:val="18"/>
          </w:rPr>
          <w:instrText xml:space="preserve"> PAGEREF _Toc74225393 \h </w:instrText>
        </w:r>
        <w:r w:rsidR="00C873B7" w:rsidRPr="00C873B7">
          <w:rPr>
            <w:rFonts w:ascii="Verdana" w:hAnsi="Verdana"/>
            <w:noProof/>
            <w:webHidden/>
            <w:sz w:val="18"/>
          </w:rPr>
        </w:r>
        <w:r w:rsidR="00C873B7" w:rsidRPr="00C873B7">
          <w:rPr>
            <w:rFonts w:ascii="Verdana" w:hAnsi="Verdana"/>
            <w:noProof/>
            <w:webHidden/>
            <w:sz w:val="18"/>
          </w:rPr>
          <w:fldChar w:fldCharType="separate"/>
        </w:r>
        <w:r w:rsidR="00EA0625">
          <w:rPr>
            <w:rFonts w:ascii="Verdana" w:hAnsi="Verdana"/>
            <w:noProof/>
            <w:webHidden/>
            <w:sz w:val="18"/>
          </w:rPr>
          <w:t>33</w:t>
        </w:r>
        <w:r w:rsidR="00C873B7" w:rsidRPr="00C873B7">
          <w:rPr>
            <w:rFonts w:ascii="Verdana" w:hAnsi="Verdana"/>
            <w:noProof/>
            <w:webHidden/>
            <w:sz w:val="18"/>
          </w:rPr>
          <w:fldChar w:fldCharType="end"/>
        </w:r>
      </w:hyperlink>
    </w:p>
    <w:p w14:paraId="1C519DB3" w14:textId="64D39BFE" w:rsidR="00C873B7" w:rsidRPr="00C873B7" w:rsidRDefault="001C076F" w:rsidP="000F3BE2">
      <w:pPr>
        <w:pStyle w:val="TDC3"/>
        <w:tabs>
          <w:tab w:val="right" w:pos="9350"/>
        </w:tabs>
        <w:rPr>
          <w:rFonts w:ascii="Verdana" w:eastAsiaTheme="minorEastAsia" w:hAnsi="Verdana" w:cstheme="minorBidi"/>
          <w:noProof/>
          <w:sz w:val="18"/>
          <w:lang w:val="es-CR" w:eastAsia="es-CR"/>
        </w:rPr>
      </w:pPr>
      <w:hyperlink w:anchor="_Toc74225394" w:history="1">
        <w:r w:rsidR="00C873B7" w:rsidRPr="00C873B7">
          <w:rPr>
            <w:rStyle w:val="Hipervnculo"/>
            <w:rFonts w:ascii="Verdana" w:eastAsiaTheme="minorHAnsi" w:hAnsi="Verdana"/>
            <w:noProof/>
            <w:sz w:val="18"/>
            <w:lang w:eastAsia="es-MX"/>
          </w:rPr>
          <w:t>E.1 Daño material</w:t>
        </w:r>
        <w:r w:rsidR="00C873B7" w:rsidRPr="00C873B7">
          <w:rPr>
            <w:rFonts w:ascii="Verdana" w:hAnsi="Verdana"/>
            <w:noProof/>
            <w:webHidden/>
            <w:sz w:val="18"/>
          </w:rPr>
          <w:tab/>
        </w:r>
        <w:r w:rsidR="00C873B7" w:rsidRPr="00C873B7">
          <w:rPr>
            <w:rFonts w:ascii="Verdana" w:hAnsi="Verdana"/>
            <w:noProof/>
            <w:webHidden/>
            <w:sz w:val="18"/>
          </w:rPr>
          <w:fldChar w:fldCharType="begin"/>
        </w:r>
        <w:r w:rsidR="00C873B7" w:rsidRPr="00C873B7">
          <w:rPr>
            <w:rFonts w:ascii="Verdana" w:hAnsi="Verdana"/>
            <w:noProof/>
            <w:webHidden/>
            <w:sz w:val="18"/>
          </w:rPr>
          <w:instrText xml:space="preserve"> PAGEREF _Toc74225394 \h </w:instrText>
        </w:r>
        <w:r w:rsidR="00C873B7" w:rsidRPr="00C873B7">
          <w:rPr>
            <w:rFonts w:ascii="Verdana" w:hAnsi="Verdana"/>
            <w:noProof/>
            <w:webHidden/>
            <w:sz w:val="18"/>
          </w:rPr>
        </w:r>
        <w:r w:rsidR="00C873B7" w:rsidRPr="00C873B7">
          <w:rPr>
            <w:rFonts w:ascii="Verdana" w:hAnsi="Verdana"/>
            <w:noProof/>
            <w:webHidden/>
            <w:sz w:val="18"/>
          </w:rPr>
          <w:fldChar w:fldCharType="separate"/>
        </w:r>
        <w:r w:rsidR="00EA0625">
          <w:rPr>
            <w:rFonts w:ascii="Verdana" w:hAnsi="Verdana"/>
            <w:noProof/>
            <w:webHidden/>
            <w:sz w:val="18"/>
          </w:rPr>
          <w:t>33</w:t>
        </w:r>
        <w:r w:rsidR="00C873B7" w:rsidRPr="00C873B7">
          <w:rPr>
            <w:rFonts w:ascii="Verdana" w:hAnsi="Verdana"/>
            <w:noProof/>
            <w:webHidden/>
            <w:sz w:val="18"/>
          </w:rPr>
          <w:fldChar w:fldCharType="end"/>
        </w:r>
      </w:hyperlink>
    </w:p>
    <w:p w14:paraId="021BA05E" w14:textId="40EEE029" w:rsidR="00C873B7" w:rsidRPr="00C873B7" w:rsidRDefault="001C076F" w:rsidP="000F3BE2">
      <w:pPr>
        <w:pStyle w:val="TDC3"/>
        <w:tabs>
          <w:tab w:val="right" w:pos="9350"/>
        </w:tabs>
        <w:rPr>
          <w:rFonts w:ascii="Verdana" w:eastAsiaTheme="minorEastAsia" w:hAnsi="Verdana" w:cstheme="minorBidi"/>
          <w:noProof/>
          <w:sz w:val="18"/>
          <w:lang w:val="es-CR" w:eastAsia="es-CR"/>
        </w:rPr>
      </w:pPr>
      <w:hyperlink w:anchor="_Toc74225395" w:history="1">
        <w:r w:rsidR="00C873B7" w:rsidRPr="00C873B7">
          <w:rPr>
            <w:rStyle w:val="Hipervnculo"/>
            <w:rFonts w:ascii="Verdana" w:eastAsiaTheme="minorHAnsi" w:hAnsi="Verdana"/>
            <w:noProof/>
            <w:sz w:val="18"/>
            <w:lang w:eastAsia="es-MX"/>
          </w:rPr>
          <w:t>E.2 Daño inmaterial</w:t>
        </w:r>
        <w:r w:rsidR="00C873B7" w:rsidRPr="00C873B7">
          <w:rPr>
            <w:rFonts w:ascii="Verdana" w:hAnsi="Verdana"/>
            <w:noProof/>
            <w:webHidden/>
            <w:sz w:val="18"/>
          </w:rPr>
          <w:tab/>
        </w:r>
        <w:r w:rsidR="00C873B7" w:rsidRPr="00C873B7">
          <w:rPr>
            <w:rFonts w:ascii="Verdana" w:hAnsi="Verdana"/>
            <w:noProof/>
            <w:webHidden/>
            <w:sz w:val="18"/>
          </w:rPr>
          <w:fldChar w:fldCharType="begin"/>
        </w:r>
        <w:r w:rsidR="00C873B7" w:rsidRPr="00C873B7">
          <w:rPr>
            <w:rFonts w:ascii="Verdana" w:hAnsi="Verdana"/>
            <w:noProof/>
            <w:webHidden/>
            <w:sz w:val="18"/>
          </w:rPr>
          <w:instrText xml:space="preserve"> PAGEREF _Toc74225395 \h </w:instrText>
        </w:r>
        <w:r w:rsidR="00C873B7" w:rsidRPr="00C873B7">
          <w:rPr>
            <w:rFonts w:ascii="Verdana" w:hAnsi="Verdana"/>
            <w:noProof/>
            <w:webHidden/>
            <w:sz w:val="18"/>
          </w:rPr>
        </w:r>
        <w:r w:rsidR="00C873B7" w:rsidRPr="00C873B7">
          <w:rPr>
            <w:rFonts w:ascii="Verdana" w:hAnsi="Verdana"/>
            <w:noProof/>
            <w:webHidden/>
            <w:sz w:val="18"/>
          </w:rPr>
          <w:fldChar w:fldCharType="separate"/>
        </w:r>
        <w:r w:rsidR="00EA0625">
          <w:rPr>
            <w:rFonts w:ascii="Verdana" w:hAnsi="Verdana"/>
            <w:noProof/>
            <w:webHidden/>
            <w:sz w:val="18"/>
          </w:rPr>
          <w:t>34</w:t>
        </w:r>
        <w:r w:rsidR="00C873B7" w:rsidRPr="00C873B7">
          <w:rPr>
            <w:rFonts w:ascii="Verdana" w:hAnsi="Verdana"/>
            <w:noProof/>
            <w:webHidden/>
            <w:sz w:val="18"/>
          </w:rPr>
          <w:fldChar w:fldCharType="end"/>
        </w:r>
      </w:hyperlink>
    </w:p>
    <w:p w14:paraId="78E3DC6F" w14:textId="5FE8D9EE" w:rsidR="00C873B7" w:rsidRPr="00C873B7" w:rsidRDefault="001C076F" w:rsidP="000F3BE2">
      <w:pPr>
        <w:pStyle w:val="TDC2"/>
        <w:tabs>
          <w:tab w:val="left" w:pos="480"/>
          <w:tab w:val="right" w:pos="9350"/>
        </w:tabs>
        <w:spacing w:before="0"/>
        <w:rPr>
          <w:rFonts w:ascii="Verdana" w:eastAsiaTheme="minorEastAsia" w:hAnsi="Verdana" w:cstheme="minorBidi"/>
          <w:b w:val="0"/>
          <w:bCs w:val="0"/>
          <w:noProof/>
          <w:sz w:val="18"/>
          <w:lang w:val="es-CR" w:eastAsia="es-CR"/>
        </w:rPr>
      </w:pPr>
      <w:hyperlink w:anchor="_Toc74225396" w:history="1">
        <w:r w:rsidR="00C873B7" w:rsidRPr="00C873B7">
          <w:rPr>
            <w:rStyle w:val="Hipervnculo"/>
            <w:rFonts w:ascii="Verdana" w:hAnsi="Verdana"/>
            <w:noProof/>
            <w:sz w:val="18"/>
          </w:rPr>
          <w:t>F.</w:t>
        </w:r>
        <w:r w:rsidR="00C873B7" w:rsidRPr="00C873B7">
          <w:rPr>
            <w:rFonts w:ascii="Verdana" w:eastAsiaTheme="minorEastAsia" w:hAnsi="Verdana" w:cstheme="minorBidi"/>
            <w:b w:val="0"/>
            <w:bCs w:val="0"/>
            <w:noProof/>
            <w:sz w:val="18"/>
            <w:lang w:val="es-CR" w:eastAsia="es-CR"/>
          </w:rPr>
          <w:tab/>
        </w:r>
        <w:r w:rsidR="00C873B7" w:rsidRPr="00C873B7">
          <w:rPr>
            <w:rStyle w:val="Hipervnculo"/>
            <w:rFonts w:ascii="Verdana" w:hAnsi="Verdana"/>
            <w:noProof/>
            <w:sz w:val="18"/>
          </w:rPr>
          <w:t>Costas y gastos</w:t>
        </w:r>
        <w:r w:rsidR="00C873B7" w:rsidRPr="00C873B7">
          <w:rPr>
            <w:rFonts w:ascii="Verdana" w:hAnsi="Verdana"/>
            <w:noProof/>
            <w:webHidden/>
            <w:sz w:val="18"/>
          </w:rPr>
          <w:tab/>
        </w:r>
        <w:r w:rsidR="00C873B7" w:rsidRPr="00C873B7">
          <w:rPr>
            <w:rFonts w:ascii="Verdana" w:hAnsi="Verdana"/>
            <w:noProof/>
            <w:webHidden/>
            <w:sz w:val="18"/>
          </w:rPr>
          <w:fldChar w:fldCharType="begin"/>
        </w:r>
        <w:r w:rsidR="00C873B7" w:rsidRPr="00C873B7">
          <w:rPr>
            <w:rFonts w:ascii="Verdana" w:hAnsi="Verdana"/>
            <w:noProof/>
            <w:webHidden/>
            <w:sz w:val="18"/>
          </w:rPr>
          <w:instrText xml:space="preserve"> PAGEREF _Toc74225396 \h </w:instrText>
        </w:r>
        <w:r w:rsidR="00C873B7" w:rsidRPr="00C873B7">
          <w:rPr>
            <w:rFonts w:ascii="Verdana" w:hAnsi="Verdana"/>
            <w:noProof/>
            <w:webHidden/>
            <w:sz w:val="18"/>
          </w:rPr>
        </w:r>
        <w:r w:rsidR="00C873B7" w:rsidRPr="00C873B7">
          <w:rPr>
            <w:rFonts w:ascii="Verdana" w:hAnsi="Verdana"/>
            <w:noProof/>
            <w:webHidden/>
            <w:sz w:val="18"/>
          </w:rPr>
          <w:fldChar w:fldCharType="separate"/>
        </w:r>
        <w:r w:rsidR="00EA0625">
          <w:rPr>
            <w:rFonts w:ascii="Verdana" w:hAnsi="Verdana"/>
            <w:noProof/>
            <w:webHidden/>
            <w:sz w:val="18"/>
          </w:rPr>
          <w:t>35</w:t>
        </w:r>
        <w:r w:rsidR="00C873B7" w:rsidRPr="00C873B7">
          <w:rPr>
            <w:rFonts w:ascii="Verdana" w:hAnsi="Verdana"/>
            <w:noProof/>
            <w:webHidden/>
            <w:sz w:val="18"/>
          </w:rPr>
          <w:fldChar w:fldCharType="end"/>
        </w:r>
      </w:hyperlink>
    </w:p>
    <w:p w14:paraId="588C878F" w14:textId="44FD9390" w:rsidR="00C873B7" w:rsidRPr="00C873B7" w:rsidRDefault="001C076F" w:rsidP="000F3BE2">
      <w:pPr>
        <w:pStyle w:val="TDC2"/>
        <w:tabs>
          <w:tab w:val="left" w:pos="480"/>
          <w:tab w:val="right" w:pos="9350"/>
        </w:tabs>
        <w:spacing w:before="0"/>
        <w:rPr>
          <w:rFonts w:ascii="Verdana" w:eastAsiaTheme="minorEastAsia" w:hAnsi="Verdana" w:cstheme="minorBidi"/>
          <w:b w:val="0"/>
          <w:bCs w:val="0"/>
          <w:noProof/>
          <w:sz w:val="18"/>
          <w:lang w:val="es-CR" w:eastAsia="es-CR"/>
        </w:rPr>
      </w:pPr>
      <w:hyperlink w:anchor="_Toc74225397" w:history="1">
        <w:r w:rsidR="00C873B7" w:rsidRPr="00C873B7">
          <w:rPr>
            <w:rStyle w:val="Hipervnculo"/>
            <w:rFonts w:ascii="Verdana" w:hAnsi="Verdana"/>
            <w:noProof/>
            <w:sz w:val="18"/>
          </w:rPr>
          <w:t>G.</w:t>
        </w:r>
        <w:r w:rsidR="00C873B7" w:rsidRPr="00C873B7">
          <w:rPr>
            <w:rFonts w:ascii="Verdana" w:eastAsiaTheme="minorEastAsia" w:hAnsi="Verdana" w:cstheme="minorBidi"/>
            <w:b w:val="0"/>
            <w:bCs w:val="0"/>
            <w:noProof/>
            <w:sz w:val="18"/>
            <w:lang w:val="es-CR" w:eastAsia="es-CR"/>
          </w:rPr>
          <w:tab/>
        </w:r>
        <w:r w:rsidR="00C873B7" w:rsidRPr="00C873B7">
          <w:rPr>
            <w:rStyle w:val="Hipervnculo"/>
            <w:rFonts w:ascii="Verdana" w:hAnsi="Verdana"/>
            <w:noProof/>
            <w:sz w:val="18"/>
          </w:rPr>
          <w:t>Modalidad de cumplimiento de los pagos ordenados</w:t>
        </w:r>
        <w:r w:rsidR="00C873B7" w:rsidRPr="00C873B7">
          <w:rPr>
            <w:rFonts w:ascii="Verdana" w:hAnsi="Verdana"/>
            <w:noProof/>
            <w:webHidden/>
            <w:sz w:val="18"/>
          </w:rPr>
          <w:tab/>
        </w:r>
        <w:r w:rsidR="00C873B7" w:rsidRPr="00C873B7">
          <w:rPr>
            <w:rFonts w:ascii="Verdana" w:hAnsi="Verdana"/>
            <w:noProof/>
            <w:webHidden/>
            <w:sz w:val="18"/>
          </w:rPr>
          <w:fldChar w:fldCharType="begin"/>
        </w:r>
        <w:r w:rsidR="00C873B7" w:rsidRPr="00C873B7">
          <w:rPr>
            <w:rFonts w:ascii="Verdana" w:hAnsi="Verdana"/>
            <w:noProof/>
            <w:webHidden/>
            <w:sz w:val="18"/>
          </w:rPr>
          <w:instrText xml:space="preserve"> PAGEREF _Toc74225397 \h </w:instrText>
        </w:r>
        <w:r w:rsidR="00C873B7" w:rsidRPr="00C873B7">
          <w:rPr>
            <w:rFonts w:ascii="Verdana" w:hAnsi="Verdana"/>
            <w:noProof/>
            <w:webHidden/>
            <w:sz w:val="18"/>
          </w:rPr>
        </w:r>
        <w:r w:rsidR="00C873B7" w:rsidRPr="00C873B7">
          <w:rPr>
            <w:rFonts w:ascii="Verdana" w:hAnsi="Verdana"/>
            <w:noProof/>
            <w:webHidden/>
            <w:sz w:val="18"/>
          </w:rPr>
          <w:fldChar w:fldCharType="separate"/>
        </w:r>
        <w:r w:rsidR="00EA0625">
          <w:rPr>
            <w:rFonts w:ascii="Verdana" w:hAnsi="Verdana"/>
            <w:noProof/>
            <w:webHidden/>
            <w:sz w:val="18"/>
          </w:rPr>
          <w:t>35</w:t>
        </w:r>
        <w:r w:rsidR="00C873B7" w:rsidRPr="00C873B7">
          <w:rPr>
            <w:rFonts w:ascii="Verdana" w:hAnsi="Verdana"/>
            <w:noProof/>
            <w:webHidden/>
            <w:sz w:val="18"/>
          </w:rPr>
          <w:fldChar w:fldCharType="end"/>
        </w:r>
      </w:hyperlink>
    </w:p>
    <w:p w14:paraId="223965D2" w14:textId="02B98BF7" w:rsidR="00C873B7" w:rsidRPr="00C873B7" w:rsidRDefault="001C076F" w:rsidP="000F3BE2">
      <w:pPr>
        <w:pStyle w:val="TDC1"/>
        <w:tabs>
          <w:tab w:val="right" w:pos="9350"/>
        </w:tabs>
        <w:spacing w:before="0"/>
        <w:rPr>
          <w:rFonts w:ascii="Verdana" w:eastAsiaTheme="minorEastAsia" w:hAnsi="Verdana" w:cstheme="minorBidi"/>
          <w:b w:val="0"/>
          <w:bCs w:val="0"/>
          <w:caps w:val="0"/>
          <w:noProof/>
          <w:sz w:val="18"/>
          <w:szCs w:val="20"/>
          <w:lang w:val="es-CR" w:eastAsia="es-CR"/>
        </w:rPr>
      </w:pPr>
      <w:hyperlink w:anchor="_Toc74225398" w:history="1">
        <w:r w:rsidR="00C873B7" w:rsidRPr="00C873B7">
          <w:rPr>
            <w:rStyle w:val="Hipervnculo"/>
            <w:rFonts w:ascii="Verdana" w:hAnsi="Verdana"/>
            <w:noProof/>
            <w:sz w:val="18"/>
            <w:szCs w:val="20"/>
            <w:lang w:val="es-CO"/>
          </w:rPr>
          <w:t>IX PUNTOS RESOLUTIVOS</w:t>
        </w:r>
        <w:r w:rsidR="00C873B7" w:rsidRPr="00C873B7">
          <w:rPr>
            <w:rFonts w:ascii="Verdana" w:hAnsi="Verdana"/>
            <w:noProof/>
            <w:webHidden/>
            <w:sz w:val="18"/>
            <w:szCs w:val="20"/>
          </w:rPr>
          <w:tab/>
        </w:r>
        <w:r w:rsidR="00C873B7" w:rsidRPr="00C873B7">
          <w:rPr>
            <w:rFonts w:ascii="Verdana" w:hAnsi="Verdana"/>
            <w:noProof/>
            <w:webHidden/>
            <w:sz w:val="18"/>
            <w:szCs w:val="20"/>
          </w:rPr>
          <w:fldChar w:fldCharType="begin"/>
        </w:r>
        <w:r w:rsidR="00C873B7" w:rsidRPr="00C873B7">
          <w:rPr>
            <w:rFonts w:ascii="Verdana" w:hAnsi="Verdana"/>
            <w:noProof/>
            <w:webHidden/>
            <w:sz w:val="18"/>
            <w:szCs w:val="20"/>
          </w:rPr>
          <w:instrText xml:space="preserve"> PAGEREF _Toc74225398 \h </w:instrText>
        </w:r>
        <w:r w:rsidR="00C873B7" w:rsidRPr="00C873B7">
          <w:rPr>
            <w:rFonts w:ascii="Verdana" w:hAnsi="Verdana"/>
            <w:noProof/>
            <w:webHidden/>
            <w:sz w:val="18"/>
            <w:szCs w:val="20"/>
          </w:rPr>
        </w:r>
        <w:r w:rsidR="00C873B7" w:rsidRPr="00C873B7">
          <w:rPr>
            <w:rFonts w:ascii="Verdana" w:hAnsi="Verdana"/>
            <w:noProof/>
            <w:webHidden/>
            <w:sz w:val="18"/>
            <w:szCs w:val="20"/>
          </w:rPr>
          <w:fldChar w:fldCharType="separate"/>
        </w:r>
        <w:r w:rsidR="00EA0625">
          <w:rPr>
            <w:rFonts w:ascii="Verdana" w:hAnsi="Verdana"/>
            <w:noProof/>
            <w:webHidden/>
            <w:sz w:val="18"/>
            <w:szCs w:val="20"/>
          </w:rPr>
          <w:t>36</w:t>
        </w:r>
        <w:r w:rsidR="00C873B7" w:rsidRPr="00C873B7">
          <w:rPr>
            <w:rFonts w:ascii="Verdana" w:hAnsi="Verdana"/>
            <w:noProof/>
            <w:webHidden/>
            <w:sz w:val="18"/>
            <w:szCs w:val="20"/>
          </w:rPr>
          <w:fldChar w:fldCharType="end"/>
        </w:r>
      </w:hyperlink>
    </w:p>
    <w:p w14:paraId="0F040036" w14:textId="77777777" w:rsidR="00573A15" w:rsidRPr="00977573" w:rsidRDefault="000636E8" w:rsidP="000F3BE2">
      <w:pPr>
        <w:rPr>
          <w:rStyle w:val="None"/>
          <w:rFonts w:ascii="Verdana" w:eastAsia="Calibri" w:hAnsi="Verdana" w:cs="Calibri"/>
          <w:b/>
          <w:sz w:val="18"/>
          <w:szCs w:val="20"/>
          <w:lang w:val="es-CO"/>
        </w:rPr>
      </w:pPr>
      <w:r w:rsidRPr="00C873B7">
        <w:rPr>
          <w:rFonts w:ascii="Verdana" w:hAnsi="Verdana" w:cstheme="majorHAnsi"/>
          <w:bCs/>
          <w:caps/>
          <w:sz w:val="18"/>
          <w:szCs w:val="20"/>
          <w:lang w:val="es-CO"/>
        </w:rPr>
        <w:fldChar w:fldCharType="end"/>
      </w:r>
      <w:bookmarkStart w:id="0" w:name="_Toc69717845"/>
    </w:p>
    <w:p w14:paraId="2788BFB5" w14:textId="77777777" w:rsidR="000636E8" w:rsidRPr="00977573" w:rsidRDefault="000636E8" w:rsidP="000F3BE2">
      <w:pPr>
        <w:rPr>
          <w:rStyle w:val="None"/>
          <w:rFonts w:ascii="Verdana" w:eastAsia="Calibri" w:hAnsi="Verdana" w:cs="Calibri"/>
          <w:b/>
          <w:sz w:val="20"/>
          <w:szCs w:val="20"/>
          <w:lang w:val="es-CO"/>
        </w:rPr>
      </w:pPr>
      <w:r w:rsidRPr="00977573">
        <w:rPr>
          <w:rStyle w:val="None"/>
          <w:rFonts w:ascii="Verdana" w:hAnsi="Verdana"/>
          <w:sz w:val="20"/>
          <w:szCs w:val="20"/>
          <w:lang w:val="es-CO"/>
        </w:rPr>
        <w:br w:type="page"/>
      </w:r>
    </w:p>
    <w:p w14:paraId="442F3D0C" w14:textId="77777777" w:rsidR="00875943" w:rsidRPr="00977573" w:rsidRDefault="00875943" w:rsidP="000F3BE2">
      <w:pPr>
        <w:pStyle w:val="Ttulo1"/>
        <w:rPr>
          <w:rStyle w:val="None"/>
          <w:rFonts w:ascii="Verdana" w:hAnsi="Verdana"/>
          <w:color w:val="auto"/>
          <w:sz w:val="20"/>
          <w:szCs w:val="20"/>
          <w:lang w:val="es-CO"/>
        </w:rPr>
      </w:pPr>
      <w:bookmarkStart w:id="1" w:name="_Toc74225352"/>
      <w:r w:rsidRPr="00977573">
        <w:rPr>
          <w:rStyle w:val="None"/>
          <w:rFonts w:ascii="Verdana" w:hAnsi="Verdana"/>
          <w:color w:val="auto"/>
          <w:sz w:val="20"/>
          <w:szCs w:val="20"/>
          <w:lang w:val="es-CO"/>
        </w:rPr>
        <w:lastRenderedPageBreak/>
        <w:t>I</w:t>
      </w:r>
      <w:r w:rsidRPr="00977573">
        <w:rPr>
          <w:rStyle w:val="None"/>
          <w:rFonts w:ascii="Verdana" w:hAnsi="Verdana"/>
          <w:color w:val="auto"/>
          <w:sz w:val="20"/>
          <w:szCs w:val="20"/>
          <w:lang w:val="es-CO"/>
        </w:rPr>
        <w:br/>
        <w:t>INTRODUCCIÓN DE LA CAUSA Y OBJETO DE LA CONTROVERSIA</w:t>
      </w:r>
      <w:bookmarkEnd w:id="0"/>
      <w:bookmarkEnd w:id="1"/>
    </w:p>
    <w:p w14:paraId="6345DB56" w14:textId="77777777" w:rsidR="00875943" w:rsidRPr="00977573" w:rsidRDefault="00875943" w:rsidP="000F3BE2">
      <w:pPr>
        <w:pStyle w:val="PrrafodeSentencia"/>
        <w:numPr>
          <w:ilvl w:val="0"/>
          <w:numId w:val="0"/>
        </w:numPr>
        <w:spacing w:line="240" w:lineRule="auto"/>
      </w:pPr>
    </w:p>
    <w:p w14:paraId="09FC5441" w14:textId="77777777" w:rsidR="0003198F" w:rsidRPr="00977573" w:rsidRDefault="00EC5530" w:rsidP="000F3BE2">
      <w:pPr>
        <w:pStyle w:val="PrrafodeSentencia"/>
        <w:spacing w:line="240" w:lineRule="auto"/>
      </w:pPr>
      <w:r w:rsidRPr="00977573">
        <w:rPr>
          <w:i/>
        </w:rPr>
        <w:t>El caso sometido a la Corte.</w:t>
      </w:r>
      <w:r w:rsidRPr="00977573">
        <w:t xml:space="preserve"> – </w:t>
      </w:r>
      <w:r w:rsidR="0003198F" w:rsidRPr="00977573">
        <w:t>El 9 de enero de 2020 la Comisión Interamericana de Derechos Humanos (en adelante la “Comisión”) sometió a la Corte Interamericana el caso Moya Solís contra la República de Perú (en adelante “el Estado”, “Perú” o “el Estado peruano”). De acuerdo con la Comisión, el caso se relaciona con las presuntas violaciones de los artículos 8.1, 8.2 b), 8.2 c), 9, 23.1 c) y 25.1 de la Convención Americana sobre Derechos Humanos, en relación con las obligaciones establecidas en los artículos 1.1 y 2 del mismo instrumento, en perjuici</w:t>
      </w:r>
      <w:r w:rsidR="00AC03FC">
        <w:t>o de la señora Norka Moya Solís</w:t>
      </w:r>
      <w:r w:rsidR="0003198F" w:rsidRPr="00977573">
        <w:t xml:space="preserve">. Las alegadas violaciones habrían ocurrido en el marco del proceso administrativo de ratificación, que terminó con la </w:t>
      </w:r>
      <w:r w:rsidR="000A5DA8" w:rsidRPr="00977573">
        <w:t>separación</w:t>
      </w:r>
      <w:r w:rsidR="0003198F" w:rsidRPr="00977573">
        <w:t xml:space="preserve"> de la señora Moya Solís del cargo de Secretaria Judicial del Décimo Juzgado del Fuero Privativo del </w:t>
      </w:r>
      <w:r w:rsidR="00AC03FC">
        <w:t>Trabajo y Comunidades Laborales</w:t>
      </w:r>
      <w:r w:rsidR="0003198F" w:rsidRPr="00977573">
        <w:t>. La Comisión consideró que el proceso seguido contra la señora Moya Solís desconoció su derecho a conocer previa y detalladamente la acusación formulada y a tener el tiempo y los medios adecuados para su defensa. También, que desconoció el derecho de la señora Moya Solís a contar con una decisión debidamente motivada y el principio de legalidad, este último, porque no había causales claramente delimitadas que permitieran entender las conductas que serían evaluadas. Asimismo, la Comisión consideró que se desconoció el derecho a la protección judicial y a un plazo razonable, porque los recursos interpuestos por la presunta víctima fueron rechazados sin que</w:t>
      </w:r>
      <w:r w:rsidR="00AB596B">
        <w:t xml:space="preserve"> se</w:t>
      </w:r>
      <w:r w:rsidR="0003198F" w:rsidRPr="00977573">
        <w:t xml:space="preserve"> hubiese</w:t>
      </w:r>
      <w:r w:rsidR="00AC03FC">
        <w:t xml:space="preserve"> hecho</w:t>
      </w:r>
      <w:r w:rsidR="0003198F" w:rsidRPr="00977573">
        <w:t xml:space="preserve"> un análisis sustantivo de las violaciones al debido proceso, y porque el trámite de la acción de amparo tardó más de 10 años. Finalmente, la Comisión estimó que en este caso se violaron los derechos políticos de la presunta víctima, por haber sido separada de su </w:t>
      </w:r>
      <w:r w:rsidR="00AC03FC">
        <w:t>posición</w:t>
      </w:r>
      <w:r w:rsidR="0003198F" w:rsidRPr="00977573">
        <w:t xml:space="preserve"> en un proceso arbitrario</w:t>
      </w:r>
      <w:r w:rsidR="00C742E2" w:rsidRPr="00977573">
        <w:t>, lo que afectó su derecho a permanecer en el cargo en condiciones de igualdad</w:t>
      </w:r>
      <w:r w:rsidR="0003198F" w:rsidRPr="00977573">
        <w:t xml:space="preserve">.    </w:t>
      </w:r>
    </w:p>
    <w:p w14:paraId="3038E535" w14:textId="77777777" w:rsidR="00875943" w:rsidRPr="00977573" w:rsidRDefault="00875943" w:rsidP="000F3BE2">
      <w:pPr>
        <w:pStyle w:val="PrrafodeSentencia"/>
        <w:numPr>
          <w:ilvl w:val="0"/>
          <w:numId w:val="0"/>
        </w:numPr>
        <w:spacing w:line="240" w:lineRule="auto"/>
      </w:pPr>
    </w:p>
    <w:p w14:paraId="11BDE073" w14:textId="77777777" w:rsidR="00875943" w:rsidRPr="00977573" w:rsidRDefault="00875943" w:rsidP="000F3BE2">
      <w:pPr>
        <w:pStyle w:val="PrrafodeSentencia"/>
        <w:spacing w:line="240" w:lineRule="auto"/>
      </w:pPr>
      <w:r w:rsidRPr="00977573">
        <w:t xml:space="preserve">Trámite ante la Comisión. -  El trámite </w:t>
      </w:r>
      <w:r w:rsidR="00C5695D" w:rsidRPr="00AC03FC">
        <w:t>seguido</w:t>
      </w:r>
      <w:r w:rsidRPr="00977573">
        <w:t xml:space="preserve"> ante la Comisión fue el siguiente:</w:t>
      </w:r>
    </w:p>
    <w:p w14:paraId="3C58461D" w14:textId="77777777" w:rsidR="00875943" w:rsidRPr="00977573" w:rsidRDefault="00875943" w:rsidP="000F3BE2">
      <w:pPr>
        <w:pStyle w:val="PrrafodeSentencia"/>
        <w:numPr>
          <w:ilvl w:val="0"/>
          <w:numId w:val="0"/>
        </w:numPr>
        <w:spacing w:line="240" w:lineRule="auto"/>
        <w:ind w:left="993"/>
      </w:pPr>
    </w:p>
    <w:p w14:paraId="21869211" w14:textId="77777777" w:rsidR="00875943" w:rsidRPr="00977573" w:rsidRDefault="00875943" w:rsidP="000F3BE2">
      <w:pPr>
        <w:pStyle w:val="PrrafodeSentencia"/>
        <w:numPr>
          <w:ilvl w:val="0"/>
          <w:numId w:val="15"/>
        </w:numPr>
        <w:spacing w:line="240" w:lineRule="auto"/>
        <w:ind w:left="993"/>
      </w:pPr>
      <w:r w:rsidRPr="00977573">
        <w:rPr>
          <w:i/>
        </w:rPr>
        <w:t>Petición.</w:t>
      </w:r>
      <w:r w:rsidRPr="00977573">
        <w:t xml:space="preserve"> - El 21 de marzo de 2000, la señora Norka Moya Solís pre</w:t>
      </w:r>
      <w:r w:rsidR="00AC03FC">
        <w:t xml:space="preserve">sentó una petición ante la </w:t>
      </w:r>
      <w:r w:rsidR="00AB596B">
        <w:t>Comisión Interamericana</w:t>
      </w:r>
      <w:r w:rsidRPr="00977573">
        <w:t xml:space="preserve">. </w:t>
      </w:r>
    </w:p>
    <w:p w14:paraId="429E4D40" w14:textId="77777777" w:rsidR="00875943" w:rsidRPr="00977573" w:rsidRDefault="00875943" w:rsidP="000F3BE2">
      <w:pPr>
        <w:pStyle w:val="PrrafodeSentencia"/>
        <w:numPr>
          <w:ilvl w:val="0"/>
          <w:numId w:val="0"/>
        </w:numPr>
        <w:spacing w:line="240" w:lineRule="auto"/>
        <w:ind w:left="993"/>
      </w:pPr>
    </w:p>
    <w:p w14:paraId="4E065722" w14:textId="77777777" w:rsidR="00875943" w:rsidRPr="00977573" w:rsidRDefault="00875943" w:rsidP="000F3BE2">
      <w:pPr>
        <w:pStyle w:val="PrrafodeSentencia"/>
        <w:numPr>
          <w:ilvl w:val="0"/>
          <w:numId w:val="15"/>
        </w:numPr>
        <w:spacing w:line="240" w:lineRule="auto"/>
        <w:ind w:left="993"/>
      </w:pPr>
      <w:r w:rsidRPr="00977573">
        <w:rPr>
          <w:i/>
        </w:rPr>
        <w:t>Informe de Admisibilidad.</w:t>
      </w:r>
      <w:r w:rsidRPr="00977573">
        <w:t xml:space="preserve"> - El 12 de agosto de 2016, la </w:t>
      </w:r>
      <w:r w:rsidR="007C3CF1" w:rsidRPr="00977573">
        <w:t>Comisión Interamericana</w:t>
      </w:r>
      <w:r w:rsidRPr="00977573">
        <w:rPr>
          <w:b/>
        </w:rPr>
        <w:t xml:space="preserve"> </w:t>
      </w:r>
      <w:r w:rsidRPr="00977573">
        <w:t xml:space="preserve">declaró la admisibilidad del caso mediante Informe </w:t>
      </w:r>
      <w:r w:rsidR="00F568B2">
        <w:t xml:space="preserve">No. </w:t>
      </w:r>
      <w:r w:rsidRPr="00977573">
        <w:t>37/16. El Informe de Admisibilidad fue notificado a las pa</w:t>
      </w:r>
      <w:r w:rsidR="002D070A">
        <w:t>rtes el 1 de septiembre de 2016</w:t>
      </w:r>
      <w:r w:rsidRPr="00977573">
        <w:t xml:space="preserve">. </w:t>
      </w:r>
    </w:p>
    <w:p w14:paraId="644986BF" w14:textId="77777777" w:rsidR="00875943" w:rsidRPr="00977573" w:rsidRDefault="00875943" w:rsidP="000F3BE2">
      <w:pPr>
        <w:pStyle w:val="PrrafodeSentencia"/>
        <w:numPr>
          <w:ilvl w:val="0"/>
          <w:numId w:val="0"/>
        </w:numPr>
        <w:spacing w:line="240" w:lineRule="auto"/>
        <w:ind w:left="993"/>
      </w:pPr>
    </w:p>
    <w:p w14:paraId="73C32D98" w14:textId="77777777" w:rsidR="00875943" w:rsidRPr="00977573" w:rsidRDefault="00875943" w:rsidP="000F3BE2">
      <w:pPr>
        <w:pStyle w:val="PrrafodeSentencia"/>
        <w:numPr>
          <w:ilvl w:val="0"/>
          <w:numId w:val="15"/>
        </w:numPr>
        <w:spacing w:line="240" w:lineRule="auto"/>
        <w:ind w:left="993"/>
      </w:pPr>
      <w:r w:rsidRPr="00977573">
        <w:rPr>
          <w:i/>
        </w:rPr>
        <w:t>Informe de Fondo.</w:t>
      </w:r>
      <w:r w:rsidRPr="00977573">
        <w:t xml:space="preserve"> - El 4 de mayo de 2019 la Comisión aprobó el Informe de Fondo No. 63/19, de conformidad con el artículo 50 de la Convención (en adelante “Informe d</w:t>
      </w:r>
      <w:r w:rsidR="002D070A">
        <w:t>e Fondo” o “Informe No. 63/19”)</w:t>
      </w:r>
      <w:r w:rsidRPr="00977573">
        <w:t>.</w:t>
      </w:r>
    </w:p>
    <w:p w14:paraId="21B902C0" w14:textId="77777777" w:rsidR="00875943" w:rsidRPr="00977573" w:rsidRDefault="00875943" w:rsidP="000F3BE2">
      <w:pPr>
        <w:pStyle w:val="PrrafodeSentencia"/>
        <w:numPr>
          <w:ilvl w:val="0"/>
          <w:numId w:val="0"/>
        </w:numPr>
        <w:spacing w:line="240" w:lineRule="auto"/>
        <w:ind w:left="993"/>
      </w:pPr>
    </w:p>
    <w:p w14:paraId="51AB5432" w14:textId="70D75F81" w:rsidR="00875943" w:rsidRPr="00977573" w:rsidRDefault="00875943" w:rsidP="000F3BE2">
      <w:pPr>
        <w:pStyle w:val="PrrafodeSentencia"/>
        <w:numPr>
          <w:ilvl w:val="0"/>
          <w:numId w:val="15"/>
        </w:numPr>
        <w:spacing w:line="240" w:lineRule="auto"/>
        <w:ind w:left="993"/>
      </w:pPr>
      <w:r w:rsidRPr="00977573">
        <w:rPr>
          <w:i/>
        </w:rPr>
        <w:t>Notificación al Estado.</w:t>
      </w:r>
      <w:r w:rsidRPr="00977573">
        <w:t xml:space="preserve"> - El Informe de Fondo fue notificado al Estado mediante comunicación del 9 de julio de 2019 y se le otorgó un plazo de 2 meses para informar sobre el cumplimiento de las recomendaciones. El Estado solicitó una prórroga que fue concedida por la Comisión. En su segundo informe de cumplimiento, el Estado solicitó a la Comisión la publicación del Informe de Fondo N</w:t>
      </w:r>
      <w:r w:rsidR="007F0F0F">
        <w:t>o.</w:t>
      </w:r>
      <w:r w:rsidRPr="00977573">
        <w:t xml:space="preserve"> 63/19 y no presentó información sustantiva que revelara avances importantes en el cumplimiento de las re</w:t>
      </w:r>
      <w:r w:rsidR="009169A6" w:rsidRPr="00977573">
        <w:t>comendaciones</w:t>
      </w:r>
      <w:r w:rsidRPr="00977573">
        <w:t xml:space="preserve">. Por su parte, la </w:t>
      </w:r>
      <w:r w:rsidR="009169A6" w:rsidRPr="00977573">
        <w:t xml:space="preserve">presunta </w:t>
      </w:r>
      <w:r w:rsidRPr="00977573">
        <w:t xml:space="preserve">víctima solicitó a la Comisión que el caso </w:t>
      </w:r>
      <w:r w:rsidR="009169A6" w:rsidRPr="00977573">
        <w:t>fuera</w:t>
      </w:r>
      <w:r w:rsidRPr="00977573">
        <w:t xml:space="preserve"> remitido a la Corte Int</w:t>
      </w:r>
      <w:r w:rsidR="002D070A">
        <w:t>eramericana de Derechos Humanos</w:t>
      </w:r>
      <w:r w:rsidRPr="00977573">
        <w:t xml:space="preserve">. </w:t>
      </w:r>
    </w:p>
    <w:p w14:paraId="34C9D0D7" w14:textId="77777777" w:rsidR="00875943" w:rsidRPr="00977573" w:rsidRDefault="00875943" w:rsidP="000F3BE2">
      <w:pPr>
        <w:rPr>
          <w:rFonts w:ascii="Verdana" w:hAnsi="Verdana"/>
          <w:sz w:val="20"/>
          <w:szCs w:val="20"/>
          <w:lang w:val="es-CO" w:eastAsia="es-MX"/>
        </w:rPr>
      </w:pPr>
    </w:p>
    <w:p w14:paraId="3D5D974E" w14:textId="6C54825F" w:rsidR="00875943" w:rsidRPr="00977573" w:rsidRDefault="00875943" w:rsidP="000F3BE2">
      <w:pPr>
        <w:pStyle w:val="PrrafodeSentencia"/>
        <w:spacing w:line="240" w:lineRule="auto"/>
        <w:rPr>
          <w:b/>
        </w:rPr>
      </w:pPr>
      <w:r w:rsidRPr="00977573">
        <w:rPr>
          <w:rStyle w:val="None"/>
          <w:i/>
        </w:rPr>
        <w:t>Sometimiento a la Corte.</w:t>
      </w:r>
      <w:r w:rsidRPr="00977573">
        <w:rPr>
          <w:rStyle w:val="None"/>
        </w:rPr>
        <w:t xml:space="preserve"> – El </w:t>
      </w:r>
      <w:r w:rsidRPr="00977573">
        <w:rPr>
          <w:rFonts w:cstheme="minorHAnsi"/>
        </w:rPr>
        <w:t>9 de enero de 2020 l</w:t>
      </w:r>
      <w:r w:rsidRPr="00977573">
        <w:rPr>
          <w:rStyle w:val="None"/>
        </w:rPr>
        <w:t>a Comisión sometió ante la Corte Interamericana</w:t>
      </w:r>
      <w:r w:rsidR="00366E49" w:rsidRPr="00977573">
        <w:rPr>
          <w:rStyle w:val="None"/>
        </w:rPr>
        <w:t xml:space="preserve"> la totalidad de</w:t>
      </w:r>
      <w:r w:rsidRPr="00977573">
        <w:rPr>
          <w:rStyle w:val="None"/>
        </w:rPr>
        <w:t xml:space="preserve"> </w:t>
      </w:r>
      <w:r w:rsidRPr="00977573">
        <w:rPr>
          <w:rFonts w:cstheme="minorHAnsi"/>
        </w:rPr>
        <w:t>los hechos</w:t>
      </w:r>
      <w:r w:rsidRPr="00977573">
        <w:rPr>
          <w:rStyle w:val="None"/>
        </w:rPr>
        <w:t xml:space="preserve"> y las alegadas violaciones de derechos humanos </w:t>
      </w:r>
      <w:r w:rsidRPr="00977573">
        <w:rPr>
          <w:rStyle w:val="None"/>
        </w:rPr>
        <w:lastRenderedPageBreak/>
        <w:t>descritas en el Informe N</w:t>
      </w:r>
      <w:r w:rsidR="007F0F0F">
        <w:rPr>
          <w:rStyle w:val="None"/>
        </w:rPr>
        <w:t>o.</w:t>
      </w:r>
      <w:r w:rsidRPr="00977573">
        <w:rPr>
          <w:rStyle w:val="None"/>
        </w:rPr>
        <w:t xml:space="preserve"> 63/19, por “la necesidad de obtención de justicia”</w:t>
      </w:r>
      <w:r w:rsidRPr="00977573">
        <w:rPr>
          <w:rStyle w:val="None"/>
          <w:vertAlign w:val="superscript"/>
        </w:rPr>
        <w:footnoteReference w:id="2"/>
      </w:r>
      <w:r w:rsidRPr="00977573">
        <w:t>.</w:t>
      </w:r>
      <w:r w:rsidR="004F1488" w:rsidRPr="00977573">
        <w:t xml:space="preserve"> </w:t>
      </w:r>
      <w:r w:rsidR="00285696" w:rsidRPr="00977573">
        <w:t>Este Tribunal nota con preocupaci</w:t>
      </w:r>
      <w:r w:rsidR="002D070A">
        <w:t>ón que,</w:t>
      </w:r>
      <w:r w:rsidR="00285696" w:rsidRPr="00977573">
        <w:t xml:space="preserve"> entre la presentación de la petición inicial ante la Comisión y el sometimiento del caso ante la Corte, han transcurrido veinte años. </w:t>
      </w:r>
    </w:p>
    <w:p w14:paraId="4A8264F3" w14:textId="77777777" w:rsidR="00875943" w:rsidRPr="00977573" w:rsidRDefault="00875943" w:rsidP="000F3BE2">
      <w:pPr>
        <w:pStyle w:val="PrrafodeSentencia"/>
        <w:numPr>
          <w:ilvl w:val="0"/>
          <w:numId w:val="0"/>
        </w:numPr>
        <w:spacing w:line="240" w:lineRule="auto"/>
      </w:pPr>
    </w:p>
    <w:p w14:paraId="0767A169" w14:textId="77777777" w:rsidR="0003198F" w:rsidRPr="00977573" w:rsidRDefault="00875943" w:rsidP="000F3BE2">
      <w:pPr>
        <w:pStyle w:val="PrrafodeSentencia"/>
        <w:spacing w:line="240" w:lineRule="auto"/>
      </w:pPr>
      <w:r w:rsidRPr="00977573">
        <w:rPr>
          <w:i/>
        </w:rPr>
        <w:t>Solicitudes de la Comisión Interamericana.</w:t>
      </w:r>
      <w:r w:rsidRPr="00977573">
        <w:t xml:space="preserve"> - La Comisión solicitó a la Corte que declare la responsabilidad internacional del Estado por la violación de los derechos a las garantías judiciales, al principio de legalidad, a los derechos políticos y a la protección judicial, consagrados en los artículos 8.1, 8.2 b), 8.2 c), 9, 23.1 c) y 25.1 de la Convención Americana sobre Derechos Humanos, en relación con las obligaciones establecidas en los artículos 1.1 y 2 del mismo instrumento, en perjuicio de la presunta víctima. </w:t>
      </w:r>
    </w:p>
    <w:p w14:paraId="2DA7F889" w14:textId="77777777" w:rsidR="004F1488" w:rsidRPr="00977573" w:rsidRDefault="004F1488" w:rsidP="000F3BE2">
      <w:pPr>
        <w:rPr>
          <w:rFonts w:eastAsia="Batang"/>
          <w:lang w:val="es-CO" w:eastAsia="es-MX"/>
        </w:rPr>
      </w:pPr>
    </w:p>
    <w:p w14:paraId="1FF66CDF" w14:textId="77777777" w:rsidR="00875943" w:rsidRPr="00977573" w:rsidRDefault="00875943" w:rsidP="000F3BE2">
      <w:pPr>
        <w:pStyle w:val="Ttulo1"/>
        <w:rPr>
          <w:rStyle w:val="None"/>
          <w:rFonts w:ascii="Verdana" w:hAnsi="Verdana"/>
          <w:color w:val="auto"/>
          <w:sz w:val="20"/>
          <w:szCs w:val="20"/>
          <w:lang w:val="es-CO"/>
        </w:rPr>
      </w:pPr>
      <w:bookmarkStart w:id="2" w:name="_headingh.1fob9te"/>
      <w:bookmarkStart w:id="3" w:name="_Toc40199305"/>
      <w:bookmarkStart w:id="4" w:name="_Toc43477591"/>
      <w:bookmarkStart w:id="5" w:name="_Toc44679160"/>
      <w:bookmarkStart w:id="6" w:name="_Toc69717846"/>
      <w:bookmarkStart w:id="7" w:name="_Toc74225353"/>
      <w:bookmarkEnd w:id="2"/>
      <w:r w:rsidRPr="00977573">
        <w:rPr>
          <w:rStyle w:val="None"/>
          <w:rFonts w:ascii="Verdana" w:hAnsi="Verdana"/>
          <w:color w:val="auto"/>
          <w:sz w:val="20"/>
          <w:szCs w:val="20"/>
          <w:lang w:val="es-CO"/>
        </w:rPr>
        <w:t>II</w:t>
      </w:r>
      <w:r w:rsidRPr="00977573">
        <w:rPr>
          <w:rStyle w:val="None"/>
          <w:rFonts w:ascii="Verdana" w:hAnsi="Verdana"/>
          <w:color w:val="auto"/>
          <w:sz w:val="20"/>
          <w:szCs w:val="20"/>
          <w:lang w:val="es-CO"/>
        </w:rPr>
        <w:br/>
        <w:t>PROCEDIMIENTO ANTE LA CORTE</w:t>
      </w:r>
      <w:bookmarkEnd w:id="3"/>
      <w:bookmarkEnd w:id="4"/>
      <w:bookmarkEnd w:id="5"/>
      <w:bookmarkEnd w:id="6"/>
      <w:bookmarkEnd w:id="7"/>
    </w:p>
    <w:p w14:paraId="4BBB7D54" w14:textId="77777777" w:rsidR="00875943" w:rsidRPr="00977573" w:rsidRDefault="00875943" w:rsidP="000F3BE2">
      <w:pPr>
        <w:rPr>
          <w:rFonts w:ascii="Verdana" w:hAnsi="Verdana"/>
          <w:sz w:val="20"/>
          <w:szCs w:val="20"/>
          <w:lang w:val="es-CO"/>
        </w:rPr>
      </w:pPr>
    </w:p>
    <w:p w14:paraId="72C3E2F1" w14:textId="77777777" w:rsidR="00875943" w:rsidRPr="00977573" w:rsidRDefault="00875943" w:rsidP="000F3BE2">
      <w:pPr>
        <w:pStyle w:val="PrrafodeSentencia"/>
        <w:spacing w:line="240" w:lineRule="auto"/>
      </w:pPr>
      <w:r w:rsidRPr="00977573">
        <w:rPr>
          <w:i/>
          <w:iCs/>
        </w:rPr>
        <w:t xml:space="preserve">Notificación al Estado y a </w:t>
      </w:r>
      <w:r w:rsidR="007F0F0F">
        <w:rPr>
          <w:i/>
          <w:iCs/>
        </w:rPr>
        <w:t xml:space="preserve">la </w:t>
      </w:r>
      <w:r w:rsidRPr="00977573">
        <w:rPr>
          <w:i/>
          <w:iCs/>
        </w:rPr>
        <w:t>presunta víctima.</w:t>
      </w:r>
      <w:r w:rsidRPr="00977573">
        <w:t xml:space="preserve"> – El sometimiento del caso fue notificado al Estado y a la presunta víctima el 19 de febrero de 2020.</w:t>
      </w:r>
    </w:p>
    <w:p w14:paraId="5FE6392D" w14:textId="77777777" w:rsidR="00875943" w:rsidRPr="00977573" w:rsidRDefault="00875943" w:rsidP="000F3BE2">
      <w:pPr>
        <w:pStyle w:val="Sinespaciado"/>
        <w:rPr>
          <w:lang w:val="es-CO"/>
        </w:rPr>
      </w:pPr>
    </w:p>
    <w:p w14:paraId="1E2C567B" w14:textId="77777777" w:rsidR="00875943" w:rsidRPr="00977573" w:rsidRDefault="00875943" w:rsidP="000F3BE2">
      <w:pPr>
        <w:pStyle w:val="PrrafodeSentencia"/>
        <w:spacing w:line="240" w:lineRule="auto"/>
      </w:pPr>
      <w:r w:rsidRPr="00977573">
        <w:rPr>
          <w:i/>
          <w:iCs/>
        </w:rPr>
        <w:t>Escrito de solicitudes, argumentos y pruebas. –</w:t>
      </w:r>
      <w:r w:rsidRPr="00977573">
        <w:t xml:space="preserve"> </w:t>
      </w:r>
      <w:r w:rsidRPr="00977573">
        <w:rPr>
          <w:rStyle w:val="None"/>
        </w:rPr>
        <w:t xml:space="preserve">El 22 de abril de 2020 la presunta víctima presentó su escrito de solicitudes, argumentos y pruebas (en adelante “escrito de solicitudes y argumentos”), en los términos de los artículos 25 y 40 del Reglamento de la Corte. </w:t>
      </w:r>
      <w:r w:rsidRPr="00977573">
        <w:rPr>
          <w:rFonts w:cstheme="minorHAnsi"/>
        </w:rPr>
        <w:t xml:space="preserve">La señora Moya Solís solicitó que se declare la responsabilidad internacional del Estado por la violación de </w:t>
      </w:r>
      <w:r w:rsidR="00126821" w:rsidRPr="00977573">
        <w:rPr>
          <w:rFonts w:cstheme="minorHAnsi"/>
        </w:rPr>
        <w:t>los</w:t>
      </w:r>
      <w:r w:rsidRPr="00977573">
        <w:rPr>
          <w:rFonts w:cstheme="minorHAnsi"/>
        </w:rPr>
        <w:t xml:space="preserve"> derechos a las garantías judiciales, al principio de legalidad y a la protección judicial, establecidos en los artículos 8.1, 8.2.b), 8.2.c), 9 y 25.1 de la Convención Americana sobre Derechos Humanos. Solicitó además algunas medidas de reparación. </w:t>
      </w:r>
    </w:p>
    <w:p w14:paraId="25FE6C13" w14:textId="77777777" w:rsidR="00875943" w:rsidRPr="00977573" w:rsidRDefault="00875943" w:rsidP="000F3BE2">
      <w:pPr>
        <w:pStyle w:val="PrrafodeSentencia"/>
        <w:numPr>
          <w:ilvl w:val="0"/>
          <w:numId w:val="0"/>
        </w:numPr>
        <w:spacing w:line="240" w:lineRule="auto"/>
      </w:pPr>
    </w:p>
    <w:p w14:paraId="2C84E201" w14:textId="77777777" w:rsidR="00875943" w:rsidRPr="00977573" w:rsidRDefault="00875943" w:rsidP="000F3BE2">
      <w:pPr>
        <w:pStyle w:val="PrrafodeSentencia"/>
        <w:spacing w:line="240" w:lineRule="auto"/>
      </w:pPr>
      <w:r w:rsidRPr="00977573">
        <w:rPr>
          <w:i/>
          <w:iCs/>
        </w:rPr>
        <w:t>Escrito de contestación. –</w:t>
      </w:r>
      <w:r w:rsidRPr="00977573">
        <w:t xml:space="preserve"> El 10 de septiembre de 2020 </w:t>
      </w:r>
      <w:r w:rsidRPr="00977573">
        <w:rPr>
          <w:rStyle w:val="None"/>
        </w:rPr>
        <w:t>el Estado</w:t>
      </w:r>
      <w:r w:rsidRPr="00977573">
        <w:rPr>
          <w:rStyle w:val="None"/>
          <w:vertAlign w:val="superscript"/>
        </w:rPr>
        <w:footnoteReference w:id="3"/>
      </w:r>
      <w:r w:rsidRPr="00977573">
        <w:rPr>
          <w:rStyle w:val="None"/>
        </w:rPr>
        <w:t xml:space="preserve"> presentó su escrito de contestación al sometimiento del caso y al escrito de solicitudes y argumentos (en adelante “contestación” o “escrito de contestación”), en el cual interpuso </w:t>
      </w:r>
      <w:r w:rsidR="009F5BD3" w:rsidRPr="00977573">
        <w:rPr>
          <w:rStyle w:val="None"/>
        </w:rPr>
        <w:t>tres</w:t>
      </w:r>
      <w:r w:rsidRPr="00977573">
        <w:rPr>
          <w:rStyle w:val="None"/>
        </w:rPr>
        <w:t xml:space="preserve"> excepciones preliminares y se opuso a las violaciones alegadas y a las solicitudes de medidas de reparación presentadas por la Comisión </w:t>
      </w:r>
      <w:r w:rsidR="009169A6" w:rsidRPr="00977573">
        <w:rPr>
          <w:rStyle w:val="None"/>
        </w:rPr>
        <w:t xml:space="preserve">y </w:t>
      </w:r>
      <w:r w:rsidR="00634722">
        <w:rPr>
          <w:rStyle w:val="None"/>
        </w:rPr>
        <w:t>la presunta víctima</w:t>
      </w:r>
      <w:r w:rsidRPr="00977573">
        <w:rPr>
          <w:rStyle w:val="None"/>
        </w:rPr>
        <w:t>.</w:t>
      </w:r>
    </w:p>
    <w:p w14:paraId="00DF16AF" w14:textId="77777777" w:rsidR="00875943" w:rsidRPr="00977573" w:rsidRDefault="00875943" w:rsidP="000F3BE2">
      <w:pPr>
        <w:pStyle w:val="Sinespaciado"/>
        <w:rPr>
          <w:lang w:val="es-CO"/>
        </w:rPr>
      </w:pPr>
    </w:p>
    <w:p w14:paraId="0975F4A5" w14:textId="24CC7303" w:rsidR="00875943" w:rsidRPr="00977573" w:rsidRDefault="00875943" w:rsidP="000F3BE2">
      <w:pPr>
        <w:pStyle w:val="PrrafodeSentencia"/>
        <w:spacing w:line="240" w:lineRule="auto"/>
      </w:pPr>
      <w:r w:rsidRPr="00977573">
        <w:rPr>
          <w:i/>
          <w:iCs/>
        </w:rPr>
        <w:t xml:space="preserve">Observaciones a las excepciones preliminares. – </w:t>
      </w:r>
      <w:r w:rsidRPr="00977573">
        <w:rPr>
          <w:iCs/>
        </w:rPr>
        <w:t>L</w:t>
      </w:r>
      <w:r w:rsidRPr="00977573">
        <w:t>a presunta víctima presentó observaciones a las excepciones prelimina</w:t>
      </w:r>
      <w:bookmarkStart w:id="8" w:name="_Ref446678625"/>
      <w:r w:rsidRPr="00977573">
        <w:t>res planteadas por el Estado el 7 de noviembre de 2020</w:t>
      </w:r>
      <w:r w:rsidR="007F0F0F">
        <w:t>.</w:t>
      </w:r>
      <w:r w:rsidRPr="00977573">
        <w:t xml:space="preserve"> </w:t>
      </w:r>
      <w:r w:rsidR="007F0F0F">
        <w:t>L</w:t>
      </w:r>
      <w:r w:rsidRPr="00977573">
        <w:t>a Comisión Interamericana, por su parte, remitió sus observaciones el 9 de noviembre de 2020.</w:t>
      </w:r>
    </w:p>
    <w:p w14:paraId="0D3712D8" w14:textId="77777777" w:rsidR="00875943" w:rsidRPr="00977573" w:rsidRDefault="00875943" w:rsidP="000F3BE2">
      <w:pPr>
        <w:pStyle w:val="PrrafodeSentencia"/>
        <w:numPr>
          <w:ilvl w:val="0"/>
          <w:numId w:val="0"/>
        </w:numPr>
        <w:spacing w:line="240" w:lineRule="auto"/>
      </w:pPr>
    </w:p>
    <w:p w14:paraId="14DAB097" w14:textId="77777777" w:rsidR="00875943" w:rsidRPr="00977573" w:rsidRDefault="00875943" w:rsidP="000F3BE2">
      <w:pPr>
        <w:pStyle w:val="PrrafodeSentencia"/>
        <w:spacing w:line="240" w:lineRule="auto"/>
      </w:pPr>
      <w:r w:rsidRPr="00977573">
        <w:rPr>
          <w:i/>
          <w:iCs/>
        </w:rPr>
        <w:t>Procedimiento final escrito. –</w:t>
      </w:r>
      <w:bookmarkEnd w:id="8"/>
      <w:r w:rsidRPr="00977573">
        <w:t xml:space="preserve"> </w:t>
      </w:r>
      <w:r w:rsidRPr="00977573">
        <w:rPr>
          <w:rStyle w:val="None"/>
          <w:rFonts w:cstheme="minorHAnsi"/>
        </w:rPr>
        <w:t>Mediante Resolución de 1 de febrero de 2021</w:t>
      </w:r>
      <w:r w:rsidRPr="00977573">
        <w:rPr>
          <w:rStyle w:val="Refdenotaalpie"/>
          <w:sz w:val="20"/>
          <w:szCs w:val="20"/>
          <w:lang w:val="es-CO"/>
        </w:rPr>
        <w:footnoteReference w:id="4"/>
      </w:r>
      <w:r w:rsidRPr="00977573">
        <w:rPr>
          <w:rStyle w:val="None"/>
          <w:rFonts w:cstheme="minorHAnsi"/>
        </w:rPr>
        <w:t xml:space="preserve">, la Presidenta de la Corte, </w:t>
      </w:r>
      <w:r w:rsidR="009169A6" w:rsidRPr="00977573">
        <w:rPr>
          <w:rStyle w:val="None"/>
        </w:rPr>
        <w:t xml:space="preserve">en atención a la situación originada a causa de la pandemia por la propagación del Covid-19 </w:t>
      </w:r>
      <w:r w:rsidRPr="00977573">
        <w:rPr>
          <w:rStyle w:val="None"/>
          <w:rFonts w:cstheme="minorHAnsi"/>
        </w:rPr>
        <w:t xml:space="preserve">y de conformidad con la facultad que le otorga el artículo 50.1 del Reglamento, resolvió no convocar a audiencia pública en el presente caso y solicitar que una declaración testimonial y dos peritajes fueran remitidos por affidávit. </w:t>
      </w:r>
    </w:p>
    <w:p w14:paraId="24B550F5" w14:textId="77777777" w:rsidR="00875943" w:rsidRPr="00977573" w:rsidRDefault="00875943" w:rsidP="000F3BE2">
      <w:pPr>
        <w:pStyle w:val="PrrafodeSentencia"/>
        <w:numPr>
          <w:ilvl w:val="0"/>
          <w:numId w:val="0"/>
        </w:numPr>
        <w:spacing w:line="240" w:lineRule="auto"/>
        <w:rPr>
          <w:rStyle w:val="None"/>
        </w:rPr>
      </w:pPr>
    </w:p>
    <w:p w14:paraId="5AEF9CC2" w14:textId="5147F835" w:rsidR="00875943" w:rsidRPr="00977573" w:rsidRDefault="00875943" w:rsidP="000F3BE2">
      <w:pPr>
        <w:pStyle w:val="PrrafodeSentencia"/>
        <w:spacing w:line="240" w:lineRule="auto"/>
        <w:rPr>
          <w:rStyle w:val="None"/>
        </w:rPr>
      </w:pPr>
      <w:r w:rsidRPr="00977573">
        <w:rPr>
          <w:rStyle w:val="None"/>
          <w:i/>
        </w:rPr>
        <w:lastRenderedPageBreak/>
        <w:t>Prueba e información para mejor resolver. –</w:t>
      </w:r>
      <w:r w:rsidRPr="00977573">
        <w:rPr>
          <w:rStyle w:val="None"/>
        </w:rPr>
        <w:t xml:space="preserve"> El </w:t>
      </w:r>
      <w:r w:rsidR="00E52580" w:rsidRPr="00977573">
        <w:rPr>
          <w:rStyle w:val="None"/>
        </w:rPr>
        <w:t>18</w:t>
      </w:r>
      <w:r w:rsidRPr="00977573">
        <w:rPr>
          <w:rStyle w:val="None"/>
        </w:rPr>
        <w:t xml:space="preserve"> de </w:t>
      </w:r>
      <w:r w:rsidR="00E52580" w:rsidRPr="00977573">
        <w:rPr>
          <w:rStyle w:val="None"/>
        </w:rPr>
        <w:t>marzo</w:t>
      </w:r>
      <w:r w:rsidRPr="00977573">
        <w:rPr>
          <w:rStyle w:val="None"/>
        </w:rPr>
        <w:t xml:space="preserve"> </w:t>
      </w:r>
      <w:r w:rsidR="00467254" w:rsidRPr="00977573">
        <w:rPr>
          <w:rStyle w:val="None"/>
        </w:rPr>
        <w:t xml:space="preserve">y el 22 de abril </w:t>
      </w:r>
      <w:r w:rsidRPr="00977573">
        <w:rPr>
          <w:rStyle w:val="None"/>
        </w:rPr>
        <w:t>de 2021, por instrucciones de la Presidenta de la Corte, se solicitó al Estado</w:t>
      </w:r>
      <w:r w:rsidR="00E52580" w:rsidRPr="00977573">
        <w:rPr>
          <w:rStyle w:val="None"/>
        </w:rPr>
        <w:t xml:space="preserve"> el envío de información para mejor resolver</w:t>
      </w:r>
      <w:r w:rsidR="002571DD" w:rsidRPr="00977573">
        <w:rPr>
          <w:rStyle w:val="Refdenotaalpie"/>
          <w:sz w:val="20"/>
          <w:szCs w:val="20"/>
          <w:lang w:val="es-CO"/>
        </w:rPr>
        <w:footnoteReference w:id="5"/>
      </w:r>
      <w:r w:rsidRPr="00977573">
        <w:rPr>
          <w:rStyle w:val="None"/>
        </w:rPr>
        <w:t xml:space="preserve">. El Estado presentó esta documentación el </w:t>
      </w:r>
      <w:r w:rsidR="002571DD" w:rsidRPr="00977573">
        <w:rPr>
          <w:rStyle w:val="None"/>
        </w:rPr>
        <w:t>24 de marzo</w:t>
      </w:r>
      <w:r w:rsidR="007312FD" w:rsidRPr="00CE2C31">
        <w:rPr>
          <w:rStyle w:val="None"/>
        </w:rPr>
        <w:t>,</w:t>
      </w:r>
      <w:r w:rsidR="005B2DAB" w:rsidRPr="00977573">
        <w:rPr>
          <w:rStyle w:val="None"/>
        </w:rPr>
        <w:t xml:space="preserve"> el 12 de abril </w:t>
      </w:r>
      <w:r w:rsidR="007312FD" w:rsidRPr="00977573">
        <w:rPr>
          <w:rStyle w:val="None"/>
        </w:rPr>
        <w:t xml:space="preserve">y el 4 de mayo </w:t>
      </w:r>
      <w:r w:rsidRPr="00977573">
        <w:rPr>
          <w:rStyle w:val="None"/>
        </w:rPr>
        <w:t>de 2021. La Comisión</w:t>
      </w:r>
      <w:r w:rsidR="00EB6621">
        <w:rPr>
          <w:rStyle w:val="None"/>
        </w:rPr>
        <w:t xml:space="preserve"> no presentó observaciones a la documentación aportada por el Estado. Por su parte, las observaciones</w:t>
      </w:r>
      <w:r w:rsidRPr="00977573">
        <w:rPr>
          <w:rStyle w:val="None"/>
        </w:rPr>
        <w:t xml:space="preserve"> </w:t>
      </w:r>
      <w:r w:rsidR="00886994" w:rsidRPr="00977573">
        <w:rPr>
          <w:rStyle w:val="None"/>
        </w:rPr>
        <w:t xml:space="preserve">de </w:t>
      </w:r>
      <w:r w:rsidR="00C725F2" w:rsidRPr="00977573">
        <w:rPr>
          <w:rStyle w:val="None"/>
        </w:rPr>
        <w:t>la presunta víctima</w:t>
      </w:r>
      <w:r w:rsidRPr="00977573">
        <w:rPr>
          <w:rStyle w:val="None"/>
        </w:rPr>
        <w:t xml:space="preserve"> fueron </w:t>
      </w:r>
      <w:r w:rsidR="009167EE">
        <w:rPr>
          <w:rStyle w:val="None"/>
        </w:rPr>
        <w:t>remitidas</w:t>
      </w:r>
      <w:r w:rsidRPr="00977573">
        <w:rPr>
          <w:rStyle w:val="None"/>
        </w:rPr>
        <w:t xml:space="preserve"> </w:t>
      </w:r>
      <w:r w:rsidR="00C725F2" w:rsidRPr="00977573">
        <w:rPr>
          <w:rStyle w:val="None"/>
        </w:rPr>
        <w:t xml:space="preserve">el 19 de abril, </w:t>
      </w:r>
      <w:r w:rsidR="009169A6" w:rsidRPr="00977573">
        <w:rPr>
          <w:rStyle w:val="None"/>
        </w:rPr>
        <w:t>junto con sus alegatos finales escritos</w:t>
      </w:r>
      <w:r w:rsidR="00EB6621">
        <w:rPr>
          <w:rStyle w:val="None"/>
        </w:rPr>
        <w:t xml:space="preserve">, y </w:t>
      </w:r>
      <w:r w:rsidR="00BE0CFD">
        <w:rPr>
          <w:rStyle w:val="None"/>
        </w:rPr>
        <w:t>el 13 de mayo de 2021</w:t>
      </w:r>
      <w:r w:rsidRPr="00977573">
        <w:rPr>
          <w:rStyle w:val="None"/>
        </w:rPr>
        <w:t xml:space="preserve"> (</w:t>
      </w:r>
      <w:r w:rsidRPr="00977573">
        <w:rPr>
          <w:rStyle w:val="None"/>
          <w:i/>
        </w:rPr>
        <w:t>infra</w:t>
      </w:r>
      <w:r w:rsidRPr="00977573">
        <w:rPr>
          <w:rStyle w:val="None"/>
        </w:rPr>
        <w:t xml:space="preserve"> párr. </w:t>
      </w:r>
      <w:r w:rsidR="00634722">
        <w:rPr>
          <w:rStyle w:val="None"/>
        </w:rPr>
        <w:t>36</w:t>
      </w:r>
      <w:r w:rsidRPr="00977573">
        <w:rPr>
          <w:rStyle w:val="None"/>
        </w:rPr>
        <w:t>).</w:t>
      </w:r>
    </w:p>
    <w:p w14:paraId="355DA731" w14:textId="77777777" w:rsidR="00875943" w:rsidRPr="00977573" w:rsidRDefault="00875943" w:rsidP="000F3BE2">
      <w:pPr>
        <w:rPr>
          <w:rFonts w:ascii="Verdana" w:hAnsi="Verdana"/>
          <w:sz w:val="20"/>
          <w:szCs w:val="20"/>
          <w:lang w:val="es-CO" w:eastAsia="es-MX"/>
        </w:rPr>
      </w:pPr>
    </w:p>
    <w:p w14:paraId="64E3C363" w14:textId="7FD8BE36" w:rsidR="00875943" w:rsidRPr="00977573" w:rsidRDefault="00875943" w:rsidP="000F3BE2">
      <w:pPr>
        <w:pStyle w:val="PrrafodeSentencia"/>
        <w:spacing w:line="240" w:lineRule="auto"/>
      </w:pPr>
      <w:r w:rsidRPr="00977573">
        <w:rPr>
          <w:i/>
          <w:iCs/>
        </w:rPr>
        <w:t>Alegatos y observaciones finales escritas. –</w:t>
      </w:r>
      <w:r w:rsidRPr="00977573">
        <w:t xml:space="preserve"> </w:t>
      </w:r>
      <w:r w:rsidRPr="00977573">
        <w:rPr>
          <w:rStyle w:val="None"/>
        </w:rPr>
        <w:t xml:space="preserve">El </w:t>
      </w:r>
      <w:r w:rsidR="00C725F2" w:rsidRPr="00977573">
        <w:rPr>
          <w:rStyle w:val="None"/>
        </w:rPr>
        <w:t>19</w:t>
      </w:r>
      <w:r w:rsidRPr="00977573">
        <w:rPr>
          <w:rStyle w:val="None"/>
        </w:rPr>
        <w:t xml:space="preserve"> de </w:t>
      </w:r>
      <w:r w:rsidR="00C725F2" w:rsidRPr="00977573">
        <w:rPr>
          <w:rStyle w:val="None"/>
        </w:rPr>
        <w:t>abril</w:t>
      </w:r>
      <w:r w:rsidRPr="00977573">
        <w:rPr>
          <w:rStyle w:val="None"/>
        </w:rPr>
        <w:t xml:space="preserve"> de 2020 la presunta víctima y el Estado remitieron sus alegatos finales escritos y documentos anexos, y la Comisión presentó sus observaciones </w:t>
      </w:r>
      <w:r w:rsidR="00634722">
        <w:rPr>
          <w:rStyle w:val="None"/>
        </w:rPr>
        <w:t>finales escritas</w:t>
      </w:r>
      <w:r w:rsidR="00672434">
        <w:rPr>
          <w:rStyle w:val="None"/>
        </w:rPr>
        <w:t xml:space="preserve">. </w:t>
      </w:r>
      <w:r w:rsidR="00672434" w:rsidRPr="00672434">
        <w:rPr>
          <w:rStyle w:val="None"/>
        </w:rPr>
        <w:t xml:space="preserve">Por instrucciones de la </w:t>
      </w:r>
      <w:r w:rsidR="00672434">
        <w:rPr>
          <w:rStyle w:val="None"/>
        </w:rPr>
        <w:t>Presidenta</w:t>
      </w:r>
      <w:r w:rsidR="00672434" w:rsidRPr="00672434">
        <w:rPr>
          <w:rStyle w:val="None"/>
        </w:rPr>
        <w:t xml:space="preserve"> de la Corte, se solicitó</w:t>
      </w:r>
      <w:r w:rsidR="00672434">
        <w:rPr>
          <w:rStyle w:val="None"/>
        </w:rPr>
        <w:t xml:space="preserve"> a las partes</w:t>
      </w:r>
      <w:r w:rsidR="00672434" w:rsidRPr="00672434">
        <w:rPr>
          <w:rStyle w:val="None"/>
        </w:rPr>
        <w:t xml:space="preserve"> y a la Comisión Interamericana que remitieran las consideraciones que estimaran pertinentes sobre la documentación anexa remitida por el Estado</w:t>
      </w:r>
      <w:r w:rsidR="00672434">
        <w:rPr>
          <w:rStyle w:val="None"/>
        </w:rPr>
        <w:t xml:space="preserve"> y por la presunta víctima</w:t>
      </w:r>
      <w:r w:rsidR="00672434" w:rsidRPr="00672434">
        <w:rPr>
          <w:rStyle w:val="None"/>
        </w:rPr>
        <w:t xml:space="preserve">. El </w:t>
      </w:r>
      <w:r w:rsidR="00E213AA">
        <w:rPr>
          <w:rStyle w:val="None"/>
        </w:rPr>
        <w:t xml:space="preserve">26 de abril de 2021 la presunta víctima remitió sus observaciones. El 27 de abril de 2021 el Estado se pronunció y la Comisión Interamericana </w:t>
      </w:r>
      <w:r w:rsidR="00672434" w:rsidRPr="00672434">
        <w:rPr>
          <w:rStyle w:val="None"/>
        </w:rPr>
        <w:t>m</w:t>
      </w:r>
      <w:r w:rsidR="00672434">
        <w:rPr>
          <w:rStyle w:val="None"/>
        </w:rPr>
        <w:t>anifestó no tener observaciones</w:t>
      </w:r>
      <w:r w:rsidR="00E213AA">
        <w:rPr>
          <w:rStyle w:val="None"/>
        </w:rPr>
        <w:t xml:space="preserve"> que formular</w:t>
      </w:r>
      <w:r w:rsidR="00672434">
        <w:rPr>
          <w:rStyle w:val="None"/>
        </w:rPr>
        <w:t xml:space="preserve"> (</w:t>
      </w:r>
      <w:r w:rsidR="00672434" w:rsidRPr="00672434">
        <w:rPr>
          <w:rStyle w:val="None"/>
          <w:i/>
        </w:rPr>
        <w:t>infra</w:t>
      </w:r>
      <w:r w:rsidR="00672434">
        <w:rPr>
          <w:rStyle w:val="None"/>
        </w:rPr>
        <w:t xml:space="preserve"> párr. 35)</w:t>
      </w:r>
      <w:r w:rsidR="009169A6" w:rsidRPr="009167EE">
        <w:rPr>
          <w:rStyle w:val="None"/>
          <w:bCs/>
        </w:rPr>
        <w:t>.</w:t>
      </w:r>
    </w:p>
    <w:p w14:paraId="10CB9CD6" w14:textId="77777777" w:rsidR="00875943" w:rsidRPr="00977573" w:rsidRDefault="00875943" w:rsidP="000F3BE2">
      <w:pPr>
        <w:pStyle w:val="PrrafodeSentencia"/>
        <w:numPr>
          <w:ilvl w:val="0"/>
          <w:numId w:val="0"/>
        </w:numPr>
        <w:spacing w:line="240" w:lineRule="auto"/>
      </w:pPr>
    </w:p>
    <w:p w14:paraId="6E4C787C" w14:textId="77777777" w:rsidR="00875943" w:rsidRPr="00977573" w:rsidRDefault="00875943" w:rsidP="000F3BE2">
      <w:pPr>
        <w:pStyle w:val="PrrafodeSentencia"/>
        <w:spacing w:line="240" w:lineRule="auto"/>
      </w:pPr>
      <w:r w:rsidRPr="00977573">
        <w:rPr>
          <w:i/>
          <w:iCs/>
        </w:rPr>
        <w:t>Deliberación del presente caso. –</w:t>
      </w:r>
      <w:r w:rsidRPr="00977573">
        <w:t xml:space="preserve"> La Corte </w:t>
      </w:r>
      <w:r w:rsidR="009F5BD3" w:rsidRPr="00977573">
        <w:t>deliberó</w:t>
      </w:r>
      <w:r w:rsidRPr="00977573">
        <w:t xml:space="preserve"> la presente sentencia a través de una sesión virtual, durante los días </w:t>
      </w:r>
      <w:r w:rsidR="00470B4E">
        <w:t xml:space="preserve">25 y 26 de mayo </w:t>
      </w:r>
      <w:r w:rsidR="00470B4E" w:rsidRPr="000639B8">
        <w:t>y 3 de junio</w:t>
      </w:r>
      <w:r w:rsidR="00470B4E" w:rsidRPr="00977573">
        <w:t xml:space="preserve"> </w:t>
      </w:r>
      <w:r w:rsidRPr="00977573">
        <w:t xml:space="preserve">de </w:t>
      </w:r>
      <w:r w:rsidR="009169A6" w:rsidRPr="00977573">
        <w:t>2021</w:t>
      </w:r>
      <w:r w:rsidRPr="00977573">
        <w:rPr>
          <w:rStyle w:val="Refdenotaalpie"/>
          <w:sz w:val="20"/>
          <w:szCs w:val="20"/>
          <w:lang w:val="es-CO"/>
        </w:rPr>
        <w:footnoteReference w:id="6"/>
      </w:r>
      <w:r w:rsidRPr="00977573">
        <w:t>.</w:t>
      </w:r>
      <w:r w:rsidRPr="00977573">
        <w:rPr>
          <w:rStyle w:val="None"/>
        </w:rPr>
        <w:t xml:space="preserve"> </w:t>
      </w:r>
    </w:p>
    <w:p w14:paraId="06B7167A" w14:textId="77777777" w:rsidR="00875943" w:rsidRPr="00977573" w:rsidRDefault="00875943" w:rsidP="000F3BE2">
      <w:pPr>
        <w:pStyle w:val="PrrafodeSentencia"/>
        <w:numPr>
          <w:ilvl w:val="0"/>
          <w:numId w:val="0"/>
        </w:numPr>
        <w:spacing w:line="240" w:lineRule="auto"/>
      </w:pPr>
    </w:p>
    <w:p w14:paraId="38E5E950" w14:textId="77777777" w:rsidR="00875943" w:rsidRPr="00977573" w:rsidRDefault="00875943" w:rsidP="000F3BE2">
      <w:pPr>
        <w:pStyle w:val="Ttulo1"/>
        <w:rPr>
          <w:rStyle w:val="None"/>
          <w:rFonts w:ascii="Verdana" w:hAnsi="Verdana"/>
          <w:color w:val="auto"/>
          <w:sz w:val="20"/>
          <w:szCs w:val="20"/>
          <w:lang w:val="es-CO"/>
        </w:rPr>
      </w:pPr>
      <w:bookmarkStart w:id="9" w:name="_Toc40199306"/>
      <w:bookmarkStart w:id="10" w:name="_Toc43477592"/>
      <w:bookmarkStart w:id="11" w:name="_Toc44679161"/>
      <w:bookmarkStart w:id="12" w:name="_Toc69717847"/>
      <w:bookmarkStart w:id="13" w:name="_Toc74225354"/>
      <w:r w:rsidRPr="00977573">
        <w:rPr>
          <w:rStyle w:val="None"/>
          <w:rFonts w:ascii="Verdana" w:hAnsi="Verdana"/>
          <w:color w:val="auto"/>
          <w:sz w:val="20"/>
          <w:szCs w:val="20"/>
          <w:lang w:val="es-CO"/>
        </w:rPr>
        <w:t>III</w:t>
      </w:r>
      <w:r w:rsidRPr="00977573">
        <w:rPr>
          <w:rStyle w:val="None"/>
          <w:rFonts w:ascii="Verdana" w:hAnsi="Verdana"/>
          <w:color w:val="auto"/>
          <w:sz w:val="20"/>
          <w:szCs w:val="20"/>
          <w:lang w:val="es-CO"/>
        </w:rPr>
        <w:br/>
        <w:t>COMPETENCIA</w:t>
      </w:r>
      <w:bookmarkEnd w:id="9"/>
      <w:bookmarkEnd w:id="10"/>
      <w:bookmarkEnd w:id="11"/>
      <w:bookmarkEnd w:id="12"/>
      <w:bookmarkEnd w:id="13"/>
    </w:p>
    <w:p w14:paraId="6734753B" w14:textId="77777777" w:rsidR="00875943" w:rsidRPr="00977573" w:rsidRDefault="00875943" w:rsidP="000F3BE2">
      <w:pPr>
        <w:pStyle w:val="BodyA"/>
        <w:snapToGrid w:val="0"/>
        <w:spacing w:line="240" w:lineRule="auto"/>
        <w:rPr>
          <w:rStyle w:val="None"/>
          <w:b/>
          <w:bCs/>
          <w:color w:val="auto"/>
          <w:sz w:val="20"/>
          <w:szCs w:val="20"/>
          <w:lang w:val="es-CO"/>
        </w:rPr>
      </w:pPr>
    </w:p>
    <w:p w14:paraId="62824A19" w14:textId="77777777" w:rsidR="00875943" w:rsidRPr="00977573" w:rsidRDefault="00875943" w:rsidP="000F3BE2">
      <w:pPr>
        <w:pStyle w:val="PrrafodeSentencia"/>
        <w:spacing w:line="240" w:lineRule="auto"/>
        <w:rPr>
          <w:rFonts w:cstheme="minorHAnsi"/>
        </w:rPr>
      </w:pPr>
      <w:r w:rsidRPr="00977573">
        <w:rPr>
          <w:rStyle w:val="None"/>
        </w:rPr>
        <w:t xml:space="preserve">La Corte Interamericana es competente para conocer el presente caso, en los términos del artículo 62.3 de la Convención, </w:t>
      </w:r>
      <w:r w:rsidRPr="00977573">
        <w:t>debido a</w:t>
      </w:r>
      <w:r w:rsidRPr="00977573">
        <w:rPr>
          <w:rStyle w:val="None"/>
        </w:rPr>
        <w:t xml:space="preserve"> que </w:t>
      </w:r>
      <w:r w:rsidRPr="00977573">
        <w:rPr>
          <w:rFonts w:cstheme="minorHAnsi"/>
        </w:rPr>
        <w:t>Perú ratificó la Convención Americana sobre Derechos Humanos el 12 de julio de 1978 y aceptó la competencia contenciosa de la Corte el 21 de enero de 1981.</w:t>
      </w:r>
    </w:p>
    <w:p w14:paraId="3B618FFA" w14:textId="77777777" w:rsidR="00875943" w:rsidRPr="00977573" w:rsidRDefault="00875943" w:rsidP="000F3BE2">
      <w:pPr>
        <w:rPr>
          <w:rFonts w:ascii="Verdana" w:hAnsi="Verdana"/>
          <w:sz w:val="20"/>
          <w:szCs w:val="20"/>
          <w:lang w:val="es-CO"/>
        </w:rPr>
      </w:pPr>
      <w:bookmarkStart w:id="14" w:name="_headingh.tyjcwt"/>
      <w:bookmarkEnd w:id="14"/>
    </w:p>
    <w:p w14:paraId="28DD3D11" w14:textId="77777777" w:rsidR="00875943" w:rsidRPr="00977573" w:rsidRDefault="00875943" w:rsidP="000F3BE2">
      <w:pPr>
        <w:pStyle w:val="Ttulo1"/>
        <w:rPr>
          <w:rStyle w:val="None"/>
          <w:rFonts w:ascii="Verdana" w:hAnsi="Verdana"/>
          <w:sz w:val="20"/>
          <w:szCs w:val="20"/>
          <w:lang w:val="es-CO"/>
        </w:rPr>
      </w:pPr>
      <w:bookmarkStart w:id="15" w:name="_Toc40199307"/>
      <w:bookmarkStart w:id="16" w:name="_Toc43477593"/>
      <w:bookmarkStart w:id="17" w:name="_Toc44679162"/>
      <w:bookmarkStart w:id="18" w:name="_Toc69717848"/>
      <w:bookmarkStart w:id="19" w:name="_Toc74225355"/>
      <w:r w:rsidRPr="00977573">
        <w:rPr>
          <w:rStyle w:val="None"/>
          <w:rFonts w:ascii="Verdana" w:hAnsi="Verdana"/>
          <w:sz w:val="20"/>
          <w:szCs w:val="20"/>
          <w:lang w:val="es-CO"/>
        </w:rPr>
        <w:t>IV</w:t>
      </w:r>
      <w:r w:rsidRPr="00977573">
        <w:rPr>
          <w:rStyle w:val="None"/>
          <w:rFonts w:ascii="Verdana" w:hAnsi="Verdana"/>
          <w:sz w:val="20"/>
          <w:szCs w:val="20"/>
          <w:lang w:val="es-CO"/>
        </w:rPr>
        <w:br/>
        <w:t>EXCEPCIONES PRELIMINARES</w:t>
      </w:r>
      <w:bookmarkEnd w:id="15"/>
      <w:bookmarkEnd w:id="16"/>
      <w:bookmarkEnd w:id="17"/>
      <w:bookmarkEnd w:id="18"/>
      <w:bookmarkEnd w:id="19"/>
    </w:p>
    <w:p w14:paraId="4A7C8772" w14:textId="77777777" w:rsidR="00875943" w:rsidRPr="00977573" w:rsidRDefault="00875943" w:rsidP="000F3BE2">
      <w:pPr>
        <w:pStyle w:val="PrrafodeSentencia"/>
        <w:numPr>
          <w:ilvl w:val="0"/>
          <w:numId w:val="0"/>
        </w:numPr>
        <w:spacing w:line="240" w:lineRule="auto"/>
        <w:rPr>
          <w:rStyle w:val="None"/>
        </w:rPr>
      </w:pPr>
    </w:p>
    <w:p w14:paraId="26650B30" w14:textId="20A01321" w:rsidR="00875943" w:rsidRPr="00977573" w:rsidRDefault="00875943" w:rsidP="000F3BE2">
      <w:pPr>
        <w:pStyle w:val="PrrafodeSentencia"/>
        <w:spacing w:line="240" w:lineRule="auto"/>
      </w:pPr>
      <w:r w:rsidRPr="00977573">
        <w:t>En el presente caso</w:t>
      </w:r>
      <w:r w:rsidR="00D5630A">
        <w:t>,</w:t>
      </w:r>
      <w:r w:rsidRPr="00977573">
        <w:t xml:space="preserve"> Perú planteó tres excepciones preliminares. En este acápite la Corte analizará: A) la solicitud de control de legalidad por parte de la Corte Interamericana en relación con la </w:t>
      </w:r>
      <w:r w:rsidR="00E92DC1" w:rsidRPr="00977573">
        <w:t xml:space="preserve">alegada </w:t>
      </w:r>
      <w:r w:rsidRPr="00977573">
        <w:t xml:space="preserve">falta de agotamiento de recursos internos; B) la </w:t>
      </w:r>
      <w:r w:rsidR="00C742E2" w:rsidRPr="00977573">
        <w:t xml:space="preserve">alegada </w:t>
      </w:r>
      <w:r w:rsidRPr="00977573">
        <w:t>falta de competencia de la Corte Interamericana para actuar como cuarta instancia; y C) la</w:t>
      </w:r>
      <w:r w:rsidR="00C742E2" w:rsidRPr="00977573">
        <w:t xml:space="preserve"> alegada</w:t>
      </w:r>
      <w:r w:rsidRPr="00977573">
        <w:t xml:space="preserve"> indebida inclusión de los artículos 5 y 11 </w:t>
      </w:r>
      <w:r w:rsidR="00D5630A">
        <w:t xml:space="preserve">de la Convención </w:t>
      </w:r>
      <w:r w:rsidRPr="00977573">
        <w:t xml:space="preserve">en el </w:t>
      </w:r>
      <w:r w:rsidR="001E0DC1">
        <w:t>e</w:t>
      </w:r>
      <w:r w:rsidRPr="00977573">
        <w:t xml:space="preserve">scrito de </w:t>
      </w:r>
      <w:r w:rsidR="001E0DC1">
        <w:t>s</w:t>
      </w:r>
      <w:r w:rsidRPr="00977573">
        <w:t xml:space="preserve">olicitudes y </w:t>
      </w:r>
      <w:r w:rsidR="001E0DC1">
        <w:t>a</w:t>
      </w:r>
      <w:r w:rsidRPr="00977573">
        <w:t>rgumentos</w:t>
      </w:r>
      <w:r w:rsidR="008B6BF1">
        <w:t>.</w:t>
      </w:r>
    </w:p>
    <w:p w14:paraId="0D6B0410" w14:textId="77777777" w:rsidR="00875943" w:rsidRPr="00977573" w:rsidRDefault="00875943" w:rsidP="000F3BE2">
      <w:pPr>
        <w:rPr>
          <w:rFonts w:ascii="Verdana" w:hAnsi="Verdana"/>
          <w:sz w:val="20"/>
          <w:szCs w:val="20"/>
          <w:lang w:val="es-CO" w:eastAsia="es-MX"/>
        </w:rPr>
      </w:pPr>
    </w:p>
    <w:p w14:paraId="5D878233" w14:textId="77777777" w:rsidR="00324C59" w:rsidRPr="00977573" w:rsidRDefault="008615A6" w:rsidP="000F3BE2">
      <w:pPr>
        <w:pStyle w:val="Ttulo2"/>
        <w:spacing w:line="240" w:lineRule="auto"/>
        <w:rPr>
          <w:lang w:eastAsia="es-MX"/>
        </w:rPr>
      </w:pPr>
      <w:bookmarkStart w:id="20" w:name="_Toc69717849"/>
      <w:bookmarkStart w:id="21" w:name="_Toc74225356"/>
      <w:r w:rsidRPr="00977573">
        <w:rPr>
          <w:lang w:eastAsia="es-MX"/>
        </w:rPr>
        <w:t xml:space="preserve">Solicitud </w:t>
      </w:r>
      <w:r w:rsidR="00564639" w:rsidRPr="00977573">
        <w:rPr>
          <w:lang w:eastAsia="es-MX"/>
        </w:rPr>
        <w:t>de control de legalidad por parte de la Corte Interamericana</w:t>
      </w:r>
      <w:r w:rsidRPr="00977573">
        <w:rPr>
          <w:lang w:eastAsia="es-MX"/>
        </w:rPr>
        <w:t xml:space="preserve"> </w:t>
      </w:r>
      <w:r w:rsidR="00BB1B46" w:rsidRPr="00977573">
        <w:rPr>
          <w:lang w:eastAsia="es-MX"/>
        </w:rPr>
        <w:t>en relación con la</w:t>
      </w:r>
      <w:r w:rsidRPr="00977573">
        <w:rPr>
          <w:lang w:eastAsia="es-MX"/>
        </w:rPr>
        <w:t xml:space="preserve"> </w:t>
      </w:r>
      <w:r w:rsidR="00E92DC1" w:rsidRPr="00977573">
        <w:rPr>
          <w:lang w:eastAsia="es-MX"/>
        </w:rPr>
        <w:t xml:space="preserve">alegada </w:t>
      </w:r>
      <w:r w:rsidRPr="00977573">
        <w:rPr>
          <w:lang w:eastAsia="es-MX"/>
        </w:rPr>
        <w:t xml:space="preserve">falta de agotamiento de recursos </w:t>
      </w:r>
      <w:r w:rsidR="001209BA" w:rsidRPr="00977573">
        <w:rPr>
          <w:lang w:eastAsia="es-MX"/>
        </w:rPr>
        <w:t>internos</w:t>
      </w:r>
      <w:bookmarkEnd w:id="20"/>
      <w:bookmarkEnd w:id="21"/>
    </w:p>
    <w:p w14:paraId="329AB4B2" w14:textId="77777777" w:rsidR="00324C59" w:rsidRPr="00977573" w:rsidRDefault="00324C59" w:rsidP="000F3BE2">
      <w:pPr>
        <w:rPr>
          <w:rFonts w:ascii="Verdana" w:hAnsi="Verdana"/>
          <w:sz w:val="20"/>
          <w:szCs w:val="20"/>
          <w:lang w:val="es-CO" w:eastAsia="es-MX"/>
        </w:rPr>
      </w:pPr>
    </w:p>
    <w:p w14:paraId="7412E628" w14:textId="77777777" w:rsidR="00324C59" w:rsidRPr="00977573" w:rsidRDefault="00C154A7" w:rsidP="000F3BE2">
      <w:pPr>
        <w:pStyle w:val="Ttulo3"/>
      </w:pPr>
      <w:bookmarkStart w:id="22" w:name="_Toc40199309"/>
      <w:bookmarkStart w:id="23" w:name="_Toc43477595"/>
      <w:bookmarkStart w:id="24" w:name="_Toc44679164"/>
      <w:bookmarkStart w:id="25" w:name="_Toc61442576"/>
      <w:bookmarkStart w:id="26" w:name="_Toc62746959"/>
      <w:bookmarkStart w:id="27" w:name="_Toc69717850"/>
      <w:bookmarkStart w:id="28" w:name="_Toc74225357"/>
      <w:r w:rsidRPr="00977573">
        <w:t>A.1</w:t>
      </w:r>
      <w:r w:rsidR="00324C59" w:rsidRPr="00977573">
        <w:t xml:space="preserve"> Alegatos del Estado, obser</w:t>
      </w:r>
      <w:r w:rsidR="008812A7" w:rsidRPr="00977573">
        <w:t>vaciones de la Comisión y de la</w:t>
      </w:r>
      <w:r w:rsidR="00324C59" w:rsidRPr="00977573">
        <w:t xml:space="preserve"> </w:t>
      </w:r>
      <w:bookmarkEnd w:id="22"/>
      <w:bookmarkEnd w:id="23"/>
      <w:bookmarkEnd w:id="24"/>
      <w:bookmarkEnd w:id="25"/>
      <w:bookmarkEnd w:id="26"/>
      <w:r w:rsidR="00323AEB" w:rsidRPr="00977573">
        <w:t>presunta víctima</w:t>
      </w:r>
      <w:bookmarkEnd w:id="27"/>
      <w:bookmarkEnd w:id="28"/>
    </w:p>
    <w:p w14:paraId="1414700A" w14:textId="77777777" w:rsidR="0003198F" w:rsidRPr="00977573" w:rsidRDefault="0003198F" w:rsidP="000F3BE2">
      <w:pPr>
        <w:pStyle w:val="Sinespaciado"/>
        <w:rPr>
          <w:lang w:val="es-CO"/>
        </w:rPr>
      </w:pPr>
    </w:p>
    <w:p w14:paraId="6F1AEB7F" w14:textId="77777777" w:rsidR="0003198F" w:rsidRPr="00977573" w:rsidRDefault="0003198F" w:rsidP="000F3BE2">
      <w:pPr>
        <w:pStyle w:val="PrrafodeSentencia"/>
        <w:spacing w:line="240" w:lineRule="auto"/>
      </w:pPr>
      <w:r w:rsidRPr="00977573">
        <w:t xml:space="preserve">El </w:t>
      </w:r>
      <w:r w:rsidRPr="00977573">
        <w:rPr>
          <w:b/>
          <w:i/>
        </w:rPr>
        <w:t>Estado</w:t>
      </w:r>
      <w:r w:rsidRPr="00977573">
        <w:t xml:space="preserve"> solicitó a la Corte Interamericana que </w:t>
      </w:r>
      <w:r w:rsidR="00C742E2" w:rsidRPr="00977573">
        <w:t>haga</w:t>
      </w:r>
      <w:r w:rsidRPr="00977573">
        <w:t xml:space="preserve"> control de legalidad de las actuaciones de la Comisión referidas a la valoración y pronunciamiento sobre el requisito de agotamiento de los recursos internos, por haber lesionado e</w:t>
      </w:r>
      <w:r w:rsidR="008B6BF1">
        <w:t>l derecho de defensa del Estado</w:t>
      </w:r>
      <w:r w:rsidRPr="00977573">
        <w:t xml:space="preserve">. Esta solicitud se </w:t>
      </w:r>
      <w:r w:rsidRPr="00977573">
        <w:lastRenderedPageBreak/>
        <w:t xml:space="preserve">fundamentó en dos argumentos. Primero, que la causa no fue revisada por el Tribunal Constitucional, y segundo, que la presunta víctima no cuestionó el marco normativo que le fue aplicado y, pese a ello, la Comisión incorporó una violación relacionada con dicho marco normativo en el Informe de Fondo. </w:t>
      </w:r>
    </w:p>
    <w:p w14:paraId="76C96C5B" w14:textId="77777777" w:rsidR="0003198F" w:rsidRPr="00977573" w:rsidRDefault="0003198F" w:rsidP="000F3BE2">
      <w:pPr>
        <w:pStyle w:val="Sinespaciado"/>
        <w:rPr>
          <w:lang w:val="es-CO"/>
        </w:rPr>
      </w:pPr>
    </w:p>
    <w:p w14:paraId="284EDDC4" w14:textId="77777777" w:rsidR="0003198F" w:rsidRPr="00977573" w:rsidRDefault="0003198F" w:rsidP="000F3BE2">
      <w:pPr>
        <w:pStyle w:val="PrrafodeSentencia"/>
        <w:spacing w:line="240" w:lineRule="auto"/>
      </w:pPr>
      <w:r w:rsidRPr="00977573">
        <w:t xml:space="preserve">En relación con el primer asunto, sostuvo que, pese a que la presunta víctima indicó que </w:t>
      </w:r>
      <w:r w:rsidR="006373F2" w:rsidRPr="00977573">
        <w:t xml:space="preserve">había agotado </w:t>
      </w:r>
      <w:r w:rsidRPr="00977573">
        <w:t xml:space="preserve">los recursos internos, la Ley </w:t>
      </w:r>
      <w:r w:rsidR="00F91707" w:rsidRPr="00977573">
        <w:t xml:space="preserve">No. 26435 de 1995, </w:t>
      </w:r>
      <w:r w:rsidR="00795CA5">
        <w:t>L</w:t>
      </w:r>
      <w:r w:rsidR="00F91707" w:rsidRPr="00977573">
        <w:t xml:space="preserve">ey </w:t>
      </w:r>
      <w:r w:rsidRPr="00977573">
        <w:t>Orgánica del Tribunal Constitucional</w:t>
      </w:r>
      <w:r w:rsidR="006373F2" w:rsidRPr="00977573">
        <w:t>,</w:t>
      </w:r>
      <w:r w:rsidRPr="00977573">
        <w:t xml:space="preserve"> estableció la posibilidad de que este último conociera las decisiones de la Corte Suprema de Justicia. De modo que, la decisión mediante la cual se habrían agotado los recursos internos, en realidad podía haber sido conocida en última y definitiva instancia</w:t>
      </w:r>
      <w:r w:rsidR="00795CA5">
        <w:t xml:space="preserve"> por el Tribunal Constitucional</w:t>
      </w:r>
      <w:r w:rsidRPr="00977573">
        <w:t>, y esto no ocurrió por in</w:t>
      </w:r>
      <w:r w:rsidR="00795CA5">
        <w:t>acción de la presunta víctima</w:t>
      </w:r>
      <w:r w:rsidRPr="00977573">
        <w:t xml:space="preserve">. </w:t>
      </w:r>
    </w:p>
    <w:p w14:paraId="749E61AC" w14:textId="77777777" w:rsidR="0003198F" w:rsidRPr="00977573" w:rsidRDefault="0003198F" w:rsidP="000F3BE2">
      <w:pPr>
        <w:pStyle w:val="Sinespaciado"/>
        <w:rPr>
          <w:lang w:val="es-CO"/>
        </w:rPr>
      </w:pPr>
    </w:p>
    <w:p w14:paraId="7B15E989" w14:textId="72FF7781" w:rsidR="0003198F" w:rsidRPr="00977573" w:rsidRDefault="0003198F" w:rsidP="000F3BE2">
      <w:pPr>
        <w:pStyle w:val="PrrafodeSentencia"/>
        <w:spacing w:line="240" w:lineRule="auto"/>
      </w:pPr>
      <w:r w:rsidRPr="00977573">
        <w:t xml:space="preserve">En relación con el segundo asunto, el Estado </w:t>
      </w:r>
      <w:r w:rsidR="00502740">
        <w:t>sostuvo</w:t>
      </w:r>
      <w:r w:rsidR="00AF58DB" w:rsidRPr="00977573">
        <w:t xml:space="preserve"> </w:t>
      </w:r>
      <w:r w:rsidRPr="00977573">
        <w:t xml:space="preserve">que, en el marco del proceso de amparo, la señora Moya Solís no indicó que se hubieran cometido afectaciones a sus derechos en virtud del marco normativo aplicado en el proceso de ratificación. También señaló que este asunto no fue expresamente invocado en la petición formulada ante la Comisión Interamericana y tampoco fue mencionado en el Informe de Admisibilidad. No obstante, el Informe de Fondo se </w:t>
      </w:r>
      <w:r w:rsidR="00C742E2" w:rsidRPr="00977573">
        <w:t>refirió</w:t>
      </w:r>
      <w:r w:rsidRPr="00977573">
        <w:t xml:space="preserve"> al marco legal del </w:t>
      </w:r>
      <w:r w:rsidR="00795CA5">
        <w:t>proceso de ratificación y señaló</w:t>
      </w:r>
      <w:r w:rsidRPr="00977573">
        <w:t xml:space="preserve"> que “no establecía causales debidamente delimitadas […]”. Por lo anterior, alegó que no tuvo la oportunidad de formular alegatos en relación con este asunto ni de presentar la excepción preliminar correspondiente en la etapa procesal oportuna</w:t>
      </w:r>
      <w:r w:rsidR="00795CA5">
        <w:t>,</w:t>
      </w:r>
      <w:r w:rsidRPr="00977573">
        <w:t xml:space="preserve"> con lo que se</w:t>
      </w:r>
      <w:r w:rsidR="00795CA5">
        <w:t xml:space="preserve"> afectó su derecho a la defensa</w:t>
      </w:r>
      <w:r w:rsidRPr="00977573">
        <w:t xml:space="preserve">. Solicitó a la Corte que haga el debido control de legalidad de las actuaciones de la Comisión Interamericana y acoja la excepción preliminar. </w:t>
      </w:r>
    </w:p>
    <w:p w14:paraId="12AD15E6" w14:textId="77777777" w:rsidR="0003198F" w:rsidRPr="00977573" w:rsidRDefault="0003198F" w:rsidP="000F3BE2">
      <w:pPr>
        <w:rPr>
          <w:rFonts w:ascii="Verdana" w:hAnsi="Verdana"/>
          <w:sz w:val="20"/>
          <w:szCs w:val="20"/>
          <w:lang w:val="es-CO" w:eastAsia="es-MX"/>
        </w:rPr>
      </w:pPr>
    </w:p>
    <w:p w14:paraId="152DC60A" w14:textId="77777777" w:rsidR="0003198F" w:rsidRPr="00977573" w:rsidRDefault="0003198F" w:rsidP="000F3BE2">
      <w:pPr>
        <w:pStyle w:val="PrrafodeSentencia"/>
        <w:spacing w:line="240" w:lineRule="auto"/>
      </w:pPr>
      <w:r w:rsidRPr="00977573">
        <w:t xml:space="preserve">La </w:t>
      </w:r>
      <w:r w:rsidRPr="00977573">
        <w:rPr>
          <w:b/>
          <w:i/>
        </w:rPr>
        <w:t>presunta víctima</w:t>
      </w:r>
      <w:r w:rsidRPr="00977573">
        <w:t xml:space="preserve"> alegó que había agotado los recursos de la jurisdicción interna y que, de acuerdo con la Ley 23.369, el recurso disponible era el de revisión ante la Corte Suprema. En cuanto al argumento del Estado, en el sentido de que no había cuestionado el marco normativo que se le aplicó, señaló que las impugnaciones en la vía de apelación, queja, revisión o cualquier otro medio son contra el acto i</w:t>
      </w:r>
      <w:r w:rsidR="00795CA5">
        <w:t>nmediato que vulnera el derecho</w:t>
      </w:r>
      <w:r w:rsidRPr="00977573">
        <w:t xml:space="preserve">. </w:t>
      </w:r>
    </w:p>
    <w:p w14:paraId="18132AED" w14:textId="77777777" w:rsidR="0003198F" w:rsidRPr="00977573" w:rsidRDefault="0003198F" w:rsidP="000F3BE2">
      <w:pPr>
        <w:rPr>
          <w:rFonts w:ascii="Verdana" w:eastAsiaTheme="minorHAnsi" w:hAnsi="Verdana"/>
          <w:sz w:val="20"/>
          <w:szCs w:val="20"/>
          <w:lang w:val="es-CO" w:eastAsia="es-MX"/>
        </w:rPr>
      </w:pPr>
    </w:p>
    <w:p w14:paraId="32628FE7" w14:textId="77777777" w:rsidR="0003198F" w:rsidRPr="00977573" w:rsidRDefault="0003198F" w:rsidP="000F3BE2">
      <w:pPr>
        <w:pStyle w:val="PrrafodeSentencia"/>
        <w:spacing w:line="240" w:lineRule="auto"/>
      </w:pPr>
      <w:r w:rsidRPr="00977573">
        <w:t xml:space="preserve">La </w:t>
      </w:r>
      <w:r w:rsidRPr="00977573">
        <w:rPr>
          <w:b/>
          <w:i/>
        </w:rPr>
        <w:t>Comisión</w:t>
      </w:r>
      <w:r w:rsidRPr="00977573">
        <w:t xml:space="preserve"> indicó que la decisión de admisibilidad del presente caso fue adoptada conforme a la información disponible al momento de ese pronunciamiento y a la luz de los criterios históricamente aplicados en ejercicio de dicha función convencional. Por tanto, el contenido de su decisión, adoptada conforme a la Convención y </w:t>
      </w:r>
      <w:r w:rsidR="00795CA5">
        <w:t>a</w:t>
      </w:r>
      <w:r w:rsidRPr="00977573">
        <w:t>l Reglamento de la Comisión</w:t>
      </w:r>
      <w:r w:rsidR="00795CA5">
        <w:t>,</w:t>
      </w:r>
      <w:r w:rsidRPr="00977573">
        <w:t xml:space="preserve"> no debería ser objeto de un nuevo examen en etapas posteriores del procedimiento. Indicó</w:t>
      </w:r>
      <w:r w:rsidR="00F91707" w:rsidRPr="00977573">
        <w:t>,</w:t>
      </w:r>
      <w:r w:rsidRPr="00977573">
        <w:t xml:space="preserve"> además</w:t>
      </w:r>
      <w:r w:rsidR="00F91707" w:rsidRPr="00977573">
        <w:t>,</w:t>
      </w:r>
      <w:r w:rsidRPr="00977573">
        <w:t xml:space="preserve"> que el Estado no formuló un alegato de falta de agotamiento de recursos internos en el momento oportuno, por lo que su excepción preliminar es e</w:t>
      </w:r>
      <w:r w:rsidR="00795CA5">
        <w:t>xtemporánea</w:t>
      </w:r>
      <w:r w:rsidRPr="00795CA5">
        <w:t>.</w:t>
      </w:r>
      <w:r w:rsidRPr="00977573">
        <w:rPr>
          <w:b/>
        </w:rPr>
        <w:t xml:space="preserve"> </w:t>
      </w:r>
      <w:r w:rsidRPr="00977573">
        <w:t xml:space="preserve">Al respecto, recordó que, de conformidad con jurisprudencia reiterada de la Corte Interamericana, la excepción de falta de agotamiento de los recursos internos debe ser presentada oportunamente, de lo contrario, el Estado pierde la posibilidad de presentar esa defensa ante el Tribunal. También destacó </w:t>
      </w:r>
      <w:r w:rsidR="00795CA5">
        <w:t xml:space="preserve">que </w:t>
      </w:r>
      <w:r w:rsidRPr="00977573">
        <w:t>no es necesario el agotamiento de recurso extraordinarios.</w:t>
      </w:r>
    </w:p>
    <w:p w14:paraId="0A37678A" w14:textId="77777777" w:rsidR="0003198F" w:rsidRPr="00977573" w:rsidRDefault="0003198F" w:rsidP="000F3BE2">
      <w:pPr>
        <w:autoSpaceDE w:val="0"/>
        <w:autoSpaceDN w:val="0"/>
        <w:adjustRightInd w:val="0"/>
        <w:rPr>
          <w:rFonts w:ascii="Verdana" w:eastAsiaTheme="minorHAnsi" w:hAnsi="Verdana" w:cs="Cambria"/>
          <w:sz w:val="20"/>
          <w:szCs w:val="20"/>
          <w:lang w:val="es-CO"/>
        </w:rPr>
      </w:pPr>
    </w:p>
    <w:p w14:paraId="0A8BCBB7" w14:textId="77777777" w:rsidR="0003198F" w:rsidRPr="00977573" w:rsidRDefault="0003198F" w:rsidP="000F3BE2">
      <w:pPr>
        <w:pStyle w:val="PrrafodeSentencia"/>
        <w:spacing w:line="240" w:lineRule="auto"/>
      </w:pPr>
      <w:r w:rsidRPr="00977573">
        <w:t xml:space="preserve">En relación con la alegada violación del principio de legalidad, la Comisión sostuvo que la </w:t>
      </w:r>
      <w:r w:rsidRPr="00977573">
        <w:rPr>
          <w:i/>
        </w:rPr>
        <w:t>litis</w:t>
      </w:r>
      <w:r w:rsidRPr="00977573">
        <w:t xml:space="preserve"> durante todo el trámite versó sobre el proceso administrativo sancionatorio de ratificación, que culminó con la destitución de la presunta víctima de su cargo y que ello evidentemente abarca el marco normativo aplicable. Por ello, estimó que no tiene justificación el argumento del Estado en el sentido de que ese asunto no formaba parte de la </w:t>
      </w:r>
      <w:r w:rsidRPr="00977573">
        <w:rPr>
          <w:i/>
        </w:rPr>
        <w:t>litis</w:t>
      </w:r>
      <w:r w:rsidRPr="00977573">
        <w:t xml:space="preserve"> y por ello no pudo argumentar la falta de agotamiento de recursos internos sobre ese aspecto específico en el momento procesal oportuno. A juicio de la Comisión, la alegada violación del principio de legalidad deriva de la violación principal. Además, destacó que no es la práctica de los órganos del Sistema Interamericano exigir el agotamiento de los recursos internos de manera separada y autónoma frente a cada uno de los efectos derivados de una alegada violación. Solicitó desechar la excepción </w:t>
      </w:r>
      <w:r w:rsidRPr="00977573">
        <w:lastRenderedPageBreak/>
        <w:t>preliminar interpuesta por el Estado por su carácter extemporáneo y por su falta de fundamento legal sustantivo.</w:t>
      </w:r>
    </w:p>
    <w:p w14:paraId="3012CFE6" w14:textId="77777777" w:rsidR="00922658" w:rsidRPr="00977573" w:rsidRDefault="00922658" w:rsidP="000F3BE2">
      <w:pPr>
        <w:pStyle w:val="PrrafodeSentencia"/>
        <w:numPr>
          <w:ilvl w:val="0"/>
          <w:numId w:val="0"/>
        </w:numPr>
        <w:spacing w:line="240" w:lineRule="auto"/>
      </w:pPr>
    </w:p>
    <w:p w14:paraId="5CBE68AB" w14:textId="77777777" w:rsidR="00922658" w:rsidRPr="00977573" w:rsidRDefault="00B733A3" w:rsidP="000F3BE2">
      <w:pPr>
        <w:pStyle w:val="Ttulo3"/>
      </w:pPr>
      <w:bookmarkStart w:id="29" w:name="_Toc69717851"/>
      <w:bookmarkStart w:id="30" w:name="_Toc74225358"/>
      <w:r w:rsidRPr="00977573">
        <w:t xml:space="preserve">A.2 </w:t>
      </w:r>
      <w:r w:rsidR="00EC5530" w:rsidRPr="00977573">
        <w:t>Consideraciones de la Corte</w:t>
      </w:r>
      <w:bookmarkEnd w:id="29"/>
      <w:bookmarkEnd w:id="30"/>
    </w:p>
    <w:p w14:paraId="0FC25838" w14:textId="77777777" w:rsidR="00EC5530" w:rsidRPr="00977573" w:rsidRDefault="00EC5530" w:rsidP="000F3BE2">
      <w:pPr>
        <w:rPr>
          <w:rFonts w:ascii="Verdana" w:hAnsi="Verdana"/>
          <w:lang w:val="es-CO"/>
        </w:rPr>
      </w:pPr>
    </w:p>
    <w:p w14:paraId="2DBF05A1" w14:textId="4A3855D9" w:rsidR="0003198F" w:rsidRPr="00977573" w:rsidRDefault="006373F2" w:rsidP="000F3BE2">
      <w:pPr>
        <w:pStyle w:val="PrrafodeSentencia"/>
        <w:spacing w:line="240" w:lineRule="auto"/>
      </w:pPr>
      <w:r w:rsidRPr="00977573">
        <w:t xml:space="preserve">La Corte recuerda que una objeción al ejercicio de su jurisdicción basada en la supuesta falta de agotamiento de los recursos internos debe ser presentada durante la </w:t>
      </w:r>
      <w:r w:rsidR="00795CA5">
        <w:t xml:space="preserve">etapa de </w:t>
      </w:r>
      <w:r w:rsidRPr="00977573">
        <w:t xml:space="preserve">admisibilidad del </w:t>
      </w:r>
      <w:r w:rsidR="00795CA5">
        <w:t>caso</w:t>
      </w:r>
      <w:r w:rsidRPr="00977573">
        <w:t xml:space="preserve"> ante la Comisión</w:t>
      </w:r>
      <w:r w:rsidR="00E92DC1" w:rsidRPr="00977573">
        <w:rPr>
          <w:rStyle w:val="Refdenotaalpie"/>
          <w:sz w:val="20"/>
          <w:szCs w:val="20"/>
          <w:lang w:val="es-CO"/>
        </w:rPr>
        <w:footnoteReference w:id="7"/>
      </w:r>
      <w:r w:rsidRPr="00977573">
        <w:t xml:space="preserve">. </w:t>
      </w:r>
      <w:r w:rsidR="00795CA5">
        <w:t>Para ello</w:t>
      </w:r>
      <w:r w:rsidRPr="00977573">
        <w:t>, el Estado debe, en primer lugar, precisar claramente ante la Comisión, durante la etapa de admisibilidad del caso, los recursos que, en su criterio, aún no se habrían agotado. Por otra parte, los argumentos que dan contenido a la excepción preliminar interpuesta por el Estado ante la Comisión durante la etapa de admisibilidad deben corresponder con aquellos esgrimidos ante la Corte.</w:t>
      </w:r>
      <w:r w:rsidR="00E92DC1" w:rsidRPr="00977573">
        <w:t xml:space="preserve"> </w:t>
      </w:r>
      <w:r w:rsidR="00795C23" w:rsidRPr="00977573">
        <w:t>Sin embargo, en este caso</w:t>
      </w:r>
      <w:r w:rsidR="00E92DC1" w:rsidRPr="00977573">
        <w:t>, los alegatos del Estado en el sentido de que no se habría interpuesto el recurso extraordinario de revisión ante el Tribunal Constitucional</w:t>
      </w:r>
      <w:r w:rsidR="000639B8">
        <w:t>,</w:t>
      </w:r>
      <w:r w:rsidR="00E92DC1" w:rsidRPr="00977573">
        <w:t xml:space="preserve"> y que por tal razón no se habrían agotado los recursos internos</w:t>
      </w:r>
      <w:r w:rsidR="00795CA5">
        <w:t>,</w:t>
      </w:r>
      <w:r w:rsidR="00E92DC1" w:rsidRPr="00977573">
        <w:t xml:space="preserve"> no fueron </w:t>
      </w:r>
      <w:r w:rsidR="00795C23" w:rsidRPr="00977573">
        <w:t>presentados</w:t>
      </w:r>
      <w:r w:rsidR="00E92DC1" w:rsidRPr="00977573">
        <w:t xml:space="preserve"> en el momento procesal oportuno</w:t>
      </w:r>
      <w:r w:rsidR="003D7840" w:rsidRPr="00977573">
        <w:t>, esto es, durante la etapa de admisibilidad del caso</w:t>
      </w:r>
      <w:r w:rsidR="00E92DC1" w:rsidRPr="00977573">
        <w:t xml:space="preserve">. </w:t>
      </w:r>
      <w:r w:rsidR="00B60F22" w:rsidRPr="00977573">
        <w:t xml:space="preserve">En efecto, </w:t>
      </w:r>
      <w:r w:rsidR="007F328B" w:rsidRPr="00977573">
        <w:t>l</w:t>
      </w:r>
      <w:r w:rsidR="00B60F22" w:rsidRPr="00977573">
        <w:t>a Corte nota que el Estado planteó por primera vez la falta de agotamiento de recursos internos en una comunicación enviada el 13 de octubre de 2017 a la Comisión Interamericana de Derechos Humanos, a la que anexó un oficio del 17 de agosto de 2017 suscrito por el Procurador Público del Poder Judicial, que señala que la presunta víctima no habría agotado todas las insta</w:t>
      </w:r>
      <w:r w:rsidR="00795CA5">
        <w:t>ncias que preveía la ley</w:t>
      </w:r>
      <w:r w:rsidR="00B60F22" w:rsidRPr="00977573">
        <w:t>. Esta comunicación fue recibida luego de haberse emitido el Informe de Admisibilidad</w:t>
      </w:r>
      <w:r w:rsidR="00214A7B">
        <w:t xml:space="preserve"> No.</w:t>
      </w:r>
      <w:r w:rsidR="00B60F22" w:rsidRPr="00977573">
        <w:t xml:space="preserve"> 37/16 de</w:t>
      </w:r>
      <w:r w:rsidR="000639B8">
        <w:t xml:space="preserve"> 12 de agosto de 2016</w:t>
      </w:r>
      <w:r w:rsidR="00B60F22" w:rsidRPr="00977573">
        <w:t xml:space="preserve"> (</w:t>
      </w:r>
      <w:r w:rsidR="00B60F22" w:rsidRPr="00977573">
        <w:rPr>
          <w:i/>
        </w:rPr>
        <w:t>supra</w:t>
      </w:r>
      <w:r w:rsidR="00B60F22" w:rsidRPr="00977573">
        <w:t xml:space="preserve"> párr. 2.b).</w:t>
      </w:r>
      <w:r w:rsidR="00B60F22" w:rsidRPr="00977573">
        <w:rPr>
          <w:sz w:val="16"/>
        </w:rPr>
        <w:t xml:space="preserve"> </w:t>
      </w:r>
      <w:r w:rsidR="00B60F22" w:rsidRPr="00977573">
        <w:t xml:space="preserve"> </w:t>
      </w:r>
      <w:r w:rsidR="00E92DC1" w:rsidRPr="00977573">
        <w:t>Por esa razón</w:t>
      </w:r>
      <w:r w:rsidR="00073EC4" w:rsidRPr="00977573">
        <w:t xml:space="preserve">, la Corte considera que </w:t>
      </w:r>
      <w:r w:rsidR="00E92DC1" w:rsidRPr="00977573">
        <w:t xml:space="preserve">la excepción preliminar planteada por el Estado </w:t>
      </w:r>
      <w:r w:rsidR="00073EC4" w:rsidRPr="00977573">
        <w:t>es improcedente</w:t>
      </w:r>
      <w:r w:rsidR="00357F6F" w:rsidRPr="00977573">
        <w:t xml:space="preserve">. </w:t>
      </w:r>
    </w:p>
    <w:p w14:paraId="1447CE8D" w14:textId="77777777" w:rsidR="0003198F" w:rsidRPr="00977573" w:rsidRDefault="0003198F" w:rsidP="000F3BE2">
      <w:pPr>
        <w:pStyle w:val="PrrafodeSentencia"/>
        <w:numPr>
          <w:ilvl w:val="0"/>
          <w:numId w:val="0"/>
        </w:numPr>
        <w:spacing w:line="240" w:lineRule="auto"/>
      </w:pPr>
    </w:p>
    <w:p w14:paraId="21CBC1A1" w14:textId="05DDAF34" w:rsidR="0003198F" w:rsidRPr="00977573" w:rsidRDefault="0003198F" w:rsidP="000F3BE2">
      <w:pPr>
        <w:pStyle w:val="PrrafodeSentencia"/>
        <w:spacing w:line="240" w:lineRule="auto"/>
      </w:pPr>
      <w:r w:rsidRPr="00977573">
        <w:t xml:space="preserve">Por otra parte, </w:t>
      </w:r>
      <w:r w:rsidR="005B2DAB" w:rsidRPr="00977573">
        <w:t xml:space="preserve">el Estado </w:t>
      </w:r>
      <w:r w:rsidR="003D7840" w:rsidRPr="00977573">
        <w:t>solicitó</w:t>
      </w:r>
      <w:r w:rsidR="005B2DAB" w:rsidRPr="00977573">
        <w:t xml:space="preserve"> que se hiciera control de legalidad de la actuación de la Comisión Interamericana en relación con la falta de agotamiento de recursos internos</w:t>
      </w:r>
      <w:r w:rsidR="00C725F2" w:rsidRPr="00977573">
        <w:t>,</w:t>
      </w:r>
      <w:r w:rsidR="005B2DAB" w:rsidRPr="00977573">
        <w:t xml:space="preserve"> en lo referido al marco normativo aplicado. L</w:t>
      </w:r>
      <w:r w:rsidRPr="00977573">
        <w:t>a Corte recuerda que</w:t>
      </w:r>
      <w:r w:rsidR="00CD3FEC">
        <w:t>,</w:t>
      </w:r>
      <w:r w:rsidRPr="00977573">
        <w:t xml:space="preserve"> en los asuntos bajo su conocimiento</w:t>
      </w:r>
      <w:r w:rsidR="00CD3FEC">
        <w:t>,</w:t>
      </w:r>
      <w:r w:rsidRPr="00977573">
        <w:t xml:space="preserve"> tiene la atribución de hacer control de legalidad de las actuaciones de la Comisión. Sin embargo, ello no supone necesariamente revisar de oficio el procedimiento que se llevó a cabo en esa instancia. Además, la Corte debe guardar un justo equilibrio entre la protección de los derechos humanos, fin último del Sistema Interamericano, y la seguridad jurídica y equidad procesal que aseguran la estabilidad y confiabilidad de la tutela internacional. El control señalado puede proceder, entonces, en aquellos casos en que alguna de las partes alegue que existe un error grave que vulnera su derecho de defensa, en cuyo caso debe demostrar efectivamente tal perjuicio. No resulta suficiente una queja o discrepancia de criterios en relación con lo actuado por la Comisión Interamericana</w:t>
      </w:r>
      <w:r w:rsidRPr="00977573">
        <w:rPr>
          <w:rStyle w:val="Refdenotaalpie"/>
          <w:sz w:val="20"/>
          <w:szCs w:val="20"/>
          <w:lang w:val="es-CO"/>
        </w:rPr>
        <w:footnoteReference w:id="8"/>
      </w:r>
      <w:r w:rsidRPr="00977573">
        <w:t>.</w:t>
      </w:r>
    </w:p>
    <w:p w14:paraId="20CFFF21" w14:textId="77777777" w:rsidR="0003198F" w:rsidRPr="00977573" w:rsidRDefault="0003198F" w:rsidP="000F3BE2">
      <w:pPr>
        <w:rPr>
          <w:rFonts w:ascii="Verdana" w:hAnsi="Verdana"/>
          <w:sz w:val="20"/>
          <w:szCs w:val="20"/>
          <w:lang w:val="es-CO" w:eastAsia="es-MX"/>
        </w:rPr>
      </w:pPr>
    </w:p>
    <w:p w14:paraId="667B4CF5" w14:textId="77777777" w:rsidR="00C90F85" w:rsidRPr="00977573" w:rsidRDefault="00DD3620" w:rsidP="000F3BE2">
      <w:pPr>
        <w:pStyle w:val="PrrafodeSentencia"/>
        <w:spacing w:line="240" w:lineRule="auto"/>
      </w:pPr>
      <w:r w:rsidRPr="00977573">
        <w:t>E</w:t>
      </w:r>
      <w:r w:rsidR="005B2DAB" w:rsidRPr="00977573">
        <w:t>n este caso</w:t>
      </w:r>
      <w:r w:rsidR="00073EC4" w:rsidRPr="00977573">
        <w:t>,</w:t>
      </w:r>
      <w:r w:rsidR="005B2DAB" w:rsidRPr="00977573">
        <w:t xml:space="preserve"> el Estado señaló </w:t>
      </w:r>
      <w:r w:rsidR="0003198F" w:rsidRPr="00977573">
        <w:t>que</w:t>
      </w:r>
      <w:r w:rsidR="005B2DAB" w:rsidRPr="00977573">
        <w:t>,</w:t>
      </w:r>
      <w:r w:rsidR="0003198F" w:rsidRPr="00977573">
        <w:t xml:space="preserve"> debido a que los alegatos referidos al marco normativo y a la violación del principio de legalidad no fueron presentados por la presunta víctima ni incluidos en el Informe de Admisibilidad, no tuvo la oportunidad de oponer la excepción preliminar de falta de agotamiento de recursos internos en relación con este asunto</w:t>
      </w:r>
      <w:r w:rsidR="000461DD">
        <w:t>,</w:t>
      </w:r>
      <w:r w:rsidR="0003198F" w:rsidRPr="00977573">
        <w:t xml:space="preserve"> </w:t>
      </w:r>
      <w:r w:rsidRPr="00977573">
        <w:t>en el momento procesal oportuno.</w:t>
      </w:r>
      <w:r w:rsidR="00692B49" w:rsidRPr="00977573">
        <w:t xml:space="preserve"> Al respecto, la Corte </w:t>
      </w:r>
      <w:r w:rsidR="005B2DAB" w:rsidRPr="00977573">
        <w:t>encuentra</w:t>
      </w:r>
      <w:r w:rsidR="00692B49" w:rsidRPr="00977573">
        <w:t xml:space="preserve"> que la </w:t>
      </w:r>
      <w:r w:rsidR="00692B49" w:rsidRPr="00977573">
        <w:rPr>
          <w:i/>
        </w:rPr>
        <w:t>litis</w:t>
      </w:r>
      <w:r w:rsidR="00692B49" w:rsidRPr="00977573">
        <w:t xml:space="preserve"> de este caso ha estado relacionada desde su </w:t>
      </w:r>
      <w:r w:rsidR="00FE3CEE" w:rsidRPr="00977573">
        <w:t>inicio</w:t>
      </w:r>
      <w:r w:rsidR="00692B49" w:rsidRPr="00977573">
        <w:t xml:space="preserve"> con el proceso que dio lugar a la no ratificación de la presunta víctima en su cargo, y ello comprende, necesariamente, el marco normativo aplicado</w:t>
      </w:r>
      <w:r w:rsidR="009F5BD3" w:rsidRPr="00977573">
        <w:t xml:space="preserve">. Además, ese marco normativo </w:t>
      </w:r>
      <w:r w:rsidR="00B648C7" w:rsidRPr="00977573">
        <w:t xml:space="preserve">fue </w:t>
      </w:r>
      <w:r w:rsidR="005B2DAB" w:rsidRPr="00977573">
        <w:lastRenderedPageBreak/>
        <w:t>identificado</w:t>
      </w:r>
      <w:r w:rsidR="00692B49" w:rsidRPr="00977573">
        <w:t xml:space="preserve"> por la presunta víctima en su petición inicial</w:t>
      </w:r>
      <w:r w:rsidR="00B648C7" w:rsidRPr="00977573">
        <w:rPr>
          <w:rStyle w:val="Refdenotaalpie"/>
          <w:sz w:val="20"/>
          <w:szCs w:val="20"/>
          <w:lang w:val="es-CO"/>
        </w:rPr>
        <w:footnoteReference w:id="9"/>
      </w:r>
      <w:r w:rsidR="00B648C7" w:rsidRPr="00977573">
        <w:t>. De modo que,</w:t>
      </w:r>
      <w:r w:rsidR="00692B49" w:rsidRPr="00977573">
        <w:t xml:space="preserve"> el Estado ha tenido conocimiento del ob</w:t>
      </w:r>
      <w:r w:rsidR="00B648C7" w:rsidRPr="00977573">
        <w:t>jeto del litigio desde entonces y</w:t>
      </w:r>
      <w:r w:rsidR="00692B49" w:rsidRPr="00977573">
        <w:t xml:space="preserve"> pudo haber presentado </w:t>
      </w:r>
      <w:r w:rsidR="00956FDE">
        <w:t>alegatos sobre este punto o una</w:t>
      </w:r>
      <w:r w:rsidR="00692B49" w:rsidRPr="00977573">
        <w:t xml:space="preserve"> excepción preliminar en el momento procesal oportuno. </w:t>
      </w:r>
      <w:r w:rsidR="00ED6BA4" w:rsidRPr="00977573">
        <w:t>Adicionalmente, es de destacar que, entre los requisitos para interponer una denuncia ante la Comisión, no se contempla que el peticionario deba identificar el marco normativo o</w:t>
      </w:r>
      <w:r w:rsidR="00B60F22" w:rsidRPr="00977573">
        <w:rPr>
          <w:sz w:val="16"/>
          <w:szCs w:val="16"/>
        </w:rPr>
        <w:t xml:space="preserve"> </w:t>
      </w:r>
      <w:r w:rsidR="00B60F22" w:rsidRPr="00977573">
        <w:rPr>
          <w:bCs/>
        </w:rPr>
        <w:t>hacer una referencia específica a los artículos de la Convención presuntamente violados</w:t>
      </w:r>
      <w:r w:rsidR="007F328B" w:rsidRPr="00977573">
        <w:rPr>
          <w:bCs/>
        </w:rPr>
        <w:t>.</w:t>
      </w:r>
      <w:r w:rsidR="00ED6BA4" w:rsidRPr="00977573">
        <w:t xml:space="preserve"> </w:t>
      </w:r>
    </w:p>
    <w:p w14:paraId="23444725" w14:textId="77777777" w:rsidR="004F1488" w:rsidRPr="00977573" w:rsidRDefault="004F1488" w:rsidP="000F3BE2">
      <w:pPr>
        <w:rPr>
          <w:lang w:val="es-CO" w:eastAsia="es-MX"/>
        </w:rPr>
      </w:pPr>
    </w:p>
    <w:p w14:paraId="0D6A1EC0" w14:textId="77777777" w:rsidR="0003198F" w:rsidRPr="00977573" w:rsidRDefault="00692B49" w:rsidP="000F3BE2">
      <w:pPr>
        <w:pStyle w:val="PrrafodeSentencia"/>
        <w:spacing w:line="240" w:lineRule="auto"/>
      </w:pPr>
      <w:r w:rsidRPr="00977573">
        <w:t xml:space="preserve">Por </w:t>
      </w:r>
      <w:r w:rsidR="00C90F85" w:rsidRPr="00977573">
        <w:t>las anteriores</w:t>
      </w:r>
      <w:r w:rsidR="00ED6BA4" w:rsidRPr="00977573">
        <w:t xml:space="preserve"> </w:t>
      </w:r>
      <w:r w:rsidR="003E1D5A" w:rsidRPr="00977573">
        <w:t>razo</w:t>
      </w:r>
      <w:r w:rsidRPr="00977573">
        <w:t>n</w:t>
      </w:r>
      <w:r w:rsidR="00ED6BA4" w:rsidRPr="00977573">
        <w:t>es</w:t>
      </w:r>
      <w:r w:rsidRPr="00977573">
        <w:t xml:space="preserve">, </w:t>
      </w:r>
      <w:r w:rsidR="00C90F85" w:rsidRPr="00977573">
        <w:t xml:space="preserve">la Corte concluye que </w:t>
      </w:r>
      <w:r w:rsidRPr="00977573">
        <w:t xml:space="preserve">no es </w:t>
      </w:r>
      <w:r w:rsidR="00FE3CEE" w:rsidRPr="00977573">
        <w:t>procedente</w:t>
      </w:r>
      <w:r w:rsidRPr="00977573">
        <w:t xml:space="preserve"> la solicitud de control de legalidad, ni la excepción preliminar de falta de agotamiento de los recursos internos. </w:t>
      </w:r>
    </w:p>
    <w:p w14:paraId="3B2A6A17" w14:textId="77777777" w:rsidR="0003198F" w:rsidRPr="00977573" w:rsidRDefault="0003198F" w:rsidP="000F3BE2">
      <w:pPr>
        <w:rPr>
          <w:rFonts w:ascii="Verdana" w:hAnsi="Verdana"/>
          <w:sz w:val="20"/>
          <w:szCs w:val="20"/>
          <w:lang w:val="es-CO"/>
        </w:rPr>
      </w:pPr>
    </w:p>
    <w:p w14:paraId="6534D2FD" w14:textId="77777777" w:rsidR="0003198F" w:rsidRPr="00977573" w:rsidRDefault="00E92DC1" w:rsidP="000F3BE2">
      <w:pPr>
        <w:pStyle w:val="Ttulo2"/>
        <w:spacing w:line="240" w:lineRule="auto"/>
        <w:rPr>
          <w:lang w:eastAsia="es-MX"/>
        </w:rPr>
      </w:pPr>
      <w:bookmarkStart w:id="31" w:name="_Toc69717852"/>
      <w:bookmarkStart w:id="32" w:name="_Toc74225359"/>
      <w:r w:rsidRPr="00977573">
        <w:rPr>
          <w:lang w:eastAsia="es-MX"/>
        </w:rPr>
        <w:t>Alegada falta</w:t>
      </w:r>
      <w:r w:rsidR="0003198F" w:rsidRPr="00977573">
        <w:rPr>
          <w:lang w:eastAsia="es-MX"/>
        </w:rPr>
        <w:t xml:space="preserve"> de competencia de la Corte Interamericana para actuar como cuarta instancia</w:t>
      </w:r>
      <w:bookmarkEnd w:id="31"/>
      <w:bookmarkEnd w:id="32"/>
    </w:p>
    <w:p w14:paraId="368F1D8F" w14:textId="77777777" w:rsidR="0003198F" w:rsidRPr="00977573" w:rsidRDefault="0003198F" w:rsidP="000F3BE2">
      <w:pPr>
        <w:rPr>
          <w:rFonts w:ascii="Verdana" w:hAnsi="Verdana"/>
          <w:sz w:val="20"/>
          <w:szCs w:val="20"/>
          <w:lang w:val="es-CO" w:eastAsia="es-MX"/>
        </w:rPr>
      </w:pPr>
    </w:p>
    <w:p w14:paraId="2B6DD523" w14:textId="77777777" w:rsidR="0003198F" w:rsidRPr="00977573" w:rsidRDefault="0003198F" w:rsidP="000F3BE2">
      <w:pPr>
        <w:pStyle w:val="Ttulo3"/>
      </w:pPr>
      <w:bookmarkStart w:id="33" w:name="_Toc69717853"/>
      <w:bookmarkStart w:id="34" w:name="_Toc74225360"/>
      <w:r w:rsidRPr="00977573">
        <w:t>B.1. Alegatos del Estado, observaciones de la Comisión y de la presunta víctima</w:t>
      </w:r>
      <w:bookmarkEnd w:id="33"/>
      <w:bookmarkEnd w:id="34"/>
    </w:p>
    <w:p w14:paraId="2F965F8E" w14:textId="77777777" w:rsidR="0003198F" w:rsidRPr="00977573" w:rsidRDefault="0003198F" w:rsidP="000F3BE2">
      <w:pPr>
        <w:pStyle w:val="PrrafodeSentencia"/>
        <w:numPr>
          <w:ilvl w:val="0"/>
          <w:numId w:val="0"/>
        </w:numPr>
        <w:spacing w:line="240" w:lineRule="auto"/>
      </w:pPr>
    </w:p>
    <w:p w14:paraId="36DC9B22" w14:textId="77777777" w:rsidR="0003198F" w:rsidRPr="00977573" w:rsidRDefault="0003198F" w:rsidP="000F3BE2">
      <w:pPr>
        <w:pStyle w:val="PrrafodeSentencia"/>
        <w:spacing w:line="240" w:lineRule="auto"/>
      </w:pPr>
      <w:r w:rsidRPr="00977573">
        <w:t xml:space="preserve">El </w:t>
      </w:r>
      <w:r w:rsidRPr="00977573">
        <w:rPr>
          <w:b/>
          <w:i/>
        </w:rPr>
        <w:t>Estado</w:t>
      </w:r>
      <w:r w:rsidRPr="00977573">
        <w:t xml:space="preserve"> alegó que el Sistema Interamericano de Protección de Derechos Humanos no puede subrogar la labor de los tribunales internos de cada Estado, ni actuar como tribunal de alzada al reevaluar las decisiones jurisdiccionales adoptadas en el marco de un proceso respetuoso de</w:t>
      </w:r>
      <w:r w:rsidR="00795CA5">
        <w:t xml:space="preserve"> los estándares internacionales</w:t>
      </w:r>
      <w:r w:rsidRPr="00795CA5">
        <w:t>.</w:t>
      </w:r>
      <w:r w:rsidRPr="00977573">
        <w:t xml:space="preserve"> En ese sentido, consideró que la Corte no tiene competencia para conocer el presente caso, pues se origina en la disconformidad de la presunta víctima con las decisiones internas emanadas de un proceso judicial de amparo que fue respetuoso de sus derechos a las garantías procesales. El Estado destacó que formuló esta excepción preliminar en la etapa de admisibilidad ante la Comisión.</w:t>
      </w:r>
    </w:p>
    <w:p w14:paraId="48384B4E" w14:textId="77777777" w:rsidR="0003198F" w:rsidRPr="00977573" w:rsidRDefault="0003198F" w:rsidP="000F3BE2">
      <w:pPr>
        <w:rPr>
          <w:rFonts w:ascii="Verdana" w:hAnsi="Verdana"/>
          <w:sz w:val="20"/>
          <w:szCs w:val="20"/>
          <w:lang w:val="es-CO" w:eastAsia="es-MX"/>
        </w:rPr>
      </w:pPr>
    </w:p>
    <w:p w14:paraId="32ADD504" w14:textId="6EED8707" w:rsidR="0003198F" w:rsidRPr="00977573" w:rsidRDefault="0003198F" w:rsidP="000F3BE2">
      <w:pPr>
        <w:pStyle w:val="PrrafodeSentencia"/>
        <w:spacing w:line="240" w:lineRule="auto"/>
      </w:pPr>
      <w:r w:rsidRPr="00977573">
        <w:t xml:space="preserve">La </w:t>
      </w:r>
      <w:r w:rsidRPr="00977573">
        <w:rPr>
          <w:b/>
          <w:i/>
        </w:rPr>
        <w:t>presunta víctima</w:t>
      </w:r>
      <w:r w:rsidRPr="00977573">
        <w:t xml:space="preserve"> indicó que el Estado, en el primer escrito presentado ante la Comisión Interamericana, no hizo observaciones ni formuló excepciones preliminares. Sostuvo</w:t>
      </w:r>
      <w:r w:rsidR="00CD3FEC">
        <w:t>,</w:t>
      </w:r>
      <w:r w:rsidRPr="00977573">
        <w:t xml:space="preserve"> además</w:t>
      </w:r>
      <w:r w:rsidR="00CD3FEC">
        <w:t>,</w:t>
      </w:r>
      <w:r w:rsidRPr="00977573">
        <w:t xml:space="preserve"> que acudió al Sistema Interamericano por cuenta de un acto que violó derechos contenidos en la Convención Americana y no porque pretenda la revisión de una d</w:t>
      </w:r>
      <w:r w:rsidR="00795CA5">
        <w:t>ecisión que le fue desfavorable</w:t>
      </w:r>
      <w:r w:rsidRPr="00977573">
        <w:t xml:space="preserve">.  </w:t>
      </w:r>
    </w:p>
    <w:p w14:paraId="51D1C096" w14:textId="77777777" w:rsidR="0003198F" w:rsidRPr="00977573" w:rsidRDefault="0003198F" w:rsidP="000F3BE2">
      <w:pPr>
        <w:rPr>
          <w:rFonts w:ascii="Verdana" w:hAnsi="Verdana"/>
          <w:sz w:val="20"/>
          <w:szCs w:val="20"/>
          <w:lang w:val="es-CO" w:eastAsia="es-MX"/>
        </w:rPr>
      </w:pPr>
    </w:p>
    <w:p w14:paraId="76D614ED" w14:textId="3ABE99D9" w:rsidR="0003198F" w:rsidRPr="00977573" w:rsidRDefault="0003198F" w:rsidP="000F3BE2">
      <w:pPr>
        <w:pStyle w:val="PrrafodeSentencia"/>
        <w:spacing w:line="240" w:lineRule="auto"/>
      </w:pPr>
      <w:r w:rsidRPr="00977573">
        <w:t xml:space="preserve">La </w:t>
      </w:r>
      <w:r w:rsidRPr="00977573">
        <w:rPr>
          <w:b/>
          <w:i/>
        </w:rPr>
        <w:t>Comisión</w:t>
      </w:r>
      <w:r w:rsidRPr="00977573">
        <w:t xml:space="preserve"> </w:t>
      </w:r>
      <w:r w:rsidR="00CD3FEC">
        <w:t>alegó</w:t>
      </w:r>
      <w:r w:rsidR="00CD3FEC" w:rsidRPr="00977573">
        <w:t xml:space="preserve"> </w:t>
      </w:r>
      <w:r w:rsidRPr="00977573">
        <w:t>que, en el presente caso, la presunta víctima argumentó una serie de violaciones al debido proceso, así como a otros derechos sustantivos, ocurridos en el marco del proceso administrativo sancionatorio de ratificación que culminó con su destitución del cargo de Secretaria Judicial. En esa medida la Comisión sostuvo que, conforme a los precedentes sobre la materia, la excepción preliminar interpuest</w:t>
      </w:r>
      <w:r w:rsidR="00795CA5">
        <w:t>a por el Estado es improcedente</w:t>
      </w:r>
      <w:r w:rsidRPr="00977573">
        <w:t>.</w:t>
      </w:r>
    </w:p>
    <w:p w14:paraId="0DEDD185" w14:textId="77777777" w:rsidR="00B733A3" w:rsidRPr="00977573" w:rsidRDefault="00B733A3" w:rsidP="000F3BE2">
      <w:pPr>
        <w:rPr>
          <w:rFonts w:ascii="Verdana" w:hAnsi="Verdana"/>
          <w:sz w:val="20"/>
          <w:szCs w:val="20"/>
          <w:lang w:val="es-CO" w:eastAsia="es-MX"/>
        </w:rPr>
      </w:pPr>
    </w:p>
    <w:p w14:paraId="778B93E2" w14:textId="77777777" w:rsidR="00B733A3" w:rsidRPr="00977573" w:rsidRDefault="00EC5530" w:rsidP="000F3BE2">
      <w:pPr>
        <w:pStyle w:val="Ttulo3"/>
      </w:pPr>
      <w:bookmarkStart w:id="35" w:name="_Toc69717854"/>
      <w:bookmarkStart w:id="36" w:name="_Toc74225361"/>
      <w:r w:rsidRPr="00977573">
        <w:t>B</w:t>
      </w:r>
      <w:r w:rsidR="00B733A3" w:rsidRPr="00977573">
        <w:t xml:space="preserve">.2 </w:t>
      </w:r>
      <w:r w:rsidRPr="00977573">
        <w:t>Consideraciones de la Corte</w:t>
      </w:r>
      <w:bookmarkEnd w:id="35"/>
      <w:bookmarkEnd w:id="36"/>
      <w:r w:rsidR="00E722C6" w:rsidRPr="00977573">
        <w:t xml:space="preserve"> </w:t>
      </w:r>
    </w:p>
    <w:p w14:paraId="40B54AA0" w14:textId="77777777" w:rsidR="00B733A3" w:rsidRPr="00977573" w:rsidRDefault="00B733A3" w:rsidP="000F3BE2">
      <w:pPr>
        <w:rPr>
          <w:rFonts w:ascii="Verdana" w:hAnsi="Verdana"/>
          <w:sz w:val="20"/>
          <w:szCs w:val="20"/>
          <w:lang w:val="es-CO" w:eastAsia="es-MX"/>
        </w:rPr>
      </w:pPr>
    </w:p>
    <w:p w14:paraId="05FCA9FB" w14:textId="77777777" w:rsidR="0003198F" w:rsidRPr="008C55D7" w:rsidRDefault="000461DD" w:rsidP="000F3BE2">
      <w:pPr>
        <w:pStyle w:val="PrrafodeSentencia"/>
        <w:spacing w:line="240" w:lineRule="auto"/>
      </w:pPr>
      <w:r w:rsidRPr="008C55D7">
        <w:t>Esta</w:t>
      </w:r>
      <w:r w:rsidR="00C07A00" w:rsidRPr="008C55D7">
        <w:t xml:space="preserve"> Corte</w:t>
      </w:r>
      <w:r w:rsidR="0003198F" w:rsidRPr="008C55D7">
        <w:t xml:space="preserve"> </w:t>
      </w:r>
      <w:r w:rsidR="00C07A00" w:rsidRPr="008C55D7">
        <w:t>ha señalado</w:t>
      </w:r>
      <w:r w:rsidR="0003198F" w:rsidRPr="008C55D7">
        <w:t xml:space="preserve"> que la determinación sobre si las actuaciones de órganos judiciales constituyen una violación de las obligaciones internacionales del Estado, puede conducir a que deba ocuparse de examinar los respectivos procesos internos, para establecer su compatibilidad con la Convención Americana. Por lo anterior, al analizar la compatibilidad de los procesos </w:t>
      </w:r>
      <w:r w:rsidR="0003198F" w:rsidRPr="008C55D7">
        <w:lastRenderedPageBreak/>
        <w:t>internos con la Convención Americana,</w:t>
      </w:r>
      <w:r w:rsidR="0003198F" w:rsidRPr="008C55D7">
        <w:rPr>
          <w:b/>
        </w:rPr>
        <w:t xml:space="preserve"> </w:t>
      </w:r>
      <w:r w:rsidR="0003198F" w:rsidRPr="008C55D7">
        <w:t>la Corte solo es competente para decidir sobre el contenido de resoluciones judiciales que la contravengan de forma manifiestamente arbitraria</w:t>
      </w:r>
      <w:r w:rsidR="0003198F" w:rsidRPr="008C55D7">
        <w:rPr>
          <w:rStyle w:val="Refdenotaalpie"/>
          <w:sz w:val="20"/>
          <w:szCs w:val="20"/>
          <w:lang w:val="es-CO"/>
        </w:rPr>
        <w:footnoteReference w:id="10"/>
      </w:r>
      <w:r w:rsidR="0003198F" w:rsidRPr="008C55D7">
        <w:t>.</w:t>
      </w:r>
      <w:r w:rsidR="00956FDE" w:rsidRPr="008C55D7">
        <w:t xml:space="preserve"> En consecuencia, este Tribunal no es una cuarta instancia de revisión judicial, en la medida de que examina la conformidad de las decisiones judiciales internas con la Convención Americana y no de acuerdo al derecho interno</w:t>
      </w:r>
      <w:r w:rsidRPr="008C55D7">
        <w:t>.</w:t>
      </w:r>
    </w:p>
    <w:p w14:paraId="4911AB18" w14:textId="77777777" w:rsidR="0003198F" w:rsidRPr="00977573" w:rsidRDefault="0003198F" w:rsidP="000F3BE2">
      <w:pPr>
        <w:pStyle w:val="PrrafodeSentencia"/>
        <w:numPr>
          <w:ilvl w:val="0"/>
          <w:numId w:val="0"/>
        </w:numPr>
        <w:spacing w:line="240" w:lineRule="auto"/>
      </w:pPr>
    </w:p>
    <w:p w14:paraId="45DD984D" w14:textId="77777777" w:rsidR="0003198F" w:rsidRPr="00977573" w:rsidRDefault="0003198F" w:rsidP="000F3BE2">
      <w:pPr>
        <w:pStyle w:val="PrrafodeSentencia"/>
        <w:spacing w:line="240" w:lineRule="auto"/>
      </w:pPr>
      <w:r w:rsidRPr="00977573">
        <w:t>En el caso concreto se advierte que la Comisión y la presunta víctima</w:t>
      </w:r>
      <w:r w:rsidR="00CC0C31">
        <w:t xml:space="preserve"> alegan</w:t>
      </w:r>
      <w:r w:rsidRPr="00977573">
        <w:t xml:space="preserve"> la vulneración a distintos derechos consagrados en la Convención Americana, en el marco de las decisiones tomadas por las autoridades nacionales, tanto en sede administrativa como judicia</w:t>
      </w:r>
      <w:r w:rsidR="00CC0C31">
        <w:t>l</w:t>
      </w:r>
      <w:r w:rsidRPr="00977573">
        <w:t>. En consecuencia, con el fin de determinar si dichas violaciones efectivamente ocurrieron, se hace imprescindible</w:t>
      </w:r>
      <w:r w:rsidR="00A14659" w:rsidRPr="00977573">
        <w:t xml:space="preserve"> </w:t>
      </w:r>
      <w:r w:rsidRPr="00977573">
        <w:t>analizar</w:t>
      </w:r>
      <w:r w:rsidR="00A14659" w:rsidRPr="00977573">
        <w:t xml:space="preserve">, por una parte, </w:t>
      </w:r>
      <w:r w:rsidRPr="00977573">
        <w:t xml:space="preserve">las resoluciones dictadas por las distintas autoridades administrativas y jurisdiccionales, </w:t>
      </w:r>
      <w:r w:rsidR="00246DBA" w:rsidRPr="00977573">
        <w:t>y</w:t>
      </w:r>
      <w:r w:rsidR="00A14659" w:rsidRPr="00977573">
        <w:t xml:space="preserve"> por la otra,</w:t>
      </w:r>
      <w:r w:rsidRPr="00977573">
        <w:t xml:space="preserve"> su compatibilidad con las obligaciones internacionales del Estado, lo que, a la postre, configura una cuestión de fondo que no puede dirimirse por vía de una excepción preliminar. En consecuencia, la Corte declara sin lugar la excepción preliminar presentada por el Estado. </w:t>
      </w:r>
    </w:p>
    <w:p w14:paraId="6128A0FB" w14:textId="77777777" w:rsidR="0003198F" w:rsidRPr="00977573" w:rsidRDefault="0003198F" w:rsidP="000F3BE2">
      <w:pPr>
        <w:rPr>
          <w:rFonts w:ascii="Verdana" w:eastAsiaTheme="minorHAnsi" w:hAnsi="Verdana" w:cs="Arial"/>
          <w:sz w:val="20"/>
          <w:szCs w:val="20"/>
          <w:lang w:val="es-CO"/>
        </w:rPr>
      </w:pPr>
      <w:bookmarkStart w:id="37" w:name="_headingh.3dy6vkm"/>
      <w:bookmarkStart w:id="38" w:name="Párr_35"/>
      <w:bookmarkEnd w:id="37"/>
      <w:bookmarkEnd w:id="38"/>
    </w:p>
    <w:p w14:paraId="6EB4A34F" w14:textId="02C8963F" w:rsidR="0003198F" w:rsidRPr="00977573" w:rsidRDefault="009F087B" w:rsidP="000F3BE2">
      <w:pPr>
        <w:pStyle w:val="Ttulo2"/>
        <w:spacing w:line="240" w:lineRule="auto"/>
        <w:rPr>
          <w:lang w:eastAsia="es-MX"/>
        </w:rPr>
      </w:pPr>
      <w:bookmarkStart w:id="39" w:name="_Toc69717855"/>
      <w:bookmarkStart w:id="40" w:name="_Toc74225362"/>
      <w:r w:rsidRPr="00977573">
        <w:rPr>
          <w:lang w:eastAsia="es-MX"/>
        </w:rPr>
        <w:t>Alegada i</w:t>
      </w:r>
      <w:r w:rsidR="0003198F" w:rsidRPr="00977573">
        <w:rPr>
          <w:lang w:eastAsia="es-MX"/>
        </w:rPr>
        <w:t xml:space="preserve">ndebida inclusión de los artículos 5 y 11 </w:t>
      </w:r>
      <w:r w:rsidR="00BF2BF9">
        <w:rPr>
          <w:lang w:eastAsia="es-MX"/>
        </w:rPr>
        <w:t xml:space="preserve">de la Convención </w:t>
      </w:r>
      <w:r w:rsidR="0003198F" w:rsidRPr="00977573">
        <w:rPr>
          <w:lang w:eastAsia="es-MX"/>
        </w:rPr>
        <w:t xml:space="preserve">en el </w:t>
      </w:r>
      <w:r w:rsidR="00BF2BF9">
        <w:rPr>
          <w:lang w:eastAsia="es-MX"/>
        </w:rPr>
        <w:t>e</w:t>
      </w:r>
      <w:r w:rsidR="0003198F" w:rsidRPr="00977573">
        <w:rPr>
          <w:lang w:eastAsia="es-MX"/>
        </w:rPr>
        <w:t xml:space="preserve">scrito de </w:t>
      </w:r>
      <w:r w:rsidR="00BF2BF9">
        <w:rPr>
          <w:lang w:eastAsia="es-MX"/>
        </w:rPr>
        <w:t>s</w:t>
      </w:r>
      <w:r w:rsidR="0003198F" w:rsidRPr="00977573">
        <w:rPr>
          <w:lang w:eastAsia="es-MX"/>
        </w:rPr>
        <w:t xml:space="preserve">olicitudes y </w:t>
      </w:r>
      <w:r w:rsidR="00BF2BF9">
        <w:rPr>
          <w:lang w:eastAsia="es-MX"/>
        </w:rPr>
        <w:t>a</w:t>
      </w:r>
      <w:r w:rsidR="0003198F" w:rsidRPr="00977573">
        <w:rPr>
          <w:lang w:eastAsia="es-MX"/>
        </w:rPr>
        <w:t>rgumentos</w:t>
      </w:r>
      <w:bookmarkEnd w:id="39"/>
      <w:bookmarkEnd w:id="40"/>
    </w:p>
    <w:p w14:paraId="22E9FDA5" w14:textId="77777777" w:rsidR="00EC5530" w:rsidRPr="00977573" w:rsidRDefault="00EC5530" w:rsidP="000F3BE2">
      <w:pPr>
        <w:rPr>
          <w:rFonts w:ascii="Verdana" w:hAnsi="Verdana"/>
          <w:lang w:val="es-CO" w:eastAsia="es-MX"/>
        </w:rPr>
      </w:pPr>
    </w:p>
    <w:p w14:paraId="05B464CF" w14:textId="77777777" w:rsidR="00EC5530" w:rsidRPr="00977573" w:rsidRDefault="00EC5530" w:rsidP="000F3BE2">
      <w:pPr>
        <w:pStyle w:val="Ttulo3"/>
      </w:pPr>
      <w:bookmarkStart w:id="41" w:name="_Toc69717856"/>
      <w:bookmarkStart w:id="42" w:name="_Toc74225363"/>
      <w:r w:rsidRPr="00977573">
        <w:t>C.1. Alegatos del Estado, observaciones de la Comisión y de la presunta víctima</w:t>
      </w:r>
      <w:bookmarkEnd w:id="41"/>
      <w:bookmarkEnd w:id="42"/>
    </w:p>
    <w:p w14:paraId="748BFFB6" w14:textId="77777777" w:rsidR="00EC5530" w:rsidRPr="00977573" w:rsidRDefault="00EC5530" w:rsidP="000F3BE2">
      <w:pPr>
        <w:rPr>
          <w:rFonts w:ascii="Verdana" w:hAnsi="Verdana"/>
          <w:lang w:val="es-CO" w:eastAsia="es-MX"/>
        </w:rPr>
      </w:pPr>
    </w:p>
    <w:p w14:paraId="39DDD0E5" w14:textId="1CB7F7B0" w:rsidR="0003198F" w:rsidRPr="00977573" w:rsidRDefault="0003198F" w:rsidP="000F3BE2">
      <w:pPr>
        <w:pStyle w:val="PrrafodeSentencia"/>
        <w:spacing w:line="240" w:lineRule="auto"/>
      </w:pPr>
      <w:r w:rsidRPr="00977573">
        <w:t xml:space="preserve">El </w:t>
      </w:r>
      <w:r w:rsidRPr="00977573">
        <w:rPr>
          <w:b/>
          <w:i/>
        </w:rPr>
        <w:t>Estado</w:t>
      </w:r>
      <w:r w:rsidRPr="00977573">
        <w:t xml:space="preserve"> argumentó que</w:t>
      </w:r>
      <w:r w:rsidR="00041A9E" w:rsidRPr="00977573">
        <w:t xml:space="preserve">, </w:t>
      </w:r>
      <w:r w:rsidRPr="00977573">
        <w:t>pese a que la Comisión en su Informe de Admisibilidad N</w:t>
      </w:r>
      <w:r w:rsidR="00AA6AAA">
        <w:t>o.</w:t>
      </w:r>
      <w:r w:rsidRPr="00977573">
        <w:t xml:space="preserve"> 37/16 de fecha 12 de agosto de 2016 declaró inadmisible la petición en relación a los artículos 5 (derecho a la integridad personal) y 11 (protección de la honra y de la dignidad) de la Convención Americana, y a que en su Informe de Fondo no consideró dichos derechos, la señora Moya Solís realizó una serie de afirmaciones generales mediante las cuales pretende que se discutan afectaciones a los citados derechos. Por lo anterior, solicitó a la Corte que no valore lo alegado por la presunta víctima. También señaló que</w:t>
      </w:r>
      <w:r w:rsidR="00041A9E" w:rsidRPr="00977573">
        <w:t>,</w:t>
      </w:r>
      <w:r w:rsidRPr="00977573">
        <w:t xml:space="preserve"> en este caso no se habrían agotado los recursos internos en relación con los derechos a la integridad personal, honra y dignidad, por lo que indicó que también presentaba la excepción preliminar de falta de agotamiento de recursos inter</w:t>
      </w:r>
      <w:r w:rsidR="000502E8">
        <w:t>nos en relación con este asunto</w:t>
      </w:r>
      <w:r w:rsidRPr="00977573">
        <w:t xml:space="preserve">. </w:t>
      </w:r>
    </w:p>
    <w:p w14:paraId="0DA3AAB3" w14:textId="77777777" w:rsidR="0003198F" w:rsidRPr="00977573" w:rsidRDefault="0003198F" w:rsidP="000F3BE2">
      <w:pPr>
        <w:autoSpaceDE w:val="0"/>
        <w:autoSpaceDN w:val="0"/>
        <w:adjustRightInd w:val="0"/>
        <w:rPr>
          <w:rFonts w:ascii="Verdana" w:hAnsi="Verdana"/>
          <w:sz w:val="20"/>
          <w:szCs w:val="20"/>
          <w:lang w:val="es-CO" w:eastAsia="es-MX"/>
        </w:rPr>
      </w:pPr>
    </w:p>
    <w:p w14:paraId="5AD84FC5" w14:textId="77777777" w:rsidR="0003198F" w:rsidRPr="00977573" w:rsidRDefault="0003198F" w:rsidP="000F3BE2">
      <w:pPr>
        <w:pStyle w:val="PrrafodeSentencia"/>
        <w:autoSpaceDE w:val="0"/>
        <w:autoSpaceDN w:val="0"/>
        <w:adjustRightInd w:val="0"/>
        <w:spacing w:line="240" w:lineRule="auto"/>
        <w:rPr>
          <w:rFonts w:eastAsiaTheme="minorHAnsi"/>
        </w:rPr>
      </w:pPr>
      <w:r w:rsidRPr="00977573">
        <w:t xml:space="preserve">La </w:t>
      </w:r>
      <w:r w:rsidRPr="00977573">
        <w:rPr>
          <w:b/>
          <w:i/>
        </w:rPr>
        <w:t>presunta víctima</w:t>
      </w:r>
      <w:r w:rsidRPr="00977573">
        <w:t xml:space="preserve"> no se refirió a este asunto. La </w:t>
      </w:r>
      <w:r w:rsidRPr="00977573">
        <w:rPr>
          <w:b/>
          <w:i/>
        </w:rPr>
        <w:t>Comisión</w:t>
      </w:r>
      <w:r w:rsidRPr="00977573">
        <w:t xml:space="preserve"> indicó que </w:t>
      </w:r>
      <w:r w:rsidRPr="00977573">
        <w:rPr>
          <w:rFonts w:eastAsiaTheme="minorHAnsi"/>
        </w:rPr>
        <w:t xml:space="preserve">las presuntas víctimas y sus representantes pueden invocar la violación de derechos distintos a los </w:t>
      </w:r>
      <w:r w:rsidRPr="00977573">
        <w:t>incluidos</w:t>
      </w:r>
      <w:r w:rsidRPr="00977573">
        <w:rPr>
          <w:rFonts w:eastAsiaTheme="minorHAnsi"/>
        </w:rPr>
        <w:t xml:space="preserve"> en el Informe de Fondo, siempre y cuando se enmarquen en los hechos contenidos en dicho documento, en tanto son las presuntas víctimas las titulares de los derechos consagrados en la Convención. </w:t>
      </w:r>
      <w:r w:rsidRPr="00977573">
        <w:t>Destacó</w:t>
      </w:r>
      <w:r w:rsidRPr="00977573">
        <w:rPr>
          <w:rFonts w:eastAsiaTheme="minorHAnsi"/>
        </w:rPr>
        <w:t xml:space="preserve"> también que el alegato del Estado sobre la debida delimitación de los derechos alegados por la presunta víctima es una cuestión que corresponde al debate de fondo y no podría ser resuelta mediante una excepción preliminar. </w:t>
      </w:r>
    </w:p>
    <w:p w14:paraId="377921FE" w14:textId="77777777" w:rsidR="00B733A3" w:rsidRPr="00977573" w:rsidRDefault="00B733A3" w:rsidP="000F3BE2">
      <w:pPr>
        <w:rPr>
          <w:rFonts w:ascii="Verdana" w:eastAsiaTheme="minorHAnsi" w:hAnsi="Verdana"/>
          <w:sz w:val="20"/>
          <w:szCs w:val="20"/>
          <w:lang w:val="es-CO" w:eastAsia="es-MX"/>
        </w:rPr>
      </w:pPr>
    </w:p>
    <w:p w14:paraId="3D19D68E" w14:textId="77777777" w:rsidR="00B733A3" w:rsidRPr="00977573" w:rsidRDefault="00EC5530" w:rsidP="000F3BE2">
      <w:pPr>
        <w:pStyle w:val="Ttulo3"/>
      </w:pPr>
      <w:bookmarkStart w:id="43" w:name="_Toc69717857"/>
      <w:bookmarkStart w:id="44" w:name="_Toc74225364"/>
      <w:r w:rsidRPr="00977573">
        <w:t>C</w:t>
      </w:r>
      <w:r w:rsidR="00B733A3" w:rsidRPr="00977573">
        <w:t xml:space="preserve">.2 </w:t>
      </w:r>
      <w:r w:rsidRPr="00977573">
        <w:t>Consideraciones de la Corte</w:t>
      </w:r>
      <w:bookmarkEnd w:id="43"/>
      <w:bookmarkEnd w:id="44"/>
    </w:p>
    <w:p w14:paraId="2348D1CA" w14:textId="77777777" w:rsidR="00B733A3" w:rsidRPr="00977573" w:rsidRDefault="00B733A3" w:rsidP="000F3BE2">
      <w:pPr>
        <w:rPr>
          <w:rFonts w:ascii="Verdana" w:eastAsiaTheme="minorHAnsi" w:hAnsi="Verdana"/>
          <w:sz w:val="20"/>
          <w:szCs w:val="20"/>
          <w:lang w:val="es-CO" w:eastAsia="es-MX"/>
        </w:rPr>
      </w:pPr>
    </w:p>
    <w:p w14:paraId="3BA501CF" w14:textId="77777777" w:rsidR="0003198F" w:rsidRPr="00977573" w:rsidRDefault="0003198F" w:rsidP="000F3BE2">
      <w:pPr>
        <w:pStyle w:val="PrrafodeSentencia"/>
        <w:spacing w:line="240" w:lineRule="auto"/>
      </w:pPr>
      <w:r w:rsidRPr="00977573">
        <w:t>La Corte reitera que las presuntas víctimas y sus representantes pueden invocar la violación de derechos distintos a los comprendidos en el Informe de Fondo, siempre que se mantengan dentro del marco fáctico definido por la Comisión, en tanto son las presuntas víctimas las titulares de todos los derechos consagrados en la Convención Americana. En esos casos, corresponde a la Corte decidir sobre la procedencia de alegatos relativos al marco fáctico</w:t>
      </w:r>
      <w:r w:rsidR="000502E8">
        <w:t>,</w:t>
      </w:r>
      <w:r w:rsidRPr="00977573">
        <w:t xml:space="preserve"> en resguardo del equilibrio procesal de las partes</w:t>
      </w:r>
      <w:r w:rsidRPr="00977573">
        <w:rPr>
          <w:rStyle w:val="Refdenotaalpie"/>
          <w:sz w:val="20"/>
          <w:szCs w:val="20"/>
          <w:lang w:val="es-CO"/>
        </w:rPr>
        <w:footnoteReference w:id="11"/>
      </w:r>
      <w:r w:rsidRPr="00977573">
        <w:t xml:space="preserve">. </w:t>
      </w:r>
    </w:p>
    <w:p w14:paraId="44432A5B" w14:textId="77777777" w:rsidR="0003198F" w:rsidRPr="00977573" w:rsidRDefault="0003198F" w:rsidP="000F3BE2">
      <w:pPr>
        <w:rPr>
          <w:rFonts w:ascii="Verdana" w:hAnsi="Verdana"/>
          <w:sz w:val="20"/>
          <w:szCs w:val="20"/>
          <w:lang w:val="es-CO" w:eastAsia="es-MX"/>
        </w:rPr>
      </w:pPr>
    </w:p>
    <w:p w14:paraId="5FBCBBD3" w14:textId="34FCA6CA" w:rsidR="0003198F" w:rsidRPr="00977573" w:rsidRDefault="0003198F" w:rsidP="000F3BE2">
      <w:pPr>
        <w:pStyle w:val="PrrafodeSentencia"/>
        <w:spacing w:line="240" w:lineRule="auto"/>
        <w:rPr>
          <w:rFonts w:eastAsiaTheme="minorHAnsi" w:cs="Cambria"/>
        </w:rPr>
      </w:pPr>
      <w:r w:rsidRPr="00977573">
        <w:t>Sin</w:t>
      </w:r>
      <w:r w:rsidR="00A2101D" w:rsidRPr="00977573">
        <w:t xml:space="preserve"> embargo, en este caso concreto</w:t>
      </w:r>
      <w:r w:rsidRPr="00977573">
        <w:t xml:space="preserve"> la Corte encuentra que</w:t>
      </w:r>
      <w:r w:rsidR="00A2101D" w:rsidRPr="00977573">
        <w:t>,</w:t>
      </w:r>
      <w:r w:rsidRPr="00977573">
        <w:t xml:space="preserve"> </w:t>
      </w:r>
      <w:r w:rsidR="005A02C2" w:rsidRPr="00977573">
        <w:t xml:space="preserve">si bien la presunta víctima mencionó los artículos 5 y 11 de la Convención e hizo referencia de manera general a su honestidad, integridad y proyecto de vida, </w:t>
      </w:r>
      <w:r w:rsidRPr="00977573">
        <w:t xml:space="preserve">no </w:t>
      </w:r>
      <w:r w:rsidR="005A02C2" w:rsidRPr="00977573">
        <w:t xml:space="preserve">presentó alegatos específicos relacionados con la violación de </w:t>
      </w:r>
      <w:r w:rsidR="00CC0C31">
        <w:t>l</w:t>
      </w:r>
      <w:r w:rsidR="005A02C2" w:rsidRPr="00977573">
        <w:t xml:space="preserve">os derechos </w:t>
      </w:r>
      <w:r w:rsidR="00CC0C31">
        <w:t xml:space="preserve">contenidos en dichos artículos </w:t>
      </w:r>
      <w:r w:rsidR="005A02C2" w:rsidRPr="00977573">
        <w:t xml:space="preserve">ni </w:t>
      </w:r>
      <w:r w:rsidRPr="00977573">
        <w:t xml:space="preserve">solicitó a la Corte que declare la violación de derechos diferentes a los indicados en el Informe de Fondo. Así, el petitorio contenido en el </w:t>
      </w:r>
      <w:r w:rsidR="00C90F85" w:rsidRPr="00977573">
        <w:t>e</w:t>
      </w:r>
      <w:r w:rsidRPr="00977573">
        <w:t xml:space="preserve">scrito de </w:t>
      </w:r>
      <w:r w:rsidR="00C90F85" w:rsidRPr="00977573">
        <w:t>s</w:t>
      </w:r>
      <w:r w:rsidRPr="00977573">
        <w:t xml:space="preserve">olicitudes y </w:t>
      </w:r>
      <w:r w:rsidR="00C90F85" w:rsidRPr="00977573">
        <w:t>a</w:t>
      </w:r>
      <w:r w:rsidRPr="00977573">
        <w:t>rgumentos señala: “Solicito a la Honorable Corte Interamericana de Derechos Humanos que declare la responsabilidad del Estado Peruano por los siguientes motivos: 5.1. Por haber violado mis derechos correspondientes a las garantías judiciales, establecidos en los artículos 8.1, 8.2 b), 8.2.c); por haber violado el principio de legalidad establecido en el artículo 9, y por haber violado mi protección judicial establecida en el artículo 25.1; así como las relacionadas a los artículos 1.1. y 2 de la Convención Americ</w:t>
      </w:r>
      <w:r w:rsidR="000502E8">
        <w:t>ana sobre Derechos Humanos […]”</w:t>
      </w:r>
      <w:r w:rsidRPr="00977573">
        <w:t>. Por lo anterior, la Corte encuentra que los alegatos del Estado en relación con una indebida inclusión de los artículos 5 y 11</w:t>
      </w:r>
      <w:r w:rsidR="00AA6AAA">
        <w:t xml:space="preserve"> de la Convención</w:t>
      </w:r>
      <w:r w:rsidRPr="00977573">
        <w:t xml:space="preserve"> en el escrito de solicitudes y argumentos, no </w:t>
      </w:r>
      <w:r w:rsidR="00AC5A2A" w:rsidRPr="00977573">
        <w:t>son procedentes</w:t>
      </w:r>
      <w:r w:rsidRPr="00977573">
        <w:t>.</w:t>
      </w:r>
      <w:r w:rsidRPr="00977573">
        <w:rPr>
          <w:rFonts w:eastAsiaTheme="minorHAnsi" w:cs="Cambria"/>
        </w:rPr>
        <w:t xml:space="preserve"> </w:t>
      </w:r>
    </w:p>
    <w:p w14:paraId="667E7487" w14:textId="77777777" w:rsidR="0003198F" w:rsidRPr="00977573" w:rsidRDefault="0003198F" w:rsidP="000F3BE2">
      <w:pPr>
        <w:rPr>
          <w:rFonts w:ascii="Verdana" w:hAnsi="Verdana"/>
          <w:sz w:val="20"/>
          <w:szCs w:val="20"/>
          <w:lang w:val="es-CO" w:eastAsia="es-MX"/>
        </w:rPr>
      </w:pPr>
    </w:p>
    <w:p w14:paraId="1C4947F2" w14:textId="77777777" w:rsidR="0003198F" w:rsidRPr="00977573" w:rsidRDefault="0003198F" w:rsidP="000F3BE2">
      <w:pPr>
        <w:pStyle w:val="Ttulo1"/>
        <w:rPr>
          <w:rStyle w:val="None"/>
          <w:rFonts w:ascii="Verdana" w:hAnsi="Verdana"/>
          <w:sz w:val="20"/>
          <w:szCs w:val="20"/>
          <w:lang w:val="es-CO"/>
        </w:rPr>
      </w:pPr>
      <w:bookmarkStart w:id="45" w:name="_Toc40199323"/>
      <w:bookmarkStart w:id="46" w:name="_Toc43477609"/>
      <w:bookmarkStart w:id="47" w:name="_Toc44679177"/>
      <w:bookmarkStart w:id="48" w:name="_Toc69717858"/>
      <w:bookmarkStart w:id="49" w:name="_Toc74225365"/>
      <w:r w:rsidRPr="00977573">
        <w:rPr>
          <w:rStyle w:val="None"/>
          <w:rFonts w:ascii="Verdana" w:hAnsi="Verdana"/>
          <w:sz w:val="20"/>
          <w:szCs w:val="20"/>
          <w:lang w:val="es-CO"/>
        </w:rPr>
        <w:t>V</w:t>
      </w:r>
      <w:r w:rsidRPr="00977573">
        <w:rPr>
          <w:rStyle w:val="None"/>
          <w:rFonts w:ascii="Verdana" w:hAnsi="Verdana"/>
          <w:sz w:val="20"/>
          <w:szCs w:val="20"/>
          <w:lang w:val="es-CO"/>
        </w:rPr>
        <w:br/>
        <w:t>PRUEBA</w:t>
      </w:r>
      <w:bookmarkEnd w:id="45"/>
      <w:bookmarkEnd w:id="46"/>
      <w:bookmarkEnd w:id="47"/>
      <w:bookmarkEnd w:id="48"/>
      <w:bookmarkEnd w:id="49"/>
    </w:p>
    <w:p w14:paraId="4259CDC7" w14:textId="77777777" w:rsidR="0003198F" w:rsidRPr="00977573" w:rsidRDefault="0003198F" w:rsidP="000F3BE2">
      <w:pPr>
        <w:pStyle w:val="BodyA"/>
        <w:snapToGrid w:val="0"/>
        <w:spacing w:line="240" w:lineRule="auto"/>
        <w:rPr>
          <w:rStyle w:val="None"/>
          <w:sz w:val="20"/>
          <w:szCs w:val="20"/>
          <w:lang w:val="es-CO"/>
        </w:rPr>
      </w:pPr>
    </w:p>
    <w:p w14:paraId="0A383459" w14:textId="77777777" w:rsidR="0003198F" w:rsidRPr="00977573" w:rsidRDefault="0003198F" w:rsidP="000F3BE2">
      <w:pPr>
        <w:pStyle w:val="Ttulo2"/>
        <w:numPr>
          <w:ilvl w:val="0"/>
          <w:numId w:val="6"/>
        </w:numPr>
        <w:spacing w:line="240" w:lineRule="auto"/>
      </w:pPr>
      <w:bookmarkStart w:id="50" w:name="_Toc506984097"/>
      <w:bookmarkStart w:id="51" w:name="_Toc40199324"/>
      <w:bookmarkStart w:id="52" w:name="_Toc43477610"/>
      <w:bookmarkStart w:id="53" w:name="_Toc44679178"/>
      <w:bookmarkStart w:id="54" w:name="_Toc69717859"/>
      <w:bookmarkStart w:id="55" w:name="_Toc74225366"/>
      <w:r w:rsidRPr="00977573">
        <w:t>Admisibilidad de la prueba documental</w:t>
      </w:r>
      <w:bookmarkStart w:id="56" w:name="_Ref305145673"/>
      <w:bookmarkEnd w:id="50"/>
      <w:bookmarkEnd w:id="51"/>
      <w:bookmarkEnd w:id="52"/>
      <w:bookmarkEnd w:id="53"/>
      <w:bookmarkEnd w:id="54"/>
      <w:bookmarkEnd w:id="55"/>
      <w:r w:rsidR="00452C86" w:rsidRPr="00977573">
        <w:t xml:space="preserve"> </w:t>
      </w:r>
    </w:p>
    <w:p w14:paraId="293CE0C6" w14:textId="77777777" w:rsidR="0003198F" w:rsidRPr="00977573" w:rsidRDefault="0003198F" w:rsidP="000F3BE2">
      <w:pPr>
        <w:pStyle w:val="Prrafodelista"/>
        <w:snapToGrid w:val="0"/>
        <w:ind w:left="0"/>
        <w:rPr>
          <w:lang w:val="es-CO"/>
        </w:rPr>
      </w:pPr>
    </w:p>
    <w:p w14:paraId="1F87C660" w14:textId="77777777" w:rsidR="0034784F" w:rsidRPr="00977573" w:rsidRDefault="0003198F" w:rsidP="000F3BE2">
      <w:pPr>
        <w:pStyle w:val="PrrafodeSentencia"/>
        <w:spacing w:line="240" w:lineRule="auto"/>
        <w:rPr>
          <w:rStyle w:val="None"/>
        </w:rPr>
      </w:pPr>
      <w:r w:rsidRPr="00977573">
        <w:t>La Corte recibió diversos documentos, present</w:t>
      </w:r>
      <w:r w:rsidRPr="00977573">
        <w:rPr>
          <w:rFonts w:eastAsia="Calibri" w:cs="Verdana"/>
          <w:spacing w:val="-2"/>
        </w:rPr>
        <w:t>ados como pru</w:t>
      </w:r>
      <w:r w:rsidRPr="00977573">
        <w:t xml:space="preserve">eba por la Comisión, </w:t>
      </w:r>
      <w:r w:rsidR="00C90F85" w:rsidRPr="00977573">
        <w:t>la presunta víctima</w:t>
      </w:r>
      <w:r w:rsidRPr="00977573">
        <w:t xml:space="preserve"> y el Estado, adjuntos a sus escritos principales (</w:t>
      </w:r>
      <w:r w:rsidRPr="000502E8">
        <w:rPr>
          <w:i/>
        </w:rPr>
        <w:t xml:space="preserve">supra </w:t>
      </w:r>
      <w:r w:rsidR="00D14745" w:rsidRPr="000502E8">
        <w:t>párrs</w:t>
      </w:r>
      <w:r w:rsidR="000502E8" w:rsidRPr="000502E8">
        <w:t>.</w:t>
      </w:r>
      <w:r w:rsidR="00D14745" w:rsidRPr="000502E8">
        <w:t xml:space="preserve"> 3, 6 y 7</w:t>
      </w:r>
      <w:r w:rsidRPr="000502E8">
        <w:t>).</w:t>
      </w:r>
      <w:r w:rsidRPr="00977573">
        <w:t xml:space="preserve"> </w:t>
      </w:r>
      <w:r w:rsidR="004B18EB" w:rsidRPr="00977573">
        <w:t>Como en otros casos, este Tribunal admite aquellos documentos presentados oportunamente (artículo 57 del Reglamento)</w:t>
      </w:r>
      <w:r w:rsidR="004B18EB" w:rsidRPr="00977573">
        <w:rPr>
          <w:rStyle w:val="Refdenotaalpie"/>
          <w:rFonts w:eastAsia="Batang"/>
          <w:sz w:val="20"/>
          <w:szCs w:val="20"/>
          <w:lang w:val="es-CO"/>
        </w:rPr>
        <w:footnoteReference w:id="12"/>
      </w:r>
      <w:r w:rsidR="004B18EB" w:rsidRPr="00977573">
        <w:t xml:space="preserve"> </w:t>
      </w:r>
      <w:r w:rsidR="004B18EB" w:rsidRPr="00977573">
        <w:rPr>
          <w:rStyle w:val="None"/>
        </w:rPr>
        <w:t>por las partes y la Comisión, cuya admisibilidad no fue controvertida ni objetada, y cuya autenticidad no fue puesta en duda</w:t>
      </w:r>
      <w:r w:rsidR="004B18EB" w:rsidRPr="00977573">
        <w:rPr>
          <w:rStyle w:val="None"/>
          <w:vertAlign w:val="superscript"/>
        </w:rPr>
        <w:footnoteReference w:id="13"/>
      </w:r>
      <w:r w:rsidR="004B18EB" w:rsidRPr="00977573">
        <w:rPr>
          <w:rStyle w:val="None"/>
        </w:rPr>
        <w:t>.</w:t>
      </w:r>
    </w:p>
    <w:p w14:paraId="36D21E6D" w14:textId="77777777" w:rsidR="004B18EB" w:rsidRPr="00977573" w:rsidRDefault="004B18EB" w:rsidP="000F3BE2">
      <w:pPr>
        <w:pStyle w:val="PrrafodeSentencia"/>
        <w:numPr>
          <w:ilvl w:val="0"/>
          <w:numId w:val="0"/>
        </w:numPr>
        <w:spacing w:line="240" w:lineRule="auto"/>
      </w:pPr>
    </w:p>
    <w:p w14:paraId="35E6155D" w14:textId="5E58BFFF" w:rsidR="0003198F" w:rsidRPr="00977573" w:rsidRDefault="004B18EB" w:rsidP="000F3BE2">
      <w:pPr>
        <w:pStyle w:val="PrrafodeSentencia"/>
        <w:spacing w:line="240" w:lineRule="auto"/>
      </w:pPr>
      <w:r w:rsidRPr="00977573">
        <w:t xml:space="preserve">La Corte también recibió documentos adjuntos a los alegatos finales escritos </w:t>
      </w:r>
      <w:r w:rsidR="00951CFA" w:rsidRPr="00977573">
        <w:t>presentados por el Estado y por la presunta víctima</w:t>
      </w:r>
      <w:r w:rsidR="00D46920" w:rsidRPr="00977573">
        <w:rPr>
          <w:rStyle w:val="Refdenotaalpie"/>
          <w:sz w:val="20"/>
          <w:lang w:val="es-CO"/>
        </w:rPr>
        <w:footnoteReference w:id="14"/>
      </w:r>
      <w:r w:rsidR="00951CFA" w:rsidRPr="00977573">
        <w:t xml:space="preserve"> </w:t>
      </w:r>
      <w:r w:rsidRPr="00977573">
        <w:t>(</w:t>
      </w:r>
      <w:r w:rsidRPr="00977573">
        <w:rPr>
          <w:i/>
        </w:rPr>
        <w:t>supra</w:t>
      </w:r>
      <w:r w:rsidRPr="00977573">
        <w:t xml:space="preserve"> párr</w:t>
      </w:r>
      <w:r w:rsidRPr="000502E8">
        <w:t xml:space="preserve">. </w:t>
      </w:r>
      <w:r w:rsidR="00D14745" w:rsidRPr="000502E8">
        <w:t>11</w:t>
      </w:r>
      <w:r w:rsidRPr="000502E8">
        <w:t>).</w:t>
      </w:r>
      <w:r w:rsidRPr="00977573">
        <w:t xml:space="preserve"> </w:t>
      </w:r>
      <w:r w:rsidR="00A2101D" w:rsidRPr="00977573">
        <w:t>El 2</w:t>
      </w:r>
      <w:r w:rsidR="00E213AA">
        <w:t>6 y 2</w:t>
      </w:r>
      <w:r w:rsidR="00A2101D" w:rsidRPr="00977573">
        <w:t>7 de abril de 2021 la presunta víctima</w:t>
      </w:r>
      <w:r w:rsidR="00E213AA">
        <w:t xml:space="preserve"> y el Estado, respectivamente,</w:t>
      </w:r>
      <w:r w:rsidR="00A2101D" w:rsidRPr="00977573">
        <w:t xml:space="preserve"> </w:t>
      </w:r>
      <w:r w:rsidRPr="00977573">
        <w:t>presentaron observaciones a estos documentos</w:t>
      </w:r>
      <w:r w:rsidR="00FB069B" w:rsidRPr="00977573">
        <w:t xml:space="preserve"> y la presunta víctima presentó un documento anexo</w:t>
      </w:r>
      <w:r w:rsidR="00FB069B" w:rsidRPr="00977573">
        <w:rPr>
          <w:rStyle w:val="Refdenotaalpie"/>
          <w:sz w:val="20"/>
          <w:lang w:val="es-CO"/>
        </w:rPr>
        <w:footnoteReference w:id="15"/>
      </w:r>
      <w:r w:rsidRPr="00977573">
        <w:t>.</w:t>
      </w:r>
      <w:r w:rsidR="00A2101D" w:rsidRPr="00977573">
        <w:t xml:space="preserve"> El Estado alegó que </w:t>
      </w:r>
      <w:r w:rsidR="00D46920" w:rsidRPr="00977573">
        <w:t>los anexos a los alegatos finales</w:t>
      </w:r>
      <w:r w:rsidR="004F3FFF" w:rsidRPr="00977573">
        <w:t xml:space="preserve"> escritos</w:t>
      </w:r>
      <w:r w:rsidR="00D46920" w:rsidRPr="00977573">
        <w:t xml:space="preserve"> de la presunta víctima fueron remitidos de forma extemporánea y que</w:t>
      </w:r>
      <w:r w:rsidR="004F05DC" w:rsidRPr="00977573">
        <w:t>,</w:t>
      </w:r>
      <w:r w:rsidR="00D46920" w:rsidRPr="00977573">
        <w:t xml:space="preserve"> </w:t>
      </w:r>
      <w:r w:rsidR="00913DA7" w:rsidRPr="00977573">
        <w:t>en este caso</w:t>
      </w:r>
      <w:r w:rsidR="004F05DC" w:rsidRPr="00977573">
        <w:t>,</w:t>
      </w:r>
      <w:r w:rsidR="00D46920" w:rsidRPr="00977573">
        <w:t xml:space="preserve"> no se configura ninguna de las excepciones previstas en el artículo 57.2 del Reglamento de la Corte</w:t>
      </w:r>
      <w:r w:rsidR="00416AAE" w:rsidRPr="00977573">
        <w:t>, por esa</w:t>
      </w:r>
      <w:r w:rsidR="00D46920" w:rsidRPr="00977573">
        <w:t xml:space="preserve"> razón, solicitó que se declaren inadmisibles.</w:t>
      </w:r>
      <w:r w:rsidR="00416AAE" w:rsidRPr="00977573">
        <w:t xml:space="preserve"> La presunta víctima presentó observaciones generales a los documentos ofrecidos por el Estado</w:t>
      </w:r>
      <w:r w:rsidR="004F3FFF" w:rsidRPr="00977573">
        <w:t>,</w:t>
      </w:r>
      <w:r w:rsidR="004F05DC" w:rsidRPr="00977573">
        <w:t xml:space="preserve"> y la</w:t>
      </w:r>
      <w:r w:rsidR="00A2101D" w:rsidRPr="00977573">
        <w:t xml:space="preserve"> Comisión Interamericana</w:t>
      </w:r>
      <w:r w:rsidR="004F3FFF" w:rsidRPr="00977573">
        <w:t xml:space="preserve">, por su parte, </w:t>
      </w:r>
      <w:r w:rsidR="00A2101D" w:rsidRPr="00977573">
        <w:t xml:space="preserve">indicó no tener observaciones a los documentos aportados por las partes. </w:t>
      </w:r>
      <w:r w:rsidRPr="00977573">
        <w:t>La Corte constata que</w:t>
      </w:r>
      <w:r w:rsidR="00416AAE" w:rsidRPr="00977573">
        <w:t xml:space="preserve"> los documentos anexos a los alegatos finales </w:t>
      </w:r>
      <w:r w:rsidR="00886994" w:rsidRPr="00977573">
        <w:t>escritos d</w:t>
      </w:r>
      <w:r w:rsidR="00416AAE" w:rsidRPr="00977573">
        <w:t xml:space="preserve">el Estado y la presunta víctima </w:t>
      </w:r>
      <w:r w:rsidR="00FB069B" w:rsidRPr="00977573">
        <w:t xml:space="preserve">y el documento anexo a las observaciones de la presunta víctima </w:t>
      </w:r>
      <w:r w:rsidR="00416AAE" w:rsidRPr="00977573">
        <w:t>no fueron ofrecidos en la oportunidad procesal oportuna</w:t>
      </w:r>
      <w:r w:rsidR="00D46B42" w:rsidRPr="00977573">
        <w:t xml:space="preserve"> y que</w:t>
      </w:r>
      <w:r w:rsidR="007312FD" w:rsidRPr="00977573">
        <w:t>,</w:t>
      </w:r>
      <w:r w:rsidR="00D46B42" w:rsidRPr="00977573">
        <w:t xml:space="preserve"> en este caso</w:t>
      </w:r>
      <w:r w:rsidR="00B60F22" w:rsidRPr="00977573">
        <w:t>,</w:t>
      </w:r>
      <w:r w:rsidR="00D46B42" w:rsidRPr="00977573">
        <w:t xml:space="preserve"> no se configura ninguna de las excepciones definidas en el reglamento para la admisión extemporánea de </w:t>
      </w:r>
      <w:r w:rsidR="00430109" w:rsidRPr="00977573">
        <w:t>la prueba</w:t>
      </w:r>
      <w:r w:rsidR="00B60F22" w:rsidRPr="00977573">
        <w:t>. P</w:t>
      </w:r>
      <w:r w:rsidR="00416AAE" w:rsidRPr="00977573">
        <w:t>or esa razón</w:t>
      </w:r>
      <w:r w:rsidR="00430109" w:rsidRPr="00977573">
        <w:t>,</w:t>
      </w:r>
      <w:r w:rsidR="00416AAE" w:rsidRPr="00977573">
        <w:t xml:space="preserve"> </w:t>
      </w:r>
      <w:r w:rsidR="00D46B42" w:rsidRPr="00977573">
        <w:t xml:space="preserve">dichos documentos </w:t>
      </w:r>
      <w:r w:rsidR="00416AAE" w:rsidRPr="00977573">
        <w:t xml:space="preserve">no serán admitidos. </w:t>
      </w:r>
    </w:p>
    <w:p w14:paraId="56CE5B7D" w14:textId="77777777" w:rsidR="004B18EB" w:rsidRPr="00977573" w:rsidRDefault="004B18EB" w:rsidP="000F3BE2">
      <w:pPr>
        <w:rPr>
          <w:rFonts w:ascii="Verdana" w:hAnsi="Verdana"/>
          <w:sz w:val="20"/>
          <w:szCs w:val="20"/>
          <w:lang w:val="es-CO" w:eastAsia="es-MX"/>
        </w:rPr>
      </w:pPr>
    </w:p>
    <w:p w14:paraId="4598A7EC" w14:textId="77777777" w:rsidR="004B18EB" w:rsidRPr="009167EE" w:rsidRDefault="004B18EB" w:rsidP="000F3BE2">
      <w:pPr>
        <w:pStyle w:val="PrrafodeSentencia"/>
        <w:spacing w:line="240" w:lineRule="auto"/>
      </w:pPr>
      <w:r w:rsidRPr="009167EE">
        <w:t>El 18 de marzo</w:t>
      </w:r>
      <w:r w:rsidR="00D14745" w:rsidRPr="009167EE">
        <w:t xml:space="preserve"> </w:t>
      </w:r>
      <w:r w:rsidR="00416AAE" w:rsidRPr="009167EE">
        <w:t xml:space="preserve">y el 22 de abril </w:t>
      </w:r>
      <w:r w:rsidR="00D14745" w:rsidRPr="009167EE">
        <w:t>de 2021</w:t>
      </w:r>
      <w:r w:rsidRPr="009167EE">
        <w:t xml:space="preserve"> se solicitó al Estado el envío de documentación para mejor resolver. El Estado, mediante escrito</w:t>
      </w:r>
      <w:r w:rsidR="00467FD3" w:rsidRPr="009167EE">
        <w:t>s</w:t>
      </w:r>
      <w:r w:rsidRPr="009167EE">
        <w:t xml:space="preserve"> radicado</w:t>
      </w:r>
      <w:r w:rsidR="00467FD3" w:rsidRPr="009167EE">
        <w:t>s</w:t>
      </w:r>
      <w:r w:rsidRPr="009167EE">
        <w:t xml:space="preserve"> en la Secretaría de la Corte el </w:t>
      </w:r>
      <w:r w:rsidR="002571DD" w:rsidRPr="009167EE">
        <w:t>24</w:t>
      </w:r>
      <w:r w:rsidRPr="009167EE">
        <w:t xml:space="preserve"> de </w:t>
      </w:r>
      <w:r w:rsidR="002571DD" w:rsidRPr="009167EE">
        <w:t>marzo</w:t>
      </w:r>
      <w:r w:rsidR="008C6D52" w:rsidRPr="009167EE">
        <w:t>,</w:t>
      </w:r>
      <w:r w:rsidR="00467FD3" w:rsidRPr="009167EE">
        <w:t xml:space="preserve"> el 12</w:t>
      </w:r>
      <w:r w:rsidR="009167EE">
        <w:t xml:space="preserve"> </w:t>
      </w:r>
      <w:r w:rsidR="00467FD3" w:rsidRPr="009167EE">
        <w:t xml:space="preserve">de abril </w:t>
      </w:r>
      <w:r w:rsidR="008C6D52" w:rsidRPr="009167EE">
        <w:t xml:space="preserve">y el 4 de mayo </w:t>
      </w:r>
      <w:r w:rsidRPr="009167EE">
        <w:t>siguiente</w:t>
      </w:r>
      <w:r w:rsidR="00467FD3" w:rsidRPr="009167EE">
        <w:t>s</w:t>
      </w:r>
      <w:r w:rsidRPr="009167EE">
        <w:t>, rem</w:t>
      </w:r>
      <w:r w:rsidR="00E52580" w:rsidRPr="009167EE">
        <w:t xml:space="preserve">itió </w:t>
      </w:r>
      <w:r w:rsidR="0009585A" w:rsidRPr="009167EE">
        <w:t>la información solicitada</w:t>
      </w:r>
      <w:r w:rsidR="00DF6A51" w:rsidRPr="009167EE">
        <w:t xml:space="preserve">, la cual </w:t>
      </w:r>
      <w:r w:rsidR="00DF6A51" w:rsidRPr="009167EE">
        <w:rPr>
          <w:rStyle w:val="None"/>
        </w:rPr>
        <w:t>fue puesta en conocimiento de la presunta víctima y de la Comisión</w:t>
      </w:r>
      <w:r w:rsidR="000502E8">
        <w:rPr>
          <w:rStyle w:val="None"/>
        </w:rPr>
        <w:t xml:space="preserve"> Interamericana</w:t>
      </w:r>
      <w:r w:rsidR="00DF6A51" w:rsidRPr="009167EE">
        <w:rPr>
          <w:rStyle w:val="None"/>
        </w:rPr>
        <w:t xml:space="preserve">, quienes </w:t>
      </w:r>
      <w:r w:rsidR="00D558DE" w:rsidRPr="009167EE">
        <w:rPr>
          <w:rStyle w:val="None"/>
        </w:rPr>
        <w:t>tuvieron oportunidad de presentar</w:t>
      </w:r>
      <w:r w:rsidR="00DF6A51" w:rsidRPr="009167EE">
        <w:rPr>
          <w:rStyle w:val="None"/>
        </w:rPr>
        <w:t xml:space="preserve"> observaciones </w:t>
      </w:r>
      <w:r w:rsidR="00DF6A51" w:rsidRPr="009167EE">
        <w:t>(</w:t>
      </w:r>
      <w:r w:rsidR="00DF6A51" w:rsidRPr="009167EE">
        <w:rPr>
          <w:i/>
        </w:rPr>
        <w:t>supra</w:t>
      </w:r>
      <w:r w:rsidR="00DF6A51" w:rsidRPr="009167EE">
        <w:t xml:space="preserve"> párr. 10)</w:t>
      </w:r>
      <w:r w:rsidR="00DF6A51" w:rsidRPr="009167EE">
        <w:rPr>
          <w:rStyle w:val="None"/>
        </w:rPr>
        <w:t>.</w:t>
      </w:r>
      <w:r w:rsidRPr="009167EE">
        <w:rPr>
          <w:rStyle w:val="None"/>
        </w:rPr>
        <w:t xml:space="preserve"> </w:t>
      </w:r>
      <w:r w:rsidRPr="009167EE">
        <w:t>Estos documentos se incorpora</w:t>
      </w:r>
      <w:r w:rsidR="00041A9E" w:rsidRPr="009167EE">
        <w:t>ro</w:t>
      </w:r>
      <w:r w:rsidRPr="009167EE">
        <w:t>n al acer</w:t>
      </w:r>
      <w:r w:rsidR="00E722C6" w:rsidRPr="009167EE">
        <w:t>v</w:t>
      </w:r>
      <w:r w:rsidR="009167EE" w:rsidRPr="009167EE">
        <w:t>o probatorio.</w:t>
      </w:r>
      <w:r w:rsidR="00E722C6" w:rsidRPr="009167EE">
        <w:t xml:space="preserve"> </w:t>
      </w:r>
    </w:p>
    <w:p w14:paraId="0C6ED697" w14:textId="77777777" w:rsidR="0003198F" w:rsidRPr="00977573" w:rsidRDefault="0003198F" w:rsidP="000F3BE2">
      <w:pPr>
        <w:pStyle w:val="Prrafodelista"/>
        <w:snapToGrid w:val="0"/>
        <w:rPr>
          <w:rStyle w:val="None"/>
          <w:lang w:val="es-CO"/>
        </w:rPr>
      </w:pPr>
    </w:p>
    <w:p w14:paraId="132B07C5" w14:textId="77777777" w:rsidR="0003198F" w:rsidRPr="00977573" w:rsidRDefault="0003198F" w:rsidP="000F3BE2">
      <w:pPr>
        <w:pStyle w:val="Ttulo2"/>
        <w:spacing w:line="240" w:lineRule="auto"/>
      </w:pPr>
      <w:bookmarkStart w:id="57" w:name="_Toc472608941"/>
      <w:bookmarkStart w:id="58" w:name="_Toc469404496"/>
      <w:bookmarkStart w:id="59" w:name="_Toc468910258"/>
      <w:bookmarkStart w:id="60" w:name="_Toc468910032"/>
      <w:bookmarkStart w:id="61" w:name="_Toc359314426"/>
      <w:bookmarkStart w:id="62" w:name="_Toc361671576"/>
      <w:bookmarkStart w:id="63" w:name="_Toc361671996"/>
      <w:bookmarkStart w:id="64" w:name="_Toc361732793"/>
      <w:bookmarkStart w:id="65" w:name="_Toc361732836"/>
      <w:bookmarkStart w:id="66" w:name="_Toc362456867"/>
      <w:bookmarkStart w:id="67" w:name="_Toc365021396"/>
      <w:bookmarkStart w:id="68" w:name="_Toc404770061"/>
      <w:bookmarkStart w:id="69" w:name="_Toc369076782"/>
      <w:bookmarkStart w:id="70" w:name="_Toc369989374"/>
      <w:bookmarkStart w:id="71" w:name="_Toc369989461"/>
      <w:bookmarkStart w:id="72" w:name="_Toc369989742"/>
      <w:bookmarkStart w:id="73" w:name="_Toc416164800"/>
      <w:bookmarkStart w:id="74" w:name="_Toc460432994"/>
      <w:bookmarkStart w:id="75" w:name="_Toc460441925"/>
      <w:bookmarkStart w:id="76" w:name="_Toc464813919"/>
      <w:bookmarkStart w:id="77" w:name="_Toc506984098"/>
      <w:bookmarkStart w:id="78" w:name="_Toc40199325"/>
      <w:bookmarkStart w:id="79" w:name="_Toc43477611"/>
      <w:bookmarkStart w:id="80" w:name="_Toc44679179"/>
      <w:bookmarkStart w:id="81" w:name="_Toc74225367"/>
      <w:bookmarkStart w:id="82" w:name="_Toc69717860"/>
      <w:bookmarkEnd w:id="56"/>
      <w:r w:rsidRPr="00977573">
        <w:t>Admisibilidad de la prueba</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Pr="00977573">
        <w:t xml:space="preserve"> testimonial y pericial</w:t>
      </w:r>
      <w:bookmarkEnd w:id="78"/>
      <w:bookmarkEnd w:id="79"/>
      <w:bookmarkEnd w:id="80"/>
      <w:bookmarkEnd w:id="81"/>
      <w:r w:rsidR="00452C86" w:rsidRPr="00977573">
        <w:t xml:space="preserve"> </w:t>
      </w:r>
      <w:bookmarkEnd w:id="82"/>
    </w:p>
    <w:p w14:paraId="74D5CAC8" w14:textId="77777777" w:rsidR="0003198F" w:rsidRPr="00977573" w:rsidRDefault="0003198F" w:rsidP="000F3BE2">
      <w:pPr>
        <w:pStyle w:val="PrrafodeSentencia"/>
        <w:numPr>
          <w:ilvl w:val="0"/>
          <w:numId w:val="0"/>
        </w:numPr>
        <w:spacing w:line="240" w:lineRule="auto"/>
      </w:pPr>
    </w:p>
    <w:p w14:paraId="48D16007" w14:textId="77777777" w:rsidR="0011038B" w:rsidRPr="00977573" w:rsidRDefault="0003198F" w:rsidP="000F3BE2">
      <w:pPr>
        <w:pStyle w:val="PrrafodeSentencia"/>
        <w:spacing w:line="240" w:lineRule="auto"/>
        <w:rPr>
          <w:bCs/>
        </w:rPr>
      </w:pPr>
      <w:r w:rsidRPr="00977573">
        <w:t xml:space="preserve">La Corte recibió </w:t>
      </w:r>
      <w:r w:rsidR="00E87F40" w:rsidRPr="00977573">
        <w:t xml:space="preserve">una </w:t>
      </w:r>
      <w:r w:rsidRPr="00977573">
        <w:t>declaraci</w:t>
      </w:r>
      <w:r w:rsidR="00E87F40" w:rsidRPr="00977573">
        <w:t xml:space="preserve">ón </w:t>
      </w:r>
      <w:r w:rsidR="002A5279" w:rsidRPr="00977573">
        <w:t>testimonial</w:t>
      </w:r>
      <w:r w:rsidR="00E87F40" w:rsidRPr="00977573">
        <w:t>, rendida</w:t>
      </w:r>
      <w:r w:rsidR="00DA23DA">
        <w:t xml:space="preserve"> ante fedatario público</w:t>
      </w:r>
      <w:r w:rsidR="002A5279" w:rsidRPr="00977573">
        <w:rPr>
          <w:rStyle w:val="Refdenotaalpie"/>
          <w:sz w:val="20"/>
          <w:lang w:val="es-CO"/>
        </w:rPr>
        <w:footnoteReference w:id="16"/>
      </w:r>
      <w:r w:rsidRPr="00977573">
        <w:t xml:space="preserve">, </w:t>
      </w:r>
      <w:r w:rsidR="00E87F40" w:rsidRPr="00977573">
        <w:t>por</w:t>
      </w:r>
      <w:r w:rsidRPr="00977573">
        <w:t xml:space="preserve"> </w:t>
      </w:r>
      <w:r w:rsidR="00E87F40" w:rsidRPr="00977573">
        <w:t>Jaime Gómez Valverde</w:t>
      </w:r>
      <w:r w:rsidR="0011038B" w:rsidRPr="00977573">
        <w:t xml:space="preserve">. </w:t>
      </w:r>
      <w:r w:rsidR="004F7705" w:rsidRPr="00977573">
        <w:t xml:space="preserve">Esta declaración es admitida </w:t>
      </w:r>
      <w:r w:rsidR="004F7705" w:rsidRPr="00977573">
        <w:rPr>
          <w:rStyle w:val="None"/>
        </w:rPr>
        <w:t xml:space="preserve">en cuanto se ajusta al objeto definido por la </w:t>
      </w:r>
      <w:r w:rsidR="00E87F40" w:rsidRPr="00977573">
        <w:rPr>
          <w:rStyle w:val="None"/>
        </w:rPr>
        <w:t>Resolución que ordenó recibirla</w:t>
      </w:r>
      <w:r w:rsidR="004F7705" w:rsidRPr="00977573">
        <w:rPr>
          <w:rStyle w:val="None"/>
        </w:rPr>
        <w:t xml:space="preserve"> y al objeto del presente caso.</w:t>
      </w:r>
      <w:r w:rsidR="004F7705" w:rsidRPr="00977573">
        <w:t xml:space="preserve"> En </w:t>
      </w:r>
      <w:r w:rsidR="00A14659" w:rsidRPr="00977573">
        <w:t>cuanto a</w:t>
      </w:r>
      <w:r w:rsidR="004F7705" w:rsidRPr="00977573">
        <w:t xml:space="preserve"> las declaraciones periciales de </w:t>
      </w:r>
      <w:r w:rsidR="00E87F40" w:rsidRPr="00977573">
        <w:t>Tania Zúñiga</w:t>
      </w:r>
      <w:r w:rsidR="004F7705" w:rsidRPr="00977573">
        <w:t xml:space="preserve"> y </w:t>
      </w:r>
      <w:r w:rsidR="00E87F40" w:rsidRPr="00977573">
        <w:t>Hernán Víctor Gullco</w:t>
      </w:r>
      <w:r w:rsidR="00A14659" w:rsidRPr="00977573">
        <w:t>,</w:t>
      </w:r>
      <w:r w:rsidR="004F7705" w:rsidRPr="00977573">
        <w:t xml:space="preserve"> se advierte que no fueron rendidas ante fedatario público</w:t>
      </w:r>
      <w:r w:rsidR="0011038B" w:rsidRPr="00977573">
        <w:t xml:space="preserve"> </w:t>
      </w:r>
      <w:r w:rsidR="00A14659" w:rsidRPr="00977573">
        <w:t>y que,</w:t>
      </w:r>
      <w:r w:rsidR="004F7705" w:rsidRPr="00977573">
        <w:t xml:space="preserve"> en su lugar,</w:t>
      </w:r>
      <w:r w:rsidR="00D00E30" w:rsidRPr="00977573">
        <w:t xml:space="preserve"> cada uno de</w:t>
      </w:r>
      <w:r w:rsidR="004F7705" w:rsidRPr="00977573">
        <w:t xml:space="preserve"> los peritos </w:t>
      </w:r>
      <w:r w:rsidR="00D00E30" w:rsidRPr="00977573">
        <w:t>remitió un video</w:t>
      </w:r>
      <w:r w:rsidR="004F7705" w:rsidRPr="00977573">
        <w:t xml:space="preserve"> </w:t>
      </w:r>
      <w:r w:rsidR="00FB501B" w:rsidRPr="00977573">
        <w:t>certifica</w:t>
      </w:r>
      <w:r w:rsidR="0011038B" w:rsidRPr="00977573">
        <w:t>ndo</w:t>
      </w:r>
      <w:r w:rsidR="00313760" w:rsidRPr="00977573">
        <w:t xml:space="preserve"> la elaboración del peritaje</w:t>
      </w:r>
      <w:r w:rsidR="004F7705" w:rsidRPr="00977573">
        <w:t xml:space="preserve"> </w:t>
      </w:r>
      <w:r w:rsidR="00313760" w:rsidRPr="00977573">
        <w:t xml:space="preserve">e </w:t>
      </w:r>
      <w:r w:rsidR="005626D3" w:rsidRPr="00977573">
        <w:t>indicando</w:t>
      </w:r>
      <w:r w:rsidR="004F7705" w:rsidRPr="00977573">
        <w:t xml:space="preserve"> que no </w:t>
      </w:r>
      <w:r w:rsidR="00313760" w:rsidRPr="00977573">
        <w:t xml:space="preserve">fue posible </w:t>
      </w:r>
      <w:r w:rsidR="004F7705" w:rsidRPr="00977573">
        <w:t>rendir</w:t>
      </w:r>
      <w:r w:rsidR="00467FD3" w:rsidRPr="00977573">
        <w:t>lo</w:t>
      </w:r>
      <w:r w:rsidR="004F7705" w:rsidRPr="00977573">
        <w:t xml:space="preserve"> </w:t>
      </w:r>
      <w:r w:rsidR="00DA23DA">
        <w:t>mediante affidávit</w:t>
      </w:r>
      <w:r w:rsidR="004F7705" w:rsidRPr="00977573">
        <w:t xml:space="preserve"> debido a dificultades derivadas de la pandemia por </w:t>
      </w:r>
      <w:r w:rsidR="00313760" w:rsidRPr="00977573">
        <w:t xml:space="preserve">la </w:t>
      </w:r>
      <w:r w:rsidR="004F7705" w:rsidRPr="00977573">
        <w:t xml:space="preserve">propagación del </w:t>
      </w:r>
      <w:r w:rsidR="00313760" w:rsidRPr="00977573">
        <w:t>COVID-19</w:t>
      </w:r>
      <w:r w:rsidR="002A5279" w:rsidRPr="00977573">
        <w:rPr>
          <w:rStyle w:val="Refdenotaalpie"/>
          <w:sz w:val="18"/>
          <w:lang w:val="es-CO"/>
        </w:rPr>
        <w:footnoteReference w:id="17"/>
      </w:r>
      <w:r w:rsidR="004F7705" w:rsidRPr="00977573">
        <w:t xml:space="preserve">. </w:t>
      </w:r>
      <w:r w:rsidR="009F1C41" w:rsidRPr="00977573">
        <w:t>La C</w:t>
      </w:r>
      <w:r w:rsidR="0062709B" w:rsidRPr="00977573">
        <w:t xml:space="preserve">orte </w:t>
      </w:r>
      <w:r w:rsidR="00FB501B" w:rsidRPr="00977573">
        <w:t>hace notar</w:t>
      </w:r>
      <w:r w:rsidR="0062709B" w:rsidRPr="00977573">
        <w:t xml:space="preserve"> que la señora Zuñiga y el señor Gullco</w:t>
      </w:r>
      <w:r w:rsidR="0011038B" w:rsidRPr="00977573">
        <w:t xml:space="preserve"> debían haber comunicado, antes de la</w:t>
      </w:r>
      <w:r w:rsidR="00A0079C" w:rsidRPr="00977573">
        <w:t xml:space="preserve"> </w:t>
      </w:r>
      <w:r w:rsidR="00A0079C" w:rsidRPr="00977573">
        <w:rPr>
          <w:bCs/>
        </w:rPr>
        <w:t>realización y remisión de los</w:t>
      </w:r>
      <w:r w:rsidR="00A0079C" w:rsidRPr="00977573">
        <w:t xml:space="preserve"> </w:t>
      </w:r>
      <w:r w:rsidR="0011038B" w:rsidRPr="00977573">
        <w:t>respectivos peritajes, las dificultades relacionadas con su comparecencia</w:t>
      </w:r>
      <w:r w:rsidR="0062709B" w:rsidRPr="00977573">
        <w:t xml:space="preserve"> </w:t>
      </w:r>
      <w:r w:rsidR="0011038B" w:rsidRPr="00977573">
        <w:t>ante un fedatario público</w:t>
      </w:r>
      <w:r w:rsidR="00A0079C" w:rsidRPr="00977573">
        <w:t xml:space="preserve">, </w:t>
      </w:r>
      <w:r w:rsidR="00A0079C" w:rsidRPr="00977573">
        <w:rPr>
          <w:bCs/>
        </w:rPr>
        <w:t>de suerte que la Corte pudiese resolver sobre el particular</w:t>
      </w:r>
      <w:r w:rsidR="0011038B" w:rsidRPr="00977573">
        <w:t xml:space="preserve">. Por esa razón considerará dichas declaraciones, </w:t>
      </w:r>
      <w:r w:rsidR="00A0079C" w:rsidRPr="00977573">
        <w:rPr>
          <w:bCs/>
        </w:rPr>
        <w:t>únicamente</w:t>
      </w:r>
      <w:r w:rsidR="00A0079C" w:rsidRPr="00977573">
        <w:t xml:space="preserve"> </w:t>
      </w:r>
      <w:r w:rsidR="0011038B" w:rsidRPr="00977573">
        <w:t>en la medida en que</w:t>
      </w:r>
      <w:r w:rsidR="00BD43CE" w:rsidRPr="00977573">
        <w:rPr>
          <w:bCs/>
        </w:rPr>
        <w:t xml:space="preserve"> concurran, junto a otros medios de prueba, a la confirmación en autos de</w:t>
      </w:r>
      <w:r w:rsidR="0011038B" w:rsidRPr="00977573">
        <w:t xml:space="preserve"> un hecho o situación</w:t>
      </w:r>
      <w:r w:rsidR="0011038B" w:rsidRPr="00977573">
        <w:rPr>
          <w:bCs/>
        </w:rPr>
        <w:t xml:space="preserve">. </w:t>
      </w:r>
    </w:p>
    <w:p w14:paraId="235DD2AC" w14:textId="77777777" w:rsidR="004A4F45" w:rsidRPr="00977573" w:rsidRDefault="004A4F45" w:rsidP="000F3BE2">
      <w:pPr>
        <w:pStyle w:val="Prrafodelista"/>
        <w:autoSpaceDE w:val="0"/>
        <w:autoSpaceDN w:val="0"/>
        <w:adjustRightInd w:val="0"/>
        <w:ind w:left="0"/>
        <w:rPr>
          <w:lang w:val="es-CO"/>
        </w:rPr>
      </w:pPr>
    </w:p>
    <w:p w14:paraId="6167DA10" w14:textId="77777777" w:rsidR="0003198F" w:rsidRPr="00977573" w:rsidRDefault="0003198F" w:rsidP="000F3BE2">
      <w:pPr>
        <w:pStyle w:val="Ttulo1"/>
        <w:rPr>
          <w:rStyle w:val="None"/>
          <w:rFonts w:ascii="Verdana" w:hAnsi="Verdana"/>
          <w:sz w:val="20"/>
          <w:szCs w:val="20"/>
          <w:lang w:val="es-CO"/>
        </w:rPr>
      </w:pPr>
      <w:bookmarkStart w:id="83" w:name="_Toc40199326"/>
      <w:bookmarkStart w:id="84" w:name="_Toc43477612"/>
      <w:bookmarkStart w:id="85" w:name="_Toc44679180"/>
      <w:bookmarkStart w:id="86" w:name="_Toc69717861"/>
      <w:bookmarkStart w:id="87" w:name="_Toc74225368"/>
      <w:r w:rsidRPr="00977573">
        <w:rPr>
          <w:rStyle w:val="None"/>
          <w:rFonts w:ascii="Verdana" w:hAnsi="Verdana"/>
          <w:sz w:val="20"/>
          <w:szCs w:val="20"/>
          <w:lang w:val="es-CO"/>
        </w:rPr>
        <w:t>VI</w:t>
      </w:r>
      <w:r w:rsidRPr="00977573">
        <w:rPr>
          <w:rStyle w:val="None"/>
          <w:rFonts w:ascii="Verdana" w:hAnsi="Verdana"/>
          <w:sz w:val="20"/>
          <w:szCs w:val="20"/>
          <w:lang w:val="es-CO"/>
        </w:rPr>
        <w:br/>
        <w:t>HECHOS</w:t>
      </w:r>
      <w:bookmarkEnd w:id="83"/>
      <w:bookmarkEnd w:id="84"/>
      <w:bookmarkEnd w:id="85"/>
      <w:bookmarkEnd w:id="86"/>
      <w:bookmarkEnd w:id="87"/>
    </w:p>
    <w:p w14:paraId="68257FE3" w14:textId="77777777" w:rsidR="00313760" w:rsidRPr="00977573" w:rsidRDefault="00313760" w:rsidP="000F3BE2">
      <w:pPr>
        <w:rPr>
          <w:rFonts w:ascii="Verdana" w:hAnsi="Verdana"/>
          <w:sz w:val="20"/>
          <w:szCs w:val="20"/>
          <w:lang w:val="es-CO"/>
        </w:rPr>
      </w:pPr>
    </w:p>
    <w:p w14:paraId="01A80CC6" w14:textId="407E596F" w:rsidR="0003198F" w:rsidRPr="00977573" w:rsidRDefault="00B733A3" w:rsidP="000F3BE2">
      <w:pPr>
        <w:pStyle w:val="PrrafodeSentencia"/>
        <w:spacing w:line="240" w:lineRule="auto"/>
      </w:pPr>
      <w:r w:rsidRPr="00977573">
        <w:t>A</w:t>
      </w:r>
      <w:r w:rsidR="0003198F" w:rsidRPr="00977573">
        <w:t xml:space="preserve"> continuación, se presentarán los hechos del presente caso en el siguiente orden: A) Marco normativo </w:t>
      </w:r>
      <w:r w:rsidR="00AE31D1">
        <w:t xml:space="preserve">nacional </w:t>
      </w:r>
      <w:r w:rsidR="0003198F" w:rsidRPr="00977573">
        <w:t>relevante; B) Sobre la señora Moya Solís y su pro</w:t>
      </w:r>
      <w:r w:rsidR="00B815DA" w:rsidRPr="00977573">
        <w:t>ceso de ratificación; y C) Recursos</w:t>
      </w:r>
      <w:r w:rsidR="0003198F" w:rsidRPr="00977573">
        <w:t xml:space="preserve"> interpuestos por la señora Moya Solís. </w:t>
      </w:r>
    </w:p>
    <w:p w14:paraId="26FEAB39" w14:textId="77777777" w:rsidR="0003198F" w:rsidRPr="00977573" w:rsidRDefault="0003198F" w:rsidP="000F3BE2">
      <w:pPr>
        <w:rPr>
          <w:rFonts w:ascii="Verdana" w:hAnsi="Verdana"/>
          <w:sz w:val="20"/>
          <w:szCs w:val="20"/>
          <w:lang w:val="es-CO" w:eastAsia="es-MX"/>
        </w:rPr>
      </w:pPr>
    </w:p>
    <w:p w14:paraId="12FB7264" w14:textId="77777777" w:rsidR="0003198F" w:rsidRPr="00977573" w:rsidRDefault="0003198F" w:rsidP="000F3BE2">
      <w:pPr>
        <w:pStyle w:val="Ttulo2"/>
        <w:numPr>
          <w:ilvl w:val="0"/>
          <w:numId w:val="24"/>
        </w:numPr>
        <w:spacing w:line="240" w:lineRule="auto"/>
      </w:pPr>
      <w:bookmarkStart w:id="88" w:name="_Toc69717862"/>
      <w:bookmarkStart w:id="89" w:name="_Toc74225369"/>
      <w:r w:rsidRPr="00977573">
        <w:t xml:space="preserve">Marco normativo </w:t>
      </w:r>
      <w:r w:rsidR="00B65510" w:rsidRPr="00977573">
        <w:t xml:space="preserve">nacional </w:t>
      </w:r>
      <w:r w:rsidRPr="00977573">
        <w:t>relevante</w:t>
      </w:r>
      <w:bookmarkEnd w:id="88"/>
      <w:bookmarkEnd w:id="89"/>
    </w:p>
    <w:p w14:paraId="53602CA6" w14:textId="77777777" w:rsidR="0003198F" w:rsidRPr="00977573" w:rsidRDefault="0003198F" w:rsidP="000F3BE2">
      <w:pPr>
        <w:pStyle w:val="Sinespaciado"/>
        <w:rPr>
          <w:lang w:val="es-CO"/>
        </w:rPr>
      </w:pPr>
    </w:p>
    <w:p w14:paraId="2B9DB4FC" w14:textId="77777777" w:rsidR="0003198F" w:rsidRPr="00977573" w:rsidRDefault="0003198F" w:rsidP="000F3BE2">
      <w:pPr>
        <w:pStyle w:val="PrrafodeSentencia"/>
        <w:spacing w:line="240" w:lineRule="auto"/>
      </w:pPr>
      <w:r w:rsidRPr="00977573">
        <w:t xml:space="preserve">El marco jurídico </w:t>
      </w:r>
      <w:r w:rsidR="00B65510" w:rsidRPr="00977573">
        <w:t xml:space="preserve">nacional </w:t>
      </w:r>
      <w:r w:rsidRPr="00977573">
        <w:t>relevante para este caso</w:t>
      </w:r>
      <w:r w:rsidR="00B65510" w:rsidRPr="00977573">
        <w:t>,</w:t>
      </w:r>
      <w:r w:rsidRPr="00977573">
        <w:t xml:space="preserve"> está compuesto por las Leyes N° 23344 de 1981 y N° 23369 de 1981 y por el Decreto Supremo N°003-82-JUS. El artículo 5 de la Ley N° 23344 establecía:</w:t>
      </w:r>
    </w:p>
    <w:p w14:paraId="5C34ED14" w14:textId="77777777" w:rsidR="0003198F" w:rsidRPr="00977573" w:rsidRDefault="0003198F" w:rsidP="000F3BE2">
      <w:pPr>
        <w:pStyle w:val="PrrafodeSentencia"/>
        <w:numPr>
          <w:ilvl w:val="0"/>
          <w:numId w:val="0"/>
        </w:numPr>
        <w:spacing w:line="240" w:lineRule="auto"/>
      </w:pPr>
    </w:p>
    <w:p w14:paraId="757807AE" w14:textId="77777777" w:rsidR="0003198F" w:rsidRPr="00DA23DA" w:rsidRDefault="0003198F" w:rsidP="000F3BE2">
      <w:pPr>
        <w:pStyle w:val="PrrafodeSentencia"/>
        <w:numPr>
          <w:ilvl w:val="0"/>
          <w:numId w:val="0"/>
        </w:numPr>
        <w:spacing w:line="240" w:lineRule="auto"/>
        <w:ind w:left="720" w:right="571"/>
        <w:rPr>
          <w:sz w:val="16"/>
        </w:rPr>
      </w:pPr>
      <w:r w:rsidRPr="00DA23DA">
        <w:rPr>
          <w:sz w:val="16"/>
        </w:rPr>
        <w:t>Artículo 5º. -  Los Secretarios de Juzgados serán ratificados cada tres años por la Corte Superior del Distrito Judicial correspondiente debiendo hacerse la primera ratificación dentro de los setenta días siguientes a la vigencia de la presente ley</w:t>
      </w:r>
      <w:r w:rsidRPr="00DA23DA">
        <w:rPr>
          <w:rStyle w:val="Refdenotaalpie"/>
          <w:lang w:val="es-CO"/>
        </w:rPr>
        <w:footnoteReference w:id="18"/>
      </w:r>
      <w:r w:rsidRPr="00DA23DA">
        <w:rPr>
          <w:sz w:val="16"/>
        </w:rPr>
        <w:t xml:space="preserve">. </w:t>
      </w:r>
    </w:p>
    <w:p w14:paraId="18CBA23D" w14:textId="77777777" w:rsidR="0003198F" w:rsidRPr="00977573" w:rsidRDefault="0003198F" w:rsidP="000F3BE2">
      <w:pPr>
        <w:pStyle w:val="PrrafodeSentencia"/>
        <w:numPr>
          <w:ilvl w:val="0"/>
          <w:numId w:val="0"/>
        </w:numPr>
        <w:spacing w:line="240" w:lineRule="auto"/>
      </w:pPr>
    </w:p>
    <w:p w14:paraId="571BB3BC" w14:textId="77777777" w:rsidR="0003198F" w:rsidRPr="00977573" w:rsidRDefault="0003198F" w:rsidP="000F3BE2">
      <w:pPr>
        <w:pStyle w:val="PrrafodeSentencia"/>
        <w:spacing w:line="240" w:lineRule="auto"/>
      </w:pPr>
      <w:r w:rsidRPr="00977573">
        <w:t>Por su parte, la Ley N° 23369 señalaba:</w:t>
      </w:r>
    </w:p>
    <w:p w14:paraId="5CCB0844" w14:textId="77777777" w:rsidR="0003198F" w:rsidRPr="00977573" w:rsidRDefault="0003198F" w:rsidP="000F3BE2">
      <w:pPr>
        <w:pStyle w:val="PrrafodeSentencia"/>
        <w:numPr>
          <w:ilvl w:val="0"/>
          <w:numId w:val="0"/>
        </w:numPr>
        <w:spacing w:line="240" w:lineRule="auto"/>
      </w:pPr>
    </w:p>
    <w:p w14:paraId="7408F1CA" w14:textId="77777777" w:rsidR="0003198F" w:rsidRPr="00DA23DA" w:rsidRDefault="0003198F" w:rsidP="000F3BE2">
      <w:pPr>
        <w:ind w:left="720" w:right="571"/>
        <w:jc w:val="both"/>
        <w:rPr>
          <w:rFonts w:ascii="Verdana" w:hAnsi="Verdana"/>
          <w:sz w:val="16"/>
          <w:lang w:val="es-CO"/>
        </w:rPr>
      </w:pPr>
      <w:r w:rsidRPr="00DA23DA">
        <w:rPr>
          <w:rFonts w:ascii="Verdana" w:hAnsi="Verdana"/>
          <w:sz w:val="16"/>
          <w:lang w:val="es-CO"/>
        </w:rPr>
        <w:t xml:space="preserve">Artículo 1º. – Concluida la ratificación de todos los Magistrados de la República, las Cortes Superiores de Justicia, procederán a ratificar a los Secretarios y Relatores de Corte, en el término de sesenta días de concluida la ratificación de los Magistrados. </w:t>
      </w:r>
    </w:p>
    <w:p w14:paraId="1630D177" w14:textId="77777777" w:rsidR="0003198F" w:rsidRPr="00DA23DA" w:rsidRDefault="0003198F" w:rsidP="000F3BE2">
      <w:pPr>
        <w:ind w:left="720" w:right="571"/>
        <w:jc w:val="both"/>
        <w:rPr>
          <w:rFonts w:ascii="Verdana" w:hAnsi="Verdana"/>
          <w:sz w:val="16"/>
          <w:lang w:val="es-CO"/>
        </w:rPr>
      </w:pPr>
    </w:p>
    <w:p w14:paraId="69E0781A" w14:textId="77777777" w:rsidR="0003198F" w:rsidRPr="00DA23DA" w:rsidRDefault="0003198F" w:rsidP="000F3BE2">
      <w:pPr>
        <w:ind w:left="720" w:right="571"/>
        <w:jc w:val="both"/>
        <w:rPr>
          <w:rFonts w:ascii="Verdana" w:hAnsi="Verdana"/>
          <w:sz w:val="16"/>
          <w:lang w:val="es-CO"/>
        </w:rPr>
      </w:pPr>
      <w:r w:rsidRPr="00DA23DA">
        <w:rPr>
          <w:rFonts w:ascii="Verdana" w:hAnsi="Verdana"/>
          <w:sz w:val="16"/>
          <w:lang w:val="es-CO"/>
        </w:rPr>
        <w:t>Asimismo, el Tribunal Agrario y el Tribunal Privativo de Trabajo procederán a ratificar a sus Secretarios y Relatores y a los Secretarios de sus respectivos Juzgados dentro del término señalado.</w:t>
      </w:r>
    </w:p>
    <w:p w14:paraId="636C6E49" w14:textId="77777777" w:rsidR="0003198F" w:rsidRPr="00DA23DA" w:rsidRDefault="0003198F" w:rsidP="000F3BE2">
      <w:pPr>
        <w:ind w:left="720" w:right="571"/>
        <w:jc w:val="both"/>
        <w:rPr>
          <w:rFonts w:ascii="Verdana" w:hAnsi="Verdana"/>
          <w:sz w:val="16"/>
          <w:lang w:val="es-CO"/>
        </w:rPr>
      </w:pPr>
    </w:p>
    <w:p w14:paraId="51CFD57D" w14:textId="77777777" w:rsidR="0003198F" w:rsidRPr="00DA23DA" w:rsidRDefault="0003198F" w:rsidP="000F3BE2">
      <w:pPr>
        <w:ind w:left="720" w:right="571"/>
        <w:jc w:val="both"/>
        <w:rPr>
          <w:rFonts w:ascii="Verdana" w:hAnsi="Verdana"/>
          <w:sz w:val="16"/>
          <w:lang w:val="es-CO"/>
        </w:rPr>
      </w:pPr>
      <w:r w:rsidRPr="00DA23DA">
        <w:rPr>
          <w:rFonts w:ascii="Verdana" w:hAnsi="Verdana"/>
          <w:sz w:val="16"/>
          <w:lang w:val="es-CO"/>
        </w:rPr>
        <w:t>Artículo 2º. – Los funcionarios que no fueran ratificados según el artículo precedente, podrán interponer recurso de revisión ante la Corte Suprema, dentro del décimo día de conocida la resolución, cuyo fallo tendrá carácter resolutorio y definitivo</w:t>
      </w:r>
      <w:r w:rsidRPr="00DA23DA">
        <w:rPr>
          <w:rStyle w:val="Refdenotaalpie"/>
          <w:color w:val="000000"/>
          <w:lang w:val="es-CO"/>
        </w:rPr>
        <w:footnoteReference w:id="19"/>
      </w:r>
      <w:r w:rsidRPr="00DA23DA">
        <w:rPr>
          <w:rFonts w:ascii="Verdana" w:hAnsi="Verdana"/>
          <w:sz w:val="16"/>
          <w:lang w:val="es-CO"/>
        </w:rPr>
        <w:t xml:space="preserve">. </w:t>
      </w:r>
    </w:p>
    <w:p w14:paraId="2D3DF6A0" w14:textId="77777777" w:rsidR="0003198F" w:rsidRPr="00977573" w:rsidRDefault="0003198F" w:rsidP="000F3BE2">
      <w:pPr>
        <w:pStyle w:val="PrrafodeSentencia"/>
        <w:numPr>
          <w:ilvl w:val="0"/>
          <w:numId w:val="0"/>
        </w:numPr>
        <w:spacing w:line="240" w:lineRule="auto"/>
      </w:pPr>
    </w:p>
    <w:p w14:paraId="3D2B2647" w14:textId="77777777" w:rsidR="0003198F" w:rsidRPr="00977573" w:rsidRDefault="0003198F" w:rsidP="000F3BE2">
      <w:pPr>
        <w:pStyle w:val="PrrafodeSentencia"/>
        <w:spacing w:line="240" w:lineRule="auto"/>
      </w:pPr>
      <w:r w:rsidRPr="00977573">
        <w:t>El Decreto Supremo N°003-82-JUS establecía el procedimiento para llevar a cabo el proceso de ratificación de los secretarios judiciales:</w:t>
      </w:r>
    </w:p>
    <w:p w14:paraId="3B683694" w14:textId="77777777" w:rsidR="0003198F" w:rsidRPr="00977573" w:rsidRDefault="0003198F" w:rsidP="000F3BE2">
      <w:pPr>
        <w:ind w:left="720"/>
        <w:jc w:val="both"/>
        <w:rPr>
          <w:rFonts w:ascii="Verdana" w:hAnsi="Verdana"/>
          <w:sz w:val="20"/>
          <w:szCs w:val="20"/>
          <w:lang w:val="es-CO" w:eastAsia="es-MX"/>
        </w:rPr>
      </w:pPr>
    </w:p>
    <w:p w14:paraId="28029BDE" w14:textId="77777777" w:rsidR="0003198F" w:rsidRPr="00DA23DA" w:rsidRDefault="0003198F" w:rsidP="000F3BE2">
      <w:pPr>
        <w:ind w:left="720" w:right="571"/>
        <w:jc w:val="both"/>
        <w:rPr>
          <w:rFonts w:ascii="Verdana" w:eastAsiaTheme="minorHAnsi" w:hAnsi="Verdana"/>
          <w:sz w:val="16"/>
          <w:lang w:val="es-CO"/>
        </w:rPr>
      </w:pPr>
      <w:r w:rsidRPr="00DA23DA">
        <w:rPr>
          <w:rFonts w:ascii="Verdana" w:hAnsi="Verdana"/>
          <w:sz w:val="16"/>
          <w:lang w:val="es-CO"/>
        </w:rPr>
        <w:t xml:space="preserve">Artículo 1º. - </w:t>
      </w:r>
      <w:r w:rsidRPr="00DA23DA">
        <w:rPr>
          <w:rFonts w:ascii="Verdana" w:eastAsiaTheme="minorHAnsi" w:hAnsi="Verdana"/>
          <w:sz w:val="16"/>
          <w:lang w:val="es-CO"/>
        </w:rPr>
        <w:t>Dentro de los cinco días siguientes a la publicación del presente Reglamento, el Presidente de la respectiva Corte Superior -o quien lo estuviere reemplazando en el cargo- designará una Comisión integrada por no más de siete de los Vocales menos antiguos, en el caso de Lima; de cinco, en los casos de El Callao, Cusco y Arequipa, y de tres, en los de las restantes Cortes Superiores de la República; y, entre ellos, al que la presidirá, para los efectos a que se refieren los artículos siguientes.</w:t>
      </w:r>
    </w:p>
    <w:p w14:paraId="07224DCC" w14:textId="77777777" w:rsidR="0003198F" w:rsidRPr="00DA23DA" w:rsidRDefault="0003198F" w:rsidP="000F3BE2">
      <w:pPr>
        <w:ind w:left="720" w:right="571"/>
        <w:jc w:val="both"/>
        <w:rPr>
          <w:rFonts w:ascii="Verdana" w:eastAsiaTheme="minorHAnsi" w:hAnsi="Verdana"/>
          <w:sz w:val="16"/>
          <w:lang w:val="es-CO"/>
        </w:rPr>
      </w:pPr>
    </w:p>
    <w:p w14:paraId="4A0F3CC9" w14:textId="77777777" w:rsidR="0003198F" w:rsidRPr="00DA23DA" w:rsidRDefault="0003198F" w:rsidP="000F3BE2">
      <w:pPr>
        <w:ind w:left="720" w:right="571"/>
        <w:jc w:val="both"/>
        <w:rPr>
          <w:rFonts w:ascii="Verdana" w:eastAsiaTheme="minorHAnsi" w:hAnsi="Verdana"/>
          <w:sz w:val="16"/>
          <w:lang w:val="es-CO"/>
        </w:rPr>
      </w:pPr>
      <w:r w:rsidRPr="00DA23DA">
        <w:rPr>
          <w:rFonts w:ascii="Verdana" w:eastAsiaTheme="minorHAnsi" w:hAnsi="Verdana"/>
          <w:sz w:val="16"/>
          <w:lang w:val="es-CO"/>
        </w:rPr>
        <w:t>Artículo 2º. – Los miembros de la referida Comisión se distribuirán la labor de manera que se constituyan en las oficinas de los Secretarios de los Juzgados de Primera Instancia en lo Civil, en lo Penal, de Menores, Coactivos y de Paz Letrados del distrito judicial respectivo. Al constituirse, el Vocal Comisionado procederá a:</w:t>
      </w:r>
    </w:p>
    <w:p w14:paraId="459BD545" w14:textId="77777777" w:rsidR="0003198F" w:rsidRPr="00DA23DA" w:rsidRDefault="0003198F" w:rsidP="000F3BE2">
      <w:pPr>
        <w:ind w:left="720" w:right="571"/>
        <w:jc w:val="both"/>
        <w:rPr>
          <w:rFonts w:ascii="Verdana" w:eastAsiaTheme="minorHAnsi" w:hAnsi="Verdana"/>
          <w:sz w:val="16"/>
          <w:lang w:val="es-CO"/>
        </w:rPr>
      </w:pPr>
    </w:p>
    <w:p w14:paraId="06518146" w14:textId="77777777" w:rsidR="0003198F" w:rsidRPr="00DA23DA" w:rsidRDefault="0003198F" w:rsidP="000F3BE2">
      <w:pPr>
        <w:pStyle w:val="Prrafodelista"/>
        <w:numPr>
          <w:ilvl w:val="0"/>
          <w:numId w:val="7"/>
        </w:numPr>
        <w:ind w:right="571"/>
        <w:rPr>
          <w:sz w:val="16"/>
          <w:lang w:val="es-CO"/>
        </w:rPr>
      </w:pPr>
      <w:r w:rsidRPr="00DA23DA">
        <w:rPr>
          <w:sz w:val="16"/>
          <w:lang w:val="es-CO"/>
        </w:rPr>
        <w:t>Revisar los expedientes en trámite para el efecto de que, al emitir el informe correspondiente, dé la más clara idea de la actuación del Secretario que los tiene a su cargo;</w:t>
      </w:r>
    </w:p>
    <w:p w14:paraId="7FD91FA9" w14:textId="77777777" w:rsidR="0003198F" w:rsidRPr="00DA23DA" w:rsidRDefault="0003198F" w:rsidP="000F3BE2">
      <w:pPr>
        <w:pStyle w:val="Prrafodelista"/>
        <w:numPr>
          <w:ilvl w:val="0"/>
          <w:numId w:val="7"/>
        </w:numPr>
        <w:ind w:right="571"/>
        <w:rPr>
          <w:sz w:val="16"/>
          <w:lang w:val="es-CO"/>
        </w:rPr>
      </w:pPr>
      <w:r w:rsidRPr="00DA23DA">
        <w:rPr>
          <w:sz w:val="16"/>
          <w:lang w:val="es-CO"/>
        </w:rPr>
        <w:t>Precisar los casos de incumplimiento de las obligaciones legales en que hubiese incurrido el Secretario, extendiendo el acta correspondiente; y</w:t>
      </w:r>
    </w:p>
    <w:p w14:paraId="47A0904D" w14:textId="77777777" w:rsidR="0003198F" w:rsidRPr="00DA23DA" w:rsidRDefault="0003198F" w:rsidP="000F3BE2">
      <w:pPr>
        <w:pStyle w:val="Prrafodelista"/>
        <w:numPr>
          <w:ilvl w:val="0"/>
          <w:numId w:val="7"/>
        </w:numPr>
        <w:ind w:right="571"/>
        <w:rPr>
          <w:sz w:val="16"/>
          <w:lang w:val="es-CO"/>
        </w:rPr>
      </w:pPr>
      <w:r w:rsidRPr="00DA23DA">
        <w:rPr>
          <w:sz w:val="16"/>
          <w:lang w:val="es-CO"/>
        </w:rPr>
        <w:t xml:space="preserve">Obtener informe escrito del Secretario sobre los casos señalados en el inciso precedente y recibirle las pruebas de descargo a que hubiere lugar. </w:t>
      </w:r>
    </w:p>
    <w:p w14:paraId="75CCC830" w14:textId="77777777" w:rsidR="0003198F" w:rsidRPr="00DA23DA" w:rsidRDefault="0003198F" w:rsidP="000F3BE2">
      <w:pPr>
        <w:ind w:left="720" w:right="571"/>
        <w:rPr>
          <w:rFonts w:ascii="Verdana" w:hAnsi="Verdana"/>
          <w:sz w:val="16"/>
          <w:lang w:val="es-CO"/>
        </w:rPr>
      </w:pPr>
    </w:p>
    <w:p w14:paraId="4C28E10F" w14:textId="77777777" w:rsidR="0003198F" w:rsidRPr="00DA23DA" w:rsidRDefault="0003198F" w:rsidP="000F3BE2">
      <w:pPr>
        <w:ind w:left="720" w:right="571"/>
        <w:jc w:val="both"/>
        <w:rPr>
          <w:rFonts w:ascii="Verdana" w:hAnsi="Verdana"/>
          <w:sz w:val="16"/>
          <w:lang w:val="es-CO"/>
        </w:rPr>
      </w:pPr>
      <w:r w:rsidRPr="00DA23DA">
        <w:rPr>
          <w:rFonts w:ascii="Verdana" w:hAnsi="Verdana"/>
          <w:sz w:val="16"/>
          <w:lang w:val="es-CO"/>
        </w:rPr>
        <w:t xml:space="preserve">Artículo 3º. – El vocal a que se refiere el artículo precedente obtendrá de los jueces correspondientes informes escritos sobre la actuación y la conducta de cada uno de los Secretarios adscritos a su juzgado. </w:t>
      </w:r>
    </w:p>
    <w:p w14:paraId="574ECD98" w14:textId="77777777" w:rsidR="0003198F" w:rsidRPr="00DA23DA" w:rsidRDefault="0003198F" w:rsidP="000F3BE2">
      <w:pPr>
        <w:ind w:left="720" w:right="571"/>
        <w:jc w:val="both"/>
        <w:rPr>
          <w:rFonts w:ascii="Verdana" w:hAnsi="Verdana"/>
          <w:sz w:val="16"/>
          <w:lang w:val="es-CO"/>
        </w:rPr>
      </w:pPr>
    </w:p>
    <w:p w14:paraId="0532358F" w14:textId="77777777" w:rsidR="0003198F" w:rsidRPr="00DA23DA" w:rsidRDefault="0003198F" w:rsidP="000F3BE2">
      <w:pPr>
        <w:ind w:left="720" w:right="571"/>
        <w:jc w:val="both"/>
        <w:rPr>
          <w:rFonts w:ascii="Verdana" w:hAnsi="Verdana"/>
          <w:sz w:val="16"/>
          <w:lang w:val="es-CO"/>
        </w:rPr>
      </w:pPr>
      <w:r w:rsidRPr="00DA23DA">
        <w:rPr>
          <w:rFonts w:ascii="Verdana" w:hAnsi="Verdana"/>
          <w:sz w:val="16"/>
          <w:lang w:val="es-CO"/>
        </w:rPr>
        <w:t xml:space="preserve">Podrá, asimismo, solicitar informes sobre dichos aspectos al Colegio de Abogados del Distrito Judicial o, en su caso, a la Asociación de Abogados de la provincia y a las instituciones y personas que creyere conveniente. </w:t>
      </w:r>
    </w:p>
    <w:p w14:paraId="723D73A8" w14:textId="77777777" w:rsidR="0003198F" w:rsidRPr="00DA23DA" w:rsidRDefault="0003198F" w:rsidP="000F3BE2">
      <w:pPr>
        <w:ind w:left="720" w:right="571"/>
        <w:jc w:val="both"/>
        <w:rPr>
          <w:rFonts w:ascii="Verdana" w:hAnsi="Verdana"/>
          <w:sz w:val="16"/>
          <w:lang w:val="es-CO"/>
        </w:rPr>
      </w:pPr>
    </w:p>
    <w:p w14:paraId="3A8AE386" w14:textId="77777777" w:rsidR="0003198F" w:rsidRPr="00DA23DA" w:rsidRDefault="0003198F" w:rsidP="000F3BE2">
      <w:pPr>
        <w:ind w:left="720" w:right="571"/>
        <w:jc w:val="both"/>
        <w:rPr>
          <w:rFonts w:ascii="Verdana" w:hAnsi="Verdana"/>
          <w:sz w:val="16"/>
          <w:lang w:val="es-CO"/>
        </w:rPr>
      </w:pPr>
      <w:r w:rsidRPr="00DA23DA">
        <w:rPr>
          <w:rFonts w:ascii="Verdana" w:hAnsi="Verdana"/>
          <w:sz w:val="16"/>
          <w:lang w:val="es-CO"/>
        </w:rPr>
        <w:t>Los informes a que se refiere el presente artículo no podrán contener pronunciamientos sobre la ratificación o no ratificación del Secretario sobre quien versa el informe. En caso contrario no se tomará en cuenta la opinión expresada al respecto.</w:t>
      </w:r>
    </w:p>
    <w:p w14:paraId="7D47704E" w14:textId="77777777" w:rsidR="0003198F" w:rsidRPr="00DA23DA" w:rsidRDefault="0003198F" w:rsidP="000F3BE2">
      <w:pPr>
        <w:ind w:left="720" w:right="571"/>
        <w:jc w:val="both"/>
        <w:rPr>
          <w:rFonts w:ascii="Verdana" w:hAnsi="Verdana"/>
          <w:sz w:val="16"/>
          <w:lang w:val="es-CO"/>
        </w:rPr>
      </w:pPr>
    </w:p>
    <w:p w14:paraId="38AC5E5E" w14:textId="77777777" w:rsidR="0003198F" w:rsidRPr="00DA23DA" w:rsidRDefault="0003198F" w:rsidP="000F3BE2">
      <w:pPr>
        <w:ind w:left="720" w:right="571"/>
        <w:jc w:val="both"/>
        <w:rPr>
          <w:rFonts w:ascii="Verdana" w:hAnsi="Verdana"/>
          <w:sz w:val="16"/>
          <w:lang w:val="es-CO"/>
        </w:rPr>
      </w:pPr>
      <w:r w:rsidRPr="00DA23DA">
        <w:rPr>
          <w:rFonts w:ascii="Verdana" w:hAnsi="Verdana"/>
          <w:sz w:val="16"/>
          <w:lang w:val="es-CO"/>
        </w:rPr>
        <w:t xml:space="preserve">Artículo 4º. – Con el acta y los informes a que se refieren los artículos anteriores, el Vocal Comisionado formará un expediente por cada Secretario de Juzgado. </w:t>
      </w:r>
    </w:p>
    <w:p w14:paraId="47AD03B4" w14:textId="77777777" w:rsidR="0003198F" w:rsidRPr="00DA23DA" w:rsidRDefault="0003198F" w:rsidP="000F3BE2">
      <w:pPr>
        <w:ind w:left="720" w:right="571"/>
        <w:jc w:val="both"/>
        <w:rPr>
          <w:rFonts w:ascii="Verdana" w:hAnsi="Verdana"/>
          <w:sz w:val="16"/>
          <w:lang w:val="es-CO"/>
        </w:rPr>
      </w:pPr>
    </w:p>
    <w:p w14:paraId="5373FC23" w14:textId="77777777" w:rsidR="0003198F" w:rsidRPr="00DA23DA" w:rsidRDefault="0003198F" w:rsidP="000F3BE2">
      <w:pPr>
        <w:ind w:left="720" w:right="571"/>
        <w:jc w:val="both"/>
        <w:rPr>
          <w:rFonts w:ascii="Verdana" w:hAnsi="Verdana"/>
          <w:sz w:val="16"/>
          <w:lang w:val="es-CO"/>
        </w:rPr>
      </w:pPr>
      <w:r w:rsidRPr="00DA23DA">
        <w:rPr>
          <w:rFonts w:ascii="Verdana" w:hAnsi="Verdana"/>
          <w:sz w:val="16"/>
          <w:lang w:val="es-CO"/>
        </w:rPr>
        <w:t xml:space="preserve">Terminada que sea la visita de la provincia, el Vocal Comisionado emitirá su informe escrito al Presidente de la Comisión de que forma parte. Reunida la Comisión, examinará los expedientes y el informe aludidos y se pronunciará sobre su mérito en informe escrito que, con los anexos necesarios, elevará al Presidente de la Corte Suprema dentro de los treinta días siguientes a la designación de la Comisión. </w:t>
      </w:r>
    </w:p>
    <w:p w14:paraId="239CAC33" w14:textId="77777777" w:rsidR="0003198F" w:rsidRPr="00DA23DA" w:rsidRDefault="0003198F" w:rsidP="000F3BE2">
      <w:pPr>
        <w:ind w:left="720" w:right="571"/>
        <w:jc w:val="both"/>
        <w:rPr>
          <w:rFonts w:ascii="Verdana" w:hAnsi="Verdana"/>
          <w:sz w:val="16"/>
          <w:lang w:val="es-CO"/>
        </w:rPr>
      </w:pPr>
    </w:p>
    <w:p w14:paraId="4C86E011" w14:textId="77777777" w:rsidR="0003198F" w:rsidRPr="00DA23DA" w:rsidRDefault="0003198F" w:rsidP="000F3BE2">
      <w:pPr>
        <w:ind w:left="720" w:right="571"/>
        <w:jc w:val="both"/>
        <w:rPr>
          <w:rFonts w:ascii="Verdana" w:hAnsi="Verdana"/>
          <w:sz w:val="18"/>
          <w:szCs w:val="20"/>
          <w:lang w:val="es-CO"/>
        </w:rPr>
      </w:pPr>
      <w:r w:rsidRPr="00DA23DA">
        <w:rPr>
          <w:rFonts w:ascii="Verdana" w:hAnsi="Verdana"/>
          <w:sz w:val="16"/>
          <w:lang w:val="es-CO"/>
        </w:rPr>
        <w:t>Artículo 5º. – Recibido que sea el primer informe provincial de la Comisión, el Presidente de la Corte Superior citará a la Sala Plena para que, en sesión permanente y a medida que se vayan recibiendo los demás informes provinciales se pronuncie sobre la ratificación o no ratificación de los Secretarios de Distrito Judicial</w:t>
      </w:r>
      <w:r w:rsidRPr="00DA23DA">
        <w:rPr>
          <w:rStyle w:val="Refdenotaalpie"/>
          <w:lang w:val="es-CO"/>
        </w:rPr>
        <w:footnoteReference w:id="20"/>
      </w:r>
      <w:r w:rsidRPr="00DA23DA">
        <w:rPr>
          <w:rFonts w:ascii="Verdana" w:hAnsi="Verdana"/>
          <w:sz w:val="16"/>
          <w:lang w:val="es-CO"/>
        </w:rPr>
        <w:t>.</w:t>
      </w:r>
    </w:p>
    <w:p w14:paraId="6D4EC736" w14:textId="77777777" w:rsidR="0003198F" w:rsidRPr="00977573" w:rsidRDefault="0003198F" w:rsidP="000F3BE2">
      <w:pPr>
        <w:rPr>
          <w:rFonts w:ascii="Verdana" w:hAnsi="Verdana"/>
          <w:sz w:val="20"/>
          <w:szCs w:val="20"/>
          <w:lang w:val="es-CO" w:eastAsia="es-MX"/>
        </w:rPr>
      </w:pPr>
    </w:p>
    <w:p w14:paraId="023D570F" w14:textId="77777777" w:rsidR="00835395" w:rsidRPr="00977573" w:rsidRDefault="0003198F" w:rsidP="000F3BE2">
      <w:pPr>
        <w:pStyle w:val="PrrafodeSentencia"/>
        <w:spacing w:line="240" w:lineRule="auto"/>
        <w:rPr>
          <w:b/>
          <w:color w:val="0070C0"/>
        </w:rPr>
      </w:pPr>
      <w:r w:rsidRPr="00977573">
        <w:t>Finalmente, el Decreto Ley No. 14605 de 25 de julio de 1963, que contenía la Ley Orgánica del Poder Judicial vigente para la fecha de los hechos, regulaba los requisitos, actuaciones, obligaciones, sanciones y demás asuntos relacionados con los secretarios de los juzgados</w:t>
      </w:r>
      <w:r w:rsidRPr="00977573">
        <w:rPr>
          <w:rStyle w:val="Refdenotaalpie"/>
          <w:sz w:val="20"/>
          <w:szCs w:val="20"/>
          <w:lang w:val="es-CO"/>
        </w:rPr>
        <w:footnoteReference w:id="21"/>
      </w:r>
      <w:r w:rsidRPr="00977573">
        <w:t xml:space="preserve">.  </w:t>
      </w:r>
    </w:p>
    <w:p w14:paraId="0641986B" w14:textId="77777777" w:rsidR="0003198F" w:rsidRPr="00977573" w:rsidRDefault="0003198F" w:rsidP="000F3BE2">
      <w:pPr>
        <w:pStyle w:val="Prrafodelista"/>
        <w:autoSpaceDE w:val="0"/>
        <w:autoSpaceDN w:val="0"/>
        <w:adjustRightInd w:val="0"/>
        <w:ind w:left="2160"/>
        <w:rPr>
          <w:lang w:val="es-CO"/>
        </w:rPr>
      </w:pPr>
    </w:p>
    <w:p w14:paraId="1D80FCAB" w14:textId="77777777" w:rsidR="0003198F" w:rsidRPr="00977573" w:rsidRDefault="0003198F" w:rsidP="000F3BE2">
      <w:pPr>
        <w:pStyle w:val="Ttulo2"/>
        <w:spacing w:line="240" w:lineRule="auto"/>
      </w:pPr>
      <w:bookmarkStart w:id="90" w:name="_Toc69717863"/>
      <w:bookmarkStart w:id="91" w:name="_Toc74225370"/>
      <w:r w:rsidRPr="00977573">
        <w:t>Sobre la señora Moya Solís y su proceso de ratificación</w:t>
      </w:r>
      <w:bookmarkEnd w:id="90"/>
      <w:bookmarkEnd w:id="91"/>
    </w:p>
    <w:p w14:paraId="7869F4A4" w14:textId="77777777" w:rsidR="0003198F" w:rsidRPr="00977573" w:rsidRDefault="0003198F" w:rsidP="000F3BE2">
      <w:pPr>
        <w:autoSpaceDE w:val="0"/>
        <w:autoSpaceDN w:val="0"/>
        <w:adjustRightInd w:val="0"/>
        <w:contextualSpacing/>
        <w:rPr>
          <w:rFonts w:ascii="Verdana" w:hAnsi="Verdana"/>
          <w:sz w:val="20"/>
          <w:szCs w:val="20"/>
          <w:lang w:val="es-CO"/>
        </w:rPr>
      </w:pPr>
    </w:p>
    <w:p w14:paraId="13DB21F1" w14:textId="73AC10D0" w:rsidR="0003198F" w:rsidRPr="00977573" w:rsidRDefault="0003198F" w:rsidP="000F3BE2">
      <w:pPr>
        <w:pStyle w:val="PrrafodeSentencia"/>
        <w:spacing w:line="240" w:lineRule="auto"/>
      </w:pPr>
      <w:r w:rsidRPr="00977573">
        <w:t>La señora Norka Moya Solís tenía 27 años al momento de los hechos, era bachiller en administración de empresas, estudiante de derecho y ciencias políticas y secretaria judicial desde diciembre 1979</w:t>
      </w:r>
      <w:r w:rsidRPr="00977573">
        <w:rPr>
          <w:rStyle w:val="Refdenotaalpie"/>
          <w:sz w:val="20"/>
          <w:szCs w:val="20"/>
          <w:lang w:val="es-CO"/>
        </w:rPr>
        <w:footnoteReference w:id="22"/>
      </w:r>
      <w:r w:rsidRPr="00977573">
        <w:t xml:space="preserve">. </w:t>
      </w:r>
      <w:r w:rsidR="00364241">
        <w:t>S</w:t>
      </w:r>
      <w:r w:rsidRPr="00977573">
        <w:t>e desempeñaba como Secretaria Judicial del Décimo Juzgado del Fuero Privativo del Trabajo y Comunidades Laborales de Lima.</w:t>
      </w:r>
    </w:p>
    <w:p w14:paraId="58B1DB10" w14:textId="77777777" w:rsidR="0003198F" w:rsidRPr="00977573" w:rsidRDefault="0003198F" w:rsidP="000F3BE2">
      <w:pPr>
        <w:rPr>
          <w:rFonts w:ascii="Verdana" w:hAnsi="Verdana"/>
          <w:sz w:val="20"/>
          <w:szCs w:val="20"/>
          <w:lang w:val="es-CO"/>
        </w:rPr>
      </w:pPr>
    </w:p>
    <w:p w14:paraId="3A2DDDB6" w14:textId="77777777" w:rsidR="0003198F" w:rsidRPr="00977573" w:rsidRDefault="0003198F" w:rsidP="000F3BE2">
      <w:pPr>
        <w:pStyle w:val="PrrafodeSentencia"/>
        <w:spacing w:line="240" w:lineRule="auto"/>
      </w:pPr>
      <w:r w:rsidRPr="00977573">
        <w:t>En 1982 inició el proceso de ratificación de la señora Moya Solís</w:t>
      </w:r>
      <w:r w:rsidRPr="00977573">
        <w:rPr>
          <w:rStyle w:val="Refdenotaalpie"/>
          <w:sz w:val="20"/>
          <w:szCs w:val="20"/>
          <w:lang w:val="es-CO"/>
        </w:rPr>
        <w:footnoteReference w:id="23"/>
      </w:r>
      <w:r w:rsidRPr="00977573">
        <w:t>, que terminó con su no ratificación. Al respecto, el Acta de Sala Plena de 10 de septiembre de 1982, en la que se discutió la ratificación de la señora Moya Solís, señala:</w:t>
      </w:r>
    </w:p>
    <w:p w14:paraId="0C9F7459" w14:textId="77777777" w:rsidR="0003198F" w:rsidRPr="00977573" w:rsidRDefault="0003198F" w:rsidP="000F3BE2">
      <w:pPr>
        <w:rPr>
          <w:rFonts w:ascii="Verdana" w:hAnsi="Verdana"/>
          <w:sz w:val="20"/>
          <w:szCs w:val="20"/>
          <w:lang w:val="es-CO" w:eastAsia="es-MX"/>
        </w:rPr>
      </w:pPr>
    </w:p>
    <w:p w14:paraId="5C3F3D04" w14:textId="77777777" w:rsidR="0003198F" w:rsidRPr="00DA23DA" w:rsidRDefault="0003198F" w:rsidP="000F3BE2">
      <w:pPr>
        <w:pStyle w:val="PrrafodeSentencia"/>
        <w:numPr>
          <w:ilvl w:val="0"/>
          <w:numId w:val="0"/>
        </w:numPr>
        <w:spacing w:line="240" w:lineRule="auto"/>
        <w:ind w:left="708" w:right="855"/>
        <w:rPr>
          <w:sz w:val="16"/>
        </w:rPr>
      </w:pPr>
      <w:r w:rsidRPr="00DA23DA">
        <w:rPr>
          <w:sz w:val="16"/>
        </w:rPr>
        <w:t xml:space="preserve">Que en el Libro de Acuerdos de Sala Plena No. 2 del Fuero de Trabajo y Comunidades Laborales, obra […] el Acta de Sala Plena de fecha 10 de septiembre de mil novecientos ochentidos (sic), cuyo tenor literal (parte pertinente) es el siguiente: </w:t>
      </w:r>
    </w:p>
    <w:p w14:paraId="0114B59F" w14:textId="77777777" w:rsidR="0003198F" w:rsidRPr="00DA23DA" w:rsidRDefault="0003198F" w:rsidP="000F3BE2">
      <w:pPr>
        <w:pStyle w:val="PrrafodeSentencia"/>
        <w:numPr>
          <w:ilvl w:val="0"/>
          <w:numId w:val="0"/>
        </w:numPr>
        <w:spacing w:line="240" w:lineRule="auto"/>
        <w:ind w:left="708" w:right="855"/>
        <w:rPr>
          <w:sz w:val="16"/>
        </w:rPr>
      </w:pPr>
    </w:p>
    <w:p w14:paraId="12884F35" w14:textId="77777777" w:rsidR="0003198F" w:rsidRPr="00DA23DA" w:rsidRDefault="0003198F" w:rsidP="000F3BE2">
      <w:pPr>
        <w:pStyle w:val="PrrafodeSentencia"/>
        <w:numPr>
          <w:ilvl w:val="0"/>
          <w:numId w:val="0"/>
        </w:numPr>
        <w:spacing w:line="240" w:lineRule="auto"/>
        <w:ind w:left="708" w:right="855"/>
        <w:rPr>
          <w:sz w:val="16"/>
        </w:rPr>
      </w:pPr>
      <w:r w:rsidRPr="00DA23DA">
        <w:rPr>
          <w:sz w:val="16"/>
        </w:rPr>
        <w:t>[…] se reunieron en […] Sala Plena, bajo la Presidencia del doctor Pedro Pablo Gutiérrez Ferreyra, los señores Vocales del Tribunal de Trabajo y Comunidades Laborales, doctores Luis Felipe Barrientos, Sara Collazos de Manchego, Juan Parra Solís, Gonzalo lturry Iturry, Victoria [...] de Fuertes, Felipe […], Eduardo Gutiérrez Ballón, Jaime Beltrán Quirosa y Edmundo Villecorte Ramirez: actuando en esta oportunidad como secretario el último de</w:t>
      </w:r>
      <w:r w:rsidR="00833963" w:rsidRPr="00DA23DA">
        <w:rPr>
          <w:sz w:val="16"/>
        </w:rPr>
        <w:t xml:space="preserve"> </w:t>
      </w:r>
      <w:r w:rsidRPr="00DA23DA">
        <w:rPr>
          <w:sz w:val="16"/>
        </w:rPr>
        <w:t>los Vocales mencionados por ser el menos antiguo. Abrió la reunión el Presidente manifestando que […] la Sala Plena era dar cumplimiento a la Ley Nº 23369, sobre la ratificación de los […] secretarios del Tribunal de Trabajo y Comunidades Laborales de toda la […] pública, (PARTE PERTINENTE) Sra. Norka Moya de Rocha, tiene informe favorable en parte; se informó a la Sala que la referida secretaria tiene deudas económicas que alcanzan la suma de […] aproximadamente, y prueba de ellos sería la […] planteada por ante la Comisión de Ratificaciones por […] trabajadora del Fuero. Asimismo, se informó que la señora Moya, tenía negocio propio, el mismo que le absorvía [sic] tiempo. A continuación se procedió a la votación: obteniendo 5 balotas blancas contra 5 negras (NO RATIFICADA)</w:t>
      </w:r>
      <w:r w:rsidR="005C385D" w:rsidRPr="00DA23DA">
        <w:rPr>
          <w:sz w:val="16"/>
        </w:rPr>
        <w:t>.</w:t>
      </w:r>
    </w:p>
    <w:p w14:paraId="125371CF" w14:textId="77777777" w:rsidR="0003198F" w:rsidRPr="00DA23DA" w:rsidRDefault="0003198F" w:rsidP="000F3BE2">
      <w:pPr>
        <w:pStyle w:val="PrrafodeSentencia"/>
        <w:numPr>
          <w:ilvl w:val="0"/>
          <w:numId w:val="0"/>
        </w:numPr>
        <w:spacing w:line="240" w:lineRule="auto"/>
        <w:ind w:left="708" w:right="855"/>
        <w:rPr>
          <w:sz w:val="16"/>
        </w:rPr>
      </w:pPr>
    </w:p>
    <w:p w14:paraId="2641D11A" w14:textId="77777777" w:rsidR="0003198F" w:rsidRPr="00DA23DA" w:rsidRDefault="0003198F" w:rsidP="000F3BE2">
      <w:pPr>
        <w:pStyle w:val="PrrafodeSentencia"/>
        <w:numPr>
          <w:ilvl w:val="0"/>
          <w:numId w:val="0"/>
        </w:numPr>
        <w:spacing w:line="240" w:lineRule="auto"/>
        <w:ind w:left="708" w:right="855"/>
        <w:rPr>
          <w:sz w:val="16"/>
        </w:rPr>
      </w:pPr>
      <w:r w:rsidRPr="00DA23DA">
        <w:rPr>
          <w:sz w:val="16"/>
        </w:rPr>
        <w:t xml:space="preserve">Es copia fiel del acta original al que me </w:t>
      </w:r>
      <w:r w:rsidR="00DA23DA">
        <w:rPr>
          <w:sz w:val="16"/>
        </w:rPr>
        <w:t>remito</w:t>
      </w:r>
      <w:r w:rsidRPr="00DA23DA">
        <w:rPr>
          <w:sz w:val="16"/>
        </w:rPr>
        <w:t xml:space="preserve"> en caso necesario</w:t>
      </w:r>
      <w:r w:rsidRPr="00DA23DA">
        <w:rPr>
          <w:rStyle w:val="Refdenotaalpie"/>
          <w:lang w:val="es-CO"/>
        </w:rPr>
        <w:footnoteReference w:id="24"/>
      </w:r>
      <w:r w:rsidRPr="00DA23DA">
        <w:rPr>
          <w:sz w:val="16"/>
        </w:rPr>
        <w:t xml:space="preserve">. </w:t>
      </w:r>
    </w:p>
    <w:p w14:paraId="45FFABCC" w14:textId="77777777" w:rsidR="0003198F" w:rsidRPr="00977573" w:rsidRDefault="0003198F" w:rsidP="000F3BE2">
      <w:pPr>
        <w:autoSpaceDE w:val="0"/>
        <w:autoSpaceDN w:val="0"/>
        <w:adjustRightInd w:val="0"/>
        <w:jc w:val="both"/>
        <w:rPr>
          <w:rFonts w:ascii="Verdana" w:hAnsi="Verdana"/>
          <w:sz w:val="20"/>
          <w:szCs w:val="20"/>
          <w:lang w:val="es-CO"/>
        </w:rPr>
      </w:pPr>
    </w:p>
    <w:p w14:paraId="7C6E8F07" w14:textId="77777777" w:rsidR="002A296A" w:rsidRPr="00977573" w:rsidRDefault="0003198F" w:rsidP="000F3BE2">
      <w:pPr>
        <w:pStyle w:val="PrrafodeSentencia"/>
        <w:spacing w:line="240" w:lineRule="auto"/>
        <w:rPr>
          <w:color w:val="000000" w:themeColor="text1"/>
        </w:rPr>
      </w:pPr>
      <w:r w:rsidRPr="00977573">
        <w:rPr>
          <w:color w:val="000000" w:themeColor="text1"/>
        </w:rPr>
        <w:t xml:space="preserve">Por su parte, la Resolución No. 0015-82-TT, de </w:t>
      </w:r>
      <w:r w:rsidR="00B733A3" w:rsidRPr="00977573">
        <w:rPr>
          <w:color w:val="000000" w:themeColor="text1"/>
        </w:rPr>
        <w:t>13 de septiembre de 1982, señala</w:t>
      </w:r>
      <w:r w:rsidRPr="00977573">
        <w:rPr>
          <w:color w:val="000000" w:themeColor="text1"/>
        </w:rPr>
        <w:t xml:space="preserve"> que se encontraron deficiencias en la tramitación de expedientes a cargo de la señora Moya Solís; que el informe emitido por el Juez a cargo del Décimo Juzgado no fue favorable; que la señora Moya Solís había sido sancionada previamente; y que los cargos expuestos no fueron desvirtuados</w:t>
      </w:r>
      <w:r w:rsidRPr="00977573">
        <w:rPr>
          <w:rStyle w:val="Refdenotaalpie"/>
          <w:color w:val="000000" w:themeColor="text1"/>
          <w:sz w:val="20"/>
          <w:szCs w:val="20"/>
          <w:lang w:val="es-CO"/>
        </w:rPr>
        <w:footnoteReference w:id="25"/>
      </w:r>
      <w:r w:rsidRPr="00977573">
        <w:rPr>
          <w:color w:val="000000" w:themeColor="text1"/>
        </w:rPr>
        <w:t xml:space="preserve">. </w:t>
      </w:r>
    </w:p>
    <w:p w14:paraId="387206DD" w14:textId="77777777" w:rsidR="0003198F" w:rsidRPr="00977573" w:rsidRDefault="0003198F" w:rsidP="000F3BE2">
      <w:pPr>
        <w:rPr>
          <w:rFonts w:ascii="Verdana" w:hAnsi="Verdana"/>
          <w:sz w:val="20"/>
          <w:szCs w:val="20"/>
          <w:lang w:val="es-CO" w:eastAsia="es-MX"/>
        </w:rPr>
      </w:pPr>
    </w:p>
    <w:p w14:paraId="097E27ED" w14:textId="77777777" w:rsidR="0003198F" w:rsidRPr="00977573" w:rsidRDefault="0003198F" w:rsidP="000F3BE2">
      <w:pPr>
        <w:pStyle w:val="Ttulo2"/>
        <w:spacing w:line="240" w:lineRule="auto"/>
      </w:pPr>
      <w:bookmarkStart w:id="92" w:name="_Toc69717864"/>
      <w:bookmarkStart w:id="93" w:name="_Toc74225371"/>
      <w:r w:rsidRPr="00977573">
        <w:t>Recursos interpuestos por la señora Moya Solís</w:t>
      </w:r>
      <w:bookmarkEnd w:id="92"/>
      <w:bookmarkEnd w:id="93"/>
    </w:p>
    <w:p w14:paraId="47CE6831" w14:textId="77777777" w:rsidR="0003198F" w:rsidRPr="00977573" w:rsidRDefault="0003198F" w:rsidP="000F3BE2">
      <w:pPr>
        <w:pStyle w:val="Sinespaciado"/>
        <w:rPr>
          <w:lang w:val="es-CO"/>
        </w:rPr>
      </w:pPr>
    </w:p>
    <w:p w14:paraId="54800960" w14:textId="77777777" w:rsidR="0003198F" w:rsidRPr="00977573" w:rsidRDefault="0003198F" w:rsidP="000F3BE2">
      <w:pPr>
        <w:pStyle w:val="Ttulo3"/>
      </w:pPr>
      <w:bookmarkStart w:id="94" w:name="_Toc69717865"/>
      <w:bookmarkStart w:id="95" w:name="_Toc74225372"/>
      <w:r w:rsidRPr="00977573">
        <w:t>C.1 Recurso de Revisión</w:t>
      </w:r>
      <w:bookmarkEnd w:id="94"/>
      <w:bookmarkEnd w:id="95"/>
      <w:r w:rsidRPr="00977573">
        <w:t xml:space="preserve"> </w:t>
      </w:r>
    </w:p>
    <w:p w14:paraId="4EF47F17" w14:textId="77777777" w:rsidR="0003198F" w:rsidRPr="00977573" w:rsidRDefault="0003198F" w:rsidP="000F3BE2">
      <w:pPr>
        <w:pStyle w:val="Prrafodelista"/>
        <w:autoSpaceDE w:val="0"/>
        <w:autoSpaceDN w:val="0"/>
        <w:adjustRightInd w:val="0"/>
        <w:ind w:left="0"/>
        <w:rPr>
          <w:b/>
          <w:lang w:val="es-CO"/>
        </w:rPr>
      </w:pPr>
    </w:p>
    <w:p w14:paraId="14BC7FAF" w14:textId="4CC73490" w:rsidR="0003198F" w:rsidRPr="00977573" w:rsidRDefault="0003198F" w:rsidP="000F3BE2">
      <w:pPr>
        <w:pStyle w:val="PrrafodeSentencia"/>
        <w:spacing w:line="240" w:lineRule="auto"/>
      </w:pPr>
      <w:r w:rsidRPr="00977573">
        <w:t>El 17 de septiembre de 1982 la señora Moya Solís interpuso recurso de revisión ante la Corte Suprema de Justicia, por no haber sido ratificada en su cargo. Argumentó que su desempeño laboral era bueno, que no tuvo la oportunidad de presentar pruebas o sustentar sus descargos dentro del proceso de ratificación y que nunca le entregaron el acta de la reunión en la que se evaluó su desempeño, pese a haberla solicitado y a estar regulada dicha obligación en el Decreto Supremo 003-82-JUS</w:t>
      </w:r>
      <w:r w:rsidRPr="00977573">
        <w:rPr>
          <w:rStyle w:val="Refdenotaalpie"/>
          <w:sz w:val="20"/>
          <w:szCs w:val="20"/>
          <w:lang w:val="es-CO"/>
        </w:rPr>
        <w:footnoteReference w:id="26"/>
      </w:r>
      <w:r w:rsidRPr="00977573">
        <w:t>. En su recurso</w:t>
      </w:r>
      <w:r w:rsidR="00A47AC0">
        <w:t>,</w:t>
      </w:r>
      <w:r w:rsidRPr="00977573">
        <w:t xml:space="preserve"> la señora Moya Solís señaló que para la fecha no había recibido “ninguna resolución de cese, ni comunicación alguna por escrito, dándo[le] a conocer la no ratificación”. Solo se le impidió seguir trabajando por no haber sido ratificada. Indicó también que el único documento que le había sido entregado, en relación con el proceso de ratificación, fue un memorado del 9 de agosto de 1982, firmado por la Secretaria de la Comisión de Ratificaciones</w:t>
      </w:r>
      <w:r w:rsidRPr="00977573">
        <w:rPr>
          <w:rStyle w:val="Refdenotaalpie"/>
          <w:sz w:val="20"/>
          <w:szCs w:val="20"/>
          <w:lang w:val="es-CO"/>
        </w:rPr>
        <w:footnoteReference w:id="27"/>
      </w:r>
      <w:r w:rsidRPr="00977573">
        <w:t xml:space="preserve">. </w:t>
      </w:r>
    </w:p>
    <w:p w14:paraId="1E7B0663" w14:textId="77777777" w:rsidR="0003198F" w:rsidRPr="00977573" w:rsidRDefault="0003198F" w:rsidP="000F3BE2">
      <w:pPr>
        <w:pStyle w:val="Prrafodelista"/>
        <w:autoSpaceDE w:val="0"/>
        <w:autoSpaceDN w:val="0"/>
        <w:adjustRightInd w:val="0"/>
        <w:ind w:left="0"/>
        <w:rPr>
          <w:lang w:val="es-CO"/>
        </w:rPr>
      </w:pPr>
    </w:p>
    <w:p w14:paraId="70B0C513" w14:textId="77777777" w:rsidR="0003198F" w:rsidRPr="00977573" w:rsidRDefault="0003198F" w:rsidP="000F3BE2">
      <w:pPr>
        <w:pStyle w:val="PrrafodeSentencia"/>
        <w:spacing w:line="240" w:lineRule="auto"/>
      </w:pPr>
      <w:r w:rsidRPr="00977573">
        <w:t>El 12 de octubre de 1983, la Sala Plena Laboral de la Corte Suprema de Justicia declaró infundado el recurso interpuesto contra el “acuerdo de Sala Plena del Tribunal de Trabajo y Comunidades Laborales que resuelve no ratificarla”, bajo el argumento de que la Comisión de Ratificaciones habría comprobado “serias deficiencias en el desempeño de sus funciones, constatándose que un acta no llevaba la firma del juez, pero sí de la Secretaria; haber autorizado una constancia de notificación cuando en el expediente no aparece fecha de notificación; no haber cumplido con pasar los oficios que estaban ordenados en autos; haber omitido anotar las fechas en que se realizaban las consignaciones, así como de las entregas y no anotar el número del certificado ni la cantidad; por lo tanto la recurrente no ha cumplido a cabalidad con el desempeño de sus funciones; asimismo, la recurrente no cumple con abonar las deudas contraídas, situación que daña la imagen del Tribunal”</w:t>
      </w:r>
      <w:r w:rsidRPr="00977573">
        <w:rPr>
          <w:rStyle w:val="Refdenotaalpie"/>
          <w:sz w:val="20"/>
          <w:szCs w:val="20"/>
          <w:lang w:val="es-CO"/>
        </w:rPr>
        <w:footnoteReference w:id="28"/>
      </w:r>
      <w:r w:rsidRPr="00977573">
        <w:t>.</w:t>
      </w:r>
    </w:p>
    <w:p w14:paraId="4885642F" w14:textId="77777777" w:rsidR="0003198F" w:rsidRPr="00977573" w:rsidRDefault="0003198F" w:rsidP="000F3BE2">
      <w:pPr>
        <w:autoSpaceDE w:val="0"/>
        <w:autoSpaceDN w:val="0"/>
        <w:adjustRightInd w:val="0"/>
        <w:rPr>
          <w:rFonts w:ascii="Verdana" w:hAnsi="Verdana"/>
          <w:sz w:val="20"/>
          <w:szCs w:val="20"/>
          <w:lang w:val="es-CO"/>
        </w:rPr>
      </w:pPr>
    </w:p>
    <w:p w14:paraId="406149B3" w14:textId="77777777" w:rsidR="0003198F" w:rsidRPr="00977573" w:rsidRDefault="000636E8" w:rsidP="000F3BE2">
      <w:pPr>
        <w:pStyle w:val="Ttulo3"/>
      </w:pPr>
      <w:bookmarkStart w:id="96" w:name="_Toc69717866"/>
      <w:bookmarkStart w:id="97" w:name="_Toc74225373"/>
      <w:r w:rsidRPr="00977573">
        <w:t>C</w:t>
      </w:r>
      <w:r w:rsidR="0003198F" w:rsidRPr="00977573">
        <w:t>.2 Primer recurso de amparo</w:t>
      </w:r>
      <w:bookmarkEnd w:id="96"/>
      <w:bookmarkEnd w:id="97"/>
    </w:p>
    <w:p w14:paraId="6F551DB5" w14:textId="77777777" w:rsidR="0003198F" w:rsidRPr="00977573" w:rsidRDefault="0003198F" w:rsidP="000F3BE2">
      <w:pPr>
        <w:pStyle w:val="Prrafodelista"/>
        <w:autoSpaceDE w:val="0"/>
        <w:autoSpaceDN w:val="0"/>
        <w:adjustRightInd w:val="0"/>
        <w:ind w:left="0"/>
        <w:rPr>
          <w:b/>
          <w:lang w:val="es-CO"/>
        </w:rPr>
      </w:pPr>
    </w:p>
    <w:p w14:paraId="2F61A61C" w14:textId="77777777" w:rsidR="0003198F" w:rsidRPr="00977573" w:rsidRDefault="0003198F" w:rsidP="000F3BE2">
      <w:pPr>
        <w:pStyle w:val="PrrafodeSentencia"/>
        <w:spacing w:line="240" w:lineRule="auto"/>
      </w:pPr>
      <w:r w:rsidRPr="00977573">
        <w:t xml:space="preserve">El 17 de febrero de 1984 la señora Moya Solís interpuso recurso de amparo contra la Resolución Suprema de 12 de octubre de 1983. Sostuvo que la decisión de la Corte Suprema se había basado en un informe negativo de sus funciones, del </w:t>
      </w:r>
      <w:r w:rsidR="002A296A" w:rsidRPr="00977573">
        <w:t>cual</w:t>
      </w:r>
      <w:r w:rsidRPr="00977573">
        <w:t xml:space="preserve"> solo tuvo conocimiento cuando se le notificó la decisión del recurso de revisión. La señora Moya, controvirtió, además, las afirmaciones de acuerdo con las cuales habría tenido un mal desempeño en las funciones de su cargo</w:t>
      </w:r>
      <w:r w:rsidRPr="00977573">
        <w:rPr>
          <w:rStyle w:val="Refdenotaalpie"/>
          <w:sz w:val="20"/>
          <w:szCs w:val="20"/>
          <w:lang w:val="es-CO"/>
        </w:rPr>
        <w:footnoteReference w:id="29"/>
      </w:r>
      <w:r w:rsidRPr="00977573">
        <w:t xml:space="preserve">. </w:t>
      </w:r>
    </w:p>
    <w:p w14:paraId="502E55AA" w14:textId="77777777" w:rsidR="0003198F" w:rsidRPr="00977573" w:rsidRDefault="0003198F" w:rsidP="000F3BE2">
      <w:pPr>
        <w:pStyle w:val="Prrafodelista"/>
        <w:autoSpaceDE w:val="0"/>
        <w:autoSpaceDN w:val="0"/>
        <w:adjustRightInd w:val="0"/>
        <w:ind w:left="0"/>
        <w:rPr>
          <w:lang w:val="es-CO"/>
        </w:rPr>
      </w:pPr>
    </w:p>
    <w:p w14:paraId="1C993E44" w14:textId="77777777" w:rsidR="0003198F" w:rsidRPr="00977573" w:rsidRDefault="002A296A" w:rsidP="000F3BE2">
      <w:pPr>
        <w:pStyle w:val="PrrafodeSentencia"/>
        <w:spacing w:line="240" w:lineRule="auto"/>
      </w:pPr>
      <w:r w:rsidRPr="00977573">
        <w:t xml:space="preserve"> El 14 de junio de 1985</w:t>
      </w:r>
      <w:r w:rsidR="0003198F" w:rsidRPr="00977573">
        <w:t xml:space="preserve"> el Décimo Sexto Juzgado Civil de Lima declaró improcedente el recurso de amparo. Estableció que la no ratificación de la peticionaria no configuraba violación o amenaza de violación de un derecho constitucional o fundamental consagrado en la Constitución</w:t>
      </w:r>
      <w:r w:rsidR="0003198F" w:rsidRPr="00977573">
        <w:rPr>
          <w:rStyle w:val="Refdenotaalpie"/>
          <w:sz w:val="20"/>
          <w:szCs w:val="20"/>
          <w:lang w:val="es-CO"/>
        </w:rPr>
        <w:footnoteReference w:id="30"/>
      </w:r>
      <w:r w:rsidR="0003198F" w:rsidRPr="00977573">
        <w:t>.</w:t>
      </w:r>
    </w:p>
    <w:p w14:paraId="3DF67292" w14:textId="77777777" w:rsidR="0003198F" w:rsidRPr="00977573" w:rsidRDefault="0003198F" w:rsidP="000F3BE2">
      <w:pPr>
        <w:pStyle w:val="Prrafodelista"/>
        <w:autoSpaceDE w:val="0"/>
        <w:autoSpaceDN w:val="0"/>
        <w:adjustRightInd w:val="0"/>
        <w:ind w:left="0"/>
        <w:rPr>
          <w:lang w:val="es-CO"/>
        </w:rPr>
      </w:pPr>
    </w:p>
    <w:p w14:paraId="329629E6" w14:textId="77777777" w:rsidR="0003198F" w:rsidRPr="00977573" w:rsidRDefault="0003198F" w:rsidP="000F3BE2">
      <w:pPr>
        <w:pStyle w:val="PrrafodeSentencia"/>
        <w:spacing w:line="240" w:lineRule="auto"/>
      </w:pPr>
      <w:r w:rsidRPr="00977573">
        <w:t>El 1 de julio de 1985 la señora Moya Solís apeló la sentencia y solicitó que el superior del despacho se pronunciara sobre el fondo del caso</w:t>
      </w:r>
      <w:r w:rsidRPr="00977573">
        <w:rPr>
          <w:rStyle w:val="Refdenotaalpie"/>
          <w:sz w:val="20"/>
          <w:szCs w:val="20"/>
          <w:lang w:val="es-CO"/>
        </w:rPr>
        <w:footnoteReference w:id="31"/>
      </w:r>
      <w:r w:rsidRPr="00977573">
        <w:t>. El 2 de septiembre de 1985, la Tercera Sala Civil de la Corte Suprema de Justicia confirmó la decisión del 14 de junio de 1985</w:t>
      </w:r>
      <w:r w:rsidRPr="00977573">
        <w:rPr>
          <w:rStyle w:val="Refdenotaalpie"/>
          <w:sz w:val="20"/>
          <w:szCs w:val="20"/>
          <w:lang w:val="es-CO"/>
        </w:rPr>
        <w:footnoteReference w:id="32"/>
      </w:r>
      <w:r w:rsidRPr="00977573">
        <w:t>.</w:t>
      </w:r>
    </w:p>
    <w:p w14:paraId="45D234BF" w14:textId="77777777" w:rsidR="0003198F" w:rsidRPr="00977573" w:rsidRDefault="0003198F" w:rsidP="000F3BE2">
      <w:pPr>
        <w:pStyle w:val="Prrafodelista"/>
        <w:autoSpaceDE w:val="0"/>
        <w:autoSpaceDN w:val="0"/>
        <w:adjustRightInd w:val="0"/>
        <w:ind w:left="0"/>
        <w:rPr>
          <w:lang w:val="es-CO"/>
        </w:rPr>
      </w:pPr>
    </w:p>
    <w:p w14:paraId="2C3E5536" w14:textId="77777777" w:rsidR="0003198F" w:rsidRPr="00977573" w:rsidRDefault="0003198F" w:rsidP="000F3BE2">
      <w:pPr>
        <w:pStyle w:val="PrrafodeSentencia"/>
        <w:spacing w:line="240" w:lineRule="auto"/>
      </w:pPr>
      <w:r w:rsidRPr="00977573">
        <w:t>El 19 de septiembre de 1985 la señora Moya Solís interpuso recurso de nulidad contra la decisión de la Tercera Sala Civil de Lima, argumentó que “se pretend[ía] declarar inamovible una Resolución Administrativa como si tuviera carácter de cosa juzgada”</w:t>
      </w:r>
      <w:r w:rsidRPr="00977573">
        <w:rPr>
          <w:rStyle w:val="Refdenotaalpie"/>
          <w:sz w:val="20"/>
          <w:szCs w:val="20"/>
          <w:lang w:val="es-CO"/>
        </w:rPr>
        <w:footnoteReference w:id="33"/>
      </w:r>
      <w:r w:rsidRPr="00977573">
        <w:t>.</w:t>
      </w:r>
    </w:p>
    <w:p w14:paraId="6E57B994" w14:textId="77777777" w:rsidR="0003198F" w:rsidRPr="00977573" w:rsidRDefault="0003198F" w:rsidP="000F3BE2">
      <w:pPr>
        <w:pStyle w:val="PrrafodeSentencia"/>
        <w:numPr>
          <w:ilvl w:val="0"/>
          <w:numId w:val="0"/>
        </w:numPr>
        <w:spacing w:line="240" w:lineRule="auto"/>
      </w:pPr>
    </w:p>
    <w:p w14:paraId="36774F1D" w14:textId="77777777" w:rsidR="0003198F" w:rsidRPr="00977573" w:rsidRDefault="002A296A" w:rsidP="000F3BE2">
      <w:pPr>
        <w:pStyle w:val="PrrafodeSentencia"/>
        <w:spacing w:line="240" w:lineRule="auto"/>
      </w:pPr>
      <w:r w:rsidRPr="00977573">
        <w:t>El 17 de enero de 1986</w:t>
      </w:r>
      <w:r w:rsidR="0003198F" w:rsidRPr="00977573">
        <w:t xml:space="preserve"> el Ministerio Público indicó que el fallo de primera y segunda instancia habían sido expedidos sin tener a la vista el expediente de ratificaciones de la señora Moya Solís, por lo que no se podía establecer si el Tribunal del Trabajo incurrió o no en irregularidades. El Ministerio Público consideró procedente declarar nula la Resolución del 2 de septiembre de 1985 e insubsistente la del 14 de junio de 1985, y solicitó que se expidiese un nuevo fallo</w:t>
      </w:r>
      <w:r w:rsidR="0003198F" w:rsidRPr="00977573">
        <w:rPr>
          <w:rStyle w:val="Refdenotaalpie"/>
          <w:sz w:val="20"/>
          <w:szCs w:val="20"/>
          <w:lang w:val="es-CO"/>
        </w:rPr>
        <w:footnoteReference w:id="34"/>
      </w:r>
      <w:r w:rsidR="0003198F" w:rsidRPr="00977573">
        <w:t>.</w:t>
      </w:r>
    </w:p>
    <w:p w14:paraId="1A22D830" w14:textId="77777777" w:rsidR="0003198F" w:rsidRPr="00977573" w:rsidRDefault="0003198F" w:rsidP="000F3BE2">
      <w:pPr>
        <w:pStyle w:val="PrrafodeSentencia"/>
        <w:numPr>
          <w:ilvl w:val="0"/>
          <w:numId w:val="0"/>
        </w:numPr>
        <w:spacing w:line="240" w:lineRule="auto"/>
      </w:pPr>
    </w:p>
    <w:p w14:paraId="45CC7C4F" w14:textId="77777777" w:rsidR="0003198F" w:rsidRPr="00977573" w:rsidRDefault="002A296A" w:rsidP="000F3BE2">
      <w:pPr>
        <w:pStyle w:val="PrrafodeSentencia"/>
        <w:spacing w:line="240" w:lineRule="auto"/>
      </w:pPr>
      <w:r w:rsidRPr="00977573">
        <w:t>El 4 de agosto de 1986</w:t>
      </w:r>
      <w:r w:rsidR="0003198F" w:rsidRPr="00977573">
        <w:t xml:space="preserve"> la Corte Suprema declaró nula la decisión del 2 de septiembre de 1985 e insubsistente la sentencia de 14 de junio de 1985. En la decisión se ordena que “el juez de la causa expida nuevo fallo teniendo a la vista el expediente de ratificaciones”</w:t>
      </w:r>
      <w:r w:rsidR="0003198F" w:rsidRPr="00977573">
        <w:rPr>
          <w:rStyle w:val="Refdenotaalpie"/>
          <w:sz w:val="20"/>
          <w:szCs w:val="20"/>
          <w:lang w:val="es-CO"/>
        </w:rPr>
        <w:footnoteReference w:id="35"/>
      </w:r>
      <w:r w:rsidR="0003198F" w:rsidRPr="00977573">
        <w:t>.</w:t>
      </w:r>
    </w:p>
    <w:p w14:paraId="50C9B87E" w14:textId="77777777" w:rsidR="0003198F" w:rsidRPr="00977573" w:rsidRDefault="0003198F" w:rsidP="000F3BE2">
      <w:pPr>
        <w:pStyle w:val="Prrafodelista"/>
        <w:rPr>
          <w:lang w:val="es-CO"/>
        </w:rPr>
      </w:pPr>
    </w:p>
    <w:p w14:paraId="65B792C9" w14:textId="77777777" w:rsidR="0003198F" w:rsidRPr="00977573" w:rsidRDefault="000636E8" w:rsidP="000F3BE2">
      <w:pPr>
        <w:pStyle w:val="Ttulo3"/>
      </w:pPr>
      <w:bookmarkStart w:id="98" w:name="_Toc69717867"/>
      <w:bookmarkStart w:id="99" w:name="_Toc74225374"/>
      <w:r w:rsidRPr="00977573">
        <w:t>C</w:t>
      </w:r>
      <w:r w:rsidR="0003198F" w:rsidRPr="00977573">
        <w:t>.</w:t>
      </w:r>
      <w:r w:rsidRPr="00977573">
        <w:t>3</w:t>
      </w:r>
      <w:r w:rsidR="0003198F" w:rsidRPr="00977573">
        <w:t xml:space="preserve"> Segundo fallo de amparo</w:t>
      </w:r>
      <w:bookmarkEnd w:id="98"/>
      <w:bookmarkEnd w:id="99"/>
    </w:p>
    <w:p w14:paraId="4E872121" w14:textId="77777777" w:rsidR="0003198F" w:rsidRPr="00977573" w:rsidRDefault="0003198F" w:rsidP="000F3BE2">
      <w:pPr>
        <w:pStyle w:val="Prrafodelista"/>
        <w:autoSpaceDE w:val="0"/>
        <w:autoSpaceDN w:val="0"/>
        <w:adjustRightInd w:val="0"/>
        <w:ind w:left="0"/>
        <w:rPr>
          <w:b/>
          <w:lang w:val="es-CO"/>
        </w:rPr>
      </w:pPr>
    </w:p>
    <w:p w14:paraId="310ECF59" w14:textId="77777777" w:rsidR="0003198F" w:rsidRPr="00977573" w:rsidRDefault="0003198F" w:rsidP="000F3BE2">
      <w:pPr>
        <w:pStyle w:val="PrrafodeSentencia"/>
        <w:spacing w:line="240" w:lineRule="auto"/>
      </w:pPr>
      <w:r w:rsidRPr="00977573">
        <w:t>Luego de la decisión del recurso de nulidad, la presunta víctima pidió en varias oportunidades al Décimo Sexto Juzgado de lo Civil de Lima que solicitara su expediente de ratificaciones al Tribunal del Trabajo. Dicho juzgado elevó dos solicitudes en ese sentido, sin que conste en el expediente respuesta alguna</w:t>
      </w:r>
      <w:r w:rsidRPr="00977573">
        <w:rPr>
          <w:rStyle w:val="Refdenotaalpie"/>
          <w:sz w:val="20"/>
          <w:szCs w:val="20"/>
          <w:lang w:val="es-CO"/>
        </w:rPr>
        <w:footnoteReference w:id="36"/>
      </w:r>
      <w:r w:rsidRPr="00977573">
        <w:t>.</w:t>
      </w:r>
    </w:p>
    <w:p w14:paraId="20355370" w14:textId="77777777" w:rsidR="0003198F" w:rsidRPr="00977573" w:rsidRDefault="0003198F" w:rsidP="000F3BE2">
      <w:pPr>
        <w:pStyle w:val="Sinespaciado"/>
        <w:rPr>
          <w:lang w:val="es-CO"/>
        </w:rPr>
      </w:pPr>
    </w:p>
    <w:p w14:paraId="38CEBBD1" w14:textId="77777777" w:rsidR="0003198F" w:rsidRPr="00977573" w:rsidRDefault="0003198F" w:rsidP="000F3BE2">
      <w:pPr>
        <w:pStyle w:val="PrrafodeSentencia"/>
        <w:spacing w:line="240" w:lineRule="auto"/>
      </w:pPr>
      <w:r w:rsidRPr="00977573">
        <w:t xml:space="preserve">En junio de 1995 el </w:t>
      </w:r>
      <w:r w:rsidR="00002E08" w:rsidRPr="00977573">
        <w:t xml:space="preserve">33° </w:t>
      </w:r>
      <w:r w:rsidRPr="00977573">
        <w:t>Juzgado de lo Civil de Lima también solicitó el expediente de ratificaciones</w:t>
      </w:r>
      <w:r w:rsidRPr="00977573">
        <w:rPr>
          <w:rStyle w:val="Refdenotaalpie"/>
          <w:sz w:val="20"/>
          <w:szCs w:val="20"/>
          <w:lang w:val="es-CO"/>
        </w:rPr>
        <w:footnoteReference w:id="37"/>
      </w:r>
      <w:r w:rsidRPr="00977573">
        <w:t>. En respuesta, el Delegado Administrativo de las Salas y Juzgados indicó que, luego de la búsqueda en archivos, no se había encontrado expediente alguno sobre lo solicitado</w:t>
      </w:r>
      <w:r w:rsidRPr="00A62458">
        <w:rPr>
          <w:rStyle w:val="Refdenotaalpie"/>
          <w:sz w:val="20"/>
          <w:szCs w:val="20"/>
          <w:lang w:val="es-CO"/>
        </w:rPr>
        <w:footnoteReference w:id="38"/>
      </w:r>
      <w:r w:rsidRPr="00A62458">
        <w:t>.</w:t>
      </w:r>
    </w:p>
    <w:p w14:paraId="6E080961" w14:textId="77777777" w:rsidR="0003198F" w:rsidRPr="00977573" w:rsidRDefault="0003198F" w:rsidP="000F3BE2">
      <w:pPr>
        <w:pStyle w:val="Sinespaciado"/>
        <w:rPr>
          <w:lang w:val="es-CO"/>
        </w:rPr>
      </w:pPr>
    </w:p>
    <w:p w14:paraId="455CC0E1" w14:textId="77777777" w:rsidR="0003198F" w:rsidRPr="00977573" w:rsidRDefault="0003198F" w:rsidP="000F3BE2">
      <w:pPr>
        <w:pStyle w:val="PrrafodeSentencia"/>
        <w:spacing w:line="240" w:lineRule="auto"/>
      </w:pPr>
      <w:r w:rsidRPr="00977573">
        <w:t>El 30 de diciembre de 1996 el Décimo Sexto Juzgado Civil de Lima expidió un nuevo fallo en relación con la acción de amparo. Concluyó que la señora Moya Solís había acudido a la acción de amparo para cuestionar la Resolución que declaraba infundado su recurso de revisión contra la no ratificación, no el Acuerdo de Sesión de Sala Plena del Tribunal de Trabajo en el que se acordó su no ratificación y que, al expedirse dicha Resolución, no se vulneró o violentó derecho constitucional alguno. Por lo anterior, declaró infundada la acción de amparo interpuesta por la señora Moya Solís</w:t>
      </w:r>
      <w:r w:rsidRPr="00977573">
        <w:rPr>
          <w:rStyle w:val="Refdenotaalpie"/>
          <w:sz w:val="20"/>
          <w:szCs w:val="20"/>
          <w:lang w:val="es-CO"/>
        </w:rPr>
        <w:footnoteReference w:id="39"/>
      </w:r>
      <w:r w:rsidRPr="00977573">
        <w:t>.</w:t>
      </w:r>
    </w:p>
    <w:p w14:paraId="12604E49" w14:textId="77777777" w:rsidR="0003198F" w:rsidRPr="00977573" w:rsidRDefault="0003198F" w:rsidP="000F3BE2">
      <w:pPr>
        <w:pStyle w:val="Sinespaciado"/>
        <w:rPr>
          <w:lang w:val="es-CO"/>
        </w:rPr>
      </w:pPr>
    </w:p>
    <w:p w14:paraId="13A7F221" w14:textId="77777777" w:rsidR="0003198F" w:rsidRPr="00977573" w:rsidRDefault="0003198F" w:rsidP="000F3BE2">
      <w:pPr>
        <w:pStyle w:val="PrrafodeSentencia"/>
        <w:spacing w:line="240" w:lineRule="auto"/>
      </w:pPr>
      <w:r w:rsidRPr="00977573">
        <w:t>El 19 de mayo de 1997 la señora Moya Solís apeló el fallo de 30 de diciembre de 1996, argumentó que no había tenido conocimiento del Acuerdo en el que se decidió su no ratificación y que el expediente de ratificaciones no se había encontrado</w:t>
      </w:r>
      <w:r w:rsidRPr="00977573">
        <w:rPr>
          <w:rStyle w:val="Refdenotaalpie"/>
          <w:sz w:val="20"/>
          <w:szCs w:val="20"/>
          <w:lang w:val="es-CO"/>
        </w:rPr>
        <w:footnoteReference w:id="40"/>
      </w:r>
      <w:r w:rsidRPr="00977573">
        <w:t>.</w:t>
      </w:r>
    </w:p>
    <w:p w14:paraId="2D00AAE4" w14:textId="77777777" w:rsidR="0003198F" w:rsidRPr="00977573" w:rsidRDefault="0003198F" w:rsidP="000F3BE2">
      <w:pPr>
        <w:pStyle w:val="Sinespaciado"/>
        <w:rPr>
          <w:lang w:val="es-CO"/>
        </w:rPr>
      </w:pPr>
    </w:p>
    <w:p w14:paraId="0DA8AA93" w14:textId="77777777" w:rsidR="0003198F" w:rsidRPr="00977573" w:rsidRDefault="0003198F" w:rsidP="000F3BE2">
      <w:pPr>
        <w:pStyle w:val="PrrafodeSentencia"/>
        <w:spacing w:line="240" w:lineRule="auto"/>
      </w:pPr>
      <w:r w:rsidRPr="00977573">
        <w:t xml:space="preserve">El 20 de marzo de 1998 la Sala Corporativa Transitoria Especializada de Derecho Público confirmó la sentencia apelada. Indicó que la acción de amparo procede cuando “el hecho violatorio atenta un derecho constitucional, cierto e inminente, que sea posible de reponer al estado anterior a la amenaza de violación” y que la señora Moya Solís alegaba hechos que requerían etapa probatoria, </w:t>
      </w:r>
      <w:r w:rsidR="00A62458">
        <w:t>que</w:t>
      </w:r>
      <w:r w:rsidRPr="00977573">
        <w:t xml:space="preserve"> no procede en un proceso constitucional</w:t>
      </w:r>
      <w:r w:rsidRPr="00977573">
        <w:rPr>
          <w:rStyle w:val="Refdenotaalpie"/>
          <w:sz w:val="20"/>
          <w:szCs w:val="20"/>
          <w:lang w:val="es-CO"/>
        </w:rPr>
        <w:footnoteReference w:id="41"/>
      </w:r>
      <w:r w:rsidRPr="00977573">
        <w:t>.</w:t>
      </w:r>
    </w:p>
    <w:p w14:paraId="1AA4704B" w14:textId="77777777" w:rsidR="0003198F" w:rsidRPr="00977573" w:rsidRDefault="0003198F" w:rsidP="000F3BE2">
      <w:pPr>
        <w:pStyle w:val="Prrafodelista"/>
        <w:autoSpaceDE w:val="0"/>
        <w:autoSpaceDN w:val="0"/>
        <w:adjustRightInd w:val="0"/>
        <w:ind w:left="0"/>
        <w:rPr>
          <w:b/>
          <w:lang w:val="es-CO"/>
        </w:rPr>
      </w:pPr>
    </w:p>
    <w:p w14:paraId="3174AB23" w14:textId="264F7671" w:rsidR="0003198F" w:rsidRPr="00977573" w:rsidRDefault="0003198F" w:rsidP="000F3BE2">
      <w:pPr>
        <w:pStyle w:val="PrrafodeSentencia"/>
        <w:spacing w:line="240" w:lineRule="auto"/>
      </w:pPr>
      <w:r w:rsidRPr="00977573">
        <w:t xml:space="preserve">El 8 de abril de 1998 la presunta víctima interpuso recurso de nulidad contra el pronunciamiento de 20 de marzo de 1998. Reiteró que no se había tenido en cuenta el expediente de ratificación para tomar la decisión del recurso de amparo y que el trámite dado a su caso evidenciaba errores procesales, entre ellos, que al no encontrar el expediente de ratificaciones no se ordenó rehacerlo; que al adoptarse la decisión de no ratificación se encontraban presentes diez vocales o magistrados y la decisión fue resultado de un empate, el cual debía ser dirimido por el Presidente de la Sala o en aplicación del principio de </w:t>
      </w:r>
      <w:r w:rsidRPr="00977573">
        <w:rPr>
          <w:i/>
        </w:rPr>
        <w:t>in dubio pro operario</w:t>
      </w:r>
      <w:r w:rsidRPr="00977573">
        <w:t>; y que al resolver la apelación, el Décimo Sexto Juzgado había señalado que la parte peticionaria debió haber cuestionado el Acuerdo de no Ratificación, pero este nunca le fue notificado, solo le fue informado verbalmente. Respecto al pronunciamiento del Décimo Sexto Juzgado y su acción probatoria, la señora Moya Solís indicó que nunca solicitó prueba alguna</w:t>
      </w:r>
      <w:r w:rsidRPr="00977573">
        <w:rPr>
          <w:rStyle w:val="Refdenotaalpie"/>
          <w:sz w:val="20"/>
          <w:szCs w:val="20"/>
          <w:lang w:val="es-CO"/>
        </w:rPr>
        <w:footnoteReference w:id="42"/>
      </w:r>
      <w:r w:rsidRPr="00977573">
        <w:t>. El 29 de octubre de 1998 la Sala de Derecho Constitucional y Social de la Corte Suprema de Justicia declaró no haber nulidad en dicha sentencia</w:t>
      </w:r>
      <w:r w:rsidRPr="00977573">
        <w:rPr>
          <w:rStyle w:val="Refdenotaalpie"/>
          <w:sz w:val="20"/>
          <w:szCs w:val="20"/>
          <w:lang w:val="es-CO"/>
        </w:rPr>
        <w:footnoteReference w:id="43"/>
      </w:r>
      <w:r w:rsidRPr="00977573">
        <w:t xml:space="preserve">. </w:t>
      </w:r>
      <w:r w:rsidR="007F3CB5" w:rsidRPr="00977573">
        <w:t xml:space="preserve">Esta decisión le fue notificada a la señora Moya Solís el 23 de septiembre de 1999. </w:t>
      </w:r>
    </w:p>
    <w:p w14:paraId="63D638E7" w14:textId="77777777" w:rsidR="00F13BA3" w:rsidRPr="00977573" w:rsidRDefault="00F13BA3" w:rsidP="000F3BE2">
      <w:pPr>
        <w:rPr>
          <w:rFonts w:ascii="Verdana" w:hAnsi="Verdana"/>
          <w:sz w:val="20"/>
          <w:szCs w:val="20"/>
          <w:lang w:val="es-CO" w:eastAsia="es-MX"/>
        </w:rPr>
      </w:pPr>
    </w:p>
    <w:p w14:paraId="2C51D1EE" w14:textId="77777777" w:rsidR="0003198F" w:rsidRPr="00977573" w:rsidRDefault="0003198F" w:rsidP="000F3BE2">
      <w:pPr>
        <w:pStyle w:val="Ttulo1"/>
        <w:rPr>
          <w:rFonts w:ascii="Verdana" w:hAnsi="Verdana"/>
          <w:sz w:val="20"/>
          <w:szCs w:val="20"/>
          <w:lang w:val="es-CO"/>
        </w:rPr>
      </w:pPr>
      <w:bookmarkStart w:id="100" w:name="_Toc61442592"/>
      <w:bookmarkStart w:id="101" w:name="_Toc62746974"/>
      <w:bookmarkStart w:id="102" w:name="_Toc69717868"/>
      <w:bookmarkStart w:id="103" w:name="_Toc74225375"/>
      <w:r w:rsidRPr="00977573">
        <w:rPr>
          <w:rStyle w:val="None"/>
          <w:rFonts w:ascii="Verdana" w:hAnsi="Verdana"/>
          <w:sz w:val="20"/>
          <w:szCs w:val="20"/>
          <w:lang w:val="es-CO"/>
        </w:rPr>
        <w:t>VII</w:t>
      </w:r>
      <w:r w:rsidRPr="00977573">
        <w:rPr>
          <w:rStyle w:val="None"/>
          <w:rFonts w:ascii="Verdana" w:hAnsi="Verdana"/>
          <w:sz w:val="20"/>
          <w:szCs w:val="20"/>
          <w:lang w:val="es-CO"/>
        </w:rPr>
        <w:br/>
      </w:r>
      <w:r w:rsidRPr="00977573">
        <w:rPr>
          <w:rFonts w:ascii="Verdana" w:hAnsi="Verdana"/>
          <w:sz w:val="20"/>
          <w:szCs w:val="20"/>
          <w:lang w:val="es-CO"/>
        </w:rPr>
        <w:t>FONDO</w:t>
      </w:r>
      <w:bookmarkEnd w:id="100"/>
      <w:bookmarkEnd w:id="101"/>
      <w:bookmarkEnd w:id="102"/>
      <w:bookmarkEnd w:id="103"/>
    </w:p>
    <w:p w14:paraId="59EF7366" w14:textId="77777777" w:rsidR="0003198F" w:rsidRPr="00977573" w:rsidRDefault="0003198F" w:rsidP="000F3BE2">
      <w:pPr>
        <w:rPr>
          <w:rFonts w:ascii="Verdana" w:hAnsi="Verdana"/>
          <w:sz w:val="20"/>
          <w:szCs w:val="20"/>
          <w:lang w:val="es-CO"/>
        </w:rPr>
      </w:pPr>
    </w:p>
    <w:p w14:paraId="522AE506" w14:textId="77777777" w:rsidR="0003198F" w:rsidRPr="00977573" w:rsidRDefault="0003198F" w:rsidP="000F3BE2">
      <w:pPr>
        <w:pStyle w:val="PrrafodeSentencia"/>
        <w:spacing w:line="240" w:lineRule="auto"/>
      </w:pPr>
      <w:r w:rsidRPr="00977573">
        <w:t>De acuerdo con los alegatos de las partes y la Comisión, en el presente caso la Corte examinará 1) los derechos a las garantías judiciales y el principio de legalidad; 2) la garantía del plazo razonable y el derecho a la protección judicial; y 3) los derechos políticos.</w:t>
      </w:r>
    </w:p>
    <w:p w14:paraId="52A0F045" w14:textId="77777777" w:rsidR="0003198F" w:rsidRPr="00977573" w:rsidRDefault="0003198F" w:rsidP="000F3BE2">
      <w:pPr>
        <w:rPr>
          <w:rFonts w:ascii="Verdana" w:hAnsi="Verdana"/>
          <w:sz w:val="20"/>
          <w:szCs w:val="20"/>
          <w:lang w:val="es-CO"/>
        </w:rPr>
      </w:pPr>
    </w:p>
    <w:p w14:paraId="032E5FC9" w14:textId="77777777" w:rsidR="0003198F" w:rsidRPr="00977573" w:rsidRDefault="0003198F" w:rsidP="000F3BE2">
      <w:pPr>
        <w:pStyle w:val="Ttulo1"/>
        <w:rPr>
          <w:rFonts w:ascii="Verdana" w:hAnsi="Verdana"/>
          <w:szCs w:val="20"/>
          <w:lang w:val="es-CO"/>
        </w:rPr>
      </w:pPr>
      <w:bookmarkStart w:id="104" w:name="_Toc69717869"/>
      <w:bookmarkStart w:id="105" w:name="_Toc74225376"/>
      <w:r w:rsidRPr="00977573">
        <w:rPr>
          <w:rStyle w:val="None"/>
          <w:rFonts w:ascii="Verdana" w:hAnsi="Verdana"/>
          <w:sz w:val="20"/>
          <w:szCs w:val="20"/>
          <w:lang w:val="es-CO"/>
        </w:rPr>
        <w:t>VII-1</w:t>
      </w:r>
      <w:r w:rsidRPr="00977573">
        <w:rPr>
          <w:rStyle w:val="None"/>
          <w:rFonts w:ascii="Verdana" w:hAnsi="Verdana"/>
          <w:sz w:val="20"/>
          <w:szCs w:val="20"/>
          <w:lang w:val="es-CO"/>
        </w:rPr>
        <w:br/>
      </w:r>
      <w:r w:rsidRPr="00977573">
        <w:rPr>
          <w:rFonts w:ascii="Verdana" w:hAnsi="Verdana"/>
          <w:sz w:val="20"/>
          <w:szCs w:val="20"/>
          <w:lang w:val="es-CO"/>
        </w:rPr>
        <w:t>GARANTÍAS JUDICIALES Y PRINCIPIO DE LEGALIDAD</w:t>
      </w:r>
      <w:bookmarkEnd w:id="104"/>
      <w:r w:rsidR="00533BD6" w:rsidRPr="00977573">
        <w:rPr>
          <w:rStyle w:val="Refdenotaalpie"/>
          <w:sz w:val="20"/>
          <w:lang w:val="es-CO"/>
        </w:rPr>
        <w:footnoteReference w:id="44"/>
      </w:r>
      <w:bookmarkEnd w:id="105"/>
    </w:p>
    <w:p w14:paraId="251D57E5" w14:textId="77777777" w:rsidR="00FC23CC" w:rsidRPr="00977573" w:rsidRDefault="00FC23CC" w:rsidP="000F3BE2">
      <w:pPr>
        <w:rPr>
          <w:rFonts w:ascii="Verdana" w:hAnsi="Verdana"/>
          <w:sz w:val="20"/>
          <w:szCs w:val="20"/>
          <w:lang w:val="es-CO"/>
        </w:rPr>
      </w:pPr>
    </w:p>
    <w:p w14:paraId="71C1B6AB" w14:textId="77777777" w:rsidR="00FC23CC" w:rsidRPr="00977573" w:rsidRDefault="00FC23CC" w:rsidP="000F3BE2">
      <w:pPr>
        <w:pStyle w:val="Ttulo2"/>
        <w:numPr>
          <w:ilvl w:val="0"/>
          <w:numId w:val="27"/>
        </w:numPr>
        <w:spacing w:line="240" w:lineRule="auto"/>
      </w:pPr>
      <w:bookmarkStart w:id="106" w:name="_Toc61442594"/>
      <w:bookmarkStart w:id="107" w:name="_Toc62746976"/>
      <w:bookmarkStart w:id="108" w:name="_Toc69717870"/>
      <w:bookmarkStart w:id="109" w:name="_Toc74225377"/>
      <w:r w:rsidRPr="00977573">
        <w:t>Alegatos de las partes y de la Comisión</w:t>
      </w:r>
      <w:bookmarkEnd w:id="106"/>
      <w:bookmarkEnd w:id="107"/>
      <w:bookmarkEnd w:id="108"/>
      <w:bookmarkEnd w:id="109"/>
    </w:p>
    <w:p w14:paraId="2F89C418" w14:textId="77777777" w:rsidR="00654D19" w:rsidRPr="00977573" w:rsidRDefault="00654D19" w:rsidP="000F3BE2">
      <w:pPr>
        <w:rPr>
          <w:rFonts w:ascii="Verdana" w:hAnsi="Verdana"/>
          <w:sz w:val="20"/>
          <w:szCs w:val="20"/>
          <w:lang w:val="es-CO"/>
        </w:rPr>
      </w:pPr>
    </w:p>
    <w:p w14:paraId="53349DDE" w14:textId="77777777" w:rsidR="00654D19" w:rsidRPr="00977573" w:rsidRDefault="00654D19" w:rsidP="000F3BE2">
      <w:pPr>
        <w:pStyle w:val="PrrafodeSentencia"/>
        <w:spacing w:line="240" w:lineRule="auto"/>
      </w:pPr>
      <w:r w:rsidRPr="00977573">
        <w:t xml:space="preserve">La </w:t>
      </w:r>
      <w:r w:rsidRPr="00977573">
        <w:rPr>
          <w:b/>
          <w:i/>
        </w:rPr>
        <w:t>Comisión</w:t>
      </w:r>
      <w:r w:rsidRPr="00977573">
        <w:t xml:space="preserve"> argumentó que el procedimiento seguido contra la señora Moya Solís fue de carácter sancionatorio y que, por esa razón, le eran aplicables las garantías establecidas en los artículos 8.1, 8.2 y 9 de la Convención Americana. En relación con el derecho a conocer previa y detalladamente la acusación, señaló que a la presunta víctima no le fueron notificados cargos o acusaciones, ni se le informó de denuncias o quejas que le permitieran presentar pruebas o descargos. Lo anterior, porque el marco normativo vigente no preveía la formulación de cargos o de una acusación que permitiera conocer los motivos que podrían fundamentar la decisión de no ratificación, </w:t>
      </w:r>
      <w:r w:rsidR="00AD3C3F">
        <w:t>lo cual imposibilitó su defensa</w:t>
      </w:r>
      <w:r w:rsidRPr="00977573">
        <w:t>. La Comisión también encontró que la decisión adoptada en el proceso de ratificación le fue notificada a la presunta víctima de manera verbal, lo que afectó su derecho a la defensa en las instancias de apelación. Alegó, además, que el proceso de ratificación no establecía causales debidamente delimitadas que permitieran a la presunta víctima entender las conductas que serían evaluadas</w:t>
      </w:r>
      <w:r w:rsidR="00AD3C3F">
        <w:t>,</w:t>
      </w:r>
      <w:r w:rsidRPr="00977573">
        <w:t xml:space="preserve"> y que la decisión de no ratificación careció de una motivación adecuada que justificara las razones por las que la señora Moya Solís no fue ratificada. </w:t>
      </w:r>
    </w:p>
    <w:p w14:paraId="24991CA0" w14:textId="77777777" w:rsidR="00654D19" w:rsidRPr="00977573" w:rsidRDefault="00654D19" w:rsidP="000F3BE2">
      <w:pPr>
        <w:rPr>
          <w:rFonts w:ascii="Verdana" w:hAnsi="Verdana"/>
          <w:sz w:val="20"/>
          <w:szCs w:val="20"/>
          <w:lang w:val="es-CO" w:eastAsia="es-MX"/>
        </w:rPr>
      </w:pPr>
    </w:p>
    <w:p w14:paraId="20EBEAD6" w14:textId="77777777" w:rsidR="00654D19" w:rsidRPr="00977573" w:rsidRDefault="00654D19" w:rsidP="000F3BE2">
      <w:pPr>
        <w:pStyle w:val="PrrafodeSentencia"/>
        <w:spacing w:line="240" w:lineRule="auto"/>
      </w:pPr>
      <w:r w:rsidRPr="00977573">
        <w:t xml:space="preserve">La </w:t>
      </w:r>
      <w:r w:rsidRPr="00977573">
        <w:rPr>
          <w:b/>
          <w:i/>
        </w:rPr>
        <w:t>presunta víctima</w:t>
      </w:r>
      <w:r w:rsidRPr="00977573">
        <w:t xml:space="preserve"> alegó que el Estado violó su derecho a conocer previa y detalladamente la acusación formulada y el derecho a tener el tiempo y los medios adecuados de defensa, así como el derecho a contar con decisiones debidamente motiva</w:t>
      </w:r>
      <w:r w:rsidR="00AD3C3F">
        <w:t>das y el principio de legalidad</w:t>
      </w:r>
      <w:r w:rsidRPr="00977573">
        <w:t xml:space="preserve">. </w:t>
      </w:r>
    </w:p>
    <w:p w14:paraId="159CDCE0" w14:textId="77777777" w:rsidR="00654D19" w:rsidRPr="00977573" w:rsidRDefault="00654D19" w:rsidP="000F3BE2">
      <w:pPr>
        <w:rPr>
          <w:rFonts w:ascii="Verdana" w:hAnsi="Verdana"/>
          <w:sz w:val="20"/>
          <w:szCs w:val="20"/>
          <w:lang w:val="es-CO" w:eastAsia="es-MX"/>
        </w:rPr>
      </w:pPr>
    </w:p>
    <w:p w14:paraId="3DD23BA4" w14:textId="77777777" w:rsidR="00654D19" w:rsidRPr="00977573" w:rsidRDefault="00654D19" w:rsidP="000F3BE2">
      <w:pPr>
        <w:pStyle w:val="PrrafodeSentencia"/>
        <w:spacing w:line="240" w:lineRule="auto"/>
      </w:pPr>
      <w:r w:rsidRPr="00977573">
        <w:t xml:space="preserve">El </w:t>
      </w:r>
      <w:r w:rsidRPr="00977573">
        <w:rPr>
          <w:b/>
          <w:i/>
        </w:rPr>
        <w:t>Estado</w:t>
      </w:r>
      <w:r w:rsidRPr="00977573">
        <w:t xml:space="preserve"> alegó que la Comisión pretende equiparar el procedimiento de ratificación de secretarios judiciales con un procedimiento disciplinario. Sin embargo, no todos los procedimientos administrativos implica</w:t>
      </w:r>
      <w:r w:rsidR="00AD3C3F">
        <w:t>n la formulación de acusaciones</w:t>
      </w:r>
      <w:r w:rsidRPr="00977573">
        <w:t xml:space="preserve">. En ese sentido, un procedimiento de ratificación es un procedimiento que evalúa el desempeño laboral, pero no se refiere a faltas o delitos, porque no se atribuyen a </w:t>
      </w:r>
      <w:r w:rsidR="00AD3C3F">
        <w:t>la persona cargos o acusaciones</w:t>
      </w:r>
      <w:r w:rsidRPr="00977573">
        <w:t>. Indicó que en los procesos de ratificación no corresponde notificar imputaciones o cargos, como si se tratara de un proceso penal o de un procedimiento administrativo disciplinario, sino que el proceso de evaluación y ratificación constituye una garantía de eficiencia y calidad del servicio público de administración de justicia. Reconoció que a todo procedimiento administrativo le resultan aplicables principios y garantías generales, entre ellos, el debido proceso y el derecho a la defensa, lo cual no implica necesariamente el derecho conocer previa y detall</w:t>
      </w:r>
      <w:r w:rsidR="00AD3C3F">
        <w:t>adamente la acusación formulada</w:t>
      </w:r>
      <w:r w:rsidRPr="00977573">
        <w:t>, y que el procedimiento de ratificación sí otorgaba los medios para que la presunta víctima pudiera conocer cuáles eran los elementos que se consideraban a efectos decidir sobre su</w:t>
      </w:r>
      <w:r w:rsidR="00AD3C3F">
        <w:t xml:space="preserve"> ratificación o no ratificación</w:t>
      </w:r>
      <w:r w:rsidRPr="00977573">
        <w:t xml:space="preserve">. </w:t>
      </w:r>
    </w:p>
    <w:p w14:paraId="4546DA3F" w14:textId="77777777" w:rsidR="00654D19" w:rsidRPr="00977573" w:rsidRDefault="00654D19" w:rsidP="000F3BE2">
      <w:pPr>
        <w:pStyle w:val="PrrafodeSentencia"/>
        <w:numPr>
          <w:ilvl w:val="0"/>
          <w:numId w:val="0"/>
        </w:numPr>
        <w:spacing w:line="240" w:lineRule="auto"/>
      </w:pPr>
    </w:p>
    <w:p w14:paraId="4A2F6A4B" w14:textId="3774FA68" w:rsidR="00654D19" w:rsidRPr="00977573" w:rsidRDefault="00654D19" w:rsidP="000F3BE2">
      <w:pPr>
        <w:pStyle w:val="PrrafodeSentencia"/>
        <w:spacing w:line="240" w:lineRule="auto"/>
      </w:pPr>
      <w:r w:rsidRPr="00977573">
        <w:t xml:space="preserve">Señaló también que la presunta víctima tuvo conocimiento del inicio del proceso de ratificación y de las actuaciones </w:t>
      </w:r>
      <w:r w:rsidR="00C873B7">
        <w:t>relacionadas</w:t>
      </w:r>
      <w:r w:rsidRPr="00977573">
        <w:t xml:space="preserve">. Indicó que </w:t>
      </w:r>
      <w:r w:rsidR="00257A7B">
        <w:t xml:space="preserve">la señora Moya Solís </w:t>
      </w:r>
      <w:r w:rsidRPr="00977573">
        <w:t>tuvo la oportunidad de conocer oportunamente la decisión de no ratificación, pues de no ser así, no hubiese podido prese</w:t>
      </w:r>
      <w:r w:rsidR="00AD3C3F">
        <w:t>ntar el recurso correspondiente</w:t>
      </w:r>
      <w:r w:rsidRPr="00977573">
        <w:t>. Sobre la motivación, sostuvo que los estándares vigentes actualmente no existían para la fecha de los hechos. Además, señaló que la Resolución de no ratificar a la presunta víctima tuvo como fundamento las deficiencias que se detectaron en la tra</w:t>
      </w:r>
      <w:r w:rsidR="00AD3C3F">
        <w:t>mitación de algunos expedientes</w:t>
      </w:r>
      <w:r w:rsidRPr="00977573">
        <w:t xml:space="preserve">. Finalmente, sobre el principio de legalidad, reiteró que durante el desarrollo del trámite del caso en la vía interna y ante la Comisión Interamericana, no se cuestionó el marco legal del proceso de ratificación, por lo que reiteró la solicitud hecha al presentar sus excepciones preliminares. </w:t>
      </w:r>
      <w:r w:rsidR="00B324F1" w:rsidRPr="00977573">
        <w:t>También d</w:t>
      </w:r>
      <w:r w:rsidRPr="00977573">
        <w:t xml:space="preserve">estacó que </w:t>
      </w:r>
      <w:r w:rsidR="002A296A" w:rsidRPr="00977573">
        <w:t xml:space="preserve">el </w:t>
      </w:r>
      <w:r w:rsidRPr="00977573">
        <w:t>grado de precisión de una norma depende de la materia evaluada y solicitó a la Corte tener en cuenta que, en este caso, la naturaleza del proceso no era disciplinaria</w:t>
      </w:r>
      <w:r w:rsidR="00CD787B" w:rsidRPr="00977573">
        <w:t>. En todo caso, el Estado señaló que la Ley Orgánica del Poder Judicial establecía cuáles eran los deberes y obligaciones</w:t>
      </w:r>
      <w:r w:rsidR="00B324F1" w:rsidRPr="00977573">
        <w:t xml:space="preserve"> de los secretarios de juzgados</w:t>
      </w:r>
      <w:r w:rsidRPr="00977573">
        <w:t>.</w:t>
      </w:r>
    </w:p>
    <w:p w14:paraId="180D9D0F" w14:textId="77777777" w:rsidR="00FC23CC" w:rsidRPr="00977573" w:rsidRDefault="00FC23CC" w:rsidP="000F3BE2">
      <w:pPr>
        <w:pStyle w:val="PrrafodeSentencia"/>
        <w:numPr>
          <w:ilvl w:val="0"/>
          <w:numId w:val="0"/>
        </w:numPr>
        <w:spacing w:line="240" w:lineRule="auto"/>
      </w:pPr>
    </w:p>
    <w:p w14:paraId="5D4F0BCF" w14:textId="77777777" w:rsidR="00EC5530" w:rsidRPr="00977573" w:rsidRDefault="00EC5530" w:rsidP="000F3BE2">
      <w:pPr>
        <w:pStyle w:val="Ttulo2"/>
        <w:spacing w:line="240" w:lineRule="auto"/>
      </w:pPr>
      <w:bookmarkStart w:id="110" w:name="_Toc61442595"/>
      <w:bookmarkStart w:id="111" w:name="_Toc64310131"/>
      <w:bookmarkStart w:id="112" w:name="_Toc65681149"/>
      <w:bookmarkStart w:id="113" w:name="_Toc69717871"/>
      <w:bookmarkStart w:id="114" w:name="_Toc74225378"/>
      <w:r w:rsidRPr="00977573">
        <w:t>Consideraciones de la Corte</w:t>
      </w:r>
      <w:bookmarkEnd w:id="110"/>
      <w:bookmarkEnd w:id="111"/>
      <w:bookmarkEnd w:id="112"/>
      <w:bookmarkEnd w:id="113"/>
      <w:bookmarkEnd w:id="114"/>
      <w:r w:rsidRPr="00977573">
        <w:t xml:space="preserve"> </w:t>
      </w:r>
    </w:p>
    <w:p w14:paraId="3C84E95A" w14:textId="77777777" w:rsidR="001C3061" w:rsidRPr="00977573" w:rsidRDefault="001C3061" w:rsidP="000F3BE2">
      <w:pPr>
        <w:rPr>
          <w:rFonts w:ascii="Verdana" w:hAnsi="Verdana"/>
          <w:lang w:val="es-CO" w:eastAsia="es-MX"/>
        </w:rPr>
      </w:pPr>
    </w:p>
    <w:p w14:paraId="51F903C7" w14:textId="77777777" w:rsidR="00CA539E" w:rsidRPr="00977573" w:rsidRDefault="00CA539E" w:rsidP="000F3BE2">
      <w:pPr>
        <w:pStyle w:val="PrrafodeSentencia"/>
        <w:spacing w:line="240" w:lineRule="auto"/>
      </w:pPr>
      <w:r w:rsidRPr="00977573">
        <w:t>A continuación, la Corte procederá a presentar sus consideraciones (1) en relación con el derecho a conocer previa y detalladamente la acusación formulada y a contar con el tiempo y los medios adecuados para preparar la defensa</w:t>
      </w:r>
      <w:r w:rsidR="00795C23" w:rsidRPr="00977573">
        <w:t xml:space="preserve"> </w:t>
      </w:r>
      <w:r w:rsidRPr="00977573">
        <w:t xml:space="preserve">y (2) </w:t>
      </w:r>
      <w:r w:rsidR="00F2232A" w:rsidRPr="00977573">
        <w:t>e</w:t>
      </w:r>
      <w:r w:rsidRPr="00977573">
        <w:t xml:space="preserve">n relación con el derecho a contar con decisiones debidamente motivadas y el principio de legalidad. </w:t>
      </w:r>
    </w:p>
    <w:p w14:paraId="5912BA37" w14:textId="77777777" w:rsidR="00CA539E" w:rsidRPr="00977573" w:rsidRDefault="00CA539E" w:rsidP="000F3BE2">
      <w:pPr>
        <w:rPr>
          <w:lang w:val="es-CO" w:eastAsia="es-MX"/>
        </w:rPr>
      </w:pPr>
    </w:p>
    <w:p w14:paraId="3E7EB06A" w14:textId="77777777" w:rsidR="00CA539E" w:rsidRPr="00977573" w:rsidRDefault="00CA539E" w:rsidP="000F3BE2">
      <w:pPr>
        <w:pStyle w:val="Ttulo3"/>
        <w:ind w:right="4"/>
      </w:pPr>
      <w:bookmarkStart w:id="115" w:name="_Toc74225379"/>
      <w:r w:rsidRPr="00977573">
        <w:t>B.1 En relación con el derecho a conocer previa y detalladamente la acusación formulada y a contar con el tiempo y los medios adecuados para preparar la defensa</w:t>
      </w:r>
      <w:bookmarkEnd w:id="115"/>
    </w:p>
    <w:p w14:paraId="1D42A395" w14:textId="77777777" w:rsidR="00CA539E" w:rsidRPr="00977573" w:rsidRDefault="00CA539E" w:rsidP="000F3BE2">
      <w:pPr>
        <w:rPr>
          <w:rFonts w:ascii="Verdana" w:hAnsi="Verdana"/>
          <w:lang w:val="es-CO" w:eastAsia="es-MX"/>
        </w:rPr>
      </w:pPr>
    </w:p>
    <w:p w14:paraId="208A5323" w14:textId="77777777" w:rsidR="00BD4F69" w:rsidRPr="00977573" w:rsidRDefault="001C3061" w:rsidP="000F3BE2">
      <w:pPr>
        <w:pStyle w:val="PrrafodeSentencia"/>
        <w:spacing w:line="240" w:lineRule="auto"/>
      </w:pPr>
      <w:r w:rsidRPr="00977573">
        <w:t>Esta Corte ha señalado de forma reiterada que</w:t>
      </w:r>
      <w:r w:rsidR="006261CE" w:rsidRPr="00977573">
        <w:rPr>
          <w:bCs/>
        </w:rPr>
        <w:t>,</w:t>
      </w:r>
      <w:r w:rsidRPr="00977573">
        <w:t xml:space="preserve"> aunque </w:t>
      </w:r>
      <w:r w:rsidR="007D5FF3" w:rsidRPr="00977573">
        <w:t>el artículo 8 de la Convención Americana se titula “Garantías Judiciales”, su aplicación no se limita a recursos judiciales en sentido estricto, “sino [al] conjunto de requisitos que deben observarse en las instancias procesales”</w:t>
      </w:r>
      <w:r w:rsidR="007D5FF3" w:rsidRPr="00977573">
        <w:rPr>
          <w:rStyle w:val="Refdenotaalpie"/>
          <w:sz w:val="20"/>
          <w:szCs w:val="20"/>
          <w:lang w:val="es-CO"/>
        </w:rPr>
        <w:footnoteReference w:id="45"/>
      </w:r>
      <w:r w:rsidR="007D5FF3" w:rsidRPr="00977573">
        <w:t xml:space="preserve"> </w:t>
      </w:r>
      <w:r w:rsidR="00604ABE" w:rsidRPr="00977573">
        <w:t>para</w:t>
      </w:r>
      <w:r w:rsidR="007D5FF3" w:rsidRPr="00977573">
        <w:t xml:space="preserve"> que las personas puedan defenderse adecuadamente ante cualquier tipo de acto del Estado que pueda afectar sus derechos. De modo que cualquier actuación u omisión de los órganos estatales dentro de un proceso, sea administrativo sancionatorio o jurisdiccional, debe respetar el debido proceso legal</w:t>
      </w:r>
      <w:r w:rsidR="007D5FF3" w:rsidRPr="00977573">
        <w:rPr>
          <w:rStyle w:val="Refdenotaalpie"/>
          <w:sz w:val="20"/>
          <w:szCs w:val="20"/>
          <w:lang w:val="es-CO"/>
        </w:rPr>
        <w:footnoteReference w:id="46"/>
      </w:r>
      <w:r w:rsidR="007D5FF3" w:rsidRPr="00977573">
        <w:t xml:space="preserve">. </w:t>
      </w:r>
    </w:p>
    <w:p w14:paraId="75A42E8B" w14:textId="77777777" w:rsidR="00BD4F69" w:rsidRPr="00977573" w:rsidRDefault="00BD4F69" w:rsidP="000F3BE2">
      <w:pPr>
        <w:pStyle w:val="PrrafodeSentencia"/>
        <w:numPr>
          <w:ilvl w:val="0"/>
          <w:numId w:val="0"/>
        </w:numPr>
        <w:spacing w:line="240" w:lineRule="auto"/>
      </w:pPr>
    </w:p>
    <w:p w14:paraId="369A799E" w14:textId="77777777" w:rsidR="00F30B22" w:rsidRPr="00977573" w:rsidRDefault="00604ABE" w:rsidP="000F3BE2">
      <w:pPr>
        <w:pStyle w:val="PrrafodeSentencia"/>
        <w:spacing w:line="240" w:lineRule="auto"/>
      </w:pPr>
      <w:r w:rsidRPr="00977573">
        <w:t xml:space="preserve">En ese sentido, </w:t>
      </w:r>
      <w:r w:rsidR="00BD4F69" w:rsidRPr="00977573">
        <w:t>de acuerdo a lo dispuesto en el artículo 8.1 de la Convención, en la determinación de los derechos</w:t>
      </w:r>
      <w:r w:rsidRPr="00977573">
        <w:t xml:space="preserve"> y obligaciones</w:t>
      </w:r>
      <w:r w:rsidR="00BD4F69" w:rsidRPr="00977573">
        <w:t xml:space="preserve"> de orden penal, civil, laboral, fiscal o de cualquier otro carácter,</w:t>
      </w:r>
      <w:r w:rsidR="000B52C3" w:rsidRPr="00977573">
        <w:t xml:space="preserve"> las personas</w:t>
      </w:r>
      <w:r w:rsidR="00BD4F69" w:rsidRPr="00977573">
        <w:t xml:space="preserve"> </w:t>
      </w:r>
      <w:r w:rsidRPr="00977573">
        <w:t xml:space="preserve">tienen derecho a ser oídas, con las debidas garantías y dentro de un plazo razonable, por un juez o tribunal competente, independiente e imparcial, establecido con anterioridad por la ley. </w:t>
      </w:r>
      <w:r w:rsidR="00A23836" w:rsidRPr="00977573">
        <w:t>E</w:t>
      </w:r>
      <w:r w:rsidRPr="00977573">
        <w:t xml:space="preserve">l </w:t>
      </w:r>
      <w:r w:rsidR="00BD4F69" w:rsidRPr="00977573">
        <w:t xml:space="preserve">incumplimiento de </w:t>
      </w:r>
      <w:r w:rsidR="009F19F3" w:rsidRPr="00977573">
        <w:t>alg</w:t>
      </w:r>
      <w:r w:rsidR="00BD4F69" w:rsidRPr="00977573">
        <w:t xml:space="preserve">una de esas garantías </w:t>
      </w:r>
      <w:r w:rsidRPr="00977573">
        <w:t>implica la</w:t>
      </w:r>
      <w:r w:rsidR="00BD4F69" w:rsidRPr="00977573">
        <w:t xml:space="preserve"> violación de </w:t>
      </w:r>
      <w:r w:rsidR="00A115DA" w:rsidRPr="00977573">
        <w:t>dicha</w:t>
      </w:r>
      <w:r w:rsidR="00BD4F69" w:rsidRPr="00977573">
        <w:t xml:space="preserve"> disposición convencional</w:t>
      </w:r>
      <w:r w:rsidR="00BD4F69" w:rsidRPr="00977573">
        <w:rPr>
          <w:rStyle w:val="Refdenotaalpie"/>
          <w:sz w:val="20"/>
          <w:szCs w:val="20"/>
          <w:lang w:val="es-CO"/>
        </w:rPr>
        <w:footnoteReference w:id="47"/>
      </w:r>
      <w:r w:rsidR="00BD4F69" w:rsidRPr="00977573">
        <w:t>.</w:t>
      </w:r>
      <w:r w:rsidR="00A115DA" w:rsidRPr="00977573">
        <w:t xml:space="preserve"> </w:t>
      </w:r>
    </w:p>
    <w:p w14:paraId="5F386442" w14:textId="77777777" w:rsidR="00F30B22" w:rsidRPr="00977573" w:rsidRDefault="00F30B22" w:rsidP="000F3BE2">
      <w:pPr>
        <w:pStyle w:val="PrrafodeSentencia"/>
        <w:numPr>
          <w:ilvl w:val="0"/>
          <w:numId w:val="0"/>
        </w:numPr>
        <w:spacing w:line="240" w:lineRule="auto"/>
      </w:pPr>
    </w:p>
    <w:p w14:paraId="116B2B38" w14:textId="77777777" w:rsidR="00B05B1E" w:rsidRPr="00977573" w:rsidRDefault="00A115DA" w:rsidP="000F3BE2">
      <w:pPr>
        <w:pStyle w:val="PrrafodeSentencia"/>
        <w:spacing w:line="240" w:lineRule="auto"/>
      </w:pPr>
      <w:r w:rsidRPr="00977573">
        <w:t xml:space="preserve">Por su parte, </w:t>
      </w:r>
      <w:r w:rsidR="00BD4F69" w:rsidRPr="00977573">
        <w:t>el artículo 8.2 de la Convención establece las garantías mínimas que deben ser aseguradas por los Estados en f</w:t>
      </w:r>
      <w:r w:rsidRPr="00977573">
        <w:t>unción del debido proceso legal</w:t>
      </w:r>
      <w:r w:rsidR="00BD4F69" w:rsidRPr="00977573">
        <w:rPr>
          <w:rStyle w:val="Refdenotaalpie"/>
          <w:sz w:val="20"/>
          <w:szCs w:val="20"/>
          <w:lang w:val="es-CO"/>
        </w:rPr>
        <w:footnoteReference w:id="48"/>
      </w:r>
      <w:r w:rsidR="00F30B22" w:rsidRPr="00977573">
        <w:t xml:space="preserve">. </w:t>
      </w:r>
      <w:r w:rsidR="00B05B1E" w:rsidRPr="00977573">
        <w:t xml:space="preserve">La Corte se ha pronunciado en su jurisprudencia sobre </w:t>
      </w:r>
      <w:r w:rsidR="00F30B22" w:rsidRPr="00977573">
        <w:t>el</w:t>
      </w:r>
      <w:r w:rsidR="00B05B1E" w:rsidRPr="00977573">
        <w:t xml:space="preserve"> alcance</w:t>
      </w:r>
      <w:r w:rsidR="00F30B22" w:rsidRPr="00977573">
        <w:t xml:space="preserve"> de este artículo</w:t>
      </w:r>
      <w:r w:rsidR="00B05B1E" w:rsidRPr="00977573">
        <w:t xml:space="preserve"> y ha establecido que no se limita a procesos penales, sino que lo ha extendido, en lo pertinente, a procesos administrativos seguidos ante autoridades estatales y a procesos judiciales de carácter no penal en el ámbito constitucional, administrativo y laboral</w:t>
      </w:r>
      <w:r w:rsidR="00B05B1E" w:rsidRPr="00977573">
        <w:rPr>
          <w:rStyle w:val="Refdenotaalpie"/>
          <w:sz w:val="20"/>
          <w:szCs w:val="20"/>
          <w:lang w:val="es-CO"/>
        </w:rPr>
        <w:footnoteReference w:id="49"/>
      </w:r>
      <w:r w:rsidR="00B05B1E" w:rsidRPr="00977573">
        <w:t>. Asimismo</w:t>
      </w:r>
      <w:r w:rsidR="0025772B" w:rsidRPr="00977573">
        <w:t>,</w:t>
      </w:r>
      <w:r w:rsidR="00B05B1E" w:rsidRPr="00977573">
        <w:t xml:space="preserve"> ha indicado que</w:t>
      </w:r>
      <w:r w:rsidR="002A296A" w:rsidRPr="00977573">
        <w:t>,</w:t>
      </w:r>
      <w:r w:rsidR="00B05B1E" w:rsidRPr="00977573">
        <w:t xml:space="preserve"> tanto en estas como en otro tipo de materias</w:t>
      </w:r>
      <w:r w:rsidR="002A296A" w:rsidRPr="00977573">
        <w:t>,</w:t>
      </w:r>
      <w:r w:rsidR="00B05B1E" w:rsidRPr="00977573">
        <w:t xml:space="preserve"> “el individuo tiene también derecho, en general, al debido proceso que se aplica en materia penal”</w:t>
      </w:r>
      <w:r w:rsidR="00B05B1E" w:rsidRPr="00977573">
        <w:rPr>
          <w:rStyle w:val="Refdenotaalpie"/>
          <w:sz w:val="20"/>
          <w:szCs w:val="20"/>
          <w:lang w:val="es-CO"/>
        </w:rPr>
        <w:footnoteReference w:id="50"/>
      </w:r>
      <w:r w:rsidR="00B05B1E" w:rsidRPr="00977573">
        <w:t>. Esto indica que las garantías del artículo 8.2 de la Convención no son exclusivas de los procesos penales, sino que pueden ser aplicadas a procesos de carácter sancionatorio. Lo que corresponde en cada caso es determinar las garantías mínimas que conciernen a un determinado proceso sancionatorio no penal, según su naturaleza y alcance</w:t>
      </w:r>
      <w:r w:rsidR="00B05B1E" w:rsidRPr="00977573">
        <w:rPr>
          <w:rStyle w:val="Refdenotaalpie"/>
          <w:sz w:val="20"/>
          <w:szCs w:val="20"/>
          <w:lang w:val="es-CO"/>
        </w:rPr>
        <w:footnoteReference w:id="51"/>
      </w:r>
      <w:r w:rsidR="00B05B1E" w:rsidRPr="00977573">
        <w:t>.</w:t>
      </w:r>
    </w:p>
    <w:p w14:paraId="5765C4C1" w14:textId="77777777" w:rsidR="00B05B1E" w:rsidRPr="00977573" w:rsidRDefault="00B05B1E" w:rsidP="000F3BE2">
      <w:pPr>
        <w:rPr>
          <w:rFonts w:ascii="Verdana" w:hAnsi="Verdana"/>
          <w:sz w:val="20"/>
          <w:szCs w:val="20"/>
          <w:lang w:val="es-CO" w:eastAsia="es-MX"/>
        </w:rPr>
      </w:pPr>
    </w:p>
    <w:p w14:paraId="763A0FE7" w14:textId="77777777" w:rsidR="00B05B1E" w:rsidRPr="00977573" w:rsidRDefault="00B05B1E" w:rsidP="000F3BE2">
      <w:pPr>
        <w:pStyle w:val="PrrafodeSentencia"/>
        <w:spacing w:line="240" w:lineRule="auto"/>
      </w:pPr>
      <w:r w:rsidRPr="00977573">
        <w:t xml:space="preserve">Ahora bien, este caso se refiere a un proceso de ratificación de una funcionaria judicial. Ese proceso consistía en la evaluación del desempeño de la presunta víctima, con el objeto de establecer si era ratificada en su cargo o separada del mismo. </w:t>
      </w:r>
      <w:r w:rsidR="00285696" w:rsidRPr="00977573">
        <w:t>E</w:t>
      </w:r>
      <w:r w:rsidRPr="00977573">
        <w:t>l Estado</w:t>
      </w:r>
      <w:r w:rsidR="000D6FC7" w:rsidRPr="00977573">
        <w:t xml:space="preserve"> alegó que</w:t>
      </w:r>
      <w:r w:rsidRPr="00977573">
        <w:t xml:space="preserve"> los procesos de evaluación tienen diferencias con los procesos disciplinarios, pues los primeros buscan evaluar al funcionario cada cierto tiempo, mientras que los segundos buscan establecer si se cometió una infracción administrativa. No obstante, ambos procesos </w:t>
      </w:r>
      <w:r w:rsidR="000D6FC7" w:rsidRPr="00977573">
        <w:t>tiene</w:t>
      </w:r>
      <w:r w:rsidR="00B815DA" w:rsidRPr="00977573">
        <w:t>n</w:t>
      </w:r>
      <w:r w:rsidR="007F328B" w:rsidRPr="00977573">
        <w:t xml:space="preserve"> </w:t>
      </w:r>
      <w:r w:rsidR="000D6FC7" w:rsidRPr="00977573">
        <w:t xml:space="preserve">como finalidad evaluar </w:t>
      </w:r>
      <w:r w:rsidRPr="00977573">
        <w:t xml:space="preserve">la conducta e idoneidad de un funcionario, sea periódicamente o como resultado de la presunta comisión de una falta. Además, cuando un proceso de evaluación concluye que la calificación del desempeño de un funcionario o funcionaria no fue satisfactoria y debe, por ello, ser separado de su cargo, se convierte en un proceso materialmente sancionatorio, pues la desvinculación de la persona evaluada es una sanción a su bajo desempeño. </w:t>
      </w:r>
    </w:p>
    <w:p w14:paraId="2C81116C" w14:textId="77777777" w:rsidR="00B05B1E" w:rsidRPr="00977573" w:rsidRDefault="00B05B1E" w:rsidP="000F3BE2">
      <w:pPr>
        <w:rPr>
          <w:rFonts w:ascii="Verdana" w:hAnsi="Verdana"/>
          <w:sz w:val="20"/>
          <w:szCs w:val="20"/>
          <w:highlight w:val="lightGray"/>
          <w:lang w:val="es-CO" w:eastAsia="es-MX"/>
        </w:rPr>
      </w:pPr>
    </w:p>
    <w:p w14:paraId="6E86237D" w14:textId="77777777" w:rsidR="006917C9" w:rsidRPr="00977573" w:rsidRDefault="000B52C3" w:rsidP="000F3BE2">
      <w:pPr>
        <w:pStyle w:val="PrrafodeSentencia"/>
        <w:spacing w:line="240" w:lineRule="auto"/>
      </w:pPr>
      <w:r w:rsidRPr="00977573">
        <w:t>En ese sentido, a</w:t>
      </w:r>
      <w:r w:rsidR="001C3061" w:rsidRPr="00977573">
        <w:t xml:space="preserve"> </w:t>
      </w:r>
      <w:r w:rsidRPr="00977573">
        <w:t xml:space="preserve">juicio de la Corte, a </w:t>
      </w:r>
      <w:r w:rsidR="001D6B14" w:rsidRPr="00977573">
        <w:t xml:space="preserve">un proceso de evaluación o ratificación, en tanto </w:t>
      </w:r>
      <w:r w:rsidRPr="00977573">
        <w:t xml:space="preserve">involucra la posibilidad de </w:t>
      </w:r>
      <w:r w:rsidR="00504A3C" w:rsidRPr="00977573">
        <w:t>destitución de los funcionarios evaluados</w:t>
      </w:r>
      <w:r w:rsidRPr="00977573">
        <w:t xml:space="preserve"> en casos de incompetencia o bajo rendimiento</w:t>
      </w:r>
      <w:r w:rsidR="001D6B14" w:rsidRPr="00977573">
        <w:t>, le son aplicables las garantías del debido proceso propias de los procesos disciplinarios</w:t>
      </w:r>
      <w:r w:rsidR="00217C95" w:rsidRPr="00977573">
        <w:t xml:space="preserve">, </w:t>
      </w:r>
      <w:r w:rsidR="005B5B9B" w:rsidRPr="00977573">
        <w:t>aunque su alcance pued</w:t>
      </w:r>
      <w:r w:rsidR="00460A63" w:rsidRPr="00977573">
        <w:t>a</w:t>
      </w:r>
      <w:r w:rsidR="005B5B9B" w:rsidRPr="00977573">
        <w:t xml:space="preserve"> ser de diferente </w:t>
      </w:r>
      <w:r w:rsidR="00504A3C" w:rsidRPr="00977573">
        <w:t xml:space="preserve">contenido o </w:t>
      </w:r>
      <w:r w:rsidR="005B5B9B" w:rsidRPr="00977573">
        <w:t xml:space="preserve">intensidad. </w:t>
      </w:r>
      <w:r w:rsidR="002E35B1" w:rsidRPr="00977573">
        <w:t>En este caso</w:t>
      </w:r>
      <w:r w:rsidR="006261CE" w:rsidRPr="00977573">
        <w:rPr>
          <w:bCs/>
        </w:rPr>
        <w:t>,</w:t>
      </w:r>
      <w:r w:rsidR="002E35B1" w:rsidRPr="00977573">
        <w:t xml:space="preserve"> la Comisión y la presunta víctima alegaron la violación del artículo 8.2 literales b y c, esto es, del derecho a conocer previa y detalladamente la acusación formulada y del derecho a contar con el tiempo y los medios ade</w:t>
      </w:r>
      <w:r w:rsidR="00217C95" w:rsidRPr="00977573">
        <w:t>cuados para la defensa, garantías que, a</w:t>
      </w:r>
      <w:r w:rsidR="006917C9" w:rsidRPr="00977573">
        <w:t xml:space="preserve"> juicio de la Corte, son aplicables</w:t>
      </w:r>
      <w:r w:rsidR="009F19F3" w:rsidRPr="00977573">
        <w:t xml:space="preserve"> al caso concreto</w:t>
      </w:r>
      <w:r w:rsidR="00217C95" w:rsidRPr="00977573">
        <w:t>,</w:t>
      </w:r>
      <w:r w:rsidR="006917C9" w:rsidRPr="00977573">
        <w:t xml:space="preserve"> aunque su alcance </w:t>
      </w:r>
      <w:r w:rsidR="00217C95" w:rsidRPr="00977573">
        <w:t>debe ser precisado en función de las características propias de los procesos de evaluación o ratificación</w:t>
      </w:r>
      <w:r w:rsidR="006917C9" w:rsidRPr="00977573">
        <w:t xml:space="preserve">. </w:t>
      </w:r>
    </w:p>
    <w:p w14:paraId="2B0C68A6" w14:textId="77777777" w:rsidR="001D6B14" w:rsidRPr="00977573" w:rsidRDefault="001D6B14" w:rsidP="000F3BE2">
      <w:pPr>
        <w:rPr>
          <w:rFonts w:ascii="Verdana" w:hAnsi="Verdana"/>
          <w:lang w:val="es-CO" w:eastAsia="es-MX"/>
        </w:rPr>
      </w:pPr>
    </w:p>
    <w:p w14:paraId="1617740F" w14:textId="77777777" w:rsidR="006917C9" w:rsidRPr="00977573" w:rsidRDefault="00217C95" w:rsidP="000F3BE2">
      <w:pPr>
        <w:pStyle w:val="PrrafodeSentencia"/>
        <w:spacing w:line="240" w:lineRule="auto"/>
      </w:pPr>
      <w:r w:rsidRPr="00977573">
        <w:t>E</w:t>
      </w:r>
      <w:r w:rsidR="006917C9" w:rsidRPr="00977573">
        <w:t>n relación con el primero de estos derechos, la Corte ha establecido que implica que se haga una descripción material de la conducta imputada que contenga los datos fácticos recogidos en la acusación, que constituyen la referencia indispensable para el ejercicio de la defensa. De ahí que el acusado tenga derecho a conocer, a través de una descripción clara, detallada y precisa, los hechos que se le imputan</w:t>
      </w:r>
      <w:r w:rsidR="006917C9" w:rsidRPr="00977573">
        <w:rPr>
          <w:rStyle w:val="Refdenotaalpie"/>
          <w:sz w:val="20"/>
          <w:szCs w:val="20"/>
          <w:lang w:val="es-CO"/>
        </w:rPr>
        <w:footnoteReference w:id="52"/>
      </w:r>
      <w:r w:rsidR="00236CE3" w:rsidRPr="00977573">
        <w:t xml:space="preserve">. </w:t>
      </w:r>
      <w:r w:rsidR="00753E25" w:rsidRPr="00977573">
        <w:t>En el caso Barreto Leiva Vs. Venezuela, la Corte se refirió a esta garantía y señaló que, para satisfacerla “el Estado debe informar al interesado no solamente de la causa de la acusación, esto es, las acciones u omisiones que se le imputan, sino también las razones que llevan al Estado a formular la imputación, los fundamentos probatorios de ésta y la caracterización legal que se da a esos hechos”</w:t>
      </w:r>
      <w:r w:rsidR="00753E25" w:rsidRPr="00977573">
        <w:rPr>
          <w:rStyle w:val="Refdenotaalpie"/>
          <w:sz w:val="20"/>
          <w:szCs w:val="20"/>
          <w:lang w:val="es-CO"/>
        </w:rPr>
        <w:footnoteReference w:id="53"/>
      </w:r>
      <w:r w:rsidR="00753E25" w:rsidRPr="00977573">
        <w:t xml:space="preserve">. </w:t>
      </w:r>
      <w:r w:rsidR="006917C9" w:rsidRPr="00977573">
        <w:t xml:space="preserve">Ahora bien, la Corte encuentra que, tratándose de procesos de evaluación o ratificación de funcionarios públicos, el derecho a conocer previa y detalladamente la acusación formulada implica que las personas evaluadas </w:t>
      </w:r>
      <w:r w:rsidR="009F19F3" w:rsidRPr="00977573">
        <w:t>tengan</w:t>
      </w:r>
      <w:r w:rsidR="006917C9" w:rsidRPr="00977573">
        <w:t xml:space="preserve"> conocimiento</w:t>
      </w:r>
      <w:r w:rsidR="0025772B" w:rsidRPr="00977573">
        <w:t>,</w:t>
      </w:r>
      <w:r w:rsidR="006917C9" w:rsidRPr="00977573">
        <w:t xml:space="preserve"> </w:t>
      </w:r>
      <w:r w:rsidRPr="00977573">
        <w:t>de</w:t>
      </w:r>
      <w:r w:rsidR="006917C9" w:rsidRPr="00977573">
        <w:t xml:space="preserve"> forma precisa</w:t>
      </w:r>
      <w:r w:rsidR="0025772B" w:rsidRPr="00977573">
        <w:t>,</w:t>
      </w:r>
      <w:r w:rsidR="006917C9" w:rsidRPr="00977573">
        <w:t xml:space="preserve"> de los criterios generales de evaluación utilizados por la autoridad competente para determinar su permanencia en el cargo</w:t>
      </w:r>
      <w:r w:rsidR="0025772B" w:rsidRPr="00977573">
        <w:t xml:space="preserve">. Lo anterior, para </w:t>
      </w:r>
      <w:r w:rsidR="006917C9" w:rsidRPr="00977573">
        <w:t>estar en capacidad de establecer si el incumplimiento identificado por la autoridad es de tal magnitud</w:t>
      </w:r>
      <w:r w:rsidR="0025772B" w:rsidRPr="00977573">
        <w:t>,</w:t>
      </w:r>
      <w:r w:rsidR="006917C9" w:rsidRPr="00977573">
        <w:t xml:space="preserve"> que puede dar lugar a su no ratificación</w:t>
      </w:r>
      <w:r w:rsidRPr="00977573">
        <w:t xml:space="preserve">, lo que además es indispensable para </w:t>
      </w:r>
      <w:r w:rsidR="0025772B" w:rsidRPr="00977573">
        <w:t>el ejercicio del</w:t>
      </w:r>
      <w:r w:rsidRPr="00977573">
        <w:t xml:space="preserve"> derecho a la defensa</w:t>
      </w:r>
      <w:r w:rsidR="006917C9" w:rsidRPr="00977573">
        <w:t xml:space="preserve">.  </w:t>
      </w:r>
    </w:p>
    <w:p w14:paraId="1CCC2F6E" w14:textId="77777777" w:rsidR="006917C9" w:rsidRPr="00977573" w:rsidRDefault="006917C9" w:rsidP="000F3BE2">
      <w:pPr>
        <w:rPr>
          <w:rFonts w:ascii="Verdana" w:hAnsi="Verdana"/>
          <w:lang w:val="es-CO" w:eastAsia="es-MX"/>
        </w:rPr>
      </w:pPr>
    </w:p>
    <w:p w14:paraId="6044497A" w14:textId="77777777" w:rsidR="006917C9" w:rsidRPr="00977573" w:rsidRDefault="006917C9" w:rsidP="000F3BE2">
      <w:pPr>
        <w:pStyle w:val="PrrafodeSentencia"/>
        <w:spacing w:line="240" w:lineRule="auto"/>
      </w:pPr>
      <w:r w:rsidRPr="00977573">
        <w:t xml:space="preserve">Por </w:t>
      </w:r>
      <w:r w:rsidR="00217C95" w:rsidRPr="00977573">
        <w:t>otra</w:t>
      </w:r>
      <w:r w:rsidRPr="00977573">
        <w:t xml:space="preserve"> parte, de acuerdo con la jurisprudencia de este Tribunal, el derecho a contar con el tiempo y los medios adecuados para preparar la defensa, obliga al Estado a permitir el acceso de la persona al conocimiento del expediente llevado en su contra e implica que se debe respetar el principio del contradictorio, que garantiza la intervención de la persona en el análisis de la prueba</w:t>
      </w:r>
      <w:r w:rsidRPr="00977573">
        <w:rPr>
          <w:rStyle w:val="Refdenotaalpie"/>
          <w:sz w:val="20"/>
          <w:szCs w:val="20"/>
          <w:lang w:val="es-CO"/>
        </w:rPr>
        <w:footnoteReference w:id="54"/>
      </w:r>
      <w:r w:rsidRPr="00977573">
        <w:t>. Además, los medios adec</w:t>
      </w:r>
      <w:r w:rsidR="00A23836" w:rsidRPr="00977573">
        <w:t>uados para presentar la defensa</w:t>
      </w:r>
      <w:r w:rsidRPr="00977573">
        <w:t xml:space="preserve"> comprenden todos los materiales y pruebas utilizados, así como los documentos exculpatorios</w:t>
      </w:r>
      <w:r w:rsidRPr="00977573">
        <w:rPr>
          <w:rStyle w:val="Refdenotaalpie"/>
          <w:sz w:val="20"/>
          <w:szCs w:val="20"/>
          <w:lang w:val="es-CO"/>
        </w:rPr>
        <w:footnoteReference w:id="55"/>
      </w:r>
      <w:r w:rsidRPr="00977573">
        <w:t xml:space="preserve">. En relación con los procesos de evaluación de funcionarios públicos, la Corte encuentra que esta garantía implica que la persona evaluada </w:t>
      </w:r>
      <w:r w:rsidR="00410E4C">
        <w:t>tenga</w:t>
      </w:r>
      <w:r w:rsidRPr="00977573">
        <w:t xml:space="preserve"> derecho a </w:t>
      </w:r>
      <w:r w:rsidR="00217C95" w:rsidRPr="00977573">
        <w:t>conocer</w:t>
      </w:r>
      <w:r w:rsidRPr="00977573">
        <w:t xml:space="preserve"> las razones por las cuales las autoridades competentes consideran que hay incompetencia o </w:t>
      </w:r>
      <w:r w:rsidR="00F311DD" w:rsidRPr="00977573">
        <w:t>incumplimiento</w:t>
      </w:r>
      <w:r w:rsidR="00241BBF" w:rsidRPr="00977573">
        <w:t>,</w:t>
      </w:r>
      <w:r w:rsidRPr="00977573">
        <w:t xml:space="preserve"> </w:t>
      </w:r>
      <w:r w:rsidR="00217C95" w:rsidRPr="00977573">
        <w:t xml:space="preserve">a </w:t>
      </w:r>
      <w:r w:rsidRPr="00977573">
        <w:t xml:space="preserve">ofrecer argumentos orientados a desvirtuar la postura de las autoridades </w:t>
      </w:r>
      <w:r w:rsidR="00F311DD" w:rsidRPr="00977573">
        <w:t>a</w:t>
      </w:r>
      <w:r w:rsidR="00241BBF" w:rsidRPr="00977573">
        <w:t>ntes de una decisión definitiva</w:t>
      </w:r>
      <w:r w:rsidR="00F311DD" w:rsidRPr="00977573">
        <w:t xml:space="preserve"> </w:t>
      </w:r>
      <w:r w:rsidRPr="00977573">
        <w:t>y</w:t>
      </w:r>
      <w:r w:rsidR="00A23836" w:rsidRPr="00977573">
        <w:t>,</w:t>
      </w:r>
      <w:r w:rsidR="00504A3C" w:rsidRPr="00977573">
        <w:t xml:space="preserve"> en </w:t>
      </w:r>
      <w:r w:rsidR="003A1952" w:rsidRPr="00977573">
        <w:t>general</w:t>
      </w:r>
      <w:r w:rsidR="00A23836" w:rsidRPr="00977573">
        <w:t>,</w:t>
      </w:r>
      <w:r w:rsidR="003A1952" w:rsidRPr="00977573">
        <w:t xml:space="preserve"> a</w:t>
      </w:r>
      <w:r w:rsidRPr="00977573">
        <w:t xml:space="preserve"> ofrecer pruebas</w:t>
      </w:r>
      <w:r w:rsidR="00504A3C" w:rsidRPr="00977573">
        <w:t xml:space="preserve"> sobre la idoneidad de su desempeño.</w:t>
      </w:r>
    </w:p>
    <w:p w14:paraId="36C3C834" w14:textId="77777777" w:rsidR="001D6B14" w:rsidRPr="00977573" w:rsidRDefault="001D6B14" w:rsidP="000F3BE2">
      <w:pPr>
        <w:rPr>
          <w:rFonts w:ascii="Verdana" w:hAnsi="Verdana"/>
          <w:lang w:val="es-CO" w:eastAsia="es-MX"/>
        </w:rPr>
      </w:pPr>
    </w:p>
    <w:p w14:paraId="0FE44889" w14:textId="77777777" w:rsidR="005B5B9B" w:rsidRPr="00977573" w:rsidRDefault="003A1952" w:rsidP="000F3BE2">
      <w:pPr>
        <w:pStyle w:val="PrrafodeSentencia"/>
        <w:spacing w:line="240" w:lineRule="auto"/>
      </w:pPr>
      <w:r w:rsidRPr="00977573">
        <w:t>C</w:t>
      </w:r>
      <w:r w:rsidR="00F311DD" w:rsidRPr="00977573">
        <w:t xml:space="preserve">onforme a lo anterior, le corresponde a la Corte analizar el caso concreto para establecer si se garantizaron los derechos de la señora Moya Solís a </w:t>
      </w:r>
      <w:r w:rsidR="005B5B9B" w:rsidRPr="00977573">
        <w:t xml:space="preserve">(i) </w:t>
      </w:r>
      <w:r w:rsidR="007E7253" w:rsidRPr="00977573">
        <w:t>conocer en forma precisa</w:t>
      </w:r>
      <w:r w:rsidR="005B5B9B" w:rsidRPr="00977573">
        <w:t xml:space="preserve"> los criterios generales de evaluación utilizados por la autoridad competente para determinar </w:t>
      </w:r>
      <w:r w:rsidR="007E7253" w:rsidRPr="00977573">
        <w:t>su</w:t>
      </w:r>
      <w:r w:rsidR="005B5B9B" w:rsidRPr="00977573">
        <w:t xml:space="preserve"> permanencia en el cargo; (ii) conocer las razones por las cuáles las autoridades competentes considera</w:t>
      </w:r>
      <w:r w:rsidR="00F311DD" w:rsidRPr="00977573">
        <w:t>ba</w:t>
      </w:r>
      <w:r w:rsidR="005B5B9B" w:rsidRPr="00977573">
        <w:t xml:space="preserve">n que </w:t>
      </w:r>
      <w:r w:rsidR="00B80801" w:rsidRPr="00977573">
        <w:t xml:space="preserve">no </w:t>
      </w:r>
      <w:r w:rsidR="00F311DD" w:rsidRPr="00977573">
        <w:t>era idónea</w:t>
      </w:r>
      <w:r w:rsidR="005B5B9B" w:rsidRPr="00977573">
        <w:t xml:space="preserve"> para seguir ejerciendo sus funciones</w:t>
      </w:r>
      <w:r w:rsidR="00460A63" w:rsidRPr="00977573">
        <w:t>; (iii) exponer, antes de que se adopt</w:t>
      </w:r>
      <w:r w:rsidR="009F19F3" w:rsidRPr="00977573">
        <w:t>ara</w:t>
      </w:r>
      <w:r w:rsidR="00460A63" w:rsidRPr="00977573">
        <w:t xml:space="preserve"> una </w:t>
      </w:r>
      <w:r w:rsidR="005B5B9B" w:rsidRPr="00977573">
        <w:t>decisión</w:t>
      </w:r>
      <w:r w:rsidR="00460A63" w:rsidRPr="00977573">
        <w:t>,</w:t>
      </w:r>
      <w:r w:rsidR="005B5B9B" w:rsidRPr="00977573">
        <w:t xml:space="preserve"> </w:t>
      </w:r>
      <w:r w:rsidR="009F19F3" w:rsidRPr="00977573">
        <w:t xml:space="preserve">los </w:t>
      </w:r>
      <w:r w:rsidR="00460A63" w:rsidRPr="00977573">
        <w:t xml:space="preserve">argumentos orientados a desvirtuar </w:t>
      </w:r>
      <w:r w:rsidR="00F311DD" w:rsidRPr="00977573">
        <w:t>sus</w:t>
      </w:r>
      <w:r w:rsidR="00460A63" w:rsidRPr="00977573">
        <w:t xml:space="preserve"> presuntos incumplimientos; </w:t>
      </w:r>
      <w:r w:rsidR="00F311DD" w:rsidRPr="00977573">
        <w:t>y</w:t>
      </w:r>
      <w:r w:rsidR="00460A63" w:rsidRPr="00977573">
        <w:t xml:space="preserve"> (iv) </w:t>
      </w:r>
      <w:r w:rsidR="005B5B9B" w:rsidRPr="00977573">
        <w:t>ofrecer prueba</w:t>
      </w:r>
      <w:r w:rsidR="00460A63" w:rsidRPr="00977573">
        <w:t>s</w:t>
      </w:r>
      <w:r w:rsidR="005B5B9B" w:rsidRPr="00977573">
        <w:t>.</w:t>
      </w:r>
      <w:r w:rsidR="007E7253" w:rsidRPr="00977573">
        <w:t xml:space="preserve"> </w:t>
      </w:r>
    </w:p>
    <w:p w14:paraId="43BF7AD9" w14:textId="77777777" w:rsidR="005D480B" w:rsidRPr="00977573" w:rsidRDefault="005D480B" w:rsidP="000F3BE2">
      <w:pPr>
        <w:pStyle w:val="Sinespaciado"/>
        <w:rPr>
          <w:lang w:val="es-CO"/>
        </w:rPr>
      </w:pPr>
    </w:p>
    <w:p w14:paraId="23D8B0D3" w14:textId="35AAF4CE" w:rsidR="0098570F" w:rsidRPr="00977573" w:rsidRDefault="00297F53" w:rsidP="000F3BE2">
      <w:pPr>
        <w:pStyle w:val="PrrafodeSentencia"/>
        <w:spacing w:line="240" w:lineRule="auto"/>
      </w:pPr>
      <w:r w:rsidRPr="00977573">
        <w:t>En este caso,</w:t>
      </w:r>
      <w:r w:rsidR="00CD150B" w:rsidRPr="00977573">
        <w:t xml:space="preserve"> </w:t>
      </w:r>
      <w:r w:rsidR="00B06A94" w:rsidRPr="00977573">
        <w:t>la Corte encuentra que</w:t>
      </w:r>
      <w:r w:rsidR="003F12A9">
        <w:t>,</w:t>
      </w:r>
      <w:r w:rsidR="00B06A94" w:rsidRPr="00977573">
        <w:t xml:space="preserve"> </w:t>
      </w:r>
      <w:r w:rsidR="00CD150B" w:rsidRPr="00977573">
        <w:t>de acuerdo con</w:t>
      </w:r>
      <w:r w:rsidR="00D90E19" w:rsidRPr="00977573">
        <w:t xml:space="preserve"> la </w:t>
      </w:r>
      <w:r w:rsidR="00241BBF" w:rsidRPr="00977573">
        <w:t>normativa</w:t>
      </w:r>
      <w:r w:rsidR="00D90E19" w:rsidRPr="00977573">
        <w:t xml:space="preserve"> vigente al momento de los hechos</w:t>
      </w:r>
      <w:r w:rsidR="00CD150B" w:rsidRPr="00977573">
        <w:t>,</w:t>
      </w:r>
      <w:r w:rsidR="00D90E19" w:rsidRPr="00977573">
        <w:t xml:space="preserve"> </w:t>
      </w:r>
      <w:r w:rsidR="001D1AC6" w:rsidRPr="00977573">
        <w:t xml:space="preserve">en el marco del proceso de evaluación de las y los secretarios judiciales, </w:t>
      </w:r>
      <w:r w:rsidR="00D90E19" w:rsidRPr="00977573">
        <w:t xml:space="preserve">el </w:t>
      </w:r>
      <w:r w:rsidR="00CD150B" w:rsidRPr="00977573">
        <w:t>V</w:t>
      </w:r>
      <w:r w:rsidR="00D90E19" w:rsidRPr="00977573">
        <w:t xml:space="preserve">ocal </w:t>
      </w:r>
      <w:r w:rsidR="00CD150B" w:rsidRPr="00977573">
        <w:t>C</w:t>
      </w:r>
      <w:r w:rsidR="00D90E19" w:rsidRPr="00977573">
        <w:t>omisionado para la investigación debía (a) revisar los expedientes en trámite para emitir el informe sobre la actuación del secretario o secretaria; (b) precisar los casos de incumplimiento de las obligaciones legales en que hubiera incurrido el secretario o secretaria; y (c) obtener informe escrito del secretario o secretaria en los casos de incumplimiento y recibir las pruebas de descargo a que hubiere lugar</w:t>
      </w:r>
      <w:r w:rsidR="00D90E19" w:rsidRPr="00977573">
        <w:rPr>
          <w:rStyle w:val="Refdenotaalpie"/>
          <w:sz w:val="20"/>
          <w:szCs w:val="20"/>
          <w:lang w:val="es-CO"/>
        </w:rPr>
        <w:footnoteReference w:id="56"/>
      </w:r>
      <w:r w:rsidR="00D90E19" w:rsidRPr="00977573">
        <w:t xml:space="preserve">. En ese sentido, la </w:t>
      </w:r>
      <w:r w:rsidR="00241BBF" w:rsidRPr="00977573">
        <w:t>normativa</w:t>
      </w:r>
      <w:r w:rsidR="00D90E19" w:rsidRPr="00977573">
        <w:t xml:space="preserve"> estaba orientada a asegurar que, en los casos en que </w:t>
      </w:r>
      <w:r w:rsidR="00DD339F" w:rsidRPr="00977573">
        <w:t xml:space="preserve">el vocal </w:t>
      </w:r>
      <w:r w:rsidR="00D90E19" w:rsidRPr="00977573">
        <w:t>encargad</w:t>
      </w:r>
      <w:r w:rsidR="00DD339F" w:rsidRPr="00977573">
        <w:t>o</w:t>
      </w:r>
      <w:r w:rsidR="00D90E19" w:rsidRPr="00977573">
        <w:t xml:space="preserve"> de la investigación encontrara algún incumplimiento por parte de un secretario o secretaria</w:t>
      </w:r>
      <w:r w:rsidR="004F148E" w:rsidRPr="00977573">
        <w:t>,</w:t>
      </w:r>
      <w:r w:rsidR="00CD150B" w:rsidRPr="00977573">
        <w:t xml:space="preserve"> esta situación fuera puesta en conocimiento de la persona evaluada</w:t>
      </w:r>
      <w:r w:rsidR="00932923" w:rsidRPr="00977573">
        <w:t xml:space="preserve"> y se le diera</w:t>
      </w:r>
      <w:r w:rsidR="00CD150B" w:rsidRPr="00977573">
        <w:t xml:space="preserve"> la oportunidad de rendir </w:t>
      </w:r>
      <w:r w:rsidR="00D90E19" w:rsidRPr="00977573">
        <w:t>un informe escrito</w:t>
      </w:r>
      <w:r w:rsidR="004F148E" w:rsidRPr="00977573">
        <w:t xml:space="preserve"> y </w:t>
      </w:r>
      <w:r w:rsidR="00CD150B" w:rsidRPr="00977573">
        <w:t>de aportar</w:t>
      </w:r>
      <w:r w:rsidR="00D90E19" w:rsidRPr="00977573">
        <w:t xml:space="preserve"> pruebas de descargo. Lo anterior, supone que</w:t>
      </w:r>
      <w:r w:rsidR="00753E25" w:rsidRPr="00977573">
        <w:t xml:space="preserve"> </w:t>
      </w:r>
      <w:r w:rsidR="00AC5A2A" w:rsidRPr="00977573">
        <w:t xml:space="preserve">la </w:t>
      </w:r>
      <w:r w:rsidR="000D6FC7" w:rsidRPr="00977573">
        <w:t>persona evaluada</w:t>
      </w:r>
      <w:r w:rsidR="00B815DA" w:rsidRPr="00977573">
        <w:t xml:space="preserve"> </w:t>
      </w:r>
      <w:r w:rsidR="00D90E19" w:rsidRPr="00977573">
        <w:t>debía</w:t>
      </w:r>
      <w:r w:rsidR="00B06A94" w:rsidRPr="00977573">
        <w:t>, al menos,</w:t>
      </w:r>
      <w:r w:rsidR="00D90E19" w:rsidRPr="00977573">
        <w:t xml:space="preserve"> </w:t>
      </w:r>
      <w:r w:rsidR="00CD150B" w:rsidRPr="00977573">
        <w:t xml:space="preserve">conocer </w:t>
      </w:r>
      <w:r w:rsidR="00DD1E8E" w:rsidRPr="00977573">
        <w:t>su presunto incumplimiento</w:t>
      </w:r>
      <w:r w:rsidR="009B06F8" w:rsidRPr="00977573">
        <w:t xml:space="preserve"> </w:t>
      </w:r>
      <w:r w:rsidRPr="00977573">
        <w:t>y sus</w:t>
      </w:r>
      <w:r w:rsidR="009B06F8" w:rsidRPr="00977573">
        <w:t xml:space="preserve"> consecuencias </w:t>
      </w:r>
      <w:r w:rsidR="00D90E19" w:rsidRPr="00977573">
        <w:t xml:space="preserve">y tener tiempo y </w:t>
      </w:r>
      <w:r w:rsidR="00B06A94" w:rsidRPr="00977573">
        <w:t xml:space="preserve">los </w:t>
      </w:r>
      <w:r w:rsidR="00D90E19" w:rsidRPr="00977573">
        <w:t xml:space="preserve">medios </w:t>
      </w:r>
      <w:r w:rsidR="00932923" w:rsidRPr="00977573">
        <w:t>adecuados</w:t>
      </w:r>
      <w:r w:rsidR="00D90E19" w:rsidRPr="00977573">
        <w:t xml:space="preserve"> </w:t>
      </w:r>
      <w:r w:rsidR="00DD1E8E" w:rsidRPr="00977573">
        <w:t>para defenderse</w:t>
      </w:r>
      <w:r w:rsidR="00795C23" w:rsidRPr="00977573">
        <w:t>.</w:t>
      </w:r>
      <w:r w:rsidR="00E33ED2" w:rsidRPr="00977573">
        <w:t xml:space="preserve"> </w:t>
      </w:r>
    </w:p>
    <w:p w14:paraId="4B0447E6" w14:textId="77777777" w:rsidR="00DD339F" w:rsidRPr="00977573" w:rsidRDefault="00DD339F" w:rsidP="000F3BE2">
      <w:pPr>
        <w:pStyle w:val="PrrafodeSentencia"/>
        <w:numPr>
          <w:ilvl w:val="0"/>
          <w:numId w:val="0"/>
        </w:numPr>
        <w:spacing w:line="240" w:lineRule="auto"/>
      </w:pPr>
    </w:p>
    <w:p w14:paraId="7E4713B3" w14:textId="77777777" w:rsidR="00DD1E8E" w:rsidRPr="00977573" w:rsidRDefault="00297F53" w:rsidP="000F3BE2">
      <w:pPr>
        <w:pStyle w:val="PrrafodeSentencia"/>
        <w:spacing w:line="240" w:lineRule="auto"/>
      </w:pPr>
      <w:r w:rsidRPr="00977573">
        <w:t xml:space="preserve">De acuerdo con las pruebas que constan en el expediente, el proceso seguido contra la señora Moya Solís </w:t>
      </w:r>
      <w:r w:rsidR="00B06A94" w:rsidRPr="00977573">
        <w:t>inició</w:t>
      </w:r>
      <w:r w:rsidRPr="00977573">
        <w:t xml:space="preserve"> con una entrevista personal </w:t>
      </w:r>
      <w:r w:rsidR="00B06A94" w:rsidRPr="00977573">
        <w:t xml:space="preserve">que </w:t>
      </w:r>
      <w:r w:rsidRPr="00977573">
        <w:t>se llevó a cabo el 12 de agosto de 1982</w:t>
      </w:r>
      <w:r w:rsidR="00B06A94" w:rsidRPr="00977573">
        <w:t>. S</w:t>
      </w:r>
      <w:r w:rsidRPr="00977573">
        <w:t xml:space="preserve">egún consta en el acta </w:t>
      </w:r>
      <w:r w:rsidR="008050B2" w:rsidRPr="00977573">
        <w:t xml:space="preserve">aportada </w:t>
      </w:r>
      <w:r w:rsidRPr="00977573">
        <w:t>por el Estado</w:t>
      </w:r>
      <w:r w:rsidR="00B06A94" w:rsidRPr="00977573">
        <w:t>, no hubo ninguna</w:t>
      </w:r>
      <w:r w:rsidRPr="00977573">
        <w:t xml:space="preserve"> observación </w:t>
      </w:r>
      <w:r w:rsidR="00B06A94" w:rsidRPr="00977573">
        <w:t>y se dejó consignado:</w:t>
      </w:r>
      <w:r w:rsidRPr="00977573">
        <w:t xml:space="preserve"> “RESULTADO: Buena”</w:t>
      </w:r>
      <w:r w:rsidRPr="00977573">
        <w:rPr>
          <w:rStyle w:val="Refdenotaalpie"/>
          <w:sz w:val="20"/>
          <w:szCs w:val="20"/>
          <w:lang w:val="es-CO"/>
        </w:rPr>
        <w:footnoteReference w:id="57"/>
      </w:r>
      <w:r w:rsidRPr="00977573">
        <w:t>. Dos semanas después</w:t>
      </w:r>
      <w:r w:rsidR="00217C95" w:rsidRPr="00977573">
        <w:t xml:space="preserve"> </w:t>
      </w:r>
      <w:r w:rsidRPr="00977573">
        <w:t xml:space="preserve">de la entrevista, </w:t>
      </w:r>
      <w:r w:rsidR="00217C95" w:rsidRPr="00977573">
        <w:t xml:space="preserve">el 26 de agosto de 1982, </w:t>
      </w:r>
      <w:r w:rsidRPr="00977573">
        <w:t xml:space="preserve">se </w:t>
      </w:r>
      <w:r w:rsidR="00C873B7">
        <w:t>llevó a cabo</w:t>
      </w:r>
      <w:r w:rsidRPr="00977573">
        <w:t xml:space="preserve"> </w:t>
      </w:r>
      <w:r w:rsidR="00B06A94" w:rsidRPr="00977573">
        <w:t>una</w:t>
      </w:r>
      <w:r w:rsidRPr="00977573">
        <w:t xml:space="preserve"> visita de la Comisión de Vocales al despacho de la señora Moya Solís. En </w:t>
      </w:r>
      <w:r w:rsidR="00B06A94" w:rsidRPr="00977573">
        <w:t xml:space="preserve">ella </w:t>
      </w:r>
      <w:r w:rsidRPr="00977573">
        <w:t xml:space="preserve">se revisaron los expedientes en trámite y se identificaron algunos casos de </w:t>
      </w:r>
      <w:r w:rsidR="003213CD">
        <w:t xml:space="preserve">presuntos </w:t>
      </w:r>
      <w:r w:rsidR="00DD1E8E" w:rsidRPr="00977573">
        <w:t>incumplimiento</w:t>
      </w:r>
      <w:r w:rsidR="003213CD">
        <w:t>s</w:t>
      </w:r>
      <w:r w:rsidRPr="00977573">
        <w:t xml:space="preserve">. </w:t>
      </w:r>
      <w:r w:rsidR="00B06A94" w:rsidRPr="00977573">
        <w:t>E</w:t>
      </w:r>
      <w:r w:rsidRPr="00977573">
        <w:t>l</w:t>
      </w:r>
      <w:r w:rsidR="008909F7" w:rsidRPr="00977573">
        <w:t xml:space="preserve"> informe</w:t>
      </w:r>
      <w:r w:rsidR="00B06A94" w:rsidRPr="00977573">
        <w:t>,</w:t>
      </w:r>
      <w:r w:rsidR="008909F7" w:rsidRPr="00977573">
        <w:t xml:space="preserve"> suscrito</w:t>
      </w:r>
      <w:r w:rsidR="00DD1E8E" w:rsidRPr="00977573">
        <w:t xml:space="preserve"> por la Comisión de Ratificaciones</w:t>
      </w:r>
      <w:r w:rsidR="00B06A94" w:rsidRPr="00977573">
        <w:t>,</w:t>
      </w:r>
      <w:r w:rsidR="00DD1E8E" w:rsidRPr="00977573">
        <w:t xml:space="preserve"> señala:</w:t>
      </w:r>
    </w:p>
    <w:p w14:paraId="07CBAF5E" w14:textId="77777777" w:rsidR="00DD1E8E" w:rsidRPr="00977573" w:rsidRDefault="00DD1E8E" w:rsidP="000F3BE2">
      <w:pPr>
        <w:jc w:val="both"/>
        <w:rPr>
          <w:rFonts w:ascii="Verdana" w:hAnsi="Verdana"/>
          <w:sz w:val="20"/>
          <w:szCs w:val="20"/>
          <w:lang w:val="es-CO"/>
        </w:rPr>
      </w:pPr>
    </w:p>
    <w:p w14:paraId="2C136E02" w14:textId="77777777" w:rsidR="00DD1E8E" w:rsidRPr="00D768F9" w:rsidRDefault="00DD1E8E" w:rsidP="000F3BE2">
      <w:pPr>
        <w:pStyle w:val="PrrafodeSentencia"/>
        <w:numPr>
          <w:ilvl w:val="0"/>
          <w:numId w:val="0"/>
        </w:numPr>
        <w:spacing w:line="240" w:lineRule="auto"/>
        <w:ind w:left="567" w:right="571"/>
        <w:rPr>
          <w:sz w:val="16"/>
        </w:rPr>
      </w:pPr>
      <w:r w:rsidRPr="00D768F9">
        <w:rPr>
          <w:sz w:val="16"/>
        </w:rPr>
        <w:t>2. En el expediente No. 1155-82 […] aparece un acta de poder que no lleva la firma del Juez, pero sí está autorizada por la secretaria; en el Exp. 1025-81 […] no aparece la fecha de notificación, sin embargo, la Secretaria ha autorizado dicha constancia de notificación, en el Exp. No. 3084-81 el comparendo se ha realizado con fecha de 25 de septiembre de 1981, donde en los puntos 3 y 4 del escrito de contestación se ha dispuesto se curse oficio a las Instituciones, sin que se haya cumplido hasta la fecha con dichos oficios quedando paralizado dicho expediente a razón de dicha omisión;</w:t>
      </w:r>
    </w:p>
    <w:p w14:paraId="007019CC" w14:textId="77777777" w:rsidR="00DD1E8E" w:rsidRPr="00D768F9" w:rsidRDefault="00DD1E8E" w:rsidP="000F3BE2">
      <w:pPr>
        <w:pStyle w:val="PrrafodeSentencia"/>
        <w:numPr>
          <w:ilvl w:val="0"/>
          <w:numId w:val="0"/>
        </w:numPr>
        <w:spacing w:line="240" w:lineRule="auto"/>
        <w:ind w:left="567" w:right="571"/>
        <w:rPr>
          <w:sz w:val="16"/>
        </w:rPr>
      </w:pPr>
    </w:p>
    <w:p w14:paraId="679A5D21" w14:textId="77777777" w:rsidR="00DD1E8E" w:rsidRPr="00D768F9" w:rsidRDefault="00DD1E8E" w:rsidP="000F3BE2">
      <w:pPr>
        <w:pStyle w:val="PrrafodeSentencia"/>
        <w:numPr>
          <w:ilvl w:val="0"/>
          <w:numId w:val="0"/>
        </w:numPr>
        <w:spacing w:line="240" w:lineRule="auto"/>
        <w:ind w:left="567" w:right="571"/>
        <w:rPr>
          <w:sz w:val="16"/>
        </w:rPr>
      </w:pPr>
      <w:r w:rsidRPr="00D768F9">
        <w:rPr>
          <w:sz w:val="16"/>
        </w:rPr>
        <w:t>3. Se revisó el Libro de Consignaciones encontrándose que existen tres anotaciones hasta la página ocho, pero no se ha anotado la fecha en la que se realiza la consignación</w:t>
      </w:r>
      <w:r w:rsidR="00D04BCF" w:rsidRPr="00D768F9">
        <w:rPr>
          <w:sz w:val="16"/>
        </w:rPr>
        <w:t>, ni aquella en que se entrega, en muchos de ellos. Además en algunos no se anota número de certificado, ni cantidad, como es el caso del Exp. 3121-81</w:t>
      </w:r>
      <w:r w:rsidRPr="00D768F9">
        <w:rPr>
          <w:sz w:val="16"/>
        </w:rPr>
        <w:t xml:space="preserve"> […]. Se revisó el libro de ingreso de demandas el que se encontró conforme. El libro de entregas al Juez para sentencia también se encontró conforme. </w:t>
      </w:r>
    </w:p>
    <w:p w14:paraId="27F3B9C5" w14:textId="77777777" w:rsidR="00DD1E8E" w:rsidRPr="00D768F9" w:rsidRDefault="00DD1E8E" w:rsidP="000F3BE2">
      <w:pPr>
        <w:pStyle w:val="PrrafodeSentencia"/>
        <w:numPr>
          <w:ilvl w:val="0"/>
          <w:numId w:val="0"/>
        </w:numPr>
        <w:spacing w:line="240" w:lineRule="auto"/>
        <w:ind w:left="567" w:right="571"/>
        <w:rPr>
          <w:sz w:val="16"/>
        </w:rPr>
      </w:pPr>
    </w:p>
    <w:p w14:paraId="4C2A8665" w14:textId="77777777" w:rsidR="00DD1E8E" w:rsidRPr="00D768F9" w:rsidRDefault="00DD1E8E" w:rsidP="000F3BE2">
      <w:pPr>
        <w:pStyle w:val="PrrafodeSentencia"/>
        <w:numPr>
          <w:ilvl w:val="0"/>
          <w:numId w:val="0"/>
        </w:numPr>
        <w:spacing w:line="240" w:lineRule="auto"/>
        <w:ind w:left="567" w:right="571"/>
        <w:rPr>
          <w:sz w:val="16"/>
        </w:rPr>
      </w:pPr>
      <w:r w:rsidRPr="00D768F9">
        <w:rPr>
          <w:sz w:val="16"/>
        </w:rPr>
        <w:t>4. El despacho se encuentra al día</w:t>
      </w:r>
      <w:r w:rsidRPr="00D768F9">
        <w:rPr>
          <w:rStyle w:val="Refdenotaalpie"/>
          <w:lang w:val="es-CO"/>
        </w:rPr>
        <w:footnoteReference w:id="58"/>
      </w:r>
      <w:r w:rsidRPr="00D768F9">
        <w:rPr>
          <w:sz w:val="16"/>
        </w:rPr>
        <w:t>.</w:t>
      </w:r>
    </w:p>
    <w:p w14:paraId="1672A3A4" w14:textId="77777777" w:rsidR="008050B2" w:rsidRPr="00977573" w:rsidRDefault="008050B2" w:rsidP="000F3BE2">
      <w:pPr>
        <w:rPr>
          <w:rFonts w:ascii="Verdana" w:hAnsi="Verdana"/>
          <w:lang w:val="es-CO" w:eastAsia="es-MX"/>
        </w:rPr>
      </w:pPr>
    </w:p>
    <w:p w14:paraId="46FC80FA" w14:textId="77777777" w:rsidR="008050B2" w:rsidRPr="00977573" w:rsidRDefault="008050B2" w:rsidP="000F3BE2">
      <w:pPr>
        <w:pStyle w:val="PrrafodeSentencia"/>
        <w:spacing w:line="240" w:lineRule="auto"/>
      </w:pPr>
      <w:r w:rsidRPr="00977573">
        <w:t>Además, el Estado aportó un documento titulado “Resumen de los informes obtenidos para la ratificación de secretarios”, sin fecha, que indica:</w:t>
      </w:r>
    </w:p>
    <w:p w14:paraId="5FECCBB6" w14:textId="77777777" w:rsidR="008050B2" w:rsidRPr="00977573" w:rsidRDefault="008050B2" w:rsidP="000F3BE2">
      <w:pPr>
        <w:jc w:val="both"/>
        <w:rPr>
          <w:rFonts w:ascii="Verdana" w:hAnsi="Verdana"/>
          <w:sz w:val="20"/>
          <w:szCs w:val="20"/>
          <w:lang w:val="es-CO"/>
        </w:rPr>
      </w:pPr>
    </w:p>
    <w:p w14:paraId="1A4FFD9B" w14:textId="77777777" w:rsidR="008050B2" w:rsidRPr="003213CD" w:rsidRDefault="008050B2" w:rsidP="000F3BE2">
      <w:pPr>
        <w:ind w:right="571"/>
        <w:jc w:val="both"/>
        <w:rPr>
          <w:rFonts w:ascii="Verdana" w:hAnsi="Verdana"/>
          <w:sz w:val="16"/>
          <w:szCs w:val="16"/>
          <w:lang w:val="es-CO"/>
        </w:rPr>
      </w:pPr>
      <w:r w:rsidRPr="00977573">
        <w:rPr>
          <w:rFonts w:ascii="Verdana" w:hAnsi="Verdana"/>
          <w:sz w:val="20"/>
          <w:szCs w:val="20"/>
          <w:lang w:val="es-CO"/>
        </w:rPr>
        <w:tab/>
      </w:r>
      <w:r w:rsidRPr="003213CD">
        <w:rPr>
          <w:rFonts w:ascii="Verdana" w:hAnsi="Verdana"/>
          <w:sz w:val="16"/>
          <w:szCs w:val="16"/>
          <w:lang w:val="es-CO"/>
        </w:rPr>
        <w:t xml:space="preserve">SECRETARIO: </w:t>
      </w:r>
      <w:r w:rsidRPr="003213CD">
        <w:rPr>
          <w:rFonts w:ascii="Verdana" w:hAnsi="Verdana"/>
          <w:sz w:val="16"/>
          <w:szCs w:val="16"/>
          <w:lang w:val="es-CO"/>
        </w:rPr>
        <w:tab/>
      </w:r>
      <w:r w:rsidRPr="003213CD">
        <w:rPr>
          <w:rFonts w:ascii="Verdana" w:hAnsi="Verdana"/>
          <w:sz w:val="16"/>
          <w:szCs w:val="16"/>
          <w:lang w:val="es-CO"/>
        </w:rPr>
        <w:tab/>
      </w:r>
      <w:r w:rsidRPr="003213CD">
        <w:rPr>
          <w:rFonts w:ascii="Verdana" w:hAnsi="Verdana"/>
          <w:sz w:val="16"/>
          <w:szCs w:val="16"/>
          <w:lang w:val="es-CO"/>
        </w:rPr>
        <w:tab/>
      </w:r>
      <w:r w:rsidRPr="003213CD">
        <w:rPr>
          <w:rFonts w:ascii="Verdana" w:hAnsi="Verdana"/>
          <w:sz w:val="16"/>
          <w:szCs w:val="16"/>
          <w:lang w:val="es-CO"/>
        </w:rPr>
        <w:tab/>
        <w:t>NORKA MOYA SOLÍS DE ROCHA</w:t>
      </w:r>
    </w:p>
    <w:p w14:paraId="09C0D9C9" w14:textId="77777777" w:rsidR="008050B2" w:rsidRPr="003213CD" w:rsidRDefault="008050B2" w:rsidP="000F3BE2">
      <w:pPr>
        <w:ind w:right="571"/>
        <w:jc w:val="both"/>
        <w:rPr>
          <w:rFonts w:ascii="Verdana" w:hAnsi="Verdana"/>
          <w:sz w:val="16"/>
          <w:szCs w:val="16"/>
          <w:lang w:val="es-CO"/>
        </w:rPr>
      </w:pPr>
      <w:r w:rsidRPr="003213CD">
        <w:rPr>
          <w:rFonts w:ascii="Verdana" w:hAnsi="Verdana"/>
          <w:sz w:val="16"/>
          <w:szCs w:val="16"/>
          <w:lang w:val="es-CO"/>
        </w:rPr>
        <w:tab/>
        <w:t>DOCUMENTACIÓN:</w:t>
      </w:r>
      <w:r w:rsidRPr="003213CD">
        <w:rPr>
          <w:rFonts w:ascii="Verdana" w:hAnsi="Verdana"/>
          <w:sz w:val="16"/>
          <w:szCs w:val="16"/>
          <w:lang w:val="es-CO"/>
        </w:rPr>
        <w:tab/>
      </w:r>
      <w:r w:rsidRPr="003213CD">
        <w:rPr>
          <w:rFonts w:ascii="Verdana" w:hAnsi="Verdana"/>
          <w:sz w:val="16"/>
          <w:szCs w:val="16"/>
          <w:lang w:val="es-CO"/>
        </w:rPr>
        <w:tab/>
      </w:r>
      <w:r w:rsidRPr="003213CD">
        <w:rPr>
          <w:rFonts w:ascii="Verdana" w:hAnsi="Verdana"/>
          <w:sz w:val="16"/>
          <w:szCs w:val="16"/>
          <w:lang w:val="es-CO"/>
        </w:rPr>
        <w:tab/>
        <w:t>ESTUDIANTE DE DERECHO</w:t>
      </w:r>
    </w:p>
    <w:p w14:paraId="466FA985" w14:textId="77777777" w:rsidR="008050B2" w:rsidRPr="003213CD" w:rsidRDefault="008050B2" w:rsidP="000F3BE2">
      <w:pPr>
        <w:ind w:right="571" w:firstLine="720"/>
        <w:jc w:val="both"/>
        <w:rPr>
          <w:rFonts w:ascii="Verdana" w:hAnsi="Verdana"/>
          <w:sz w:val="16"/>
          <w:szCs w:val="16"/>
          <w:lang w:val="es-CO"/>
        </w:rPr>
      </w:pPr>
      <w:r w:rsidRPr="003213CD">
        <w:rPr>
          <w:rFonts w:ascii="Verdana" w:hAnsi="Verdana"/>
          <w:sz w:val="16"/>
          <w:szCs w:val="16"/>
          <w:lang w:val="es-CO"/>
        </w:rPr>
        <w:t xml:space="preserve">VISITA, REVISIÓN DE EXPEDIENTES </w:t>
      </w:r>
    </w:p>
    <w:p w14:paraId="44C72151" w14:textId="77777777" w:rsidR="008050B2" w:rsidRPr="003213CD" w:rsidRDefault="008050B2" w:rsidP="000F3BE2">
      <w:pPr>
        <w:ind w:right="571" w:firstLine="720"/>
        <w:jc w:val="both"/>
        <w:rPr>
          <w:rFonts w:ascii="Verdana" w:hAnsi="Verdana"/>
          <w:sz w:val="16"/>
          <w:szCs w:val="16"/>
          <w:lang w:val="es-CO"/>
        </w:rPr>
      </w:pPr>
      <w:r w:rsidRPr="003213CD">
        <w:rPr>
          <w:rFonts w:ascii="Verdana" w:hAnsi="Verdana"/>
          <w:sz w:val="16"/>
          <w:szCs w:val="16"/>
          <w:lang w:val="es-CO"/>
        </w:rPr>
        <w:t xml:space="preserve">Y LIBROS: </w:t>
      </w:r>
      <w:r w:rsidRPr="003213CD">
        <w:rPr>
          <w:rFonts w:ascii="Verdana" w:hAnsi="Verdana"/>
          <w:sz w:val="16"/>
          <w:szCs w:val="16"/>
          <w:lang w:val="es-CO"/>
        </w:rPr>
        <w:tab/>
      </w:r>
      <w:r w:rsidRPr="003213CD">
        <w:rPr>
          <w:rFonts w:ascii="Verdana" w:hAnsi="Verdana"/>
          <w:sz w:val="16"/>
          <w:szCs w:val="16"/>
          <w:lang w:val="es-CO"/>
        </w:rPr>
        <w:tab/>
      </w:r>
      <w:r w:rsidRPr="003213CD">
        <w:rPr>
          <w:rFonts w:ascii="Verdana" w:hAnsi="Verdana"/>
          <w:sz w:val="16"/>
          <w:szCs w:val="16"/>
          <w:lang w:val="es-CO"/>
        </w:rPr>
        <w:tab/>
      </w:r>
      <w:r w:rsidRPr="003213CD">
        <w:rPr>
          <w:rFonts w:ascii="Verdana" w:hAnsi="Verdana"/>
          <w:sz w:val="16"/>
          <w:szCs w:val="16"/>
          <w:lang w:val="es-CO"/>
        </w:rPr>
        <w:tab/>
        <w:t>REGULAR</w:t>
      </w:r>
    </w:p>
    <w:p w14:paraId="2655FDA3" w14:textId="77777777" w:rsidR="008050B2" w:rsidRPr="003213CD" w:rsidRDefault="008050B2" w:rsidP="000F3BE2">
      <w:pPr>
        <w:ind w:right="571"/>
        <w:jc w:val="both"/>
        <w:rPr>
          <w:rFonts w:ascii="Verdana" w:hAnsi="Verdana"/>
          <w:sz w:val="16"/>
          <w:szCs w:val="16"/>
          <w:lang w:val="es-CO"/>
        </w:rPr>
      </w:pPr>
      <w:r w:rsidRPr="003213CD">
        <w:rPr>
          <w:rFonts w:ascii="Verdana" w:hAnsi="Verdana"/>
          <w:sz w:val="16"/>
          <w:szCs w:val="16"/>
          <w:lang w:val="es-CO"/>
        </w:rPr>
        <w:tab/>
        <w:t xml:space="preserve">INFORME DEL JUEZ: </w:t>
      </w:r>
      <w:r w:rsidRPr="003213CD">
        <w:rPr>
          <w:rFonts w:ascii="Verdana" w:hAnsi="Verdana"/>
          <w:sz w:val="16"/>
          <w:szCs w:val="16"/>
          <w:lang w:val="es-CO"/>
        </w:rPr>
        <w:tab/>
      </w:r>
      <w:r w:rsidRPr="003213CD">
        <w:rPr>
          <w:rFonts w:ascii="Verdana" w:hAnsi="Verdana"/>
          <w:sz w:val="16"/>
          <w:szCs w:val="16"/>
          <w:lang w:val="es-CO"/>
        </w:rPr>
        <w:tab/>
      </w:r>
      <w:r w:rsidRPr="003213CD">
        <w:rPr>
          <w:rFonts w:ascii="Verdana" w:hAnsi="Verdana"/>
          <w:sz w:val="16"/>
          <w:szCs w:val="16"/>
          <w:lang w:val="es-CO"/>
        </w:rPr>
        <w:tab/>
        <w:t>FAVORABLE EN PARTE</w:t>
      </w:r>
    </w:p>
    <w:p w14:paraId="4BF02E8E" w14:textId="77777777" w:rsidR="008050B2" w:rsidRPr="003213CD" w:rsidRDefault="008050B2" w:rsidP="000F3BE2">
      <w:pPr>
        <w:ind w:right="571"/>
        <w:jc w:val="both"/>
        <w:rPr>
          <w:rFonts w:ascii="Verdana" w:hAnsi="Verdana"/>
          <w:sz w:val="16"/>
          <w:szCs w:val="16"/>
          <w:lang w:val="es-CO"/>
        </w:rPr>
      </w:pPr>
      <w:r w:rsidRPr="003213CD">
        <w:rPr>
          <w:rFonts w:ascii="Verdana" w:hAnsi="Verdana"/>
          <w:sz w:val="16"/>
          <w:szCs w:val="16"/>
          <w:lang w:val="es-CO"/>
        </w:rPr>
        <w:tab/>
        <w:t xml:space="preserve">EXTREVISTA PERSONAL: </w:t>
      </w:r>
      <w:r w:rsidRPr="003213CD">
        <w:rPr>
          <w:rFonts w:ascii="Verdana" w:hAnsi="Verdana"/>
          <w:sz w:val="16"/>
          <w:szCs w:val="16"/>
          <w:lang w:val="es-CO"/>
        </w:rPr>
        <w:tab/>
      </w:r>
      <w:r w:rsidRPr="003213CD">
        <w:rPr>
          <w:rFonts w:ascii="Verdana" w:hAnsi="Verdana"/>
          <w:sz w:val="16"/>
          <w:szCs w:val="16"/>
          <w:lang w:val="es-CO"/>
        </w:rPr>
        <w:tab/>
      </w:r>
      <w:r w:rsidR="003213CD" w:rsidRPr="003213CD">
        <w:rPr>
          <w:rFonts w:ascii="Verdana" w:hAnsi="Verdana"/>
          <w:sz w:val="16"/>
          <w:szCs w:val="16"/>
          <w:lang w:val="es-CO"/>
        </w:rPr>
        <w:tab/>
      </w:r>
      <w:r w:rsidRPr="003213CD">
        <w:rPr>
          <w:rFonts w:ascii="Verdana" w:hAnsi="Verdana"/>
          <w:sz w:val="16"/>
          <w:szCs w:val="16"/>
          <w:lang w:val="es-CO"/>
        </w:rPr>
        <w:t>BUENO</w:t>
      </w:r>
    </w:p>
    <w:p w14:paraId="5836DD58" w14:textId="77777777" w:rsidR="008050B2" w:rsidRPr="003213CD" w:rsidRDefault="008050B2" w:rsidP="000F3BE2">
      <w:pPr>
        <w:ind w:right="571"/>
        <w:jc w:val="both"/>
        <w:rPr>
          <w:rFonts w:ascii="Verdana" w:hAnsi="Verdana"/>
          <w:sz w:val="16"/>
          <w:szCs w:val="16"/>
          <w:lang w:val="es-CO"/>
        </w:rPr>
      </w:pPr>
      <w:r w:rsidRPr="003213CD">
        <w:rPr>
          <w:rFonts w:ascii="Verdana" w:hAnsi="Verdana"/>
          <w:sz w:val="16"/>
          <w:szCs w:val="16"/>
          <w:lang w:val="es-CO"/>
        </w:rPr>
        <w:tab/>
        <w:t xml:space="preserve">INFORME DEL VOCAL VISITADOR </w:t>
      </w:r>
    </w:p>
    <w:p w14:paraId="4BD6580D" w14:textId="77777777" w:rsidR="008050B2" w:rsidRPr="003213CD" w:rsidRDefault="008050B2" w:rsidP="000F3BE2">
      <w:pPr>
        <w:ind w:right="571" w:firstLine="720"/>
        <w:jc w:val="both"/>
        <w:rPr>
          <w:rFonts w:ascii="Verdana" w:hAnsi="Verdana"/>
          <w:sz w:val="16"/>
          <w:szCs w:val="16"/>
          <w:lang w:val="es-CO"/>
        </w:rPr>
      </w:pPr>
      <w:r w:rsidRPr="003213CD">
        <w:rPr>
          <w:rFonts w:ascii="Verdana" w:hAnsi="Verdana"/>
          <w:sz w:val="16"/>
          <w:szCs w:val="16"/>
          <w:lang w:val="es-CO"/>
        </w:rPr>
        <w:t>DE 1980 Y 1981:</w:t>
      </w:r>
      <w:r w:rsidRPr="003213CD">
        <w:rPr>
          <w:rFonts w:ascii="Verdana" w:hAnsi="Verdana"/>
          <w:sz w:val="16"/>
          <w:szCs w:val="16"/>
          <w:lang w:val="es-CO"/>
        </w:rPr>
        <w:tab/>
      </w:r>
      <w:r w:rsidRPr="003213CD">
        <w:rPr>
          <w:rFonts w:ascii="Verdana" w:hAnsi="Verdana"/>
          <w:sz w:val="16"/>
          <w:szCs w:val="16"/>
          <w:lang w:val="es-CO"/>
        </w:rPr>
        <w:tab/>
        <w:t xml:space="preserve"> </w:t>
      </w:r>
      <w:r w:rsidRPr="003213CD">
        <w:rPr>
          <w:rFonts w:ascii="Verdana" w:hAnsi="Verdana"/>
          <w:sz w:val="16"/>
          <w:szCs w:val="16"/>
          <w:lang w:val="es-CO"/>
        </w:rPr>
        <w:tab/>
      </w:r>
      <w:r w:rsidR="003213CD" w:rsidRPr="003213CD">
        <w:rPr>
          <w:rFonts w:ascii="Verdana" w:hAnsi="Verdana"/>
          <w:sz w:val="16"/>
          <w:szCs w:val="16"/>
          <w:lang w:val="es-CO"/>
        </w:rPr>
        <w:tab/>
      </w:r>
      <w:r w:rsidRPr="003213CD">
        <w:rPr>
          <w:rFonts w:ascii="Verdana" w:hAnsi="Verdana"/>
          <w:sz w:val="16"/>
          <w:szCs w:val="16"/>
          <w:lang w:val="es-CO"/>
        </w:rPr>
        <w:t>CONFORME</w:t>
      </w:r>
    </w:p>
    <w:p w14:paraId="78FCD7D1" w14:textId="77777777" w:rsidR="008050B2" w:rsidRPr="003213CD" w:rsidRDefault="008050B2" w:rsidP="000F3BE2">
      <w:pPr>
        <w:ind w:left="720" w:right="571"/>
        <w:jc w:val="both"/>
        <w:rPr>
          <w:rFonts w:ascii="Verdana" w:hAnsi="Verdana"/>
          <w:sz w:val="16"/>
          <w:szCs w:val="16"/>
          <w:lang w:val="es-CO"/>
        </w:rPr>
      </w:pPr>
      <w:r w:rsidRPr="003213CD">
        <w:rPr>
          <w:rFonts w:ascii="Verdana" w:hAnsi="Verdana"/>
          <w:sz w:val="16"/>
          <w:szCs w:val="16"/>
          <w:lang w:val="es-CO"/>
        </w:rPr>
        <w:t xml:space="preserve">INFORME DE LA VISITA JUDICIAL </w:t>
      </w:r>
    </w:p>
    <w:p w14:paraId="16F058C0" w14:textId="77777777" w:rsidR="008050B2" w:rsidRPr="003213CD" w:rsidRDefault="008050B2" w:rsidP="000F3BE2">
      <w:pPr>
        <w:ind w:left="720" w:right="571"/>
        <w:jc w:val="both"/>
        <w:rPr>
          <w:rFonts w:ascii="Verdana" w:hAnsi="Verdana"/>
          <w:sz w:val="16"/>
          <w:szCs w:val="16"/>
          <w:lang w:val="es-CO"/>
        </w:rPr>
      </w:pPr>
      <w:r w:rsidRPr="003213CD">
        <w:rPr>
          <w:rFonts w:ascii="Verdana" w:hAnsi="Verdana"/>
          <w:sz w:val="16"/>
          <w:szCs w:val="16"/>
          <w:lang w:val="es-CO"/>
        </w:rPr>
        <w:t xml:space="preserve">REALIZADA POR LA OFICINA […] </w:t>
      </w:r>
    </w:p>
    <w:p w14:paraId="1D897FEA" w14:textId="77777777" w:rsidR="008050B2" w:rsidRPr="003213CD" w:rsidRDefault="008050B2" w:rsidP="000F3BE2">
      <w:pPr>
        <w:ind w:left="720" w:right="571"/>
        <w:jc w:val="both"/>
        <w:rPr>
          <w:rFonts w:ascii="Verdana" w:hAnsi="Verdana"/>
          <w:sz w:val="16"/>
          <w:szCs w:val="16"/>
          <w:lang w:val="es-CO"/>
        </w:rPr>
      </w:pPr>
      <w:r w:rsidRPr="003213CD">
        <w:rPr>
          <w:rFonts w:ascii="Verdana" w:hAnsi="Verdana"/>
          <w:sz w:val="16"/>
          <w:szCs w:val="16"/>
          <w:lang w:val="es-CO"/>
        </w:rPr>
        <w:t xml:space="preserve">DE CONTROL INTERNO 1981: </w:t>
      </w:r>
      <w:r w:rsidRPr="003213CD">
        <w:rPr>
          <w:rFonts w:ascii="Verdana" w:hAnsi="Verdana"/>
          <w:sz w:val="16"/>
          <w:szCs w:val="16"/>
          <w:lang w:val="es-CO"/>
        </w:rPr>
        <w:tab/>
      </w:r>
      <w:r w:rsidRPr="003213CD">
        <w:rPr>
          <w:rFonts w:ascii="Verdana" w:hAnsi="Verdana"/>
          <w:sz w:val="16"/>
          <w:szCs w:val="16"/>
          <w:lang w:val="es-CO"/>
        </w:rPr>
        <w:tab/>
        <w:t>CONFORME</w:t>
      </w:r>
    </w:p>
    <w:p w14:paraId="3EFCF665" w14:textId="77777777" w:rsidR="008050B2" w:rsidRPr="003213CD" w:rsidRDefault="008050B2" w:rsidP="000F3BE2">
      <w:pPr>
        <w:ind w:left="720" w:right="571"/>
        <w:jc w:val="both"/>
        <w:rPr>
          <w:rFonts w:ascii="Verdana" w:hAnsi="Verdana"/>
          <w:sz w:val="16"/>
          <w:szCs w:val="16"/>
          <w:lang w:val="es-CO"/>
        </w:rPr>
      </w:pPr>
      <w:r w:rsidRPr="003213CD">
        <w:rPr>
          <w:rFonts w:ascii="Verdana" w:hAnsi="Verdana"/>
          <w:sz w:val="16"/>
          <w:szCs w:val="16"/>
          <w:lang w:val="es-CO"/>
        </w:rPr>
        <w:t xml:space="preserve">INFORME DEL COLEGIO DE </w:t>
      </w:r>
    </w:p>
    <w:p w14:paraId="098557FD" w14:textId="77777777" w:rsidR="008050B2" w:rsidRPr="003213CD" w:rsidRDefault="008050B2" w:rsidP="000F3BE2">
      <w:pPr>
        <w:ind w:left="720" w:right="571"/>
        <w:jc w:val="both"/>
        <w:rPr>
          <w:rFonts w:ascii="Verdana" w:hAnsi="Verdana"/>
          <w:sz w:val="16"/>
          <w:szCs w:val="16"/>
          <w:lang w:val="es-CO"/>
        </w:rPr>
      </w:pPr>
      <w:r w:rsidRPr="003213CD">
        <w:rPr>
          <w:rFonts w:ascii="Verdana" w:hAnsi="Verdana"/>
          <w:sz w:val="16"/>
          <w:szCs w:val="16"/>
          <w:lang w:val="es-CO"/>
        </w:rPr>
        <w:t xml:space="preserve">ABOGADOS: </w:t>
      </w:r>
      <w:r w:rsidRPr="003213CD">
        <w:rPr>
          <w:rFonts w:ascii="Verdana" w:hAnsi="Verdana"/>
          <w:sz w:val="16"/>
          <w:szCs w:val="16"/>
          <w:lang w:val="es-CO"/>
        </w:rPr>
        <w:tab/>
      </w:r>
      <w:r w:rsidRPr="003213CD">
        <w:rPr>
          <w:rFonts w:ascii="Verdana" w:hAnsi="Verdana"/>
          <w:sz w:val="16"/>
          <w:szCs w:val="16"/>
          <w:lang w:val="es-CO"/>
        </w:rPr>
        <w:tab/>
      </w:r>
      <w:r w:rsidR="003213CD" w:rsidRPr="003213CD">
        <w:rPr>
          <w:rFonts w:ascii="Verdana" w:hAnsi="Verdana"/>
          <w:sz w:val="16"/>
          <w:szCs w:val="16"/>
          <w:lang w:val="es-CO"/>
        </w:rPr>
        <w:tab/>
      </w:r>
      <w:r w:rsidRPr="003213CD">
        <w:rPr>
          <w:rFonts w:ascii="Verdana" w:hAnsi="Verdana"/>
          <w:sz w:val="16"/>
          <w:szCs w:val="16"/>
          <w:lang w:val="es-CO"/>
        </w:rPr>
        <w:t>NINGUNO</w:t>
      </w:r>
    </w:p>
    <w:p w14:paraId="5B8D2979" w14:textId="77777777" w:rsidR="008050B2" w:rsidRPr="003213CD" w:rsidRDefault="008050B2" w:rsidP="000F3BE2">
      <w:pPr>
        <w:ind w:left="720" w:right="571"/>
        <w:jc w:val="both"/>
        <w:rPr>
          <w:rFonts w:ascii="Verdana" w:hAnsi="Verdana"/>
          <w:sz w:val="16"/>
          <w:szCs w:val="16"/>
          <w:lang w:val="es-CO"/>
        </w:rPr>
      </w:pPr>
      <w:r w:rsidRPr="003213CD">
        <w:rPr>
          <w:rFonts w:ascii="Verdana" w:hAnsi="Verdana"/>
          <w:sz w:val="16"/>
          <w:szCs w:val="16"/>
          <w:lang w:val="es-CO"/>
        </w:rPr>
        <w:t>DENUNCIAS […]:</w:t>
      </w:r>
      <w:r w:rsidRPr="003213CD">
        <w:rPr>
          <w:rFonts w:ascii="Verdana" w:hAnsi="Verdana"/>
          <w:sz w:val="16"/>
          <w:szCs w:val="16"/>
          <w:lang w:val="es-CO"/>
        </w:rPr>
        <w:tab/>
      </w:r>
      <w:r w:rsidRPr="003213CD">
        <w:rPr>
          <w:rFonts w:ascii="Verdana" w:hAnsi="Verdana"/>
          <w:sz w:val="16"/>
          <w:szCs w:val="16"/>
          <w:lang w:val="es-CO"/>
        </w:rPr>
        <w:tab/>
      </w:r>
      <w:r w:rsidRPr="003213CD">
        <w:rPr>
          <w:rFonts w:ascii="Verdana" w:hAnsi="Verdana"/>
          <w:sz w:val="16"/>
          <w:szCs w:val="16"/>
          <w:lang w:val="es-CO"/>
        </w:rPr>
        <w:tab/>
        <w:t>NO TIENE</w:t>
      </w:r>
    </w:p>
    <w:p w14:paraId="517CF95F" w14:textId="77777777" w:rsidR="008050B2" w:rsidRPr="003213CD" w:rsidRDefault="003213CD" w:rsidP="000F3BE2">
      <w:pPr>
        <w:ind w:left="720" w:right="571"/>
        <w:jc w:val="both"/>
        <w:rPr>
          <w:rFonts w:ascii="Verdana" w:hAnsi="Verdana"/>
          <w:sz w:val="16"/>
          <w:szCs w:val="16"/>
          <w:lang w:val="es-CO"/>
        </w:rPr>
      </w:pPr>
      <w:r w:rsidRPr="003213CD">
        <w:rPr>
          <w:rFonts w:ascii="Verdana" w:hAnsi="Verdana"/>
          <w:sz w:val="16"/>
          <w:szCs w:val="16"/>
          <w:lang w:val="es-CO"/>
        </w:rPr>
        <w:t xml:space="preserve">VARIOS: </w:t>
      </w:r>
      <w:r w:rsidRPr="003213CD">
        <w:rPr>
          <w:rFonts w:ascii="Verdana" w:hAnsi="Verdana"/>
          <w:sz w:val="16"/>
          <w:szCs w:val="16"/>
          <w:lang w:val="es-CO"/>
        </w:rPr>
        <w:tab/>
      </w:r>
      <w:r w:rsidRPr="003213CD">
        <w:rPr>
          <w:rFonts w:ascii="Verdana" w:hAnsi="Verdana"/>
          <w:sz w:val="16"/>
          <w:szCs w:val="16"/>
          <w:lang w:val="es-CO"/>
        </w:rPr>
        <w:tab/>
      </w:r>
      <w:r w:rsidRPr="003213CD">
        <w:rPr>
          <w:rFonts w:ascii="Verdana" w:hAnsi="Verdana"/>
          <w:sz w:val="16"/>
          <w:szCs w:val="16"/>
          <w:lang w:val="es-CO"/>
        </w:rPr>
        <w:tab/>
      </w:r>
      <w:r w:rsidR="008050B2" w:rsidRPr="003213CD">
        <w:rPr>
          <w:rFonts w:ascii="Verdana" w:hAnsi="Verdana"/>
          <w:sz w:val="16"/>
          <w:szCs w:val="16"/>
          <w:lang w:val="es-CO"/>
        </w:rPr>
        <w:t>SANCIÓN - TIENE AMONESTACIÓN</w:t>
      </w:r>
    </w:p>
    <w:p w14:paraId="4277995D" w14:textId="77777777" w:rsidR="008050B2" w:rsidRPr="003213CD" w:rsidRDefault="003213CD" w:rsidP="000F3BE2">
      <w:pPr>
        <w:ind w:left="720" w:right="571"/>
        <w:jc w:val="both"/>
        <w:rPr>
          <w:rFonts w:ascii="Verdana" w:hAnsi="Verdana"/>
          <w:sz w:val="16"/>
          <w:szCs w:val="16"/>
          <w:lang w:val="es-CO"/>
        </w:rPr>
      </w:pPr>
      <w:r w:rsidRPr="003213CD">
        <w:rPr>
          <w:rFonts w:ascii="Verdana" w:hAnsi="Verdana"/>
          <w:sz w:val="16"/>
          <w:szCs w:val="16"/>
          <w:lang w:val="es-CO"/>
        </w:rPr>
        <w:t xml:space="preserve">CONCLUSIÓN: </w:t>
      </w:r>
      <w:r w:rsidRPr="003213CD">
        <w:rPr>
          <w:rFonts w:ascii="Verdana" w:hAnsi="Verdana"/>
          <w:sz w:val="16"/>
          <w:szCs w:val="16"/>
          <w:lang w:val="es-CO"/>
        </w:rPr>
        <w:tab/>
      </w:r>
      <w:r w:rsidRPr="003213CD">
        <w:rPr>
          <w:rFonts w:ascii="Verdana" w:hAnsi="Verdana"/>
          <w:sz w:val="16"/>
          <w:szCs w:val="16"/>
          <w:lang w:val="es-CO"/>
        </w:rPr>
        <w:tab/>
      </w:r>
      <w:r w:rsidRPr="003213CD">
        <w:rPr>
          <w:rFonts w:ascii="Verdana" w:hAnsi="Verdana"/>
          <w:sz w:val="16"/>
          <w:szCs w:val="16"/>
          <w:lang w:val="es-CO"/>
        </w:rPr>
        <w:tab/>
      </w:r>
      <w:r w:rsidR="008050B2" w:rsidRPr="003213CD">
        <w:rPr>
          <w:rFonts w:ascii="Verdana" w:hAnsi="Verdana"/>
          <w:sz w:val="16"/>
          <w:szCs w:val="16"/>
          <w:lang w:val="es-CO"/>
        </w:rPr>
        <w:t>FAVORABLE EN PARTE</w:t>
      </w:r>
      <w:r w:rsidR="008050B2" w:rsidRPr="003213CD">
        <w:rPr>
          <w:rStyle w:val="Refdenotaalpie"/>
          <w:lang w:val="es-CO"/>
        </w:rPr>
        <w:footnoteReference w:id="59"/>
      </w:r>
      <w:r w:rsidR="008050B2" w:rsidRPr="003213CD">
        <w:rPr>
          <w:rFonts w:ascii="Verdana" w:hAnsi="Verdana"/>
          <w:sz w:val="16"/>
          <w:szCs w:val="16"/>
          <w:lang w:val="es-CO"/>
        </w:rPr>
        <w:t>.</w:t>
      </w:r>
    </w:p>
    <w:p w14:paraId="01435530" w14:textId="77777777" w:rsidR="008050B2" w:rsidRPr="00977573" w:rsidRDefault="008050B2" w:rsidP="000F3BE2">
      <w:pPr>
        <w:rPr>
          <w:rFonts w:ascii="Verdana" w:hAnsi="Verdana"/>
          <w:lang w:val="es-CO" w:eastAsia="es-MX"/>
        </w:rPr>
      </w:pPr>
    </w:p>
    <w:p w14:paraId="0F27C218" w14:textId="0E0D2ADF" w:rsidR="00FC6581" w:rsidRPr="00977573" w:rsidRDefault="008050B2" w:rsidP="000F3BE2">
      <w:pPr>
        <w:pStyle w:val="PrrafodeSentencia"/>
        <w:spacing w:line="240" w:lineRule="auto"/>
      </w:pPr>
      <w:r w:rsidRPr="00977573">
        <w:t>La Corte nota que</w:t>
      </w:r>
      <w:r w:rsidR="00AC5A2A" w:rsidRPr="00977573">
        <w:t>,</w:t>
      </w:r>
      <w:r w:rsidR="00E0546B" w:rsidRPr="00977573">
        <w:t xml:space="preserve"> en los documentos aportados por las partes</w:t>
      </w:r>
      <w:r w:rsidR="003213CD">
        <w:t>,</w:t>
      </w:r>
      <w:r w:rsidRPr="00977573">
        <w:t xml:space="preserve"> no consta que se hubiera informado a la señora Moya Solís</w:t>
      </w:r>
      <w:r w:rsidR="00B06A94" w:rsidRPr="00977573">
        <w:t xml:space="preserve"> sobre</w:t>
      </w:r>
      <w:r w:rsidRPr="00977573">
        <w:t xml:space="preserve"> </w:t>
      </w:r>
      <w:r w:rsidR="009B06F8" w:rsidRPr="00977573">
        <w:t xml:space="preserve">los criterios generales bajo los cuales se </w:t>
      </w:r>
      <w:r w:rsidR="00C873B7">
        <w:t>llevó a cabo</w:t>
      </w:r>
      <w:r w:rsidR="009B06F8" w:rsidRPr="00977573">
        <w:t xml:space="preserve"> el proceso de ratificación ni</w:t>
      </w:r>
      <w:r w:rsidRPr="00977573">
        <w:t xml:space="preserve"> </w:t>
      </w:r>
      <w:r w:rsidR="00B06A94" w:rsidRPr="00977573">
        <w:t>sobre</w:t>
      </w:r>
      <w:r w:rsidR="009B06F8" w:rsidRPr="00977573">
        <w:t xml:space="preserve"> las razones por las cuales podía ser cesada de su cargo.</w:t>
      </w:r>
      <w:r w:rsidR="00236CE3" w:rsidRPr="00977573">
        <w:t xml:space="preserve"> </w:t>
      </w:r>
      <w:r w:rsidR="00FC6581" w:rsidRPr="00977573">
        <w:t>En esa medida,</w:t>
      </w:r>
      <w:r w:rsidRPr="00977573">
        <w:t xml:space="preserve"> la presunta víctima</w:t>
      </w:r>
      <w:r w:rsidR="00FC6581" w:rsidRPr="00977573">
        <w:t xml:space="preserve"> no tuvo conocimiento de que los incumplimientos identificados por la autoridad competente eran graves y que</w:t>
      </w:r>
      <w:r w:rsidR="00682982">
        <w:t>,</w:t>
      </w:r>
      <w:r w:rsidR="00FC6581" w:rsidRPr="00977573">
        <w:t xml:space="preserve"> frente a ellos</w:t>
      </w:r>
      <w:r w:rsidR="00682982">
        <w:t>,</w:t>
      </w:r>
      <w:r w:rsidR="00FC6581" w:rsidRPr="00977573">
        <w:t xml:space="preserve"> podía ejercer su derecho a la defensa</w:t>
      </w:r>
      <w:r w:rsidR="00E33ED2" w:rsidRPr="00977573">
        <w:t xml:space="preserve">. </w:t>
      </w:r>
    </w:p>
    <w:p w14:paraId="034DDA48" w14:textId="77777777" w:rsidR="00FC6581" w:rsidRPr="00977573" w:rsidRDefault="00FC6581" w:rsidP="000F3BE2">
      <w:pPr>
        <w:pStyle w:val="PrrafodeSentencia"/>
        <w:numPr>
          <w:ilvl w:val="0"/>
          <w:numId w:val="0"/>
        </w:numPr>
        <w:spacing w:line="240" w:lineRule="auto"/>
      </w:pPr>
    </w:p>
    <w:p w14:paraId="5CBBA6AD" w14:textId="77777777" w:rsidR="00FC6581" w:rsidRPr="00977573" w:rsidRDefault="000A7FF5" w:rsidP="000F3BE2">
      <w:pPr>
        <w:pStyle w:val="PrrafodeSentencia"/>
        <w:spacing w:line="240" w:lineRule="auto"/>
      </w:pPr>
      <w:r w:rsidRPr="00977573">
        <w:t xml:space="preserve">Por otra parte, tampoco </w:t>
      </w:r>
      <w:r w:rsidR="002E3E09" w:rsidRPr="00977573">
        <w:t xml:space="preserve">consta </w:t>
      </w:r>
      <w:r w:rsidR="00FC6581" w:rsidRPr="00977573">
        <w:t xml:space="preserve">en el expediente </w:t>
      </w:r>
      <w:r w:rsidR="002E3E09" w:rsidRPr="00977573">
        <w:t>que se le haya dado</w:t>
      </w:r>
      <w:r w:rsidRPr="00977573">
        <w:t xml:space="preserve"> </w:t>
      </w:r>
      <w:r w:rsidR="002E3E09" w:rsidRPr="00977573">
        <w:t>la oportunidad de presentar un informe escrito y de remitir pruebas d</w:t>
      </w:r>
      <w:r w:rsidR="00B05B1E" w:rsidRPr="00977573">
        <w:t>e descargo</w:t>
      </w:r>
      <w:r w:rsidR="001336DA" w:rsidRPr="00977573">
        <w:t>, tal como preveía la normativa aplicable (</w:t>
      </w:r>
      <w:r w:rsidR="001336DA" w:rsidRPr="00977573">
        <w:rPr>
          <w:i/>
        </w:rPr>
        <w:t>supra</w:t>
      </w:r>
      <w:r w:rsidR="001336DA" w:rsidRPr="00977573">
        <w:t xml:space="preserve"> párr. </w:t>
      </w:r>
      <w:r w:rsidR="003213CD">
        <w:t>41</w:t>
      </w:r>
      <w:r w:rsidR="001336DA" w:rsidRPr="00977573">
        <w:t>)</w:t>
      </w:r>
      <w:r w:rsidR="00B05B1E" w:rsidRPr="00977573">
        <w:t>. Sobre este asunto</w:t>
      </w:r>
      <w:r w:rsidR="001336DA" w:rsidRPr="00977573">
        <w:t>,</w:t>
      </w:r>
      <w:r w:rsidR="00B05B1E" w:rsidRPr="00977573">
        <w:t xml:space="preserve"> el </w:t>
      </w:r>
      <w:r w:rsidR="002C5A15" w:rsidRPr="00977573">
        <w:t>Estado sos</w:t>
      </w:r>
      <w:r w:rsidR="0032455A" w:rsidRPr="00977573">
        <w:t xml:space="preserve">tuvo </w:t>
      </w:r>
      <w:r w:rsidR="003134D0" w:rsidRPr="00977573">
        <w:t xml:space="preserve">que </w:t>
      </w:r>
      <w:r w:rsidR="0032455A" w:rsidRPr="00977573">
        <w:t>la entrevista personal</w:t>
      </w:r>
      <w:r w:rsidR="002C5A15" w:rsidRPr="00977573">
        <w:t xml:space="preserve"> era </w:t>
      </w:r>
      <w:r w:rsidR="00060A1C" w:rsidRPr="00977573">
        <w:t>el</w:t>
      </w:r>
      <w:r w:rsidR="002C5A15" w:rsidRPr="00977573">
        <w:t xml:space="preserve"> mecanismo adecuado para que las personas evaluadas ejercieran su derecho a la defensa, y que esta oportunidad le fue garantizada a la señora Moya Solís</w:t>
      </w:r>
      <w:r w:rsidR="004F148E" w:rsidRPr="00977573">
        <w:t>.</w:t>
      </w:r>
      <w:r w:rsidR="004F148E" w:rsidRPr="00977573">
        <w:rPr>
          <w:b/>
        </w:rPr>
        <w:t xml:space="preserve"> </w:t>
      </w:r>
      <w:r w:rsidR="00FC6581" w:rsidRPr="00977573">
        <w:t xml:space="preserve">Sin embargo, </w:t>
      </w:r>
      <w:r w:rsidR="0045570C" w:rsidRPr="00977573">
        <w:t>la</w:t>
      </w:r>
      <w:r w:rsidR="00D80D45" w:rsidRPr="00977573">
        <w:t xml:space="preserve"> entrevista </w:t>
      </w:r>
      <w:r w:rsidR="008050B2" w:rsidRPr="00977573">
        <w:t>tuvo lugar el 12 de agosto de 1982, esto es, antes de</w:t>
      </w:r>
      <w:r w:rsidR="00D80D45" w:rsidRPr="00977573">
        <w:t xml:space="preserve"> la visita</w:t>
      </w:r>
      <w:r w:rsidR="0045570C" w:rsidRPr="00977573">
        <w:t xml:space="preserve"> al</w:t>
      </w:r>
      <w:r w:rsidR="00D80D45" w:rsidRPr="00977573">
        <w:t xml:space="preserve"> </w:t>
      </w:r>
      <w:r w:rsidR="00E0546B" w:rsidRPr="00977573">
        <w:t>juzgado del 26 de agosto de 1982</w:t>
      </w:r>
      <w:r w:rsidR="0045570C" w:rsidRPr="00977573">
        <w:t>,</w:t>
      </w:r>
      <w:r w:rsidR="00E0546B" w:rsidRPr="00977573">
        <w:t xml:space="preserve"> </w:t>
      </w:r>
      <w:r w:rsidR="008050B2" w:rsidRPr="00977573">
        <w:t xml:space="preserve">en la que se identificaron los </w:t>
      </w:r>
      <w:r w:rsidR="0045570C" w:rsidRPr="00977573">
        <w:t xml:space="preserve">presuntos </w:t>
      </w:r>
      <w:r w:rsidR="008050B2" w:rsidRPr="00977573">
        <w:t>casos de incumplimiento</w:t>
      </w:r>
      <w:r w:rsidR="00D80D45" w:rsidRPr="00977573">
        <w:t xml:space="preserve">. En esa medida, no es razonable sostener que la señora Moya </w:t>
      </w:r>
      <w:r w:rsidR="00E0546B" w:rsidRPr="00977573">
        <w:t>habría</w:t>
      </w:r>
      <w:r w:rsidR="00D80D45" w:rsidRPr="00977573">
        <w:t xml:space="preserve"> podido ejercer su derecho a la defensa</w:t>
      </w:r>
      <w:r w:rsidR="00E0546B" w:rsidRPr="00977573">
        <w:t xml:space="preserve"> en la entrevista, porque para entonces no </w:t>
      </w:r>
      <w:r w:rsidR="00D80D45" w:rsidRPr="00977573">
        <w:t>le había</w:t>
      </w:r>
      <w:r w:rsidR="00E0546B" w:rsidRPr="00977573">
        <w:t>n</w:t>
      </w:r>
      <w:r w:rsidR="00D80D45" w:rsidRPr="00977573">
        <w:t xml:space="preserve"> informado </w:t>
      </w:r>
      <w:r w:rsidR="008050B2" w:rsidRPr="00977573">
        <w:t xml:space="preserve">de </w:t>
      </w:r>
      <w:r w:rsidR="00D80D45" w:rsidRPr="00977573">
        <w:t xml:space="preserve">ningún incumplimiento. </w:t>
      </w:r>
    </w:p>
    <w:p w14:paraId="25F62AFB" w14:textId="77777777" w:rsidR="00FC6581" w:rsidRPr="00977573" w:rsidRDefault="00FC6581" w:rsidP="000F3BE2">
      <w:pPr>
        <w:pStyle w:val="PrrafodeSentencia"/>
        <w:numPr>
          <w:ilvl w:val="0"/>
          <w:numId w:val="0"/>
        </w:numPr>
        <w:spacing w:line="240" w:lineRule="auto"/>
      </w:pPr>
    </w:p>
    <w:p w14:paraId="6FDBB619" w14:textId="4E669758" w:rsidR="003134D0" w:rsidRPr="00977573" w:rsidRDefault="00D806AB" w:rsidP="000F3BE2">
      <w:pPr>
        <w:pStyle w:val="PrrafodeSentencia"/>
        <w:spacing w:line="240" w:lineRule="auto"/>
      </w:pPr>
      <w:r w:rsidRPr="00977573">
        <w:t xml:space="preserve">El Estado también </w:t>
      </w:r>
      <w:r w:rsidR="004F148E" w:rsidRPr="00977573">
        <w:t>argumentó</w:t>
      </w:r>
      <w:r w:rsidR="004F148E" w:rsidRPr="00977573">
        <w:rPr>
          <w:b/>
        </w:rPr>
        <w:t xml:space="preserve"> </w:t>
      </w:r>
      <w:r w:rsidR="003213CD">
        <w:t>que</w:t>
      </w:r>
      <w:r w:rsidR="00145DF7">
        <w:t>,</w:t>
      </w:r>
      <w:r w:rsidR="002C5A15" w:rsidRPr="00977573">
        <w:t xml:space="preserve"> debido a que la señora Moya Solís suscribió el acta de visita al despacho de la comisión de vocales</w:t>
      </w:r>
      <w:r w:rsidR="003213CD">
        <w:t>,</w:t>
      </w:r>
      <w:r w:rsidR="002C5A15" w:rsidRPr="00977573">
        <w:t xml:space="preserve"> “tuvo conocimiento de las observaciones que sería[n] materia de la decisión de no ratificarla [y] pudo presentar observaciones a lo señalado en la referida Acta si no se encontraba de acuerdo con lo afirmado sobre su evaluación”</w:t>
      </w:r>
      <w:r w:rsidR="00665B3E" w:rsidRPr="00977573">
        <w:t xml:space="preserve"> y que,</w:t>
      </w:r>
      <w:r w:rsidR="0032455A" w:rsidRPr="00977573">
        <w:t xml:space="preserve"> </w:t>
      </w:r>
      <w:r w:rsidR="003134D0" w:rsidRPr="00977573">
        <w:t xml:space="preserve">“[e]n Resolución N° 0015-82-TT de fecha 13 de septiembre de 1982, a efectos de resolver, se dejó constancia que las consideraciones señaladas no fueron desvirtuadas por la presunta víctima”. </w:t>
      </w:r>
      <w:r w:rsidR="002E3E09" w:rsidRPr="00977573">
        <w:t xml:space="preserve">Sin embargo, </w:t>
      </w:r>
      <w:r w:rsidRPr="00977573">
        <w:t xml:space="preserve">la Corte nota que no consta en el expediente que </w:t>
      </w:r>
      <w:r w:rsidR="00E0546B" w:rsidRPr="00977573">
        <w:t>durante la visita de la Comisión de Vocales o con posterioridad a esa fecha, a</w:t>
      </w:r>
      <w:r w:rsidRPr="00977573">
        <w:t xml:space="preserve"> la señora Moya Solís se le haya dado la oportunidad de ejercer su derecho a la defensa. </w:t>
      </w:r>
    </w:p>
    <w:p w14:paraId="5AE5D1E5" w14:textId="77777777" w:rsidR="003134D0" w:rsidRPr="00977573" w:rsidRDefault="003134D0" w:rsidP="000F3BE2">
      <w:pPr>
        <w:rPr>
          <w:rFonts w:ascii="Verdana" w:hAnsi="Verdana"/>
          <w:lang w:val="es-CO"/>
        </w:rPr>
      </w:pPr>
    </w:p>
    <w:p w14:paraId="3DB21EED" w14:textId="77777777" w:rsidR="005812DA" w:rsidRPr="00977573" w:rsidRDefault="008050B2" w:rsidP="000F3BE2">
      <w:pPr>
        <w:pStyle w:val="PrrafodeSentencia"/>
        <w:spacing w:line="240" w:lineRule="auto"/>
      </w:pPr>
      <w:r w:rsidRPr="00977573">
        <w:t xml:space="preserve">Conforme a lo anterior, </w:t>
      </w:r>
      <w:r w:rsidR="00B80801" w:rsidRPr="00977573">
        <w:t xml:space="preserve">si bien a la señora Moya Solís le </w:t>
      </w:r>
      <w:r w:rsidR="00E0546B" w:rsidRPr="00977573">
        <w:t>informaron</w:t>
      </w:r>
      <w:r w:rsidR="00B80801" w:rsidRPr="00977573">
        <w:t xml:space="preserve"> algunos </w:t>
      </w:r>
      <w:r w:rsidR="0045570C" w:rsidRPr="00977573">
        <w:t xml:space="preserve">casos de presuntos </w:t>
      </w:r>
      <w:r w:rsidR="00B80801" w:rsidRPr="00977573">
        <w:t>incumplimientos,</w:t>
      </w:r>
      <w:r w:rsidR="001336DA" w:rsidRPr="00977573">
        <w:t xml:space="preserve"> durante la visita del 26 de agosto de 1982</w:t>
      </w:r>
      <w:r w:rsidR="00B80801" w:rsidRPr="00977573">
        <w:t xml:space="preserve"> </w:t>
      </w:r>
      <w:r w:rsidR="001336DA" w:rsidRPr="00977573">
        <w:t>no se le informó</w:t>
      </w:r>
      <w:r w:rsidR="00B80801" w:rsidRPr="00977573">
        <w:rPr>
          <w:b/>
        </w:rPr>
        <w:t xml:space="preserve"> </w:t>
      </w:r>
      <w:r w:rsidR="00B80801" w:rsidRPr="00977573">
        <w:t xml:space="preserve">que estos podían dar lugar a su no ratificación. Esto ocurrió porque la señora Moya Solís no </w:t>
      </w:r>
      <w:r w:rsidR="00E0546B" w:rsidRPr="00977573">
        <w:t>conocía</w:t>
      </w:r>
      <w:r w:rsidR="00B80801" w:rsidRPr="00977573">
        <w:t xml:space="preserve"> los criterios de evaluación de las y los secretarios judiciales.</w:t>
      </w:r>
      <w:r w:rsidR="00236CE3" w:rsidRPr="00977573">
        <w:t xml:space="preserve"> </w:t>
      </w:r>
      <w:r w:rsidR="00B80801" w:rsidRPr="00977573">
        <w:t>Esta situación,</w:t>
      </w:r>
      <w:r w:rsidR="00E0546B" w:rsidRPr="00977573">
        <w:t xml:space="preserve"> a</w:t>
      </w:r>
      <w:r w:rsidR="00B80801" w:rsidRPr="00977573">
        <w:t xml:space="preserve"> juic</w:t>
      </w:r>
      <w:r w:rsidR="005812DA" w:rsidRPr="00977573">
        <w:t>i</w:t>
      </w:r>
      <w:r w:rsidR="00B80801" w:rsidRPr="00977573">
        <w:t>o de la Corte, configura una violación del derecho a conocer previa y detalladamente la acusación formulada, al que se refiere el artículo 8.2.b</w:t>
      </w:r>
      <w:r w:rsidR="00862782" w:rsidRPr="00977573">
        <w:t>)</w:t>
      </w:r>
      <w:r w:rsidR="00B80801" w:rsidRPr="00977573">
        <w:t xml:space="preserve"> de la Convención Americana. </w:t>
      </w:r>
      <w:r w:rsidR="005812DA" w:rsidRPr="00977573">
        <w:t>Sobre este asunto, la Corte nota también que los criterios de evaluación de las y los secretarios judiciales no estaban definidos en la ley, lo que será analizado a la luz del principio de legalidad (</w:t>
      </w:r>
      <w:r w:rsidR="001336DA" w:rsidRPr="00977573">
        <w:rPr>
          <w:i/>
        </w:rPr>
        <w:t>infra</w:t>
      </w:r>
      <w:r w:rsidR="005812DA" w:rsidRPr="00977573">
        <w:t xml:space="preserve"> párr. </w:t>
      </w:r>
      <w:r w:rsidR="003213CD">
        <w:t>80</w:t>
      </w:r>
      <w:r w:rsidR="005812DA" w:rsidRPr="00977573">
        <w:t>).</w:t>
      </w:r>
      <w:r w:rsidR="00B80801" w:rsidRPr="00977573">
        <w:t xml:space="preserve"> </w:t>
      </w:r>
    </w:p>
    <w:p w14:paraId="755930AD" w14:textId="77777777" w:rsidR="005812DA" w:rsidRPr="00977573" w:rsidRDefault="005812DA" w:rsidP="000F3BE2">
      <w:pPr>
        <w:pStyle w:val="PrrafodeSentencia"/>
        <w:numPr>
          <w:ilvl w:val="0"/>
          <w:numId w:val="0"/>
        </w:numPr>
        <w:spacing w:line="240" w:lineRule="auto"/>
      </w:pPr>
    </w:p>
    <w:p w14:paraId="79AD6118" w14:textId="77777777" w:rsidR="00B05B1E" w:rsidRPr="00977573" w:rsidRDefault="00B80801" w:rsidP="000F3BE2">
      <w:pPr>
        <w:pStyle w:val="PrrafodeSentencia"/>
        <w:spacing w:line="240" w:lineRule="auto"/>
      </w:pPr>
      <w:r w:rsidRPr="00977573">
        <w:t>Por otra parte, a</w:t>
      </w:r>
      <w:r w:rsidR="00B05B1E" w:rsidRPr="00977573">
        <w:t xml:space="preserve"> la señora Moya Solí</w:t>
      </w:r>
      <w:r w:rsidRPr="00977573">
        <w:t xml:space="preserve">s no le informaron las razones por la cuales los incumplimientos identificados no la hacían idónea para seguir ejerciendo sus funciones, tampoco se le permitió exponer sus </w:t>
      </w:r>
      <w:r w:rsidR="00B05B1E" w:rsidRPr="00977573">
        <w:t xml:space="preserve">descargos sobre los casos de incumplimiento, ni se le dio tiempo para aportar pruebas que respaldaran su posición. </w:t>
      </w:r>
      <w:r w:rsidR="00E0546B" w:rsidRPr="00977573">
        <w:t>Por esa razón, se violó</w:t>
      </w:r>
      <w:r w:rsidRPr="00977573">
        <w:t xml:space="preserve"> su derecho a </w:t>
      </w:r>
      <w:r w:rsidR="00B05B1E" w:rsidRPr="00977573">
        <w:t>tener el tiempo y los medios adecuados de defensa</w:t>
      </w:r>
      <w:r w:rsidRPr="00977573">
        <w:t>, contenido en el artículo 8.2.c</w:t>
      </w:r>
      <w:r w:rsidR="00862782" w:rsidRPr="00977573">
        <w:t>)</w:t>
      </w:r>
      <w:r w:rsidRPr="00977573">
        <w:t xml:space="preserve"> de la Convención Americana</w:t>
      </w:r>
      <w:r w:rsidR="00B05B1E" w:rsidRPr="00977573">
        <w:t xml:space="preserve">. </w:t>
      </w:r>
    </w:p>
    <w:p w14:paraId="0B72C67D" w14:textId="77777777" w:rsidR="00D90E19" w:rsidRPr="00977573" w:rsidRDefault="00D90E19" w:rsidP="000F3BE2">
      <w:pPr>
        <w:jc w:val="both"/>
        <w:rPr>
          <w:rFonts w:ascii="Verdana" w:hAnsi="Verdana"/>
          <w:sz w:val="20"/>
          <w:szCs w:val="20"/>
          <w:lang w:val="es-CO"/>
        </w:rPr>
      </w:pPr>
    </w:p>
    <w:p w14:paraId="4D356B1F" w14:textId="77777777" w:rsidR="005D480B" w:rsidRPr="00977573" w:rsidRDefault="00B80801" w:rsidP="000F3BE2">
      <w:pPr>
        <w:pStyle w:val="PrrafodeSentencia"/>
        <w:spacing w:line="240" w:lineRule="auto"/>
      </w:pPr>
      <w:r w:rsidRPr="00977573">
        <w:t xml:space="preserve">Finalmente, </w:t>
      </w:r>
      <w:r w:rsidR="008635D1" w:rsidRPr="00977573">
        <w:t xml:space="preserve">la Corte nota que </w:t>
      </w:r>
      <w:r w:rsidR="00430109" w:rsidRPr="00977573">
        <w:t>la</w:t>
      </w:r>
      <w:r w:rsidR="008635D1" w:rsidRPr="00977573">
        <w:t xml:space="preserve"> decisión </w:t>
      </w:r>
      <w:r w:rsidR="00430109" w:rsidRPr="00977573">
        <w:t xml:space="preserve">de no ratificación </w:t>
      </w:r>
      <w:r w:rsidR="008635D1" w:rsidRPr="00977573">
        <w:t>le fue notificada</w:t>
      </w:r>
      <w:r w:rsidR="00430109" w:rsidRPr="00977573">
        <w:t xml:space="preserve"> a la señora Moya Solís</w:t>
      </w:r>
      <w:r w:rsidR="008635D1" w:rsidRPr="00977573">
        <w:t xml:space="preserve"> mediante </w:t>
      </w:r>
      <w:r w:rsidR="00430109" w:rsidRPr="00977573">
        <w:t xml:space="preserve">una </w:t>
      </w:r>
      <w:r w:rsidR="008635D1" w:rsidRPr="00977573">
        <w:t xml:space="preserve">comunicación </w:t>
      </w:r>
      <w:r w:rsidR="00430109" w:rsidRPr="00977573">
        <w:t>remitida por el Presidente del Tribunal del Trabajo y Comunidades Laborales</w:t>
      </w:r>
      <w:r w:rsidR="00677FF5" w:rsidRPr="00977573">
        <w:t xml:space="preserve"> que, </w:t>
      </w:r>
      <w:r w:rsidR="00430109" w:rsidRPr="00977573">
        <w:t xml:space="preserve">sin embargo, </w:t>
      </w:r>
      <w:r w:rsidR="00920209" w:rsidRPr="00977573">
        <w:t>no</w:t>
      </w:r>
      <w:r w:rsidR="008635D1" w:rsidRPr="00977573">
        <w:t xml:space="preserve"> </w:t>
      </w:r>
      <w:r w:rsidR="00920209" w:rsidRPr="00977573">
        <w:t xml:space="preserve">indicaba los motivos que llevaron a </w:t>
      </w:r>
      <w:r w:rsidR="00B00DF4">
        <w:t>la</w:t>
      </w:r>
      <w:r w:rsidR="00920209" w:rsidRPr="00977573">
        <w:t xml:space="preserve"> no ratificación, ni </w:t>
      </w:r>
      <w:r w:rsidR="008635D1" w:rsidRPr="00977573">
        <w:t xml:space="preserve">estuvo acompañada de copia de la Resolución </w:t>
      </w:r>
      <w:r w:rsidR="00920209" w:rsidRPr="00977573">
        <w:t>de 13 de septiembre de 1982</w:t>
      </w:r>
      <w:r w:rsidR="008635D1" w:rsidRPr="00B00DF4">
        <w:t>.</w:t>
      </w:r>
      <w:r w:rsidR="00DB46D2" w:rsidRPr="00977573">
        <w:t xml:space="preserve"> </w:t>
      </w:r>
      <w:r w:rsidR="000A7FF5" w:rsidRPr="00977573">
        <w:t>Por lo anterior</w:t>
      </w:r>
      <w:r w:rsidR="00DB46D2" w:rsidRPr="00977573">
        <w:t xml:space="preserve">, </w:t>
      </w:r>
      <w:r w:rsidR="00665B3E" w:rsidRPr="00977573">
        <w:t xml:space="preserve">aunque </w:t>
      </w:r>
      <w:r w:rsidR="007951F7" w:rsidRPr="00977573">
        <w:t>la señora Moya</w:t>
      </w:r>
      <w:r w:rsidR="00060A1C" w:rsidRPr="00977573">
        <w:t xml:space="preserve"> Solís</w:t>
      </w:r>
      <w:r w:rsidR="007951F7" w:rsidRPr="00977573">
        <w:t xml:space="preserve"> no dejó de ejercer los recursos a su alcance, al no haber conocido la motivación de </w:t>
      </w:r>
      <w:r w:rsidR="000A7FF5" w:rsidRPr="00977573">
        <w:t>su</w:t>
      </w:r>
      <w:r w:rsidR="007951F7" w:rsidRPr="00977573">
        <w:t xml:space="preserve"> no ratificación, no </w:t>
      </w:r>
      <w:r w:rsidR="00357C03" w:rsidRPr="00977573">
        <w:t>contó con los medios adecuados para ejercer</w:t>
      </w:r>
      <w:r w:rsidR="007951F7" w:rsidRPr="00977573">
        <w:t xml:space="preserve"> su derecho a la defensa.</w:t>
      </w:r>
      <w:r w:rsidR="00357C03" w:rsidRPr="00977573">
        <w:t xml:space="preserve"> Esta situación también </w:t>
      </w:r>
      <w:r w:rsidR="00060A1C" w:rsidRPr="00977573">
        <w:t xml:space="preserve">constituye </w:t>
      </w:r>
      <w:r w:rsidR="00357C03" w:rsidRPr="00977573">
        <w:t xml:space="preserve">una violación al artículo 8.2.c) de la Convención. </w:t>
      </w:r>
    </w:p>
    <w:p w14:paraId="155B6991" w14:textId="77777777" w:rsidR="00357C03" w:rsidRPr="00977573" w:rsidRDefault="00357C03" w:rsidP="000F3BE2">
      <w:pPr>
        <w:ind w:right="4"/>
        <w:rPr>
          <w:rFonts w:ascii="Verdana" w:hAnsi="Verdana"/>
          <w:sz w:val="20"/>
          <w:szCs w:val="20"/>
          <w:lang w:val="es-CO" w:eastAsia="es-MX"/>
        </w:rPr>
      </w:pPr>
    </w:p>
    <w:p w14:paraId="6EEDA954" w14:textId="77777777" w:rsidR="00357C03" w:rsidRPr="00977573" w:rsidRDefault="00357C03" w:rsidP="000F3BE2">
      <w:pPr>
        <w:pStyle w:val="Ttulo3"/>
        <w:ind w:right="4"/>
      </w:pPr>
      <w:bookmarkStart w:id="116" w:name="_Toc69717873"/>
      <w:bookmarkStart w:id="117" w:name="_Toc74225380"/>
      <w:r w:rsidRPr="00977573">
        <w:t xml:space="preserve">B.2 </w:t>
      </w:r>
      <w:r w:rsidR="00573A15" w:rsidRPr="00977573">
        <w:t>En relación con el derecho a contar con decisiones debidamente motivadas</w:t>
      </w:r>
      <w:bookmarkEnd w:id="116"/>
      <w:r w:rsidR="00573A15" w:rsidRPr="00977573">
        <w:t xml:space="preserve"> y el principio de legalidad</w:t>
      </w:r>
      <w:bookmarkEnd w:id="117"/>
    </w:p>
    <w:p w14:paraId="2E85EA90" w14:textId="77777777" w:rsidR="00D90E19" w:rsidRPr="00977573" w:rsidRDefault="00D90E19" w:rsidP="000F3BE2">
      <w:pPr>
        <w:jc w:val="both"/>
        <w:rPr>
          <w:rFonts w:ascii="Verdana" w:hAnsi="Verdana"/>
          <w:sz w:val="20"/>
          <w:szCs w:val="20"/>
          <w:lang w:val="es-CO"/>
        </w:rPr>
      </w:pPr>
    </w:p>
    <w:p w14:paraId="62845147" w14:textId="77777777" w:rsidR="000B06F8" w:rsidRPr="00977573" w:rsidRDefault="00566A39" w:rsidP="000F3BE2">
      <w:pPr>
        <w:pStyle w:val="PrrafodeSentencia"/>
        <w:spacing w:line="240" w:lineRule="auto"/>
        <w:rPr>
          <w:rFonts w:cs="Arial"/>
        </w:rPr>
      </w:pPr>
      <w:r w:rsidRPr="00977573">
        <w:t xml:space="preserve">En este caso, la Comisión y la presunta víctima alegaron </w:t>
      </w:r>
      <w:r w:rsidR="00B34E47" w:rsidRPr="00977573">
        <w:t>la violación del</w:t>
      </w:r>
      <w:r w:rsidRPr="00977573">
        <w:t xml:space="preserve"> derecho a contar con decisiones debidamente motivadas (artículo 8.1</w:t>
      </w:r>
      <w:r w:rsidR="00B05B1E" w:rsidRPr="00977573">
        <w:t>) y del principio de legalidad (artículo 9</w:t>
      </w:r>
      <w:r w:rsidRPr="00977573">
        <w:t xml:space="preserve">). </w:t>
      </w:r>
      <w:r w:rsidR="00B05B1E" w:rsidRPr="00977573">
        <w:t xml:space="preserve">En </w:t>
      </w:r>
      <w:r w:rsidR="00B34E47" w:rsidRPr="00977573">
        <w:t>relación con el derecho a contar con decisiones debidamente motivadas, l</w:t>
      </w:r>
      <w:r w:rsidR="000B06F8" w:rsidRPr="00977573">
        <w:t xml:space="preserve">a Corte </w:t>
      </w:r>
      <w:r w:rsidR="00B34E47" w:rsidRPr="00977573">
        <w:t>reitera</w:t>
      </w:r>
      <w:r w:rsidR="000B06F8" w:rsidRPr="00977573">
        <w:t xml:space="preserve"> que la motivación “es la exteriorización de la justificación razonada que permite llegar a una conclusión”</w:t>
      </w:r>
      <w:r w:rsidR="000B06F8" w:rsidRPr="00977573">
        <w:rPr>
          <w:rStyle w:val="Refdenotaalpie"/>
          <w:sz w:val="20"/>
          <w:szCs w:val="20"/>
          <w:lang w:val="es-CO"/>
        </w:rPr>
        <w:footnoteReference w:id="60"/>
      </w:r>
      <w:r w:rsidR="000B06F8" w:rsidRPr="00977573">
        <w:t xml:space="preserve"> y que el deber de motivar las decisiones es una garantía que se desprende del artículo 8.1 de la Convención, vinculada a la correcta administración de justicia, pues protege el derecho de los ciudadanos a ser juzgados por las razones que el derecho suministra y da credibilidad a las decisiones jurídicas en una sociedad democrática</w:t>
      </w:r>
      <w:r w:rsidR="000B06F8" w:rsidRPr="00977573">
        <w:rPr>
          <w:rStyle w:val="Refdenotaalpie"/>
          <w:sz w:val="20"/>
          <w:szCs w:val="20"/>
          <w:lang w:val="es-CO"/>
        </w:rPr>
        <w:footnoteReference w:id="61"/>
      </w:r>
      <w:r w:rsidR="000B06F8" w:rsidRPr="00977573">
        <w:t>.</w:t>
      </w:r>
      <w:r w:rsidR="000B06F8" w:rsidRPr="00977573">
        <w:rPr>
          <w:rFonts w:cs="Arial"/>
        </w:rPr>
        <w:t xml:space="preserve"> Por tanto, </w:t>
      </w:r>
      <w:r w:rsidR="000B06F8" w:rsidRPr="00977573">
        <w:t>las decisiones que adopten los órganos internos que puedan afectar derechos humanos deben estar debidamente fundamentadas. De lo contrario serán decisiones arbitrarias</w:t>
      </w:r>
      <w:r w:rsidR="000B06F8" w:rsidRPr="00977573">
        <w:rPr>
          <w:rStyle w:val="Refdenotaalpie"/>
          <w:bCs/>
          <w:sz w:val="20"/>
          <w:szCs w:val="20"/>
          <w:lang w:val="es-CO"/>
        </w:rPr>
        <w:footnoteReference w:id="62"/>
      </w:r>
      <w:r w:rsidR="000B06F8" w:rsidRPr="00977573">
        <w:t xml:space="preserve">. </w:t>
      </w:r>
    </w:p>
    <w:p w14:paraId="092F0F20" w14:textId="77777777" w:rsidR="000B06F8" w:rsidRPr="00977573" w:rsidRDefault="000B06F8" w:rsidP="000F3BE2">
      <w:pPr>
        <w:pStyle w:val="PrrafodeSentencia"/>
        <w:numPr>
          <w:ilvl w:val="0"/>
          <w:numId w:val="0"/>
        </w:numPr>
        <w:spacing w:line="240" w:lineRule="auto"/>
        <w:rPr>
          <w:rFonts w:cs="Arial"/>
        </w:rPr>
      </w:pPr>
    </w:p>
    <w:p w14:paraId="6D63FB8A" w14:textId="77777777" w:rsidR="000B06F8" w:rsidRPr="00977573" w:rsidRDefault="000B06F8" w:rsidP="000F3BE2">
      <w:pPr>
        <w:pStyle w:val="PrrafodeSentencia"/>
        <w:spacing w:line="240" w:lineRule="auto"/>
      </w:pPr>
      <w:r w:rsidRPr="00977573">
        <w:t>Así, la motivación demuestra a las partes que han sido oídas y, en aquellos casos en que las decisiones son recurribles, les proporciona la posibilidad de criticar la resolución y lograr un nuevo examen ante instancias superiores</w:t>
      </w:r>
      <w:r w:rsidRPr="00977573">
        <w:rPr>
          <w:rStyle w:val="Refdenotaalpie"/>
          <w:sz w:val="20"/>
          <w:szCs w:val="20"/>
          <w:lang w:val="es-CO"/>
        </w:rPr>
        <w:footnoteReference w:id="63"/>
      </w:r>
      <w:r w:rsidRPr="00977573">
        <w:t>. Conforme a lo anterior, la argumentación de un fallo y de ciertos actos administrativos debe permitir conocer cuáles fueron los hechos, motivos y normas en que se basó la autoridad para tomar su decisión, a fin de descartar cualquier indicio de arbitrariedad</w:t>
      </w:r>
      <w:r w:rsidRPr="00977573">
        <w:rPr>
          <w:rStyle w:val="Refdenotaalpie"/>
          <w:sz w:val="20"/>
          <w:szCs w:val="20"/>
          <w:lang w:val="es-CO"/>
        </w:rPr>
        <w:footnoteReference w:id="64"/>
      </w:r>
      <w:r w:rsidRPr="00977573">
        <w:t>.</w:t>
      </w:r>
    </w:p>
    <w:p w14:paraId="2FB5D0D3" w14:textId="77777777" w:rsidR="00DF5DC6" w:rsidRPr="00977573" w:rsidRDefault="00DF5DC6" w:rsidP="000F3BE2">
      <w:pPr>
        <w:rPr>
          <w:rFonts w:ascii="Verdana" w:hAnsi="Verdana"/>
          <w:sz w:val="20"/>
          <w:szCs w:val="20"/>
          <w:lang w:val="es-CO" w:eastAsia="es-MX"/>
        </w:rPr>
      </w:pPr>
    </w:p>
    <w:p w14:paraId="6D18F382" w14:textId="77777777" w:rsidR="00DF5DC6" w:rsidRPr="00977573" w:rsidRDefault="00DF5DC6" w:rsidP="000F3BE2">
      <w:pPr>
        <w:pStyle w:val="PrrafodeSentencia"/>
        <w:spacing w:line="240" w:lineRule="auto"/>
      </w:pPr>
      <w:r w:rsidRPr="00977573">
        <w:t xml:space="preserve">Sobre este asunto constan en el expediente dos documentos, el primero, </w:t>
      </w:r>
      <w:r w:rsidR="007809E2" w:rsidRPr="00977573">
        <w:t>un</w:t>
      </w:r>
      <w:r w:rsidRPr="00977573">
        <w:t xml:space="preserve"> </w:t>
      </w:r>
      <w:r w:rsidR="007809E2" w:rsidRPr="00977573">
        <w:t xml:space="preserve">certificado del </w:t>
      </w:r>
      <w:r w:rsidRPr="00977573">
        <w:t>Acta de Sala Plena de 10 de septiembre de 1982</w:t>
      </w:r>
      <w:r w:rsidR="007809E2" w:rsidRPr="00977573">
        <w:t xml:space="preserve">, fecha en la que </w:t>
      </w:r>
      <w:r w:rsidRPr="00977573">
        <w:t xml:space="preserve">se </w:t>
      </w:r>
      <w:r w:rsidR="00CD787B" w:rsidRPr="00977573">
        <w:t>discutió</w:t>
      </w:r>
      <w:r w:rsidRPr="00977573">
        <w:t xml:space="preserve"> el ca</w:t>
      </w:r>
      <w:r w:rsidR="00357C03" w:rsidRPr="00977573">
        <w:t xml:space="preserve">so </w:t>
      </w:r>
      <w:r w:rsidR="001336DA" w:rsidRPr="00977573">
        <w:t>d</w:t>
      </w:r>
      <w:r w:rsidR="00357C03" w:rsidRPr="00977573">
        <w:t>e la señora Moya Solís</w:t>
      </w:r>
      <w:r w:rsidR="001336DA" w:rsidRPr="00977573">
        <w:t xml:space="preserve"> (</w:t>
      </w:r>
      <w:r w:rsidR="001336DA" w:rsidRPr="00977573">
        <w:rPr>
          <w:i/>
        </w:rPr>
        <w:t>supra</w:t>
      </w:r>
      <w:r w:rsidR="001336DA" w:rsidRPr="00977573">
        <w:t xml:space="preserve"> párr. 44)</w:t>
      </w:r>
      <w:r w:rsidRPr="00977573">
        <w:t xml:space="preserve"> </w:t>
      </w:r>
      <w:r w:rsidR="001336DA" w:rsidRPr="00977573">
        <w:rPr>
          <w:sz w:val="18"/>
        </w:rPr>
        <w:t xml:space="preserve">y, </w:t>
      </w:r>
      <w:r w:rsidR="001336DA" w:rsidRPr="00B00DF4">
        <w:t>e</w:t>
      </w:r>
      <w:r w:rsidR="005C385D" w:rsidRPr="00B00DF4">
        <w:t>l</w:t>
      </w:r>
      <w:r w:rsidR="005C385D" w:rsidRPr="00977573">
        <w:t xml:space="preserve"> segundo, </w:t>
      </w:r>
      <w:r w:rsidRPr="00977573">
        <w:t>la Resolución No. 0015-82-TT de 13 de septiembre de 1982</w:t>
      </w:r>
      <w:r w:rsidR="007809E2" w:rsidRPr="00977573">
        <w:t>,</w:t>
      </w:r>
      <w:r w:rsidRPr="00977573">
        <w:t xml:space="preserve"> en la que se resuelve no ratificar a la señora Moya Solís</w:t>
      </w:r>
      <w:r w:rsidR="007809E2" w:rsidRPr="00977573">
        <w:t>. Est</w:t>
      </w:r>
      <w:r w:rsidR="007E7253" w:rsidRPr="00977573">
        <w:t>a</w:t>
      </w:r>
      <w:r w:rsidR="005C385D" w:rsidRPr="00977573">
        <w:t xml:space="preserve"> </w:t>
      </w:r>
      <w:r w:rsidR="00753E25" w:rsidRPr="00977573">
        <w:t xml:space="preserve">última </w:t>
      </w:r>
      <w:r w:rsidR="005C385D" w:rsidRPr="00977573">
        <w:t>indica</w:t>
      </w:r>
      <w:r w:rsidR="008F3557" w:rsidRPr="00977573">
        <w:t xml:space="preserve"> </w:t>
      </w:r>
      <w:r w:rsidR="005C385D" w:rsidRPr="00977573">
        <w:t xml:space="preserve">que </w:t>
      </w:r>
      <w:r w:rsidRPr="00977573">
        <w:t xml:space="preserve">se encontraron deficiencias en la tramitación de los expedientes a su cargo; </w:t>
      </w:r>
      <w:r w:rsidR="005C385D" w:rsidRPr="00977573">
        <w:t xml:space="preserve">que </w:t>
      </w:r>
      <w:r w:rsidRPr="00977573">
        <w:t xml:space="preserve">el informe emitido por el Juez a cargo del Décimo Juzgado no fue favorable; </w:t>
      </w:r>
      <w:r w:rsidR="005C385D" w:rsidRPr="00977573">
        <w:t>que</w:t>
      </w:r>
      <w:r w:rsidRPr="00977573">
        <w:t xml:space="preserve"> la señora Moya Solís había sido sancionada previamente; y </w:t>
      </w:r>
      <w:r w:rsidR="005C385D" w:rsidRPr="00977573">
        <w:t>que</w:t>
      </w:r>
      <w:r w:rsidRPr="00977573">
        <w:t xml:space="preserve"> los cargos expuestos no fueron desvirtuados</w:t>
      </w:r>
      <w:r w:rsidRPr="00977573">
        <w:rPr>
          <w:rStyle w:val="Refdenotaalpie"/>
          <w:sz w:val="20"/>
          <w:szCs w:val="20"/>
          <w:lang w:val="es-CO"/>
        </w:rPr>
        <w:footnoteReference w:id="65"/>
      </w:r>
      <w:r w:rsidRPr="00977573">
        <w:t>.</w:t>
      </w:r>
      <w:r w:rsidR="007809E2" w:rsidRPr="00977573">
        <w:t xml:space="preserve"> La señora Moya Solís argumentó durante el trámite de este asunto que el Acta de la Sala Plena no le fue notificada oportunamente y que </w:t>
      </w:r>
      <w:r w:rsidR="00357C03" w:rsidRPr="00977573">
        <w:t>nunca</w:t>
      </w:r>
      <w:r w:rsidR="007809E2" w:rsidRPr="00977573">
        <w:t xml:space="preserve"> tuvo conocimiento</w:t>
      </w:r>
      <w:r w:rsidR="008F3557" w:rsidRPr="00977573">
        <w:t xml:space="preserve"> de la </w:t>
      </w:r>
      <w:r w:rsidR="00B00DF4">
        <w:t>R</w:t>
      </w:r>
      <w:r w:rsidR="007809E2" w:rsidRPr="00977573">
        <w:t>esolución de no ratificación. E</w:t>
      </w:r>
      <w:r w:rsidRPr="00977573">
        <w:t xml:space="preserve">l </w:t>
      </w:r>
      <w:r w:rsidR="007809E2" w:rsidRPr="00977573">
        <w:t xml:space="preserve">Estado </w:t>
      </w:r>
      <w:r w:rsidR="00BB3801" w:rsidRPr="00977573">
        <w:t>afirmó</w:t>
      </w:r>
      <w:r w:rsidR="00B00DF4">
        <w:t>, por su parte</w:t>
      </w:r>
      <w:r w:rsidR="00BB3801" w:rsidRPr="00977573">
        <w:t xml:space="preserve">, que </w:t>
      </w:r>
      <w:r w:rsidR="008F3557" w:rsidRPr="00977573">
        <w:t xml:space="preserve">la </w:t>
      </w:r>
      <w:r w:rsidR="00BB3801" w:rsidRPr="00977573">
        <w:t xml:space="preserve">prueba de que </w:t>
      </w:r>
      <w:r w:rsidR="008F3557" w:rsidRPr="00977573">
        <w:t xml:space="preserve">la Resolución </w:t>
      </w:r>
      <w:r w:rsidR="00BB3801" w:rsidRPr="00977573">
        <w:t xml:space="preserve">había sido notificada </w:t>
      </w:r>
      <w:r w:rsidR="005C385D" w:rsidRPr="00977573">
        <w:t>es</w:t>
      </w:r>
      <w:r w:rsidR="00BB3801" w:rsidRPr="00977573">
        <w:t xml:space="preserve"> que </w:t>
      </w:r>
      <w:r w:rsidR="005C385D" w:rsidRPr="00977573">
        <w:t xml:space="preserve">la presunta víctima </w:t>
      </w:r>
      <w:r w:rsidR="00BB3801" w:rsidRPr="00977573">
        <w:t>formuló los recursos que estaban a su alcance</w:t>
      </w:r>
      <w:r w:rsidR="007E7253" w:rsidRPr="00977573">
        <w:rPr>
          <w:rStyle w:val="Refdenotaalpie"/>
          <w:sz w:val="20"/>
          <w:szCs w:val="20"/>
          <w:lang w:val="es-CO"/>
        </w:rPr>
        <w:footnoteReference w:id="66"/>
      </w:r>
      <w:r w:rsidR="00BB3801" w:rsidRPr="00977573">
        <w:t xml:space="preserve">. Sin embargo, </w:t>
      </w:r>
      <w:r w:rsidR="007E7253" w:rsidRPr="00977573">
        <w:t xml:space="preserve">de la mera interposición de los recursos no se desprende que </w:t>
      </w:r>
      <w:r w:rsidR="00AB4CAE" w:rsidRPr="00977573">
        <w:t xml:space="preserve">a </w:t>
      </w:r>
      <w:r w:rsidR="007E7253" w:rsidRPr="00977573">
        <w:t xml:space="preserve">la señora Moya Solís </w:t>
      </w:r>
      <w:r w:rsidR="00AB4CAE" w:rsidRPr="00977573">
        <w:t xml:space="preserve">le </w:t>
      </w:r>
      <w:r w:rsidR="007E7253" w:rsidRPr="00977573">
        <w:t xml:space="preserve">haya sido notificada </w:t>
      </w:r>
      <w:r w:rsidR="0045570C" w:rsidRPr="00977573">
        <w:t>la Resolución No. 0015-82-TT</w:t>
      </w:r>
      <w:r w:rsidR="00F84FB5" w:rsidRPr="00977573">
        <w:rPr>
          <w:bCs/>
        </w:rPr>
        <w:t xml:space="preserve">. </w:t>
      </w:r>
      <w:r w:rsidR="0045570C" w:rsidRPr="00977573">
        <w:t>Además</w:t>
      </w:r>
      <w:r w:rsidR="007E7253" w:rsidRPr="00977573">
        <w:t>, al Estado le correspondía probar que notificó oportunamente el contenido de la Resolución, pese a ello, no aportó prueba en ese sentido</w:t>
      </w:r>
      <w:r w:rsidRPr="00977573">
        <w:t>.</w:t>
      </w:r>
      <w:r w:rsidR="007809E2" w:rsidRPr="00977573">
        <w:t xml:space="preserve"> Por tal razón, la </w:t>
      </w:r>
      <w:r w:rsidR="008F3557" w:rsidRPr="00977573">
        <w:t xml:space="preserve">Corte encuentra que la </w:t>
      </w:r>
      <w:r w:rsidR="007809E2" w:rsidRPr="00977573">
        <w:t>señora Moya Solís no pudo conoc</w:t>
      </w:r>
      <w:r w:rsidR="008F3557" w:rsidRPr="00977573">
        <w:t xml:space="preserve">er los motivos que llevaron </w:t>
      </w:r>
      <w:r w:rsidR="00C560E4" w:rsidRPr="00977573">
        <w:t>a la decisión de no ratificación</w:t>
      </w:r>
      <w:r w:rsidR="005C385D" w:rsidRPr="00977573">
        <w:t xml:space="preserve">, consignados en el Acta y en la </w:t>
      </w:r>
      <w:r w:rsidR="00973B2C" w:rsidRPr="00977573">
        <w:t>R</w:t>
      </w:r>
      <w:r w:rsidR="005C385D" w:rsidRPr="00977573">
        <w:t>esolución</w:t>
      </w:r>
      <w:r w:rsidR="00C560E4" w:rsidRPr="00977573">
        <w:t>,</w:t>
      </w:r>
      <w:r w:rsidR="0083769A" w:rsidRPr="00977573">
        <w:t xml:space="preserve"> lo que no solo impactó su derecho a la defensa (</w:t>
      </w:r>
      <w:r w:rsidR="0083769A" w:rsidRPr="00977573">
        <w:rPr>
          <w:i/>
        </w:rPr>
        <w:t>su</w:t>
      </w:r>
      <w:r w:rsidR="005C385D" w:rsidRPr="00977573">
        <w:rPr>
          <w:i/>
        </w:rPr>
        <w:t>p</w:t>
      </w:r>
      <w:r w:rsidR="0083769A" w:rsidRPr="00977573">
        <w:rPr>
          <w:i/>
        </w:rPr>
        <w:t>ra</w:t>
      </w:r>
      <w:r w:rsidR="0083769A" w:rsidRPr="00977573">
        <w:t xml:space="preserve"> párr. </w:t>
      </w:r>
      <w:r w:rsidR="00BA571D">
        <w:t>82</w:t>
      </w:r>
      <w:r w:rsidR="0083769A" w:rsidRPr="00977573">
        <w:t>), sino además</w:t>
      </w:r>
      <w:r w:rsidR="00357C03" w:rsidRPr="00977573">
        <w:t xml:space="preserve"> violó</w:t>
      </w:r>
      <w:r w:rsidR="005C385D" w:rsidRPr="00977573">
        <w:t xml:space="preserve"> el</w:t>
      </w:r>
      <w:r w:rsidR="00C560E4" w:rsidRPr="00977573">
        <w:t xml:space="preserve"> derecho a contar con decisiones motivadas</w:t>
      </w:r>
      <w:r w:rsidR="008F3557" w:rsidRPr="00977573">
        <w:t xml:space="preserve"> al que se refiere el artículo 8.1 de la Convención</w:t>
      </w:r>
      <w:r w:rsidR="00C560E4" w:rsidRPr="00977573">
        <w:t>.</w:t>
      </w:r>
    </w:p>
    <w:p w14:paraId="7142BFA7" w14:textId="77777777" w:rsidR="001D1109" w:rsidRPr="00977573" w:rsidRDefault="001D1109" w:rsidP="000F3BE2">
      <w:pPr>
        <w:jc w:val="both"/>
        <w:rPr>
          <w:rFonts w:ascii="Verdana" w:hAnsi="Verdana"/>
          <w:sz w:val="20"/>
          <w:szCs w:val="20"/>
          <w:lang w:val="es-CO"/>
        </w:rPr>
      </w:pPr>
    </w:p>
    <w:p w14:paraId="28BF6C92" w14:textId="77777777" w:rsidR="00281CAE" w:rsidRPr="00977573" w:rsidRDefault="005C385D" w:rsidP="000F3BE2">
      <w:pPr>
        <w:pStyle w:val="PrrafodeSentencia"/>
        <w:spacing w:line="240" w:lineRule="auto"/>
        <w:rPr>
          <w:strike/>
        </w:rPr>
      </w:pPr>
      <w:r w:rsidRPr="00977573">
        <w:t>Sin perjuicio de lo anterior</w:t>
      </w:r>
      <w:r w:rsidR="00C560E4" w:rsidRPr="00977573">
        <w:t>,</w:t>
      </w:r>
      <w:r w:rsidR="00CF76BF" w:rsidRPr="00977573">
        <w:t xml:space="preserve"> </w:t>
      </w:r>
      <w:r w:rsidR="00505B81" w:rsidRPr="00977573">
        <w:t>aun</w:t>
      </w:r>
      <w:r w:rsidR="00CF76BF" w:rsidRPr="00977573">
        <w:t xml:space="preserve"> en el supuesto </w:t>
      </w:r>
      <w:r w:rsidR="00E319A3" w:rsidRPr="00977573">
        <w:t>en</w:t>
      </w:r>
      <w:r w:rsidR="00CF76BF" w:rsidRPr="00977573">
        <w:t xml:space="preserve"> que se hubiera</w:t>
      </w:r>
      <w:r w:rsidRPr="00977573">
        <w:t>n</w:t>
      </w:r>
      <w:r w:rsidR="00CF76BF" w:rsidRPr="00977573">
        <w:t xml:space="preserve"> puesto en conocimiento de la señora Moya Solís </w:t>
      </w:r>
      <w:r w:rsidR="00C560E4" w:rsidRPr="00977573">
        <w:t xml:space="preserve">oportunamente </w:t>
      </w:r>
      <w:r w:rsidR="00CF76BF" w:rsidRPr="00977573">
        <w:t>el acta de la sesión en la que se r</w:t>
      </w:r>
      <w:r w:rsidRPr="00977573">
        <w:t>esolvió su no ratificación y</w:t>
      </w:r>
      <w:r w:rsidR="00CF76BF" w:rsidRPr="00977573">
        <w:t xml:space="preserve"> la resolución </w:t>
      </w:r>
      <w:r w:rsidR="00C560E4" w:rsidRPr="00977573">
        <w:t>en la que se adopta tal determinación</w:t>
      </w:r>
      <w:r w:rsidR="00E319A3" w:rsidRPr="00977573">
        <w:t xml:space="preserve">, estos documentos no dan cuenta </w:t>
      </w:r>
      <w:r w:rsidR="00CF76BF" w:rsidRPr="00977573">
        <w:t xml:space="preserve">de una adecuada motivación. </w:t>
      </w:r>
      <w:r w:rsidR="00177C83" w:rsidRPr="00977573">
        <w:t>Así,</w:t>
      </w:r>
      <w:r w:rsidR="00EB47A2" w:rsidRPr="00977573">
        <w:t xml:space="preserve"> </w:t>
      </w:r>
      <w:r w:rsidR="00E319A3" w:rsidRPr="00977573">
        <w:t>el Acta de la Sala Plena</w:t>
      </w:r>
      <w:r w:rsidR="00CF76BF" w:rsidRPr="00977573">
        <w:t xml:space="preserve"> en</w:t>
      </w:r>
      <w:r w:rsidR="00357C03" w:rsidRPr="00977573">
        <w:t xml:space="preserve"> la</w:t>
      </w:r>
      <w:r w:rsidR="00CF76BF" w:rsidRPr="00977573">
        <w:t xml:space="preserve"> que se decidió la no ratificación, </w:t>
      </w:r>
      <w:r w:rsidR="00C560E4" w:rsidRPr="00977573">
        <w:t xml:space="preserve">se refiere a las deudas y negocios de la señora Moya Solís, </w:t>
      </w:r>
      <w:r w:rsidR="00566A39" w:rsidRPr="00977573">
        <w:t>pero no expone</w:t>
      </w:r>
      <w:r w:rsidR="00C560E4" w:rsidRPr="00977573">
        <w:t xml:space="preserve"> por qué razón esto se relaciona</w:t>
      </w:r>
      <w:r w:rsidR="00CF76BF" w:rsidRPr="00977573">
        <w:t xml:space="preserve"> con </w:t>
      </w:r>
      <w:r w:rsidR="00C560E4" w:rsidRPr="00977573">
        <w:t xml:space="preserve">el incumplimiento de </w:t>
      </w:r>
      <w:r w:rsidR="00CF76BF" w:rsidRPr="00977573">
        <w:t xml:space="preserve">obligaciones </w:t>
      </w:r>
      <w:r w:rsidR="00C560E4" w:rsidRPr="00977573">
        <w:t xml:space="preserve">a </w:t>
      </w:r>
      <w:r w:rsidR="008F3557" w:rsidRPr="00977573">
        <w:t xml:space="preserve">su </w:t>
      </w:r>
      <w:r w:rsidR="00C560E4" w:rsidRPr="00977573">
        <w:t xml:space="preserve">cargo </w:t>
      </w:r>
      <w:r w:rsidR="00FC5FAA" w:rsidRPr="00977573">
        <w:t>o con un eventual conflicto de interés</w:t>
      </w:r>
      <w:r w:rsidR="00C560E4" w:rsidRPr="00977573">
        <w:t xml:space="preserve">. </w:t>
      </w:r>
      <w:r w:rsidR="00FC5FAA" w:rsidRPr="00977573">
        <w:t>En todo caso, la Corte nota que tener deudas o negocios propios, siempre que estos no impliquen un conflicto de interés</w:t>
      </w:r>
      <w:r w:rsidR="008F3557" w:rsidRPr="00977573">
        <w:t xml:space="preserve"> definido en la ley</w:t>
      </w:r>
      <w:r w:rsidR="00FC5FAA" w:rsidRPr="00977573">
        <w:t xml:space="preserve">, no es una razón para separar a una persona de su cargo. </w:t>
      </w:r>
      <w:r w:rsidR="00177C83" w:rsidRPr="00977573">
        <w:t xml:space="preserve">Esta Corte también </w:t>
      </w:r>
      <w:r w:rsidR="00566A39" w:rsidRPr="00977573">
        <w:t>encuentra</w:t>
      </w:r>
      <w:r w:rsidR="00177C83" w:rsidRPr="00977573">
        <w:t xml:space="preserve"> que la Resolución de 13 de septiembre de 1982</w:t>
      </w:r>
      <w:r w:rsidR="00566A39" w:rsidRPr="00977573">
        <w:t>,</w:t>
      </w:r>
      <w:r w:rsidR="00177C83" w:rsidRPr="00977573">
        <w:t xml:space="preserve"> que adopta la decisión de no ratificación, incluye como fundamentos asuntos distintos a los discutidos en la reunión de Sala Plena en la que se decidió la no ratificación. Sin embargo, no consta en el expediente ninguna explicación </w:t>
      </w:r>
      <w:r w:rsidR="008F3557" w:rsidRPr="00977573">
        <w:t>de</w:t>
      </w:r>
      <w:r w:rsidR="002A57E9" w:rsidRPr="00977573">
        <w:t xml:space="preserve"> esta inconsistencia. </w:t>
      </w:r>
      <w:r w:rsidR="005812DA" w:rsidRPr="00977573">
        <w:t>Por otra parte</w:t>
      </w:r>
      <w:r w:rsidR="00862782" w:rsidRPr="00977573">
        <w:t xml:space="preserve">, </w:t>
      </w:r>
      <w:r w:rsidR="00177C83" w:rsidRPr="00977573">
        <w:t xml:space="preserve">la </w:t>
      </w:r>
      <w:r w:rsidR="00505B81" w:rsidRPr="00977573">
        <w:t>decisión de no ratificación de la señora Moya Solís fue</w:t>
      </w:r>
      <w:r w:rsidR="00862782" w:rsidRPr="00977573">
        <w:t xml:space="preserve"> adoptada en la Sala Plena del Tribunal del Trabajo y Comunidades Laborales y fue</w:t>
      </w:r>
      <w:r w:rsidR="00505B81" w:rsidRPr="00977573">
        <w:t xml:space="preserve"> resultado de una votación dividida que contó con cinco votos a favor y cinco en contra</w:t>
      </w:r>
      <w:r w:rsidR="00BA571D" w:rsidRPr="00977573">
        <w:rPr>
          <w:rStyle w:val="Refdenotaalpie"/>
          <w:sz w:val="20"/>
          <w:szCs w:val="20"/>
          <w:lang w:val="es-CO"/>
        </w:rPr>
        <w:footnoteReference w:id="67"/>
      </w:r>
      <w:r w:rsidR="00C560E4" w:rsidRPr="00977573">
        <w:t>, sin que haya</w:t>
      </w:r>
      <w:r w:rsidR="00862782" w:rsidRPr="00977573">
        <w:t xml:space="preserve"> </w:t>
      </w:r>
      <w:r w:rsidR="00505B81" w:rsidRPr="00977573">
        <w:t xml:space="preserve">explicación de las razones por las cuales </w:t>
      </w:r>
      <w:r w:rsidR="00C560E4" w:rsidRPr="00977573">
        <w:t>el</w:t>
      </w:r>
      <w:r w:rsidR="00505B81" w:rsidRPr="00977573">
        <w:t xml:space="preserve"> empate se resolvió e</w:t>
      </w:r>
      <w:r w:rsidR="00177C83" w:rsidRPr="00977573">
        <w:t>n favor de la no ratificación</w:t>
      </w:r>
      <w:r w:rsidR="00952E58" w:rsidRPr="00977573">
        <w:t xml:space="preserve">. </w:t>
      </w:r>
      <w:r w:rsidR="00177C83" w:rsidRPr="00977573">
        <w:t>Por</w:t>
      </w:r>
      <w:r w:rsidR="0083769A" w:rsidRPr="00977573">
        <w:t xml:space="preserve"> todo</w:t>
      </w:r>
      <w:r w:rsidR="00177C83" w:rsidRPr="00977573">
        <w:t xml:space="preserve"> lo expuesto, la Corte </w:t>
      </w:r>
      <w:r w:rsidR="00562222" w:rsidRPr="00977573">
        <w:t>encuentra que</w:t>
      </w:r>
      <w:r w:rsidR="00177C83" w:rsidRPr="00977573">
        <w:t xml:space="preserve"> </w:t>
      </w:r>
      <w:r w:rsidR="00562222" w:rsidRPr="00977573">
        <w:t>la decisión de no ratificación</w:t>
      </w:r>
      <w:r w:rsidR="0083769A" w:rsidRPr="00977573">
        <w:t xml:space="preserve"> no fue adecuadamente motivada y </w:t>
      </w:r>
      <w:r w:rsidR="00562222" w:rsidRPr="00977573">
        <w:t>fue arbitraria</w:t>
      </w:r>
      <w:r w:rsidR="00B05B1E" w:rsidRPr="00977573">
        <w:t xml:space="preserve">. </w:t>
      </w:r>
    </w:p>
    <w:p w14:paraId="52B4DD1A" w14:textId="77777777" w:rsidR="00B05B1E" w:rsidRPr="00977573" w:rsidRDefault="00B05B1E" w:rsidP="000F3BE2">
      <w:pPr>
        <w:rPr>
          <w:rFonts w:ascii="Verdana" w:hAnsi="Verdana"/>
          <w:lang w:val="es-CO" w:eastAsia="es-MX"/>
        </w:rPr>
      </w:pPr>
    </w:p>
    <w:p w14:paraId="7F9313E5" w14:textId="77777777" w:rsidR="00FD2E5A" w:rsidRPr="00977573" w:rsidRDefault="00686D8D" w:rsidP="000F3BE2">
      <w:pPr>
        <w:pStyle w:val="PrrafodeSentencia"/>
        <w:spacing w:line="240" w:lineRule="auto"/>
        <w:rPr>
          <w:b/>
        </w:rPr>
      </w:pPr>
      <w:r w:rsidRPr="00977573">
        <w:t xml:space="preserve">Por otra parte, la Corte </w:t>
      </w:r>
      <w:r w:rsidR="00164C09" w:rsidRPr="00977573">
        <w:t>nota</w:t>
      </w:r>
      <w:r w:rsidRPr="00977573">
        <w:t xml:space="preserve"> que</w:t>
      </w:r>
      <w:r w:rsidR="00FD2E5A" w:rsidRPr="00977573">
        <w:t xml:space="preserve"> el acta de Sala Plena y la Resolución de no ratificación no dan cuenta de </w:t>
      </w:r>
      <w:r w:rsidRPr="00977573">
        <w:t xml:space="preserve">las causales </w:t>
      </w:r>
      <w:r w:rsidR="00164C09" w:rsidRPr="00977573">
        <w:t>con fundamento en las cuales se decidió la</w:t>
      </w:r>
      <w:r w:rsidRPr="00977573">
        <w:t xml:space="preserve"> no ratificación</w:t>
      </w:r>
      <w:r w:rsidR="00164C09" w:rsidRPr="00977573">
        <w:t>. E</w:t>
      </w:r>
      <w:r w:rsidRPr="00977573">
        <w:t>sto ocurrió</w:t>
      </w:r>
      <w:r w:rsidR="00FD2E5A" w:rsidRPr="00977573">
        <w:t xml:space="preserve"> </w:t>
      </w:r>
      <w:r w:rsidR="005812DA" w:rsidRPr="00977573">
        <w:t>porque es</w:t>
      </w:r>
      <w:r w:rsidR="00FD2E5A" w:rsidRPr="00977573">
        <w:t xml:space="preserve">as </w:t>
      </w:r>
      <w:r w:rsidR="00164C09" w:rsidRPr="00977573">
        <w:t xml:space="preserve">causales </w:t>
      </w:r>
      <w:r w:rsidR="00FD2E5A" w:rsidRPr="00977573">
        <w:t>no estaban contenidas en ninguna norma, lo que debe ser analizado a la luz del principio de legalidad. Así, el</w:t>
      </w:r>
      <w:r w:rsidR="00FD2E5A" w:rsidRPr="00977573">
        <w:rPr>
          <w:rFonts w:eastAsia="Times New Roman" w:cs="Arial"/>
        </w:rPr>
        <w:t xml:space="preserve"> artículo 9 de la Convención </w:t>
      </w:r>
      <w:r w:rsidR="00FD2E5A" w:rsidRPr="00977573">
        <w:t>Americana</w:t>
      </w:r>
      <w:r w:rsidR="00FD2E5A" w:rsidRPr="00977573">
        <w:rPr>
          <w:rFonts w:eastAsia="Times New Roman" w:cs="Arial"/>
        </w:rPr>
        <w:t xml:space="preserve"> establece que </w:t>
      </w:r>
      <w:r w:rsidR="00FD2E5A" w:rsidRPr="00977573">
        <w:t>“[n]adie puede ser condenado por acciones u omisiones que en el momento de cometerse no fueran delictivos según el derecho aplicable” y que no es posible “imponer pena más grave que la aplicable en el momento de la comisión del delito”. Esta Corte ha interpretado que estos mandatos son aplicables no sólo al ámbito penal, sino que su alcance se extiende en materia sancionatoria administrativa</w:t>
      </w:r>
      <w:r w:rsidR="00FD2E5A" w:rsidRPr="00977573">
        <w:rPr>
          <w:vertAlign w:val="superscript"/>
        </w:rPr>
        <w:footnoteReference w:id="68"/>
      </w:r>
      <w:r w:rsidR="00FD2E5A" w:rsidRPr="00977573">
        <w:t xml:space="preserve">. </w:t>
      </w:r>
    </w:p>
    <w:p w14:paraId="486F3625" w14:textId="77777777" w:rsidR="00FD2E5A" w:rsidRPr="00977573" w:rsidRDefault="00FD2E5A" w:rsidP="000F3BE2">
      <w:pPr>
        <w:pStyle w:val="PrrafodeSentencia"/>
        <w:numPr>
          <w:ilvl w:val="0"/>
          <w:numId w:val="0"/>
        </w:numPr>
        <w:spacing w:line="240" w:lineRule="auto"/>
        <w:rPr>
          <w:rFonts w:eastAsia="Calibri"/>
        </w:rPr>
      </w:pPr>
    </w:p>
    <w:p w14:paraId="6D7D1051" w14:textId="77777777" w:rsidR="00FD2E5A" w:rsidRPr="00977573" w:rsidRDefault="00FD2E5A" w:rsidP="000F3BE2">
      <w:pPr>
        <w:pStyle w:val="PrrafodeSentencia"/>
        <w:spacing w:line="240" w:lineRule="auto"/>
      </w:pPr>
      <w:r w:rsidRPr="00977573">
        <w:t>Sobre este asunto, es preciso tener en cuenta que esta Corte ya determinó que cuando un proceso de evaluación de funcionarios públicos establece la no ratificación en el cargo de una persona, el proceso es materialmente sanciona</w:t>
      </w:r>
      <w:r w:rsidR="005812DA" w:rsidRPr="00977573">
        <w:t>torio</w:t>
      </w:r>
      <w:r w:rsidR="00164C09" w:rsidRPr="00977573">
        <w:t xml:space="preserve"> (</w:t>
      </w:r>
      <w:r w:rsidR="00164C09" w:rsidRPr="00BA571D">
        <w:rPr>
          <w:i/>
        </w:rPr>
        <w:t>supra</w:t>
      </w:r>
      <w:r w:rsidR="00164C09" w:rsidRPr="00977573">
        <w:t xml:space="preserve"> párr. </w:t>
      </w:r>
      <w:r w:rsidR="00BA571D">
        <w:t>69</w:t>
      </w:r>
      <w:r w:rsidR="00164C09" w:rsidRPr="00977573">
        <w:t>)</w:t>
      </w:r>
      <w:r w:rsidRPr="00977573">
        <w:t>. Ahora bien, las sanciones administrativas son, como las penales, una expresión del poder punitivo del Estado y pueden tener naturaleza similar a la de estas, pues pueden implicar el menoscabo, privación o alteración de los derechos de las personas. Por lo tanto, en un sistema democrático es necesario extremar las precauciones para que la interposición de ese tipo de sanciones se haga con estricto respeto a los derechos de las personas y luego de una cuidadosa verificación de la existencia de una conducta contraria a derecho. En ese sentido, es indispensable que la norma sancionatoria exista y resulte conocida o pueda serlo, antes de que ocurra la acción o la omisión que la contraviene y que se pretende sancionar</w:t>
      </w:r>
      <w:r w:rsidRPr="00977573">
        <w:rPr>
          <w:rStyle w:val="Refdenotaalpie"/>
          <w:sz w:val="20"/>
          <w:szCs w:val="20"/>
          <w:lang w:val="es-CO"/>
        </w:rPr>
        <w:footnoteReference w:id="69"/>
      </w:r>
      <w:r w:rsidRPr="00977573">
        <w:t xml:space="preserve">. </w:t>
      </w:r>
    </w:p>
    <w:p w14:paraId="71E7DC53" w14:textId="77777777" w:rsidR="00FD2E5A" w:rsidRPr="00977573" w:rsidRDefault="00FD2E5A" w:rsidP="000F3BE2">
      <w:pPr>
        <w:rPr>
          <w:rFonts w:ascii="Verdana" w:hAnsi="Verdana"/>
          <w:sz w:val="20"/>
          <w:szCs w:val="20"/>
          <w:lang w:val="es-CO" w:eastAsia="es-MX"/>
        </w:rPr>
      </w:pPr>
    </w:p>
    <w:p w14:paraId="66FC4161" w14:textId="27076AF7" w:rsidR="002A57E9" w:rsidRPr="00145DF7" w:rsidRDefault="00FD2E5A" w:rsidP="000F3BE2">
      <w:pPr>
        <w:pStyle w:val="PrrafodeSentencia"/>
        <w:spacing w:line="240" w:lineRule="auto"/>
      </w:pPr>
      <w:r w:rsidRPr="00977573">
        <w:t>En este caso</w:t>
      </w:r>
      <w:r w:rsidR="00F84FB5" w:rsidRPr="00977573">
        <w:rPr>
          <w:bCs/>
        </w:rPr>
        <w:t>,</w:t>
      </w:r>
      <w:r w:rsidRPr="00977573">
        <w:t xml:space="preserve"> el Estado </w:t>
      </w:r>
      <w:r w:rsidR="00BA571D">
        <w:t>argumentó</w:t>
      </w:r>
      <w:r w:rsidRPr="00977573">
        <w:t xml:space="preserve"> que la Ley Orgánica del Poder Judicial establecía cuáles eran los deberes y obligaciones de los secretarios de juzgados. En efecto, dicha norma contiene un catálogo de 35 obligaciones de esta categoría de funcionarios</w:t>
      </w:r>
      <w:r w:rsidRPr="00977573">
        <w:rPr>
          <w:rStyle w:val="Refdenotaalpie"/>
          <w:sz w:val="20"/>
          <w:szCs w:val="20"/>
          <w:lang w:val="es-CO"/>
        </w:rPr>
        <w:footnoteReference w:id="70"/>
      </w:r>
      <w:r w:rsidRPr="00977573">
        <w:t>. Sin embargo, no había una norma que indicara qué tipo de incumplimiento de esos deberes</w:t>
      </w:r>
      <w:r w:rsidR="00164C09" w:rsidRPr="00977573">
        <w:t xml:space="preserve"> podía</w:t>
      </w:r>
      <w:r w:rsidRPr="00977573">
        <w:t xml:space="preserve"> dar lugar a la no ratificación, así como el valor del informe del juez a cargo del juzgado, de la entrevista a la evaluada o de cualquier otro elemento que hiciera parte del proceso de ratificación. Esto significa que las acciones y omisiones que podían dar lugar a una decisión de no ratificación no estaban definidas en la ley</w:t>
      </w:r>
      <w:r w:rsidR="00686D8D" w:rsidRPr="00977573">
        <w:t xml:space="preserve"> ni en ninguna otra norma</w:t>
      </w:r>
      <w:r w:rsidRPr="00977573">
        <w:t xml:space="preserve">. Lo anterior </w:t>
      </w:r>
      <w:r w:rsidR="00862782" w:rsidRPr="00977573">
        <w:t>tiene</w:t>
      </w:r>
      <w:r w:rsidR="005812DA" w:rsidRPr="00977573">
        <w:t>, además,</w:t>
      </w:r>
      <w:r w:rsidR="00862782" w:rsidRPr="00977573">
        <w:t xml:space="preserve"> un impacto en el derecho a conocer previa y detalladamente la acusación formulada, en la medida en que </w:t>
      </w:r>
      <w:r w:rsidR="002D2F51" w:rsidRPr="00977573">
        <w:t>en el marco de procesos de evaluación de funcionarios públicos el alcance de este derecho exige que la persona evaluada esté en capacidad de establecer si un incumplimiento es de tal magnitud que puede dar lugar a su no ratificación en el cargo (</w:t>
      </w:r>
      <w:r w:rsidR="002D2F51" w:rsidRPr="00BA571D">
        <w:rPr>
          <w:i/>
        </w:rPr>
        <w:t>supra</w:t>
      </w:r>
      <w:r w:rsidR="002D2F51" w:rsidRPr="00977573">
        <w:t xml:space="preserve"> párr. </w:t>
      </w:r>
      <w:r w:rsidR="00BA571D">
        <w:t>71</w:t>
      </w:r>
      <w:r w:rsidR="002D2F51" w:rsidRPr="00977573">
        <w:t>)</w:t>
      </w:r>
      <w:r w:rsidR="00BA571D">
        <w:t>,</w:t>
      </w:r>
      <w:r w:rsidR="002D2F51" w:rsidRPr="00977573">
        <w:t xml:space="preserve"> e </w:t>
      </w:r>
      <w:r w:rsidRPr="00977573">
        <w:t xml:space="preserve">implica una violación del principio de </w:t>
      </w:r>
      <w:r w:rsidRPr="00145DF7">
        <w:t>legalidad</w:t>
      </w:r>
      <w:r w:rsidR="005A1B46">
        <w:t xml:space="preserve"> </w:t>
      </w:r>
      <w:r w:rsidR="005A1B46" w:rsidRPr="005A1B46">
        <w:t>en relación con el deber de adoptar disposiciones de derecho interno</w:t>
      </w:r>
      <w:r w:rsidRPr="00145DF7">
        <w:t xml:space="preserve">. </w:t>
      </w:r>
    </w:p>
    <w:p w14:paraId="76650F5C" w14:textId="77777777" w:rsidR="002A57E9" w:rsidRPr="00802F45" w:rsidRDefault="002A57E9" w:rsidP="000F3BE2">
      <w:pPr>
        <w:rPr>
          <w:rFonts w:ascii="Verdana" w:hAnsi="Verdana"/>
          <w:lang w:val="es-CO" w:eastAsia="es-MX"/>
        </w:rPr>
      </w:pPr>
    </w:p>
    <w:p w14:paraId="1E0B368F" w14:textId="22C288E5" w:rsidR="00F84FB5" w:rsidRPr="00977573" w:rsidRDefault="00F84FB5" w:rsidP="000F3BE2">
      <w:pPr>
        <w:pStyle w:val="PrrafodeSentencia"/>
        <w:spacing w:line="240" w:lineRule="auto"/>
        <w:rPr>
          <w:bCs/>
        </w:rPr>
      </w:pPr>
      <w:r w:rsidRPr="00145DF7">
        <w:rPr>
          <w:bCs/>
        </w:rPr>
        <w:t xml:space="preserve">Complementariamente a lo expuesto, la Corte constata que, de lo dispuesto en el citado </w:t>
      </w:r>
      <w:r w:rsidRPr="00977573">
        <w:rPr>
          <w:bCs/>
        </w:rPr>
        <w:t>artículo 233 de la Ley Orgánica del Poder Judicial, se colige que el Secretario de Juzgado</w:t>
      </w:r>
      <w:r w:rsidR="00B402CE" w:rsidRPr="00977573">
        <w:rPr>
          <w:bCs/>
        </w:rPr>
        <w:t xml:space="preserve"> es directo colaborador del Juez,</w:t>
      </w:r>
      <w:r w:rsidRPr="00977573">
        <w:rPr>
          <w:bCs/>
        </w:rPr>
        <w:t xml:space="preserve"> </w:t>
      </w:r>
      <w:r w:rsidR="00B402CE" w:rsidRPr="00977573">
        <w:rPr>
          <w:bCs/>
        </w:rPr>
        <w:t xml:space="preserve">ejerce funciones propias de un ministro de fe y que, en consecuencia, hace posible que aquél pueda disponer oportunamente de todos los antecedentes necesarios para adoptar resoluciones, para decretarlas y </w:t>
      </w:r>
      <w:r w:rsidR="00E90B0E" w:rsidRPr="00977573">
        <w:rPr>
          <w:bCs/>
        </w:rPr>
        <w:t xml:space="preserve">para </w:t>
      </w:r>
      <w:r w:rsidR="00B402CE" w:rsidRPr="00977573">
        <w:rPr>
          <w:bCs/>
        </w:rPr>
        <w:t>que sean conocidas</w:t>
      </w:r>
      <w:r w:rsidR="00E90B0E" w:rsidRPr="00977573">
        <w:rPr>
          <w:bCs/>
        </w:rPr>
        <w:t xml:space="preserve"> por las partes en la pertinente causa. Se trata de un relevante auxiliar de justicia, sin cuya colaboración, el ejercicio de judicatura se tornaría imposible o, al menos, muy dificultosa</w:t>
      </w:r>
      <w:r w:rsidR="00D469F9" w:rsidRPr="00977573">
        <w:rPr>
          <w:bCs/>
        </w:rPr>
        <w:t>, lo cual justifica la aplicación a su respecto de lo previsto en l</w:t>
      </w:r>
      <w:r w:rsidR="00145DF7">
        <w:rPr>
          <w:bCs/>
        </w:rPr>
        <w:t>os</w:t>
      </w:r>
      <w:r w:rsidR="00D469F9" w:rsidRPr="00977573">
        <w:rPr>
          <w:bCs/>
        </w:rPr>
        <w:t xml:space="preserve"> artículo</w:t>
      </w:r>
      <w:r w:rsidR="00145DF7">
        <w:rPr>
          <w:bCs/>
        </w:rPr>
        <w:t>s</w:t>
      </w:r>
      <w:r w:rsidR="00D469F9" w:rsidRPr="00977573">
        <w:rPr>
          <w:bCs/>
        </w:rPr>
        <w:t xml:space="preserve"> 8</w:t>
      </w:r>
      <w:r w:rsidR="00E57098" w:rsidRPr="00977573">
        <w:rPr>
          <w:bCs/>
        </w:rPr>
        <w:t>.1</w:t>
      </w:r>
      <w:r w:rsidR="00AF15BB" w:rsidRPr="00977573">
        <w:rPr>
          <w:bCs/>
        </w:rPr>
        <w:t xml:space="preserve"> </w:t>
      </w:r>
      <w:r w:rsidR="00E57098" w:rsidRPr="00977573">
        <w:rPr>
          <w:bCs/>
        </w:rPr>
        <w:t xml:space="preserve">y </w:t>
      </w:r>
      <w:r w:rsidR="005B6F78" w:rsidRPr="00977573">
        <w:rPr>
          <w:bCs/>
        </w:rPr>
        <w:t>8.</w:t>
      </w:r>
      <w:r w:rsidR="00E57098" w:rsidRPr="00977573">
        <w:rPr>
          <w:bCs/>
        </w:rPr>
        <w:t>2.</w:t>
      </w:r>
      <w:r w:rsidR="00D469F9" w:rsidRPr="00977573">
        <w:rPr>
          <w:bCs/>
        </w:rPr>
        <w:t xml:space="preserve"> de la Convención.</w:t>
      </w:r>
      <w:r w:rsidR="00FB565B" w:rsidRPr="00977573">
        <w:rPr>
          <w:bCs/>
        </w:rPr>
        <w:t xml:space="preserve"> </w:t>
      </w:r>
    </w:p>
    <w:p w14:paraId="2F38C26C" w14:textId="77777777" w:rsidR="00277EF8" w:rsidRPr="00977573" w:rsidRDefault="00277EF8" w:rsidP="000F3BE2">
      <w:pPr>
        <w:pStyle w:val="PrrafodeSentencia"/>
        <w:numPr>
          <w:ilvl w:val="0"/>
          <w:numId w:val="0"/>
        </w:numPr>
        <w:spacing w:line="240" w:lineRule="auto"/>
      </w:pPr>
    </w:p>
    <w:p w14:paraId="2F878519" w14:textId="77777777" w:rsidR="00277EF8" w:rsidRPr="00977573" w:rsidRDefault="00277EF8" w:rsidP="000F3BE2">
      <w:pPr>
        <w:pStyle w:val="Ttulo3"/>
      </w:pPr>
      <w:bookmarkStart w:id="118" w:name="_Toc69717874"/>
      <w:bookmarkStart w:id="119" w:name="_Toc74225381"/>
      <w:r w:rsidRPr="00977573">
        <w:t>B.3. C</w:t>
      </w:r>
      <w:r w:rsidR="00A022A1" w:rsidRPr="00977573">
        <w:t>onclusión</w:t>
      </w:r>
      <w:bookmarkEnd w:id="118"/>
      <w:bookmarkEnd w:id="119"/>
    </w:p>
    <w:p w14:paraId="7D09DE14" w14:textId="77777777" w:rsidR="00A0066F" w:rsidRPr="00977573" w:rsidRDefault="00A0066F" w:rsidP="000F3BE2">
      <w:pPr>
        <w:pStyle w:val="Sinespaciado"/>
        <w:rPr>
          <w:lang w:val="es-CO"/>
        </w:rPr>
      </w:pPr>
    </w:p>
    <w:p w14:paraId="7E99A8D6" w14:textId="77777777" w:rsidR="001745CF" w:rsidRPr="00BA571D" w:rsidRDefault="00864A66" w:rsidP="000F3BE2">
      <w:pPr>
        <w:pStyle w:val="PrrafodeSentencia"/>
        <w:spacing w:line="240" w:lineRule="auto"/>
      </w:pPr>
      <w:r w:rsidRPr="00BA571D">
        <w:t xml:space="preserve">De </w:t>
      </w:r>
      <w:r w:rsidR="00277EF8" w:rsidRPr="00BA571D">
        <w:t>acuerdo con lo expuesto en párrafos precedentes, la Corte encuentra que el Estado es responsable por</w:t>
      </w:r>
      <w:r w:rsidR="00B324F1" w:rsidRPr="00BA571D">
        <w:t xml:space="preserve"> la violación de los derechos </w:t>
      </w:r>
      <w:r w:rsidR="00277EF8" w:rsidRPr="00BA571D">
        <w:t xml:space="preserve">a </w:t>
      </w:r>
      <w:r w:rsidR="00FD2E5A" w:rsidRPr="00BA571D">
        <w:t xml:space="preserve">conocer previa y detalladamente la acusación formulada, a </w:t>
      </w:r>
      <w:r w:rsidR="00277EF8" w:rsidRPr="00BA571D">
        <w:t>contar con el tiempo y los medios adecuados de defensa</w:t>
      </w:r>
      <w:r w:rsidR="00FD2E5A" w:rsidRPr="00BA571D">
        <w:t>,</w:t>
      </w:r>
      <w:r w:rsidR="00277EF8" w:rsidRPr="00BA571D">
        <w:t xml:space="preserve"> </w:t>
      </w:r>
      <w:r w:rsidR="004454AF" w:rsidRPr="00BA571D">
        <w:t xml:space="preserve">a contar </w:t>
      </w:r>
      <w:r w:rsidR="00277EF8" w:rsidRPr="00BA571D">
        <w:t xml:space="preserve">con decisiones debidamente motivadas, </w:t>
      </w:r>
      <w:r w:rsidR="00686D8D" w:rsidRPr="00BA571D">
        <w:t>así como del</w:t>
      </w:r>
      <w:r w:rsidR="00FD2E5A" w:rsidRPr="00BA571D">
        <w:t xml:space="preserve"> principio de legalidad,</w:t>
      </w:r>
      <w:r w:rsidR="00277EF8" w:rsidRPr="00BA571D">
        <w:t xml:space="preserve"> contenidos en </w:t>
      </w:r>
      <w:r w:rsidR="00FD2E5A" w:rsidRPr="00BA571D">
        <w:t>los</w:t>
      </w:r>
      <w:r w:rsidR="00277EF8" w:rsidRPr="00BA571D">
        <w:t xml:space="preserve"> artículo</w:t>
      </w:r>
      <w:r w:rsidR="00FD2E5A" w:rsidRPr="00BA571D">
        <w:t>s</w:t>
      </w:r>
      <w:r w:rsidR="00277EF8" w:rsidRPr="00BA571D">
        <w:t xml:space="preserve"> 8</w:t>
      </w:r>
      <w:r w:rsidR="00562222" w:rsidRPr="00BA571D">
        <w:t>.1</w:t>
      </w:r>
      <w:r w:rsidR="00FD2E5A" w:rsidRPr="00BA571D">
        <w:t>,</w:t>
      </w:r>
      <w:r w:rsidR="00562222" w:rsidRPr="00BA571D">
        <w:t xml:space="preserve"> 8.2 y </w:t>
      </w:r>
      <w:r w:rsidR="00FD2E5A" w:rsidRPr="00BA571D">
        <w:t>9</w:t>
      </w:r>
      <w:r w:rsidR="00277EF8" w:rsidRPr="00BA571D">
        <w:t xml:space="preserve"> de la Convención Americana, en relación con la</w:t>
      </w:r>
      <w:r w:rsidR="00EE04D0" w:rsidRPr="00BA571D">
        <w:t>s</w:t>
      </w:r>
      <w:r w:rsidR="00277EF8" w:rsidRPr="00BA571D">
        <w:t xml:space="preserve"> obligaci</w:t>
      </w:r>
      <w:r w:rsidR="00EE04D0" w:rsidRPr="00BA571D">
        <w:t>ones</w:t>
      </w:r>
      <w:r w:rsidR="00277EF8" w:rsidRPr="00BA571D">
        <w:t xml:space="preserve"> de respetar y garantizar los derechos </w:t>
      </w:r>
      <w:r w:rsidR="00EE04D0" w:rsidRPr="00BA571D">
        <w:t xml:space="preserve">y adoptar </w:t>
      </w:r>
      <w:r w:rsidR="00BA571D">
        <w:t>disposiciones</w:t>
      </w:r>
      <w:r w:rsidR="00EE04D0" w:rsidRPr="00BA571D">
        <w:t xml:space="preserve"> de derecho interno, contenidas en los artículos 1.1 y 2</w:t>
      </w:r>
      <w:r w:rsidR="00277EF8" w:rsidRPr="00BA571D">
        <w:t xml:space="preserve"> </w:t>
      </w:r>
      <w:r w:rsidR="00BA571D">
        <w:t>del mismo Tratado</w:t>
      </w:r>
      <w:r w:rsidR="00277EF8" w:rsidRPr="00BA571D">
        <w:t>.</w:t>
      </w:r>
      <w:r w:rsidR="00D6191C" w:rsidRPr="00BA571D">
        <w:t xml:space="preserve"> </w:t>
      </w:r>
    </w:p>
    <w:p w14:paraId="67EF1872" w14:textId="77777777" w:rsidR="0003198F" w:rsidRPr="00977573" w:rsidRDefault="00FC23CC" w:rsidP="000F3BE2">
      <w:pPr>
        <w:pStyle w:val="Ttulo1"/>
        <w:rPr>
          <w:rFonts w:ascii="Verdana" w:hAnsi="Verdana"/>
          <w:sz w:val="20"/>
          <w:szCs w:val="20"/>
          <w:lang w:val="es-CO"/>
        </w:rPr>
      </w:pPr>
      <w:r w:rsidRPr="00977573">
        <w:rPr>
          <w:rStyle w:val="None"/>
          <w:rFonts w:ascii="Verdana" w:hAnsi="Verdana"/>
          <w:sz w:val="20"/>
          <w:szCs w:val="20"/>
          <w:lang w:val="es-CO"/>
        </w:rPr>
        <w:br/>
      </w:r>
      <w:bookmarkStart w:id="120" w:name="_Toc69717875"/>
      <w:bookmarkStart w:id="121" w:name="_Toc74225382"/>
      <w:r w:rsidR="0003198F" w:rsidRPr="00977573">
        <w:rPr>
          <w:rStyle w:val="None"/>
          <w:rFonts w:ascii="Verdana" w:hAnsi="Verdana"/>
          <w:sz w:val="20"/>
          <w:szCs w:val="20"/>
          <w:lang w:val="es-CO"/>
        </w:rPr>
        <w:t>VII-2</w:t>
      </w:r>
      <w:r w:rsidR="0003198F" w:rsidRPr="00977573">
        <w:rPr>
          <w:rStyle w:val="None"/>
          <w:rFonts w:ascii="Verdana" w:hAnsi="Verdana"/>
          <w:sz w:val="20"/>
          <w:szCs w:val="20"/>
          <w:lang w:val="es-CO"/>
        </w:rPr>
        <w:br/>
      </w:r>
      <w:r w:rsidR="0003198F" w:rsidRPr="00977573">
        <w:rPr>
          <w:rFonts w:ascii="Verdana" w:hAnsi="Verdana"/>
          <w:sz w:val="20"/>
          <w:szCs w:val="20"/>
          <w:lang w:val="es-CO"/>
        </w:rPr>
        <w:t>PLAZO RAZONABLE Y PROTECCIÓN JUDICIAL</w:t>
      </w:r>
      <w:r w:rsidR="0003198F" w:rsidRPr="00977573">
        <w:rPr>
          <w:rStyle w:val="Refdenotaalpie"/>
          <w:sz w:val="20"/>
          <w:szCs w:val="20"/>
          <w:lang w:val="es-CO"/>
        </w:rPr>
        <w:footnoteReference w:id="71"/>
      </w:r>
      <w:bookmarkEnd w:id="120"/>
      <w:bookmarkEnd w:id="121"/>
    </w:p>
    <w:p w14:paraId="5A89AD3F" w14:textId="77777777" w:rsidR="00FC23CC" w:rsidRPr="00977573" w:rsidRDefault="00FC23CC" w:rsidP="000F3BE2">
      <w:pPr>
        <w:pStyle w:val="Sinespaciado"/>
        <w:rPr>
          <w:lang w:val="es-CO"/>
        </w:rPr>
      </w:pPr>
    </w:p>
    <w:p w14:paraId="6EC82FF0" w14:textId="77777777" w:rsidR="00FC23CC" w:rsidRPr="00977573" w:rsidRDefault="00FC23CC" w:rsidP="000F3BE2">
      <w:pPr>
        <w:pStyle w:val="Ttulo2"/>
        <w:numPr>
          <w:ilvl w:val="0"/>
          <w:numId w:val="21"/>
        </w:numPr>
        <w:spacing w:line="240" w:lineRule="auto"/>
      </w:pPr>
      <w:bookmarkStart w:id="122" w:name="_Toc69717876"/>
      <w:bookmarkStart w:id="123" w:name="_Toc74225383"/>
      <w:r w:rsidRPr="00977573">
        <w:t>Alegatos de las partes y de la Comisión</w:t>
      </w:r>
      <w:bookmarkEnd w:id="122"/>
      <w:bookmarkEnd w:id="123"/>
    </w:p>
    <w:p w14:paraId="10E3F32A" w14:textId="77777777" w:rsidR="00FC23CC" w:rsidRPr="00977573" w:rsidRDefault="00FC23CC" w:rsidP="000F3BE2">
      <w:pPr>
        <w:rPr>
          <w:rFonts w:ascii="Verdana" w:hAnsi="Verdana"/>
          <w:sz w:val="20"/>
          <w:szCs w:val="20"/>
          <w:lang w:val="es-CO"/>
        </w:rPr>
      </w:pPr>
    </w:p>
    <w:p w14:paraId="13F4582B" w14:textId="586BDA21" w:rsidR="00654D19" w:rsidRPr="00977573" w:rsidRDefault="00654D19" w:rsidP="000F3BE2">
      <w:pPr>
        <w:pStyle w:val="PrrafodeSentencia"/>
        <w:spacing w:line="240" w:lineRule="auto"/>
      </w:pPr>
      <w:r w:rsidRPr="00977573">
        <w:t xml:space="preserve">La </w:t>
      </w:r>
      <w:r w:rsidRPr="00977573">
        <w:rPr>
          <w:b/>
          <w:i/>
        </w:rPr>
        <w:t>Comisión</w:t>
      </w:r>
      <w:r w:rsidRPr="00977573">
        <w:t xml:space="preserve"> señaló que el Estado debe proveer recursos judiciales efectivos a quienes aleguen ser víctimas de violaciones a los derechos humanos, los cuales deben ser sustanciados conforme a las reglas del debido proceso; recordó los elementos desarrollados en la jurisprudencia de la Corte para determinar la efectividad del plazo; y sostuvo que los Estados deben garantizar el cumplimiento de las decisiones en que se haya</w:t>
      </w:r>
      <w:r w:rsidR="003C1F25">
        <w:t xml:space="preserve"> estimado procedente un recurso</w:t>
      </w:r>
      <w:r w:rsidRPr="003C1F25">
        <w:t>.</w:t>
      </w:r>
      <w:r w:rsidRPr="00977573">
        <w:rPr>
          <w:b/>
        </w:rPr>
        <w:t xml:space="preserve"> </w:t>
      </w:r>
      <w:r w:rsidRPr="00977573">
        <w:t>Conforme a lo anterior, la Comisión consideró que luego de la decisión de no ratificación, la presunta víctima interpuso recursos que fueron rechazados sin un análisis sustantivo de las violaciones al debido proceso y, en especial, sin tener en cuenta el expediente de ratificaciones. También sostuvo que, luego de emitida la resolución de 4 de agosto de 1986</w:t>
      </w:r>
      <w:r w:rsidR="003C1F25">
        <w:t>,</w:t>
      </w:r>
      <w:r w:rsidRPr="00977573">
        <w:t xml:space="preserve"> en la que la Corte Suprema ordenaba que al juez de la causa expedir un nuevo fallo, en el transcurso de diez años no se emitió una decisión. A juicio de la Comisión</w:t>
      </w:r>
      <w:r w:rsidR="00C85102">
        <w:t>,</w:t>
      </w:r>
      <w:r w:rsidRPr="00977573">
        <w:t xml:space="preserve"> el plazo de más de diez años resulta irrazonable y configura una violación al derecho a garantizar el cumplimiento de decisiones judiciales </w:t>
      </w:r>
      <w:r w:rsidR="003C1F25">
        <w:t>de manera efectiva y sin demora</w:t>
      </w:r>
      <w:r w:rsidRPr="00977573">
        <w:t xml:space="preserve">.      </w:t>
      </w:r>
    </w:p>
    <w:p w14:paraId="1FE72F28" w14:textId="77777777" w:rsidR="00654D19" w:rsidRPr="00977573" w:rsidRDefault="00654D19" w:rsidP="000F3BE2">
      <w:pPr>
        <w:pStyle w:val="PrrafodeSentencia"/>
        <w:numPr>
          <w:ilvl w:val="0"/>
          <w:numId w:val="0"/>
        </w:numPr>
        <w:spacing w:line="240" w:lineRule="auto"/>
      </w:pPr>
      <w:r w:rsidRPr="00977573">
        <w:t xml:space="preserve">  </w:t>
      </w:r>
    </w:p>
    <w:p w14:paraId="0308DA97" w14:textId="77777777" w:rsidR="00654D19" w:rsidRPr="00977573" w:rsidRDefault="00654D19" w:rsidP="000F3BE2">
      <w:pPr>
        <w:pStyle w:val="PrrafodeSentencia"/>
        <w:spacing w:line="240" w:lineRule="auto"/>
      </w:pPr>
      <w:r w:rsidRPr="00977573">
        <w:t xml:space="preserve">La </w:t>
      </w:r>
      <w:r w:rsidRPr="00977573">
        <w:rPr>
          <w:b/>
          <w:i/>
        </w:rPr>
        <w:t>presunta víctima</w:t>
      </w:r>
      <w:r w:rsidRPr="00977573">
        <w:t xml:space="preserve"> alegó que el Estado es responsable</w:t>
      </w:r>
      <w:r w:rsidR="003C1F25">
        <w:t xml:space="preserve"> de la violación </w:t>
      </w:r>
      <w:r w:rsidRPr="00977573">
        <w:t>del derecho al plazo razonable y a la protección judicial en relación con las obligaciones derivadas de</w:t>
      </w:r>
      <w:r w:rsidR="003C1F25">
        <w:t>l artículo 1.1 de la Convención</w:t>
      </w:r>
      <w:r w:rsidRPr="00977573">
        <w:t xml:space="preserve">. </w:t>
      </w:r>
    </w:p>
    <w:p w14:paraId="05B68A28" w14:textId="77777777" w:rsidR="00654D19" w:rsidRPr="00977573" w:rsidRDefault="00654D19" w:rsidP="000F3BE2">
      <w:pPr>
        <w:rPr>
          <w:rFonts w:ascii="Verdana" w:hAnsi="Verdana"/>
          <w:sz w:val="20"/>
          <w:szCs w:val="20"/>
          <w:lang w:val="es-CO" w:eastAsia="es-MX"/>
        </w:rPr>
      </w:pPr>
    </w:p>
    <w:p w14:paraId="46DED5F5" w14:textId="77777777" w:rsidR="00654D19" w:rsidRPr="00977573" w:rsidRDefault="00654D19" w:rsidP="000F3BE2">
      <w:pPr>
        <w:pStyle w:val="PrrafodeSentencia"/>
        <w:spacing w:line="240" w:lineRule="auto"/>
        <w:rPr>
          <w:color w:val="000000"/>
        </w:rPr>
      </w:pPr>
      <w:r w:rsidRPr="00977573">
        <w:t xml:space="preserve">El </w:t>
      </w:r>
      <w:r w:rsidRPr="00977573">
        <w:rPr>
          <w:b/>
          <w:i/>
        </w:rPr>
        <w:t>Estado</w:t>
      </w:r>
      <w:r w:rsidRPr="00977573">
        <w:t xml:space="preserve"> alegó que </w:t>
      </w:r>
      <w:r w:rsidRPr="00977573">
        <w:rPr>
          <w:color w:val="010005"/>
        </w:rPr>
        <w:t xml:space="preserve">la señora Moya Solís </w:t>
      </w:r>
      <w:r w:rsidRPr="00977573">
        <w:t>tuvo acceso a todos los recursos definidos en la ley y obtuvo resoluciones finales debidamente motivadas y justificadas en derecho</w:t>
      </w:r>
      <w:r w:rsidRPr="00977573">
        <w:rPr>
          <w:bCs/>
        </w:rPr>
        <w:t xml:space="preserve">. </w:t>
      </w:r>
      <w:r w:rsidR="003C1F25">
        <w:rPr>
          <w:bCs/>
        </w:rPr>
        <w:t>C</w:t>
      </w:r>
      <w:r w:rsidRPr="00977573">
        <w:rPr>
          <w:bCs/>
        </w:rPr>
        <w:t>onsideró que el deber del Estado de satisfacer los requerimientos de la justicia prevalece sobre la garantía del plazo razon</w:t>
      </w:r>
      <w:r w:rsidR="003C1F25">
        <w:rPr>
          <w:bCs/>
        </w:rPr>
        <w:t>able</w:t>
      </w:r>
      <w:r w:rsidRPr="00977573">
        <w:rPr>
          <w:bCs/>
        </w:rPr>
        <w:t xml:space="preserve">. En todo caso, </w:t>
      </w:r>
      <w:r w:rsidR="003C1F25">
        <w:rPr>
          <w:bCs/>
        </w:rPr>
        <w:t>estimó</w:t>
      </w:r>
      <w:r w:rsidRPr="00977573">
        <w:rPr>
          <w:bCs/>
        </w:rPr>
        <w:t xml:space="preserve"> que </w:t>
      </w:r>
      <w:r w:rsidRPr="00977573">
        <w:rPr>
          <w:color w:val="010005"/>
        </w:rPr>
        <w:t xml:space="preserve">no se </w:t>
      </w:r>
      <w:r w:rsidR="003C1F25">
        <w:rPr>
          <w:color w:val="010005"/>
        </w:rPr>
        <w:t>violó</w:t>
      </w:r>
      <w:r w:rsidRPr="00977573">
        <w:rPr>
          <w:color w:val="010005"/>
        </w:rPr>
        <w:t xml:space="preserve"> el derecho </w:t>
      </w:r>
      <w:r w:rsidR="003C1F25">
        <w:rPr>
          <w:color w:val="010005"/>
        </w:rPr>
        <w:t>al</w:t>
      </w:r>
      <w:r w:rsidRPr="00977573">
        <w:rPr>
          <w:color w:val="010005"/>
        </w:rPr>
        <w:t xml:space="preserve"> plazo razonable, porque </w:t>
      </w:r>
      <w:r w:rsidRPr="00977573">
        <w:rPr>
          <w:color w:val="000000"/>
        </w:rPr>
        <w:t>si bien la materia no era compleja, la postura de la señora Moya Solís cambió durante el trámite del recurso. Alegó también que, si bien la señora Moya Solís presentó escritos para impulsar su proceso, entre 1989 y 1995 no se evidencia que haya aportado escritos de impulso procesal. También destacó que la presunta víctima no presentó el recurso de agravio constitucional para que su causa fuera conocida en última y definitiva instancia el Tribunal Constitucional. En relación con la afectación generada por el tiempo transcurrido, señaló que la señora Moya Solís no presentaba ninguna circunstancia particular que la h</w:t>
      </w:r>
      <w:r w:rsidR="003C1F25">
        <w:rPr>
          <w:color w:val="000000"/>
        </w:rPr>
        <w:t>iciera especialmente vulnerable</w:t>
      </w:r>
      <w:r w:rsidRPr="00977573">
        <w:rPr>
          <w:color w:val="000000"/>
        </w:rPr>
        <w:t xml:space="preserve">.  </w:t>
      </w:r>
    </w:p>
    <w:p w14:paraId="6DC2F607" w14:textId="77777777" w:rsidR="005D480B" w:rsidRPr="00977573" w:rsidRDefault="005D480B" w:rsidP="000F3BE2">
      <w:pPr>
        <w:pStyle w:val="PrrafodeSentencia"/>
        <w:numPr>
          <w:ilvl w:val="0"/>
          <w:numId w:val="0"/>
        </w:numPr>
        <w:spacing w:line="240" w:lineRule="auto"/>
      </w:pPr>
    </w:p>
    <w:p w14:paraId="6B6559E2" w14:textId="77777777" w:rsidR="00B733A3" w:rsidRPr="00977573" w:rsidRDefault="00EC5530" w:rsidP="000F3BE2">
      <w:pPr>
        <w:pStyle w:val="Ttulo2"/>
        <w:spacing w:line="240" w:lineRule="auto"/>
      </w:pPr>
      <w:bookmarkStart w:id="124" w:name="_Toc69717877"/>
      <w:bookmarkStart w:id="125" w:name="_Toc74225384"/>
      <w:r w:rsidRPr="00977573">
        <w:t>Consideraciones de la Corte</w:t>
      </w:r>
      <w:bookmarkEnd w:id="124"/>
      <w:bookmarkEnd w:id="125"/>
    </w:p>
    <w:p w14:paraId="2A36304F" w14:textId="77777777" w:rsidR="005D480B" w:rsidRPr="00977573" w:rsidRDefault="005D480B" w:rsidP="000F3BE2">
      <w:pPr>
        <w:pStyle w:val="Sinespaciado"/>
        <w:rPr>
          <w:lang w:val="es-CO"/>
        </w:rPr>
      </w:pPr>
    </w:p>
    <w:p w14:paraId="7BE80E41" w14:textId="0B18B965" w:rsidR="00023ACE" w:rsidRPr="00977573" w:rsidRDefault="00023ACE" w:rsidP="000F3BE2">
      <w:pPr>
        <w:pStyle w:val="PrrafodeSentencia"/>
        <w:spacing w:before="11" w:line="240" w:lineRule="auto"/>
      </w:pPr>
      <w:r w:rsidRPr="00977573">
        <w:t>Esta Corte recuerda que el numeral primero del artículo 25 de la Convención establece que “[t]oda persona tiene derecho a un recurso sencillo y rápido o a cualquier otro recurso efectivo ante los jueces o tribunales competentes, que la ampare contra actos que violen sus derechos fundamentales reconocidos por la Constitución, la ley o la presente Convención […]”</w:t>
      </w:r>
      <w:r w:rsidR="003670C7">
        <w:t>.</w:t>
      </w:r>
      <w:r w:rsidRPr="00977573">
        <w:t xml:space="preserve"> </w:t>
      </w:r>
      <w:r w:rsidR="003670C7">
        <w:t>P</w:t>
      </w:r>
      <w:r w:rsidRPr="00977573">
        <w:t>or su parte, el numeral segundo, literal c) del mismo artículo dispone que los Estados parte se comprometen a “garantizar el cumplimiento, por las autoridades competentes, de toda decisión en que se haya estimado procedente el recurso”.</w:t>
      </w:r>
      <w:r w:rsidR="00F3157E" w:rsidRPr="00977573">
        <w:t xml:space="preserve"> Sobre este asunto, la Corte ha considerado que la ejecución de las sentencias debe ser completa, perfecta, integral y sin demora</w:t>
      </w:r>
      <w:r w:rsidR="00F3157E" w:rsidRPr="00977573">
        <w:rPr>
          <w:rStyle w:val="Refdenotaalpie"/>
          <w:sz w:val="20"/>
          <w:szCs w:val="20"/>
          <w:lang w:val="es-CO"/>
        </w:rPr>
        <w:footnoteReference w:id="72"/>
      </w:r>
      <w:r w:rsidR="00F3157E" w:rsidRPr="00977573">
        <w:t>.</w:t>
      </w:r>
    </w:p>
    <w:p w14:paraId="1077BF5D" w14:textId="77777777" w:rsidR="00023ACE" w:rsidRPr="00977573" w:rsidRDefault="00023ACE" w:rsidP="000F3BE2">
      <w:pPr>
        <w:rPr>
          <w:rFonts w:ascii="Verdana" w:hAnsi="Verdana"/>
          <w:sz w:val="20"/>
          <w:szCs w:val="20"/>
          <w:lang w:val="es-CO" w:eastAsia="es-MX"/>
        </w:rPr>
      </w:pPr>
    </w:p>
    <w:p w14:paraId="5CF50E0D" w14:textId="77777777" w:rsidR="00524D94" w:rsidRPr="00977573" w:rsidRDefault="00023ACE" w:rsidP="000F3BE2">
      <w:pPr>
        <w:pStyle w:val="PrrafodeSentencia"/>
        <w:spacing w:before="11" w:line="240" w:lineRule="auto"/>
      </w:pPr>
      <w:r w:rsidRPr="00977573">
        <w:t xml:space="preserve">En cuanto a la efectividad del recurso, la Corte ha establecido que no basta con que esté previsto por la Constitución o la ley o con que sea formalmente admisible, sino que se requiere que sea realmente idóneo para establecer si se ha incurrido en una violación a los derechos humanos y proveer lo necesario para remediarla. Al respecto, aunque en este caso el recurso de amparo estaba previsto en la normatividad peruana y era formalmente admisible, no era un recurso efectivo. Primero, porque </w:t>
      </w:r>
      <w:r w:rsidR="00524D94" w:rsidRPr="00977573">
        <w:t xml:space="preserve">pese a que </w:t>
      </w:r>
      <w:r w:rsidRPr="00977573">
        <w:t xml:space="preserve">la señora Moya Solís alegó que no se le había notificado formalmente la decisión de no ratificación y </w:t>
      </w:r>
      <w:r w:rsidR="004454AF" w:rsidRPr="00977573">
        <w:t xml:space="preserve">que </w:t>
      </w:r>
      <w:r w:rsidRPr="00977573">
        <w:t>no se le habían garantizado sus derechos durante el trámite del proceso,</w:t>
      </w:r>
      <w:r w:rsidR="00524D94" w:rsidRPr="00977573">
        <w:t xml:space="preserve"> los jueces de amparo declararon improcedente el recurso por encontrar que la decisión de no ratificación no configuraba una violación o amenaza de violación a un derecho constitucional, sin </w:t>
      </w:r>
      <w:r w:rsidR="00562222" w:rsidRPr="00977573">
        <w:t>estudiar</w:t>
      </w:r>
      <w:r w:rsidR="00524D94" w:rsidRPr="00977573">
        <w:t xml:space="preserve"> las violaciones alegadas. En esa medida, el recurso no fue efectivo. </w:t>
      </w:r>
    </w:p>
    <w:p w14:paraId="4028FC90" w14:textId="77777777" w:rsidR="00524D94" w:rsidRPr="00977573" w:rsidRDefault="00524D94" w:rsidP="000F3BE2">
      <w:pPr>
        <w:rPr>
          <w:rFonts w:ascii="Verdana" w:hAnsi="Verdana"/>
          <w:sz w:val="20"/>
          <w:szCs w:val="20"/>
          <w:lang w:val="es-CO" w:eastAsia="es-MX"/>
        </w:rPr>
      </w:pPr>
    </w:p>
    <w:p w14:paraId="7F6DF31B" w14:textId="77777777" w:rsidR="009C3FC1" w:rsidRPr="00977573" w:rsidRDefault="00524D94" w:rsidP="000F3BE2">
      <w:pPr>
        <w:pStyle w:val="PrrafodeSentencia"/>
        <w:spacing w:line="240" w:lineRule="auto"/>
      </w:pPr>
      <w:r w:rsidRPr="00977573">
        <w:t>Por otra parte, cuando se declaró la nulidad del primer proceso de amparo, la Corte Suprema ordenó al juez de la causa expedir el nuevo fallo “teniendo a la vista el expediente de ratificaciones”</w:t>
      </w:r>
      <w:r w:rsidRPr="00977573">
        <w:rPr>
          <w:rStyle w:val="Refdenotaalpie"/>
          <w:sz w:val="20"/>
          <w:szCs w:val="20"/>
          <w:lang w:val="es-CO"/>
        </w:rPr>
        <w:footnoteReference w:id="73"/>
      </w:r>
      <w:r w:rsidRPr="00977573">
        <w:t>. Sin embargo, cuando el juzgado encontró que dicho expediente estaba extraviado, procedió a expedir una nueva sentencia, sin acatar la orden de</w:t>
      </w:r>
      <w:r w:rsidR="00F3157E" w:rsidRPr="00977573">
        <w:t xml:space="preserve"> la Corte Suprema de Justicia.</w:t>
      </w:r>
      <w:r w:rsidRPr="00977573">
        <w:t xml:space="preserve"> Lo que </w:t>
      </w:r>
      <w:r w:rsidR="00F3157E" w:rsidRPr="00977573">
        <w:t>correspondía</w:t>
      </w:r>
      <w:r w:rsidRPr="00977573">
        <w:t>, tal como quedó consignado en el voto disidente que acompaña la decisión del 29 de octubre de 1998 de la Sala de Derecho Constitucional y Social de la Corte Suprema de Justicia</w:t>
      </w:r>
      <w:r w:rsidR="00562222" w:rsidRPr="00977573">
        <w:t>,</w:t>
      </w:r>
      <w:r w:rsidRPr="00977573">
        <w:t xml:space="preserve"> era proceder a la reconstrucción del expediente de ratificaciones</w:t>
      </w:r>
      <w:r w:rsidRPr="00977573">
        <w:rPr>
          <w:rStyle w:val="Refdenotaalpie"/>
          <w:sz w:val="20"/>
          <w:szCs w:val="20"/>
          <w:lang w:val="es-CO"/>
        </w:rPr>
        <w:footnoteReference w:id="74"/>
      </w:r>
      <w:r w:rsidR="00F3157E" w:rsidRPr="00977573">
        <w:t xml:space="preserve">. </w:t>
      </w:r>
      <w:r w:rsidRPr="00977573">
        <w:t xml:space="preserve"> </w:t>
      </w:r>
      <w:r w:rsidR="00023ACE" w:rsidRPr="00977573">
        <w:t xml:space="preserve">  </w:t>
      </w:r>
    </w:p>
    <w:p w14:paraId="381447FF" w14:textId="77777777" w:rsidR="009C3FC1" w:rsidRPr="00977573" w:rsidRDefault="009C3FC1" w:rsidP="000F3BE2">
      <w:pPr>
        <w:pStyle w:val="PrrafodeSentencia"/>
        <w:numPr>
          <w:ilvl w:val="0"/>
          <w:numId w:val="0"/>
        </w:numPr>
        <w:spacing w:line="240" w:lineRule="auto"/>
      </w:pPr>
    </w:p>
    <w:p w14:paraId="7D1ADEC5" w14:textId="77777777" w:rsidR="008F574A" w:rsidRPr="00977573" w:rsidRDefault="009C7416" w:rsidP="000F3BE2">
      <w:pPr>
        <w:pStyle w:val="PrrafodeSentencia"/>
        <w:spacing w:before="11" w:line="240" w:lineRule="auto"/>
      </w:pPr>
      <w:r w:rsidRPr="00977573">
        <w:t>Finalmente, este</w:t>
      </w:r>
      <w:r w:rsidR="00554AA6" w:rsidRPr="00977573">
        <w:t xml:space="preserve"> Tribunal ha señalado que el </w:t>
      </w:r>
      <w:r w:rsidR="00332FAF" w:rsidRPr="00977573">
        <w:t>derecho</w:t>
      </w:r>
      <w:r w:rsidR="00332FAF" w:rsidRPr="00977573">
        <w:rPr>
          <w:spacing w:val="-6"/>
        </w:rPr>
        <w:t xml:space="preserve"> </w:t>
      </w:r>
      <w:r w:rsidR="00332FAF" w:rsidRPr="00977573">
        <w:t>de</w:t>
      </w:r>
      <w:r w:rsidR="00332FAF" w:rsidRPr="00977573">
        <w:rPr>
          <w:spacing w:val="-8"/>
        </w:rPr>
        <w:t xml:space="preserve"> </w:t>
      </w:r>
      <w:r w:rsidR="00332FAF" w:rsidRPr="00977573">
        <w:t>acceso</w:t>
      </w:r>
      <w:r w:rsidR="00332FAF" w:rsidRPr="00977573">
        <w:rPr>
          <w:spacing w:val="-8"/>
        </w:rPr>
        <w:t xml:space="preserve"> </w:t>
      </w:r>
      <w:r w:rsidR="00332FAF" w:rsidRPr="00977573">
        <w:t>a</w:t>
      </w:r>
      <w:r w:rsidR="00332FAF" w:rsidRPr="00977573">
        <w:rPr>
          <w:spacing w:val="-7"/>
        </w:rPr>
        <w:t xml:space="preserve"> </w:t>
      </w:r>
      <w:r w:rsidR="00332FAF" w:rsidRPr="00977573">
        <w:t>la justicia</w:t>
      </w:r>
      <w:r w:rsidR="00332FAF" w:rsidRPr="00977573">
        <w:rPr>
          <w:spacing w:val="-7"/>
        </w:rPr>
        <w:t xml:space="preserve"> </w:t>
      </w:r>
      <w:r w:rsidR="00332FAF" w:rsidRPr="00977573">
        <w:t>implica</w:t>
      </w:r>
      <w:r w:rsidR="00332FAF" w:rsidRPr="00977573">
        <w:rPr>
          <w:spacing w:val="-7"/>
        </w:rPr>
        <w:t xml:space="preserve"> </w:t>
      </w:r>
      <w:r w:rsidR="00332FAF" w:rsidRPr="00977573">
        <w:t>que</w:t>
      </w:r>
      <w:r w:rsidR="00332FAF" w:rsidRPr="00977573">
        <w:rPr>
          <w:spacing w:val="-8"/>
        </w:rPr>
        <w:t xml:space="preserve"> </w:t>
      </w:r>
      <w:r w:rsidR="00332FAF" w:rsidRPr="00977573">
        <w:t>la solución</w:t>
      </w:r>
      <w:r w:rsidR="00332FAF" w:rsidRPr="00977573">
        <w:rPr>
          <w:spacing w:val="-6"/>
        </w:rPr>
        <w:t xml:space="preserve"> </w:t>
      </w:r>
      <w:r w:rsidR="00332FAF" w:rsidRPr="00977573">
        <w:t>de</w:t>
      </w:r>
      <w:r w:rsidR="00332FAF" w:rsidRPr="00977573">
        <w:rPr>
          <w:spacing w:val="-8"/>
        </w:rPr>
        <w:t xml:space="preserve"> </w:t>
      </w:r>
      <w:r w:rsidR="00332FAF" w:rsidRPr="00977573">
        <w:t>la controversia se produzca en tiempo razonable, ya que una demora prolongada puede llegar a constituir, por sí misma, una violación de las garantías</w:t>
      </w:r>
      <w:r w:rsidR="00332FAF" w:rsidRPr="00977573">
        <w:rPr>
          <w:spacing w:val="-9"/>
        </w:rPr>
        <w:t xml:space="preserve"> </w:t>
      </w:r>
      <w:r w:rsidR="00332FAF" w:rsidRPr="00977573">
        <w:t>judiciales. La Corte también</w:t>
      </w:r>
      <w:r w:rsidR="00554AA6" w:rsidRPr="00977573">
        <w:t xml:space="preserve"> ha establecido que la evaluación del plazo razonable se debe analizar en cada caso concreto, en relación con la duración total del proceso, </w:t>
      </w:r>
      <w:r w:rsidR="00332FAF" w:rsidRPr="00977573">
        <w:t>incluyendo los recursos de instancia que pudieran presentarse</w:t>
      </w:r>
      <w:r w:rsidR="00332FAF" w:rsidRPr="00977573">
        <w:rPr>
          <w:rStyle w:val="Refdenotaalpie"/>
          <w:bCs/>
          <w:sz w:val="20"/>
          <w:szCs w:val="20"/>
          <w:lang w:val="es-CO"/>
        </w:rPr>
        <w:footnoteReference w:id="75"/>
      </w:r>
      <w:r w:rsidR="00332FAF" w:rsidRPr="00977573">
        <w:t>.</w:t>
      </w:r>
      <w:r w:rsidR="00554AA6" w:rsidRPr="00977573">
        <w:rPr>
          <w:spacing w:val="-11"/>
        </w:rPr>
        <w:t xml:space="preserve"> </w:t>
      </w:r>
      <w:r w:rsidR="00554AA6" w:rsidRPr="00977573">
        <w:t>De</w:t>
      </w:r>
      <w:r w:rsidR="00554AA6" w:rsidRPr="00977573">
        <w:rPr>
          <w:spacing w:val="-10"/>
        </w:rPr>
        <w:t xml:space="preserve"> </w:t>
      </w:r>
      <w:r w:rsidR="00554AA6" w:rsidRPr="00977573">
        <w:t>esta</w:t>
      </w:r>
      <w:r w:rsidR="00554AA6" w:rsidRPr="00977573">
        <w:rPr>
          <w:spacing w:val="-10"/>
        </w:rPr>
        <w:t xml:space="preserve"> </w:t>
      </w:r>
      <w:r w:rsidR="00554AA6" w:rsidRPr="00977573">
        <w:t>manera,</w:t>
      </w:r>
      <w:r w:rsidR="00554AA6" w:rsidRPr="00977573">
        <w:rPr>
          <w:spacing w:val="-12"/>
        </w:rPr>
        <w:t xml:space="preserve"> </w:t>
      </w:r>
      <w:r w:rsidR="00562222" w:rsidRPr="00977573">
        <w:rPr>
          <w:spacing w:val="-12"/>
        </w:rPr>
        <w:t xml:space="preserve">se </w:t>
      </w:r>
      <w:r w:rsidR="00554AA6" w:rsidRPr="00977573">
        <w:t>ha</w:t>
      </w:r>
      <w:r w:rsidR="00332FAF" w:rsidRPr="00977573">
        <w:t>n</w:t>
      </w:r>
      <w:r w:rsidR="00554AA6" w:rsidRPr="00977573">
        <w:rPr>
          <w:spacing w:val="-10"/>
        </w:rPr>
        <w:t xml:space="preserve"> </w:t>
      </w:r>
      <w:r w:rsidR="00554AA6" w:rsidRPr="00977573">
        <w:t>considerado</w:t>
      </w:r>
      <w:r w:rsidR="00554AA6" w:rsidRPr="00977573">
        <w:rPr>
          <w:spacing w:val="-10"/>
        </w:rPr>
        <w:t xml:space="preserve"> </w:t>
      </w:r>
      <w:r w:rsidR="00554AA6" w:rsidRPr="00977573">
        <w:t>cuatro elementos para analizar si se cumplió con la garantía del plazo razonable, a saber: (i) la complejidad del asunto, (ii) la actividad procesal del interesado, (iii) la conducta de las autoridades judiciales, y (iv) la afectación generada en la situación jurídica de la presunta víctima</w:t>
      </w:r>
      <w:r w:rsidR="00332FAF" w:rsidRPr="00977573">
        <w:rPr>
          <w:rStyle w:val="Refdenotaalpie"/>
          <w:sz w:val="20"/>
          <w:szCs w:val="20"/>
          <w:lang w:val="es-CO"/>
        </w:rPr>
        <w:footnoteReference w:id="76"/>
      </w:r>
      <w:r w:rsidR="00554AA6" w:rsidRPr="00977573">
        <w:t>.</w:t>
      </w:r>
      <w:r w:rsidR="00624D23" w:rsidRPr="00977573">
        <w:t xml:space="preserve"> </w:t>
      </w:r>
      <w:r w:rsidR="00332FAF" w:rsidRPr="00977573">
        <w:t xml:space="preserve">En este caso se alega que la garantía del </w:t>
      </w:r>
      <w:r w:rsidR="00D361A0" w:rsidRPr="00977573">
        <w:t>plazo razonable habría sido desconocida porque entre la decisión del 4 de agosto de 1986 de la Corte Suprema, que declaró nula la decisión del 2 de septiembre de 1985 e insubsistente la sentencia de amparo 14 de junio de 1985 y el nuevo fallo de amparo</w:t>
      </w:r>
      <w:r w:rsidR="008E1776" w:rsidRPr="00977573">
        <w:t>,</w:t>
      </w:r>
      <w:r w:rsidR="00D361A0" w:rsidRPr="00977573">
        <w:t xml:space="preserve"> trascurrieron más de 10 años. </w:t>
      </w:r>
      <w:r w:rsidR="00624D23" w:rsidRPr="00977573">
        <w:t xml:space="preserve">Por lo anterior, la Corte analizará </w:t>
      </w:r>
      <w:r w:rsidR="00237FC6" w:rsidRPr="00977573">
        <w:t>los elementos del plazo razonable</w:t>
      </w:r>
      <w:r w:rsidR="00624D23" w:rsidRPr="00977573">
        <w:t xml:space="preserve"> para determinar si dicha garantía fue incumplida </w:t>
      </w:r>
      <w:r w:rsidR="008F574A" w:rsidRPr="00977573">
        <w:t>en el trámite de la acción de amparo.</w:t>
      </w:r>
    </w:p>
    <w:p w14:paraId="0AE1234E" w14:textId="77777777" w:rsidR="008F574A" w:rsidRPr="00977573" w:rsidRDefault="008F574A" w:rsidP="000F3BE2">
      <w:pPr>
        <w:pStyle w:val="PrrafodeSentencia"/>
        <w:numPr>
          <w:ilvl w:val="0"/>
          <w:numId w:val="0"/>
        </w:numPr>
        <w:spacing w:before="11" w:line="240" w:lineRule="auto"/>
      </w:pPr>
    </w:p>
    <w:p w14:paraId="7A142500" w14:textId="77777777" w:rsidR="00FB0850" w:rsidRPr="00977573" w:rsidRDefault="00624D23" w:rsidP="000F3BE2">
      <w:pPr>
        <w:pStyle w:val="PrrafodeSentencia"/>
        <w:spacing w:line="240" w:lineRule="auto"/>
      </w:pPr>
      <w:r w:rsidRPr="00977573">
        <w:t>En</w:t>
      </w:r>
      <w:r w:rsidR="008F574A" w:rsidRPr="00977573">
        <w:t xml:space="preserve"> primer lugar, a efectos de analizar el plaz</w:t>
      </w:r>
      <w:r w:rsidR="003C1F25">
        <w:t>o razonable de un procedimiento</w:t>
      </w:r>
      <w:r w:rsidR="008F574A" w:rsidRPr="00977573">
        <w:t xml:space="preserve"> se debe considerar la duración global del proceso. En este </w:t>
      </w:r>
      <w:r w:rsidR="00237FC6" w:rsidRPr="00977573">
        <w:t>caso</w:t>
      </w:r>
      <w:r w:rsidR="008F574A" w:rsidRPr="00977573">
        <w:t xml:space="preserve">, se analiza la duración del trámite del </w:t>
      </w:r>
      <w:r w:rsidR="007206F3" w:rsidRPr="00977573">
        <w:t xml:space="preserve">recurso de </w:t>
      </w:r>
      <w:r w:rsidR="008F574A" w:rsidRPr="00977573">
        <w:t xml:space="preserve">amparo interpuesto por la señora Moya Solís. Este recurso fue interpuesto el 17 de febrero de 1984 y tramitado por primera vez entre 1984 y 1986, cuando la Corte Suprema de Justicia declaró la nulidad de la decisión de segunda instancia y ordenó emitir un nuevo fallo. Luego de la decisión de la Corte Suprema, el trámite por segunda vez del recurso de amparo se extendió hasta septiembre de 1999, fecha en la que fue notificada la decisión de la Corte Suprema sobre la alegada nulidad de la </w:t>
      </w:r>
      <w:r w:rsidR="007206F3" w:rsidRPr="00977573">
        <w:t>segunda decisión de</w:t>
      </w:r>
      <w:r w:rsidR="008F574A" w:rsidRPr="00977573">
        <w:t xml:space="preserve"> amparo. Es decir, el trámite global del recurso de amparo tardó más de 15 años</w:t>
      </w:r>
      <w:r w:rsidR="007206F3" w:rsidRPr="00977573">
        <w:t>,</w:t>
      </w:r>
      <w:r w:rsidR="008F574A" w:rsidRPr="00977573">
        <w:t xml:space="preserve"> mientras que el trámite de la segunda acción de amparo tardó </w:t>
      </w:r>
      <w:r w:rsidR="009B7841" w:rsidRPr="00977573">
        <w:t>más de 13 años. A juicio de la Corte, una tardanza de esa magnitud en la resolución de un recurso orientado a la garantía de los derechos fundamentales es</w:t>
      </w:r>
      <w:r w:rsidR="007206F3" w:rsidRPr="00977573">
        <w:t>,</w:t>
      </w:r>
      <w:r w:rsidR="009B7841" w:rsidRPr="00977573">
        <w:t xml:space="preserve"> a todas luces</w:t>
      </w:r>
      <w:r w:rsidR="007206F3" w:rsidRPr="00977573">
        <w:t>, desproporcionada</w:t>
      </w:r>
      <w:r w:rsidR="009B7841" w:rsidRPr="00977573">
        <w:t xml:space="preserve">. </w:t>
      </w:r>
    </w:p>
    <w:p w14:paraId="71DC5DA5" w14:textId="77777777" w:rsidR="00533BD6" w:rsidRPr="00977573" w:rsidRDefault="00533BD6" w:rsidP="000F3BE2">
      <w:pPr>
        <w:rPr>
          <w:rFonts w:ascii="Verdana" w:hAnsi="Verdana"/>
          <w:highlight w:val="lightGray"/>
          <w:lang w:val="es-CO" w:eastAsia="es-MX"/>
        </w:rPr>
      </w:pPr>
    </w:p>
    <w:p w14:paraId="2E016B78" w14:textId="77777777" w:rsidR="00FB0850" w:rsidRPr="00977573" w:rsidRDefault="00D60A72" w:rsidP="000F3BE2">
      <w:pPr>
        <w:pStyle w:val="PrrafodeSentencia"/>
        <w:spacing w:before="11" w:line="240" w:lineRule="auto"/>
      </w:pPr>
      <w:r w:rsidRPr="00977573">
        <w:rPr>
          <w:bCs/>
        </w:rPr>
        <w:t>No obstante, la Corte procederá a analizar los elementos que han sido definidos en su jurisprudencia, en atención a los alegatos del Estado sobre este asunto.</w:t>
      </w:r>
      <w:r w:rsidRPr="00977573">
        <w:t xml:space="preserve"> </w:t>
      </w:r>
      <w:r w:rsidR="009B7841" w:rsidRPr="00977573">
        <w:t>En</w:t>
      </w:r>
      <w:r w:rsidR="00624D23" w:rsidRPr="00977573">
        <w:t xml:space="preserve"> </w:t>
      </w:r>
      <w:r w:rsidR="00157C62" w:rsidRPr="00977573">
        <w:t xml:space="preserve">primer lugar, </w:t>
      </w:r>
      <w:r w:rsidR="00157C62" w:rsidRPr="00977573">
        <w:rPr>
          <w:i/>
        </w:rPr>
        <w:t xml:space="preserve">en </w:t>
      </w:r>
      <w:r w:rsidR="00624D23" w:rsidRPr="00977573">
        <w:rPr>
          <w:i/>
        </w:rPr>
        <w:t>relación con la complejidad del asunto</w:t>
      </w:r>
      <w:r w:rsidR="00624D23" w:rsidRPr="00977573">
        <w:t xml:space="preserve">, </w:t>
      </w:r>
      <w:r w:rsidR="009B7841" w:rsidRPr="00977573">
        <w:t>el Estado reconoció que “la materia no era propiamente compleja”</w:t>
      </w:r>
      <w:r w:rsidR="00FB0850" w:rsidRPr="00977573">
        <w:t xml:space="preserve">. Sin embargo, alegó que la demanda de amparo fue planteada para cuestionar aspectos relacionados con el recurso de revisión, pero </w:t>
      </w:r>
      <w:r w:rsidR="007206F3" w:rsidRPr="00977573">
        <w:t xml:space="preserve">que, </w:t>
      </w:r>
      <w:r w:rsidR="00FB0850" w:rsidRPr="00977573">
        <w:t xml:space="preserve">a raíz del dictamen </w:t>
      </w:r>
      <w:r w:rsidR="00157C62" w:rsidRPr="00977573">
        <w:t xml:space="preserve">según </w:t>
      </w:r>
      <w:r w:rsidR="00FB0850" w:rsidRPr="00977573">
        <w:t xml:space="preserve">el cual se requería tener a la vista el expediente de ratificaciones, la señora Moya Solís “modificó sus argumentos acogiéndose a dicha posición”. A juicio de la Corte, la exigencia de tener a la vista </w:t>
      </w:r>
      <w:r w:rsidR="00157C62" w:rsidRPr="00977573">
        <w:t>el expediente de ratificaciones</w:t>
      </w:r>
      <w:r w:rsidR="00FB0850" w:rsidRPr="00977573">
        <w:t xml:space="preserve"> no modificó el objeto del debate y, en todo caso, </w:t>
      </w:r>
      <w:r w:rsidR="00157C62" w:rsidRPr="00977573">
        <w:t xml:space="preserve">no </w:t>
      </w:r>
      <w:r w:rsidR="007206F3" w:rsidRPr="00977573">
        <w:t>añadió</w:t>
      </w:r>
      <w:r w:rsidR="00B84005" w:rsidRPr="00977573">
        <w:t xml:space="preserve"> ninguna</w:t>
      </w:r>
      <w:r w:rsidR="007206F3" w:rsidRPr="00977573">
        <w:t xml:space="preserve"> complejidad especial a</w:t>
      </w:r>
      <w:r w:rsidR="00157C62" w:rsidRPr="00977573">
        <w:t>l asunto</w:t>
      </w:r>
      <w:r w:rsidR="007206F3" w:rsidRPr="00977573">
        <w:t xml:space="preserve">. Además, esto </w:t>
      </w:r>
      <w:r w:rsidR="00FB0850" w:rsidRPr="00977573">
        <w:t>ocurrió en 1986, esto es</w:t>
      </w:r>
      <w:r w:rsidRPr="00977573">
        <w:rPr>
          <w:bCs/>
        </w:rPr>
        <w:t>,</w:t>
      </w:r>
      <w:r w:rsidR="00FB0850" w:rsidRPr="00977573">
        <w:t xml:space="preserve"> 13 años antes de la decisión definitiva. </w:t>
      </w:r>
      <w:r w:rsidR="00157C62" w:rsidRPr="00977573">
        <w:t>Por lo anterior, el asunto</w:t>
      </w:r>
      <w:r w:rsidR="00237FC6" w:rsidRPr="00977573">
        <w:t xml:space="preserve"> sometido a </w:t>
      </w:r>
      <w:r w:rsidR="00157C62" w:rsidRPr="00977573">
        <w:t>estudio no reportaba un grado de complejidad que ameritara el tiempo transcurrido para su resolución.</w:t>
      </w:r>
    </w:p>
    <w:p w14:paraId="07849D0F" w14:textId="77777777" w:rsidR="00157C62" w:rsidRPr="00977573" w:rsidRDefault="00157C62" w:rsidP="000F3BE2">
      <w:pPr>
        <w:rPr>
          <w:rFonts w:ascii="Verdana" w:hAnsi="Verdana"/>
          <w:lang w:val="es-CO" w:eastAsia="es-MX"/>
        </w:rPr>
      </w:pPr>
    </w:p>
    <w:p w14:paraId="058A005A" w14:textId="77777777" w:rsidR="00157C62" w:rsidRPr="00977573" w:rsidRDefault="00157C62" w:rsidP="000F3BE2">
      <w:pPr>
        <w:pStyle w:val="PrrafodeSentencia"/>
        <w:spacing w:line="240" w:lineRule="auto"/>
      </w:pPr>
      <w:r w:rsidRPr="00977573">
        <w:t xml:space="preserve">En segundo término, </w:t>
      </w:r>
      <w:r w:rsidRPr="00977573">
        <w:rPr>
          <w:i/>
        </w:rPr>
        <w:t>en relación con la actividad procesal de la persona interesada</w:t>
      </w:r>
      <w:r w:rsidRPr="00977573">
        <w:t>, la Corte nota que la señora Moya Solís</w:t>
      </w:r>
      <w:r w:rsidR="008D22BE" w:rsidRPr="00977573">
        <w:t xml:space="preserve"> le dio impulso al proceso</w:t>
      </w:r>
      <w:r w:rsidRPr="00977573">
        <w:t>. En ese sentido</w:t>
      </w:r>
      <w:r w:rsidR="008D22BE" w:rsidRPr="00977573">
        <w:t>, presentó escritos en abril de 1987, febrero de 1988, f</w:t>
      </w:r>
      <w:r w:rsidR="003C1F25">
        <w:t>ebrero de 1995 y agosto de 1996</w:t>
      </w:r>
      <w:r w:rsidRPr="00977573">
        <w:t xml:space="preserve">. Además, no consta en el expediente que hubiese </w:t>
      </w:r>
      <w:r w:rsidR="00C873B7">
        <w:t>llevado a cabo</w:t>
      </w:r>
      <w:r w:rsidRPr="00977573">
        <w:t xml:space="preserve"> acciones que difi</w:t>
      </w:r>
      <w:r w:rsidR="0060676D" w:rsidRPr="00977573">
        <w:t xml:space="preserve">cultaran el avance del proceso, por lo que no encuentra la Corte que la conducta de la señora Moya Solís hubiese contribuido de alguna forma a </w:t>
      </w:r>
      <w:r w:rsidR="007206F3" w:rsidRPr="00977573">
        <w:t>su</w:t>
      </w:r>
      <w:r w:rsidR="0060676D" w:rsidRPr="00977573">
        <w:t xml:space="preserve"> tardanza.</w:t>
      </w:r>
    </w:p>
    <w:p w14:paraId="1A3C1D24" w14:textId="77777777" w:rsidR="0060676D" w:rsidRPr="00977573" w:rsidRDefault="0060676D" w:rsidP="000F3BE2">
      <w:pPr>
        <w:rPr>
          <w:rFonts w:ascii="Verdana" w:hAnsi="Verdana"/>
          <w:lang w:val="es-CO" w:eastAsia="es-MX"/>
        </w:rPr>
      </w:pPr>
    </w:p>
    <w:p w14:paraId="0F36BA82" w14:textId="77777777" w:rsidR="0060676D" w:rsidRPr="00977573" w:rsidRDefault="0060676D" w:rsidP="000F3BE2">
      <w:pPr>
        <w:pStyle w:val="PrrafodeSentencia"/>
        <w:spacing w:line="240" w:lineRule="auto"/>
      </w:pPr>
      <w:r w:rsidRPr="00977573">
        <w:t xml:space="preserve">En tercer lugar, </w:t>
      </w:r>
      <w:r w:rsidRPr="00977573">
        <w:rPr>
          <w:i/>
        </w:rPr>
        <w:t>en lo que se refiere a la conducta de</w:t>
      </w:r>
      <w:r w:rsidR="008E1776" w:rsidRPr="00977573">
        <w:rPr>
          <w:i/>
        </w:rPr>
        <w:t xml:space="preserve"> las autoridades judiciales</w:t>
      </w:r>
      <w:r w:rsidRPr="00977573">
        <w:t>, la Corte encuentra que estas</w:t>
      </w:r>
      <w:r w:rsidR="008E1776" w:rsidRPr="00977573">
        <w:t xml:space="preserve"> se limitaron a pedir copia del expediente de ratificaciones que debían tener a la vista al momento de fallar, sin tomar ninguna determinación frente al hecho de que dicho expediente no fuera remitido</w:t>
      </w:r>
      <w:r w:rsidRPr="00977573">
        <w:t>. Al respecto, el Estado sostuvo que ello ocurrió porque la señora Moya Solís no desplegó ninguna actividad procesal entre 1989 y 1995. A juicio de la Corte, el trámite del recurso de amparo no dependía del impulso procesal que pudiera darle la presunta víctima, razón</w:t>
      </w:r>
      <w:r w:rsidR="00D60A72" w:rsidRPr="00977573">
        <w:t xml:space="preserve"> </w:t>
      </w:r>
      <w:r w:rsidR="00D60A72" w:rsidRPr="00977573">
        <w:rPr>
          <w:bCs/>
        </w:rPr>
        <w:t>por la que</w:t>
      </w:r>
      <w:r w:rsidRPr="00977573">
        <w:t xml:space="preserve"> ese argumento no es </w:t>
      </w:r>
      <w:r w:rsidR="00D60A72" w:rsidRPr="00977573">
        <w:rPr>
          <w:bCs/>
        </w:rPr>
        <w:t>aceptado</w:t>
      </w:r>
      <w:r w:rsidR="00D60A72" w:rsidRPr="00977573">
        <w:rPr>
          <w:b/>
          <w:bCs/>
        </w:rPr>
        <w:t xml:space="preserve"> </w:t>
      </w:r>
      <w:r w:rsidRPr="00977573">
        <w:t>por este Tribunal. Por el contrario, la Corte encuentra que la conducta de las autoridades judiciales no siguió las pautas de la debida diligencia.</w:t>
      </w:r>
    </w:p>
    <w:p w14:paraId="419DCB31" w14:textId="77777777" w:rsidR="0060676D" w:rsidRPr="00977573" w:rsidRDefault="0060676D" w:rsidP="000F3BE2">
      <w:pPr>
        <w:rPr>
          <w:rFonts w:ascii="Verdana" w:hAnsi="Verdana"/>
          <w:lang w:val="es-CO" w:eastAsia="es-MX"/>
        </w:rPr>
      </w:pPr>
    </w:p>
    <w:p w14:paraId="5D88F8F5" w14:textId="77777777" w:rsidR="009C7416" w:rsidRPr="00977573" w:rsidRDefault="0060676D" w:rsidP="000F3BE2">
      <w:pPr>
        <w:pStyle w:val="PrrafodeSentencia"/>
        <w:spacing w:line="240" w:lineRule="auto"/>
      </w:pPr>
      <w:r w:rsidRPr="00977573">
        <w:t xml:space="preserve">Finalmente, </w:t>
      </w:r>
      <w:r w:rsidRPr="00977573">
        <w:rPr>
          <w:i/>
        </w:rPr>
        <w:t>en relación con la afectación generada en la persona involucrada en el proceso</w:t>
      </w:r>
      <w:r w:rsidR="007206F3" w:rsidRPr="00977573">
        <w:t>, la Corte</w:t>
      </w:r>
      <w:r w:rsidR="002D2F51" w:rsidRPr="00977573">
        <w:t xml:space="preserve"> encuentra que no constan en el expediente elementos suficientes que permitan establecer la afectación generada en la señora Moya Solís por cuenta de la tardanza en el trámite del recurso. En todo caso, habiendo analizado los elementos precedentes, la Corte considera que </w:t>
      </w:r>
      <w:r w:rsidR="00105E99" w:rsidRPr="00977573">
        <w:t>el trámite del recurso de amparo, cuya duración global excedió el</w:t>
      </w:r>
      <w:r w:rsidR="008E1776" w:rsidRPr="00977573">
        <w:t xml:space="preserve"> plazo de </w:t>
      </w:r>
      <w:r w:rsidR="00105E99" w:rsidRPr="00977573">
        <w:t>15</w:t>
      </w:r>
      <w:r w:rsidR="008E1776" w:rsidRPr="00977573">
        <w:t xml:space="preserve"> años</w:t>
      </w:r>
      <w:r w:rsidR="00105E99" w:rsidRPr="00977573">
        <w:t>, desconoció</w:t>
      </w:r>
      <w:r w:rsidR="008E1776" w:rsidRPr="00977573">
        <w:t xml:space="preserve"> la garantía </w:t>
      </w:r>
      <w:r w:rsidR="00105E99" w:rsidRPr="00977573">
        <w:t xml:space="preserve">del plazo razonable. </w:t>
      </w:r>
    </w:p>
    <w:p w14:paraId="6AC3A6E4" w14:textId="77777777" w:rsidR="00864A66" w:rsidRPr="00977573" w:rsidRDefault="00864A66" w:rsidP="000F3BE2">
      <w:pPr>
        <w:rPr>
          <w:rFonts w:ascii="Verdana" w:hAnsi="Verdana"/>
          <w:sz w:val="20"/>
          <w:szCs w:val="20"/>
          <w:lang w:val="es-CO" w:eastAsia="es-MX"/>
        </w:rPr>
      </w:pPr>
    </w:p>
    <w:p w14:paraId="6EE67B80" w14:textId="1A55E08F" w:rsidR="00332FAF" w:rsidRPr="00977573" w:rsidRDefault="009C7416" w:rsidP="000F3BE2">
      <w:pPr>
        <w:pStyle w:val="PrrafodeSentencia"/>
        <w:spacing w:line="240" w:lineRule="auto"/>
      </w:pPr>
      <w:r w:rsidRPr="00977573">
        <w:t>En conclusión, la Corte encuentra a</w:t>
      </w:r>
      <w:r w:rsidR="008E1776" w:rsidRPr="00977573">
        <w:t>l Estado de Perú responsable por la violación del derecho a un plazo razonable y a la protección judicial</w:t>
      </w:r>
      <w:r w:rsidR="006B60E4">
        <w:t xml:space="preserve">, reconocidos en los </w:t>
      </w:r>
      <w:r w:rsidR="006B60E4" w:rsidRPr="00977573">
        <w:t>artículo</w:t>
      </w:r>
      <w:r w:rsidR="006B60E4">
        <w:t>s</w:t>
      </w:r>
      <w:r w:rsidR="006B60E4" w:rsidRPr="00977573">
        <w:t xml:space="preserve"> 8</w:t>
      </w:r>
      <w:r w:rsidR="006B60E4">
        <w:t>.1 y</w:t>
      </w:r>
      <w:r w:rsidR="008E1776" w:rsidRPr="00977573">
        <w:t xml:space="preserve"> 25, en relación </w:t>
      </w:r>
      <w:r w:rsidR="00001F21" w:rsidRPr="00977573">
        <w:t xml:space="preserve">con el deber de respeto y garantía contenido en el artículo 1.1 de la Convención Americana, en perjuicio de la señora Norka Moya Solís. </w:t>
      </w:r>
    </w:p>
    <w:p w14:paraId="1B1CD550" w14:textId="77777777" w:rsidR="00D361A0" w:rsidRPr="00977573" w:rsidRDefault="00D361A0" w:rsidP="000F3BE2">
      <w:pPr>
        <w:rPr>
          <w:rFonts w:ascii="Verdana" w:eastAsia="MS Mincho" w:hAnsi="Verdana"/>
          <w:sz w:val="20"/>
          <w:szCs w:val="20"/>
          <w:lang w:val="es-CO" w:eastAsia="es-MX"/>
        </w:rPr>
      </w:pPr>
    </w:p>
    <w:p w14:paraId="3C30229F" w14:textId="77777777" w:rsidR="00FC23CC" w:rsidRPr="00977573" w:rsidRDefault="00FC23CC" w:rsidP="000F3BE2">
      <w:pPr>
        <w:pStyle w:val="Ttulo1"/>
        <w:rPr>
          <w:rFonts w:ascii="Verdana" w:hAnsi="Verdana"/>
          <w:sz w:val="20"/>
          <w:szCs w:val="20"/>
          <w:lang w:val="es-CO"/>
        </w:rPr>
      </w:pPr>
      <w:bookmarkStart w:id="126" w:name="_Toc69717878"/>
      <w:bookmarkStart w:id="127" w:name="_Toc74225385"/>
      <w:r w:rsidRPr="00977573">
        <w:rPr>
          <w:rStyle w:val="None"/>
          <w:rFonts w:ascii="Verdana" w:hAnsi="Verdana"/>
          <w:sz w:val="20"/>
          <w:szCs w:val="20"/>
          <w:lang w:val="es-CO"/>
        </w:rPr>
        <w:t>VII-3</w:t>
      </w:r>
      <w:r w:rsidRPr="00977573">
        <w:rPr>
          <w:rStyle w:val="None"/>
          <w:rFonts w:ascii="Verdana" w:hAnsi="Verdana"/>
          <w:sz w:val="20"/>
          <w:szCs w:val="20"/>
          <w:lang w:val="es-CO"/>
        </w:rPr>
        <w:br/>
      </w:r>
      <w:r w:rsidRPr="00977573">
        <w:rPr>
          <w:rFonts w:ascii="Verdana" w:hAnsi="Verdana"/>
          <w:sz w:val="20"/>
          <w:szCs w:val="20"/>
          <w:lang w:val="es-CO"/>
        </w:rPr>
        <w:t>DERECHOS POLÍTICOS</w:t>
      </w:r>
      <w:r w:rsidRPr="00977573">
        <w:rPr>
          <w:rStyle w:val="Refdenotaalpie"/>
          <w:sz w:val="20"/>
          <w:szCs w:val="20"/>
          <w:lang w:val="es-CO"/>
        </w:rPr>
        <w:footnoteReference w:id="77"/>
      </w:r>
      <w:bookmarkEnd w:id="126"/>
      <w:bookmarkEnd w:id="127"/>
    </w:p>
    <w:p w14:paraId="1DAD0F52" w14:textId="77777777" w:rsidR="00FC23CC" w:rsidRPr="00977573" w:rsidRDefault="00FC23CC" w:rsidP="000F3BE2">
      <w:pPr>
        <w:rPr>
          <w:rFonts w:ascii="Verdana" w:hAnsi="Verdana"/>
          <w:sz w:val="20"/>
          <w:szCs w:val="20"/>
          <w:lang w:val="es-CO"/>
        </w:rPr>
      </w:pPr>
    </w:p>
    <w:p w14:paraId="1331834D" w14:textId="77777777" w:rsidR="00FC23CC" w:rsidRPr="00977573" w:rsidRDefault="00FC23CC" w:rsidP="000F3BE2">
      <w:pPr>
        <w:pStyle w:val="Ttulo2"/>
        <w:numPr>
          <w:ilvl w:val="0"/>
          <w:numId w:val="19"/>
        </w:numPr>
        <w:spacing w:line="240" w:lineRule="auto"/>
      </w:pPr>
      <w:bookmarkStart w:id="128" w:name="_Toc69717879"/>
      <w:bookmarkStart w:id="129" w:name="_Toc74225386"/>
      <w:r w:rsidRPr="00977573">
        <w:t>Alegatos de las partes y de la Comisión</w:t>
      </w:r>
      <w:bookmarkEnd w:id="128"/>
      <w:bookmarkEnd w:id="129"/>
    </w:p>
    <w:p w14:paraId="6D86D186" w14:textId="77777777" w:rsidR="004A4F45" w:rsidRPr="00977573" w:rsidRDefault="004A4F45" w:rsidP="000F3BE2">
      <w:pPr>
        <w:rPr>
          <w:rFonts w:ascii="Verdana" w:hAnsi="Verdana"/>
          <w:b/>
          <w:i/>
          <w:sz w:val="20"/>
          <w:szCs w:val="20"/>
          <w:lang w:val="es-CO"/>
        </w:rPr>
      </w:pPr>
    </w:p>
    <w:p w14:paraId="6820F67E" w14:textId="77777777" w:rsidR="004A4F45" w:rsidRPr="00977573" w:rsidRDefault="0040030B" w:rsidP="000F3BE2">
      <w:pPr>
        <w:pStyle w:val="PrrafodeSentencia"/>
        <w:spacing w:line="240" w:lineRule="auto"/>
        <w:rPr>
          <w:b/>
          <w:i/>
        </w:rPr>
      </w:pPr>
      <w:r w:rsidRPr="00977573">
        <w:t xml:space="preserve">La </w:t>
      </w:r>
      <w:r w:rsidRPr="00977573">
        <w:rPr>
          <w:b/>
          <w:i/>
        </w:rPr>
        <w:t>Comisión</w:t>
      </w:r>
      <w:r w:rsidRPr="00977573">
        <w:t xml:space="preserve"> alegó que </w:t>
      </w:r>
      <w:r w:rsidR="004A4F45" w:rsidRPr="00977573">
        <w:t>todos</w:t>
      </w:r>
      <w:r w:rsidR="00654D19" w:rsidRPr="00977573">
        <w:t xml:space="preserve"> los ciudadanos de</w:t>
      </w:r>
      <w:r w:rsidR="00241BBF" w:rsidRPr="00977573">
        <w:t>ben</w:t>
      </w:r>
      <w:r w:rsidR="00654D19" w:rsidRPr="00977573">
        <w:t xml:space="preserve"> tener acceso</w:t>
      </w:r>
      <w:r w:rsidR="004A4F45" w:rsidRPr="00977573">
        <w:t xml:space="preserve"> en co</w:t>
      </w:r>
      <w:r w:rsidR="00654D19" w:rsidRPr="00977573">
        <w:t>ndiciones generales de igualdad</w:t>
      </w:r>
      <w:r w:rsidR="004A4F45" w:rsidRPr="00977573">
        <w:t xml:space="preserve"> a las funciones públicas de su país</w:t>
      </w:r>
      <w:r w:rsidR="00654D19" w:rsidRPr="00977573">
        <w:t xml:space="preserve"> y que </w:t>
      </w:r>
      <w:r w:rsidR="004A4F45" w:rsidRPr="00977573">
        <w:t xml:space="preserve">la Corte ha interpretado que cuando se afecta de manera arbitraria la permanencia de jueces en su cargo se vulnera tal derecho, haciendo extensiva dicha interpretación a la estabilidad laboral de los fiscales. </w:t>
      </w:r>
      <w:r w:rsidR="00654D19" w:rsidRPr="00977573">
        <w:t>De acuerdo con la Comisión</w:t>
      </w:r>
      <w:r w:rsidR="004A4F45" w:rsidRPr="00977573">
        <w:t xml:space="preserve">, </w:t>
      </w:r>
      <w:r w:rsidR="00D2180F">
        <w:t xml:space="preserve">además, </w:t>
      </w:r>
      <w:r w:rsidR="004A4F45" w:rsidRPr="00977573">
        <w:t xml:space="preserve">cuando se afecta en forma arbitraria la permanencia de funcionarios públicos en sus cargos, </w:t>
      </w:r>
      <w:r w:rsidR="00D2180F">
        <w:t>se vulnera tal derecho</w:t>
      </w:r>
      <w:r w:rsidR="004A4F45" w:rsidRPr="00977573">
        <w:t xml:space="preserve">. </w:t>
      </w:r>
    </w:p>
    <w:p w14:paraId="539D2081" w14:textId="77777777" w:rsidR="004A4F45" w:rsidRPr="00977573" w:rsidRDefault="004A4F45" w:rsidP="000F3BE2">
      <w:pPr>
        <w:pStyle w:val="PrrafodeSentencia"/>
        <w:numPr>
          <w:ilvl w:val="0"/>
          <w:numId w:val="0"/>
        </w:numPr>
        <w:spacing w:line="240" w:lineRule="auto"/>
      </w:pPr>
    </w:p>
    <w:p w14:paraId="4DF4E1CF" w14:textId="77777777" w:rsidR="004A4F45" w:rsidRPr="00977573" w:rsidRDefault="0040030B" w:rsidP="000F3BE2">
      <w:pPr>
        <w:pStyle w:val="PrrafodeSentencia"/>
        <w:spacing w:line="240" w:lineRule="auto"/>
      </w:pPr>
      <w:r w:rsidRPr="00977573">
        <w:t xml:space="preserve">La </w:t>
      </w:r>
      <w:r w:rsidRPr="00977573">
        <w:rPr>
          <w:b/>
          <w:i/>
        </w:rPr>
        <w:t>presunta víctima</w:t>
      </w:r>
      <w:r w:rsidR="009347BD" w:rsidRPr="00977573">
        <w:rPr>
          <w:b/>
          <w:i/>
        </w:rPr>
        <w:t xml:space="preserve"> </w:t>
      </w:r>
      <w:r w:rsidR="009347BD" w:rsidRPr="00977573">
        <w:t xml:space="preserve">alegó que el Estado violó sus derechos políticos, consagrados en el artículo 23.1 c) en relación con el artículo 1.1 de la Convención Americana. </w:t>
      </w:r>
      <w:r w:rsidRPr="00977573">
        <w:t xml:space="preserve"> </w:t>
      </w:r>
    </w:p>
    <w:p w14:paraId="4687A016" w14:textId="77777777" w:rsidR="0040030B" w:rsidRPr="00977573" w:rsidRDefault="0040030B" w:rsidP="000F3BE2">
      <w:pPr>
        <w:rPr>
          <w:rFonts w:ascii="Verdana" w:hAnsi="Verdana"/>
          <w:sz w:val="20"/>
          <w:szCs w:val="20"/>
          <w:lang w:val="es-CO" w:eastAsia="es-MX"/>
        </w:rPr>
      </w:pPr>
    </w:p>
    <w:p w14:paraId="5C153652" w14:textId="77777777" w:rsidR="00573038" w:rsidRPr="00977573" w:rsidRDefault="00C059CA" w:rsidP="000F3BE2">
      <w:pPr>
        <w:pStyle w:val="PrrafodeSentencia"/>
        <w:spacing w:line="240" w:lineRule="auto"/>
      </w:pPr>
      <w:r w:rsidRPr="00977573">
        <w:t xml:space="preserve">El </w:t>
      </w:r>
      <w:r w:rsidRPr="00977573">
        <w:rPr>
          <w:b/>
          <w:i/>
        </w:rPr>
        <w:t>Estado</w:t>
      </w:r>
      <w:r w:rsidRPr="00977573">
        <w:t xml:space="preserve"> alegó que la señora Norka Moya Solís </w:t>
      </w:r>
      <w:r w:rsidR="004D7EAE" w:rsidRPr="00977573">
        <w:t>no fue separada de su cargo en un proceso arbitrario, en cambio, accedió en</w:t>
      </w:r>
      <w:r w:rsidRPr="00977573">
        <w:t xml:space="preserve"> condiciones de igualdad a un puesto de servidora pública</w:t>
      </w:r>
      <w:r w:rsidR="004D7EAE" w:rsidRPr="00977573">
        <w:t xml:space="preserve">. Señaló que </w:t>
      </w:r>
      <w:r w:rsidRPr="00977573">
        <w:t>el procedimiento de rat</w:t>
      </w:r>
      <w:r w:rsidR="004D7EAE" w:rsidRPr="00977573">
        <w:t>ificación aplicado a los secretarios</w:t>
      </w:r>
      <w:r w:rsidRPr="00977573">
        <w:t xml:space="preserve"> judiciales en la época de los hechos</w:t>
      </w:r>
      <w:r w:rsidR="00D2180F">
        <w:t>,</w:t>
      </w:r>
      <w:r w:rsidRPr="00977573">
        <w:t xml:space="preserve"> no vulneraba los derechos de lo</w:t>
      </w:r>
      <w:r w:rsidR="004D7EAE" w:rsidRPr="00977573">
        <w:t>s</w:t>
      </w:r>
      <w:r w:rsidR="00D2180F">
        <w:t xml:space="preserve"> evaluados</w:t>
      </w:r>
      <w:r w:rsidRPr="00977573">
        <w:t>.</w:t>
      </w:r>
    </w:p>
    <w:p w14:paraId="34D1C8D2" w14:textId="77777777" w:rsidR="00B733A3" w:rsidRPr="00977573" w:rsidRDefault="00B733A3" w:rsidP="000F3BE2">
      <w:pPr>
        <w:rPr>
          <w:rFonts w:ascii="Verdana" w:hAnsi="Verdana"/>
          <w:sz w:val="20"/>
          <w:szCs w:val="20"/>
          <w:lang w:val="es-CO" w:eastAsia="es-MX"/>
        </w:rPr>
      </w:pPr>
    </w:p>
    <w:p w14:paraId="6F1202BE" w14:textId="77777777" w:rsidR="00B733A3" w:rsidRPr="00977573" w:rsidRDefault="00EC5530" w:rsidP="000F3BE2">
      <w:pPr>
        <w:pStyle w:val="Ttulo2"/>
        <w:spacing w:line="240" w:lineRule="auto"/>
        <w:rPr>
          <w:lang w:eastAsia="es-MX"/>
        </w:rPr>
      </w:pPr>
      <w:bookmarkStart w:id="130" w:name="_Toc69717880"/>
      <w:bookmarkStart w:id="131" w:name="_Toc74225387"/>
      <w:r w:rsidRPr="00977573">
        <w:t>Consideraciones de la Corte</w:t>
      </w:r>
      <w:bookmarkEnd w:id="130"/>
      <w:bookmarkEnd w:id="131"/>
    </w:p>
    <w:p w14:paraId="210026CA" w14:textId="77777777" w:rsidR="00B733A3" w:rsidRPr="00977573" w:rsidRDefault="00B733A3" w:rsidP="000F3BE2">
      <w:pPr>
        <w:pStyle w:val="PrrafodeSentencia"/>
        <w:numPr>
          <w:ilvl w:val="0"/>
          <w:numId w:val="0"/>
        </w:numPr>
        <w:spacing w:line="240" w:lineRule="auto"/>
      </w:pPr>
      <w:bookmarkStart w:id="132" w:name="_Ref532900280"/>
    </w:p>
    <w:p w14:paraId="1DDCDF4A" w14:textId="77777777" w:rsidR="00775B91" w:rsidRPr="00977573" w:rsidRDefault="00775B91" w:rsidP="000F3BE2">
      <w:pPr>
        <w:pStyle w:val="PrrafodeSentencia"/>
        <w:spacing w:line="240" w:lineRule="auto"/>
      </w:pPr>
      <w:r w:rsidRPr="00977573">
        <w:t>El artículo 23.1</w:t>
      </w:r>
      <w:r w:rsidR="002D3922" w:rsidRPr="00977573">
        <w:t xml:space="preserve"> </w:t>
      </w:r>
      <w:r w:rsidR="000C3E7E" w:rsidRPr="00977573">
        <w:t xml:space="preserve">c) de la Convención establece el derecho a acceder a </w:t>
      </w:r>
      <w:r w:rsidR="00BD3DFC" w:rsidRPr="00977573">
        <w:t>funciones públicas</w:t>
      </w:r>
      <w:r w:rsidR="000C3E7E" w:rsidRPr="00977573">
        <w:t xml:space="preserve"> en condiciones generales de igualdad. </w:t>
      </w:r>
      <w:r w:rsidRPr="00977573">
        <w:t>Al respecto, esta</w:t>
      </w:r>
      <w:r w:rsidR="000C3E7E" w:rsidRPr="00977573">
        <w:t xml:space="preserve"> Corte ha interpretado que </w:t>
      </w:r>
      <w:r w:rsidR="00123701" w:rsidRPr="00977573">
        <w:t>el acceso en condiciones de igualdad es una garantía insuficiente si no está acompañada por la protección efectiva de la permanencia en aquello a lo que se accede</w:t>
      </w:r>
      <w:r w:rsidR="00123701" w:rsidRPr="00977573">
        <w:rPr>
          <w:rStyle w:val="Refdenotaalpie"/>
          <w:sz w:val="20"/>
          <w:szCs w:val="20"/>
          <w:lang w:val="es-CO"/>
        </w:rPr>
        <w:footnoteReference w:id="78"/>
      </w:r>
      <w:bookmarkEnd w:id="132"/>
      <w:r w:rsidRPr="00977573">
        <w:t>, lo que indica que los procedimientos de nombramiento, ascenso, suspensión y destitución de funcionarios públicos deben ser objetivos y razonables, es decir, deben respetar las garantías del debido proceso aplicables</w:t>
      </w:r>
      <w:r w:rsidRPr="00977573">
        <w:rPr>
          <w:rStyle w:val="Refdenotaalpie"/>
          <w:sz w:val="20"/>
          <w:szCs w:val="20"/>
          <w:lang w:val="es-CO"/>
        </w:rPr>
        <w:footnoteReference w:id="79"/>
      </w:r>
      <w:r w:rsidRPr="00977573">
        <w:t>.</w:t>
      </w:r>
      <w:r w:rsidRPr="00977573">
        <w:rPr>
          <w:spacing w:val="0"/>
          <w:sz w:val="18"/>
        </w:rPr>
        <w:t xml:space="preserve"> </w:t>
      </w:r>
    </w:p>
    <w:p w14:paraId="3D6ECD6F" w14:textId="77777777" w:rsidR="00775B91" w:rsidRPr="00977573" w:rsidRDefault="00775B91" w:rsidP="000F3BE2">
      <w:pPr>
        <w:pStyle w:val="PrrafodeSentencia"/>
        <w:numPr>
          <w:ilvl w:val="0"/>
          <w:numId w:val="0"/>
        </w:numPr>
        <w:spacing w:line="240" w:lineRule="auto"/>
      </w:pPr>
    </w:p>
    <w:p w14:paraId="5ECBF3F6" w14:textId="77777777" w:rsidR="00123701" w:rsidRPr="00977573" w:rsidRDefault="00123701" w:rsidP="000F3BE2">
      <w:pPr>
        <w:pStyle w:val="PrrafodeSentencia"/>
        <w:spacing w:line="240" w:lineRule="auto"/>
      </w:pPr>
      <w:r w:rsidRPr="00977573">
        <w:t xml:space="preserve"> </w:t>
      </w:r>
      <w:r w:rsidR="00775B91" w:rsidRPr="00977573">
        <w:t>Esta Corte se ha pronunciado de manera reiterada sobre este derecho en relación con procesos de destitución de jueces, juezas</w:t>
      </w:r>
      <w:r w:rsidR="00775B91" w:rsidRPr="00977573">
        <w:rPr>
          <w:rStyle w:val="Refdenotaalpie"/>
          <w:sz w:val="20"/>
          <w:szCs w:val="20"/>
          <w:lang w:val="es-CO"/>
        </w:rPr>
        <w:footnoteReference w:id="80"/>
      </w:r>
      <w:r w:rsidR="00775B91" w:rsidRPr="00977573">
        <w:t xml:space="preserve"> y fiscales</w:t>
      </w:r>
      <w:r w:rsidR="00775B91" w:rsidRPr="00977573">
        <w:rPr>
          <w:rStyle w:val="Refdenotaalpie"/>
          <w:sz w:val="20"/>
          <w:szCs w:val="20"/>
          <w:lang w:val="es-CO"/>
        </w:rPr>
        <w:footnoteReference w:id="81"/>
      </w:r>
      <w:r w:rsidR="00775B91" w:rsidRPr="00977573">
        <w:t xml:space="preserve"> y </w:t>
      </w:r>
      <w:r w:rsidR="00EF053A" w:rsidRPr="00977573">
        <w:t xml:space="preserve">ha considerado que se relaciona con la garantía de estabilidad o inamovilidad en el cargo. </w:t>
      </w:r>
      <w:r w:rsidR="00775B91" w:rsidRPr="00977573">
        <w:t>De modo que</w:t>
      </w:r>
      <w:r w:rsidR="00EF053A" w:rsidRPr="00977573">
        <w:t xml:space="preserve"> el respeto y gar</w:t>
      </w:r>
      <w:r w:rsidR="00A0066F" w:rsidRPr="00977573">
        <w:t>antía de este derecho se cumple</w:t>
      </w:r>
      <w:r w:rsidR="00EF053A" w:rsidRPr="00977573">
        <w:t xml:space="preserve"> cuando los criterios y procedimientos para </w:t>
      </w:r>
      <w:r w:rsidR="002D3922" w:rsidRPr="00977573">
        <w:t xml:space="preserve">el </w:t>
      </w:r>
      <w:r w:rsidR="00EF053A" w:rsidRPr="00977573">
        <w:t xml:space="preserve">nombramiento, ascenso, suspensión y destitución </w:t>
      </w:r>
      <w:r w:rsidR="001C5F95" w:rsidRPr="00977573">
        <w:t xml:space="preserve">de jueces, juezas y fiscales </w:t>
      </w:r>
      <w:r w:rsidR="00EF053A" w:rsidRPr="00977573">
        <w:t>son razonables y objetivos, y las personas no son objeto de discriminación en su ejercicio</w:t>
      </w:r>
      <w:r w:rsidR="00EF053A" w:rsidRPr="00977573">
        <w:rPr>
          <w:rStyle w:val="Refdenotaalpie"/>
          <w:sz w:val="20"/>
          <w:szCs w:val="20"/>
          <w:lang w:val="es-CO"/>
        </w:rPr>
        <w:footnoteReference w:id="82"/>
      </w:r>
      <w:r w:rsidR="00EF053A" w:rsidRPr="00977573">
        <w:t xml:space="preserve">. </w:t>
      </w:r>
      <w:r w:rsidR="00775B91" w:rsidRPr="00977573">
        <w:t>En todo caso, la Corte nota que</w:t>
      </w:r>
      <w:r w:rsidR="00892B6B" w:rsidRPr="00977573">
        <w:t xml:space="preserve"> las garantías contenidas en el artículo 23.1 c) de la Convención </w:t>
      </w:r>
      <w:r w:rsidR="00775B91" w:rsidRPr="00977573">
        <w:t>son</w:t>
      </w:r>
      <w:r w:rsidR="004454AF" w:rsidRPr="00977573">
        <w:t xml:space="preserve"> aplicables</w:t>
      </w:r>
      <w:r w:rsidR="00D2180F">
        <w:t>,</w:t>
      </w:r>
      <w:r w:rsidR="004454AF" w:rsidRPr="00977573">
        <w:t xml:space="preserve"> no solo a esas</w:t>
      </w:r>
      <w:r w:rsidR="00892B6B" w:rsidRPr="00977573">
        <w:t xml:space="preserve"> categoría</w:t>
      </w:r>
      <w:r w:rsidR="004454AF" w:rsidRPr="00977573">
        <w:t>s</w:t>
      </w:r>
      <w:r w:rsidR="00892B6B" w:rsidRPr="00977573">
        <w:t xml:space="preserve"> de funcionarios, sino a todos aquellos que </w:t>
      </w:r>
      <w:r w:rsidR="00BD3DFC" w:rsidRPr="00977573">
        <w:t>ejerzan</w:t>
      </w:r>
      <w:r w:rsidR="00892B6B" w:rsidRPr="00977573">
        <w:t xml:space="preserve"> funciones públicas</w:t>
      </w:r>
      <w:r w:rsidR="00BD3DFC" w:rsidRPr="00977573">
        <w:t>, en atención al tenor literal del artículo 23.1.c)</w:t>
      </w:r>
      <w:r w:rsidR="00892B6B" w:rsidRPr="00977573">
        <w:t>. Por esa razón, cuando se afecta de forma arbitraria la permanencia de una persona en el ejercicio de ese tipo de funciones, se desconocen sus derechos políticos.</w:t>
      </w:r>
    </w:p>
    <w:p w14:paraId="515B2000" w14:textId="77777777" w:rsidR="00EF053A" w:rsidRPr="00977573" w:rsidRDefault="00EF053A" w:rsidP="000F3BE2">
      <w:pPr>
        <w:rPr>
          <w:rFonts w:ascii="Verdana" w:hAnsi="Verdana"/>
          <w:lang w:val="es-CO" w:eastAsia="es-MX"/>
        </w:rPr>
      </w:pPr>
    </w:p>
    <w:p w14:paraId="2FE76E9A" w14:textId="77777777" w:rsidR="000777DF" w:rsidRPr="00977573" w:rsidRDefault="00775B91" w:rsidP="000F3BE2">
      <w:pPr>
        <w:pStyle w:val="PrrafodeSentencia"/>
        <w:spacing w:line="240" w:lineRule="auto"/>
      </w:pPr>
      <w:r w:rsidRPr="00977573">
        <w:t>Además, la</w:t>
      </w:r>
      <w:r w:rsidR="00EF053A" w:rsidRPr="00977573">
        <w:t xml:space="preserve"> igualdad de oportunidades en el acceso y la estabilidad en el cargo de funcionarios del poder judicial</w:t>
      </w:r>
      <w:r w:rsidR="00B859FE" w:rsidRPr="00977573">
        <w:t>,</w:t>
      </w:r>
      <w:r w:rsidR="00EF053A" w:rsidRPr="00977573">
        <w:t xml:space="preserve"> como era el caso de </w:t>
      </w:r>
      <w:r w:rsidRPr="00977573">
        <w:t>la señora Moya Solís, garantiza</w:t>
      </w:r>
      <w:r w:rsidR="00EF053A" w:rsidRPr="00977573">
        <w:t xml:space="preserve"> la libertad frente a toda injerencia o presión</w:t>
      </w:r>
      <w:r w:rsidR="00EF053A" w:rsidRPr="00977573">
        <w:rPr>
          <w:rStyle w:val="Refdenotaalpie"/>
          <w:sz w:val="20"/>
          <w:szCs w:val="20"/>
          <w:lang w:val="es-CO"/>
        </w:rPr>
        <w:footnoteReference w:id="83"/>
      </w:r>
      <w:r w:rsidR="00EF053A" w:rsidRPr="00977573">
        <w:t xml:space="preserve">, lo que resulta especialmente relevante si se tiene en cuenta que </w:t>
      </w:r>
      <w:r w:rsidR="00105E99" w:rsidRPr="00977573">
        <w:t>quienes ejercían el cargo de Secretarios Judiciales</w:t>
      </w:r>
      <w:r w:rsidR="00B859FE" w:rsidRPr="00977573">
        <w:t xml:space="preserve"> en Perú,</w:t>
      </w:r>
      <w:r w:rsidR="00105E99" w:rsidRPr="00977573">
        <w:t xml:space="preserve"> para la fecha de los hechos</w:t>
      </w:r>
      <w:r w:rsidR="00B859FE" w:rsidRPr="00977573">
        <w:t>,</w:t>
      </w:r>
      <w:r w:rsidR="00105E99" w:rsidRPr="00977573">
        <w:t xml:space="preserve"> eran los</w:t>
      </w:r>
      <w:r w:rsidR="00EF053A" w:rsidRPr="00977573">
        <w:t xml:space="preserve"> encargados de </w:t>
      </w:r>
      <w:r w:rsidR="00105E99" w:rsidRPr="00977573">
        <w:t>presentar al juez los recursos y escritos presentados por las partes; autorizar las diligencias procesales expedidas por el juez; notificar las resoluciones del juzgado</w:t>
      </w:r>
      <w:r w:rsidR="00D2180F">
        <w:t>,</w:t>
      </w:r>
      <w:r w:rsidR="00D53C0E" w:rsidRPr="00977573">
        <w:t xml:space="preserve"> y</w:t>
      </w:r>
      <w:r w:rsidR="00105E99" w:rsidRPr="00977573">
        <w:t xml:space="preserve"> conservar y custodiar los expedientes a su cargo</w:t>
      </w:r>
      <w:r w:rsidR="00B859FE" w:rsidRPr="00977573">
        <w:rPr>
          <w:rStyle w:val="Refdenotaalpie"/>
          <w:sz w:val="20"/>
          <w:lang w:val="es-CO"/>
        </w:rPr>
        <w:footnoteReference w:id="84"/>
      </w:r>
      <w:r w:rsidR="00D53C0E" w:rsidRPr="00977573">
        <w:t>, entre otr</w:t>
      </w:r>
      <w:r w:rsidR="00B859FE" w:rsidRPr="00977573">
        <w:t>a</w:t>
      </w:r>
      <w:r w:rsidR="00105E99" w:rsidRPr="00977573">
        <w:t>s</w:t>
      </w:r>
      <w:r w:rsidR="00B859FE" w:rsidRPr="00977573">
        <w:t xml:space="preserve"> responsabilidades de relevancia para la correcta administración de justicia</w:t>
      </w:r>
      <w:r w:rsidR="00EF053A" w:rsidRPr="00977573">
        <w:t>.</w:t>
      </w:r>
    </w:p>
    <w:p w14:paraId="5C8AD22D" w14:textId="77777777" w:rsidR="000777DF" w:rsidRPr="00977573" w:rsidRDefault="000777DF" w:rsidP="000F3BE2">
      <w:pPr>
        <w:pStyle w:val="PrrafodeSentencia"/>
        <w:numPr>
          <w:ilvl w:val="0"/>
          <w:numId w:val="0"/>
        </w:numPr>
        <w:spacing w:line="240" w:lineRule="auto"/>
      </w:pPr>
    </w:p>
    <w:p w14:paraId="54ADE615" w14:textId="4B7CEBCD" w:rsidR="00BD3DFC" w:rsidRPr="00977573" w:rsidRDefault="000777DF" w:rsidP="000F3BE2">
      <w:pPr>
        <w:pStyle w:val="PrrafodeSentencia"/>
        <w:spacing w:line="240" w:lineRule="auto"/>
      </w:pPr>
      <w:r w:rsidRPr="00977573">
        <w:t xml:space="preserve">Conforme a lo </w:t>
      </w:r>
      <w:r w:rsidR="002D3922" w:rsidRPr="00977573">
        <w:t xml:space="preserve">anterior, </w:t>
      </w:r>
      <w:r w:rsidR="00892B6B" w:rsidRPr="00977573">
        <w:t xml:space="preserve">la Corte encuentra que, tal como se evidenció en los capítulos anteriores, la desvinculación de la señora Moya Solís </w:t>
      </w:r>
      <w:r w:rsidR="00175366" w:rsidRPr="00977573">
        <w:t>desconoció las garantías del debido proceso</w:t>
      </w:r>
      <w:r w:rsidR="00892B6B" w:rsidRPr="00977573">
        <w:t xml:space="preserve">, </w:t>
      </w:r>
      <w:r w:rsidR="002D3922" w:rsidRPr="00977573">
        <w:t>lo que</w:t>
      </w:r>
      <w:r w:rsidR="00892B6B" w:rsidRPr="00977573">
        <w:t xml:space="preserve"> </w:t>
      </w:r>
      <w:r w:rsidR="00BD3DFC" w:rsidRPr="00977573">
        <w:t>afectó de</w:t>
      </w:r>
      <w:r w:rsidR="00175366" w:rsidRPr="00977573">
        <w:t xml:space="preserve"> forma arbitraria </w:t>
      </w:r>
      <w:r w:rsidR="00892B6B" w:rsidRPr="00977573">
        <w:t>su permanencia en un cargo público y</w:t>
      </w:r>
      <w:r w:rsidR="005D480B" w:rsidRPr="00977573">
        <w:t>,</w:t>
      </w:r>
      <w:r w:rsidR="00892B6B" w:rsidRPr="00977573">
        <w:t xml:space="preserve"> en consecuencia, constituye una violación del artículo 23</w:t>
      </w:r>
      <w:r w:rsidR="003D0DA4" w:rsidRPr="00977573">
        <w:t>.1 c)</w:t>
      </w:r>
      <w:r w:rsidR="00892B6B" w:rsidRPr="00977573">
        <w:t xml:space="preserve"> de la Convención Americana</w:t>
      </w:r>
      <w:r w:rsidR="003D0DA4">
        <w:t>,</w:t>
      </w:r>
      <w:r w:rsidR="004454AF" w:rsidRPr="00977573">
        <w:t xml:space="preserve"> en relación con el artículo 1.1 del mismo instrumento</w:t>
      </w:r>
      <w:r w:rsidR="00892B6B" w:rsidRPr="00977573">
        <w:t xml:space="preserve">. </w:t>
      </w:r>
      <w:bookmarkStart w:id="133" w:name="_Ref469938768"/>
    </w:p>
    <w:p w14:paraId="2E609663" w14:textId="77777777" w:rsidR="00AA78D1" w:rsidRPr="00977573" w:rsidRDefault="00AA78D1" w:rsidP="000F3BE2">
      <w:pPr>
        <w:rPr>
          <w:rFonts w:ascii="Verdana" w:hAnsi="Verdana"/>
          <w:lang w:val="es-CO" w:eastAsia="es-MX"/>
        </w:rPr>
      </w:pPr>
    </w:p>
    <w:p w14:paraId="4A7616E0" w14:textId="77777777" w:rsidR="00A0066F" w:rsidRPr="00977573" w:rsidRDefault="00A0066F" w:rsidP="000F3BE2">
      <w:pPr>
        <w:pStyle w:val="Ttulo1"/>
        <w:rPr>
          <w:rFonts w:ascii="Verdana" w:hAnsi="Verdana"/>
          <w:sz w:val="20"/>
          <w:szCs w:val="20"/>
          <w:lang w:val="es-CO"/>
        </w:rPr>
      </w:pPr>
      <w:bookmarkStart w:id="134" w:name="_Toc69717881"/>
      <w:bookmarkStart w:id="135" w:name="_Toc74225388"/>
      <w:r w:rsidRPr="00977573">
        <w:rPr>
          <w:rStyle w:val="None"/>
          <w:rFonts w:ascii="Verdana" w:hAnsi="Verdana"/>
          <w:sz w:val="20"/>
          <w:szCs w:val="20"/>
          <w:lang w:val="es-CO"/>
        </w:rPr>
        <w:t>VIII</w:t>
      </w:r>
      <w:r w:rsidRPr="00977573">
        <w:rPr>
          <w:rStyle w:val="None"/>
          <w:rFonts w:ascii="Verdana" w:hAnsi="Verdana"/>
          <w:sz w:val="20"/>
          <w:szCs w:val="20"/>
          <w:lang w:val="es-CO"/>
        </w:rPr>
        <w:br/>
      </w:r>
      <w:r w:rsidRPr="00977573">
        <w:rPr>
          <w:rFonts w:ascii="Verdana" w:hAnsi="Verdana"/>
          <w:sz w:val="20"/>
          <w:szCs w:val="20"/>
          <w:lang w:val="es-CO"/>
        </w:rPr>
        <w:t>REPARACIONES</w:t>
      </w:r>
      <w:bookmarkEnd w:id="134"/>
      <w:bookmarkEnd w:id="135"/>
    </w:p>
    <w:p w14:paraId="2F587115" w14:textId="77777777" w:rsidR="00A0066F" w:rsidRPr="00802F45" w:rsidRDefault="00A0066F" w:rsidP="000F3BE2">
      <w:pPr>
        <w:rPr>
          <w:rFonts w:ascii="Verdana" w:hAnsi="Verdana"/>
          <w:sz w:val="20"/>
          <w:szCs w:val="20"/>
          <w:lang w:val="es-CO"/>
        </w:rPr>
      </w:pPr>
    </w:p>
    <w:p w14:paraId="6EF70712" w14:textId="77777777" w:rsidR="00BD3DFC" w:rsidRPr="00977573" w:rsidRDefault="00BD3DFC" w:rsidP="000F3BE2">
      <w:pPr>
        <w:pStyle w:val="PrrafodeSentencia"/>
        <w:spacing w:line="240" w:lineRule="auto"/>
      </w:pPr>
      <w:r w:rsidRPr="00977573">
        <w:t>Sobre la base de lo dispuesto en el artículo 63.1 de la Convención Americana, la Corte ha indicado que toda violación de una obligación internacional que haya producido daño comporta el deber de repararlo adecuadamente, y que esa disposición recoge una norma consuetudinaria que constituye uno de los principios fundamentales del Derecho Internacional contemporáneo sobre responsabilidad de un Estado</w:t>
      </w:r>
      <w:r w:rsidRPr="00977573">
        <w:rPr>
          <w:rStyle w:val="Refdenotaalpie"/>
          <w:rFonts w:eastAsia="Batang"/>
          <w:sz w:val="20"/>
          <w:szCs w:val="20"/>
          <w:lang w:val="es-CO"/>
        </w:rPr>
        <w:footnoteReference w:id="85"/>
      </w:r>
      <w:r w:rsidRPr="00977573">
        <w:t>. Además, este Tribunal ha establecido que las reparaciones deben tener un nexo causal con los hechos del caso, las violaciones declaradas, los daños acreditados, así como las medidas solicitadas para reparar los daños respectivos</w:t>
      </w:r>
      <w:r w:rsidR="00290387" w:rsidRPr="00977573">
        <w:rPr>
          <w:vertAlign w:val="superscript"/>
        </w:rPr>
        <w:footnoteReference w:id="86"/>
      </w:r>
      <w:r w:rsidRPr="00977573">
        <w:t>. Por tanto, la Corte deberá analizar dicha concurrencia para pronunciarse debidamente y conforme a derecho.</w:t>
      </w:r>
    </w:p>
    <w:p w14:paraId="15D73294" w14:textId="77777777" w:rsidR="00BD3DFC" w:rsidRPr="00977573" w:rsidRDefault="00BD3DFC" w:rsidP="000F3BE2">
      <w:pPr>
        <w:pStyle w:val="PrrafodeSentencia"/>
        <w:numPr>
          <w:ilvl w:val="0"/>
          <w:numId w:val="0"/>
        </w:numPr>
        <w:spacing w:line="240" w:lineRule="auto"/>
      </w:pPr>
    </w:p>
    <w:p w14:paraId="7BBC271D" w14:textId="77777777" w:rsidR="00BD3DFC" w:rsidRPr="00977573" w:rsidRDefault="00562222" w:rsidP="000F3BE2">
      <w:pPr>
        <w:pStyle w:val="PrrafodeSentencia"/>
        <w:spacing w:line="240" w:lineRule="auto"/>
      </w:pPr>
      <w:r w:rsidRPr="00977573">
        <w:t xml:space="preserve">En consecuencia, </w:t>
      </w:r>
      <w:r w:rsidR="00BD3DFC" w:rsidRPr="00977573">
        <w:t xml:space="preserve">de acuerdo con las consideraciones expuestas sobre el fondo y las violaciones a la Convención declaradas en la presente Sentencia, el Tribunal procederá a analizar las pretensiones </w:t>
      </w:r>
      <w:r w:rsidRPr="00977573">
        <w:t>de</w:t>
      </w:r>
      <w:r w:rsidR="00BD3DFC" w:rsidRPr="00977573">
        <w:t xml:space="preserve"> la Comisión y la víctima, así como las observaciones del Estado, a la luz de los criterios fijados en su jurisprudencia en relación con la naturaleza y alcance de la obligación de reparar, con el objeto de disponer las medidas dirigidas a reparar los daños ocasionados</w:t>
      </w:r>
      <w:r w:rsidR="00BD3DFC" w:rsidRPr="00977573">
        <w:rPr>
          <w:rStyle w:val="Refdenotaalpie"/>
          <w:rFonts w:eastAsia="Batang"/>
          <w:bCs/>
          <w:sz w:val="20"/>
          <w:szCs w:val="20"/>
          <w:lang w:val="es-CO"/>
        </w:rPr>
        <w:footnoteReference w:id="87"/>
      </w:r>
      <w:r w:rsidR="00BD3DFC" w:rsidRPr="00977573">
        <w:t>.</w:t>
      </w:r>
    </w:p>
    <w:p w14:paraId="7C356B15" w14:textId="77777777" w:rsidR="00BD3DFC" w:rsidRPr="00977573" w:rsidRDefault="00BD3DFC" w:rsidP="000F3BE2">
      <w:pPr>
        <w:rPr>
          <w:rFonts w:ascii="Verdana" w:hAnsi="Verdana"/>
          <w:sz w:val="20"/>
          <w:szCs w:val="20"/>
          <w:lang w:val="es-CO" w:eastAsia="es-MX"/>
        </w:rPr>
      </w:pPr>
    </w:p>
    <w:p w14:paraId="285A0608" w14:textId="77777777" w:rsidR="00BD3DFC" w:rsidRPr="00977573" w:rsidRDefault="00BD3DFC" w:rsidP="000F3BE2">
      <w:pPr>
        <w:pStyle w:val="Ttulo2"/>
        <w:numPr>
          <w:ilvl w:val="0"/>
          <w:numId w:val="11"/>
        </w:numPr>
        <w:spacing w:line="240" w:lineRule="auto"/>
      </w:pPr>
      <w:bookmarkStart w:id="136" w:name="_Toc58486779"/>
      <w:bookmarkStart w:id="137" w:name="_Toc69717882"/>
      <w:bookmarkStart w:id="138" w:name="_Toc74225389"/>
      <w:r w:rsidRPr="00977573">
        <w:t>Parte Lesionada</w:t>
      </w:r>
      <w:bookmarkEnd w:id="136"/>
      <w:bookmarkEnd w:id="137"/>
      <w:bookmarkEnd w:id="138"/>
    </w:p>
    <w:p w14:paraId="20A62F0F" w14:textId="77777777" w:rsidR="00BD3DFC" w:rsidRPr="00977573" w:rsidRDefault="00BD3DFC" w:rsidP="000F3BE2">
      <w:pPr>
        <w:rPr>
          <w:rFonts w:ascii="Verdana" w:hAnsi="Verdana"/>
          <w:sz w:val="20"/>
          <w:szCs w:val="20"/>
          <w:lang w:val="es-CO" w:eastAsia="es-MX"/>
        </w:rPr>
      </w:pPr>
    </w:p>
    <w:p w14:paraId="2268173C" w14:textId="54021F93" w:rsidR="006452A3" w:rsidRPr="00977573" w:rsidRDefault="006452A3" w:rsidP="000F3BE2">
      <w:pPr>
        <w:pStyle w:val="PrrafodeSentencia"/>
        <w:spacing w:line="240" w:lineRule="auto"/>
      </w:pPr>
      <w:r w:rsidRPr="00977573">
        <w:t xml:space="preserve">Este Tribunal considera parte lesionada, en los términos del artículo 63.1 de la Convención, a quien ha sido declarada víctima de la violación de algún derecho reconocido en su texto. Por lo tanto, esta Corte considera como “parte lesionada” a la señora Norka Moya Solís, quien en su carácter de víctima de las violaciones declaradas en el capítulo </w:t>
      </w:r>
      <w:r w:rsidR="00BD3DFC" w:rsidRPr="00977573">
        <w:t xml:space="preserve">VII de esta </w:t>
      </w:r>
      <w:r w:rsidR="004342A1">
        <w:t>S</w:t>
      </w:r>
      <w:r w:rsidR="00BD3DFC" w:rsidRPr="00977573">
        <w:t>entencia</w:t>
      </w:r>
      <w:r w:rsidRPr="00977573">
        <w:t>, será considerada beneficiaria de las reparaciones que la Corte ordene</w:t>
      </w:r>
      <w:bookmarkEnd w:id="133"/>
      <w:r w:rsidRPr="00977573">
        <w:t>.</w:t>
      </w:r>
    </w:p>
    <w:p w14:paraId="0E5028E6" w14:textId="77777777" w:rsidR="006452A3" w:rsidRPr="00977573" w:rsidRDefault="006452A3" w:rsidP="000F3BE2">
      <w:pPr>
        <w:pStyle w:val="PrrafodeSentencia"/>
        <w:numPr>
          <w:ilvl w:val="0"/>
          <w:numId w:val="0"/>
        </w:numPr>
        <w:spacing w:line="240" w:lineRule="auto"/>
      </w:pPr>
    </w:p>
    <w:p w14:paraId="343DB9B3" w14:textId="77777777" w:rsidR="006452A3" w:rsidRPr="00977573" w:rsidRDefault="006452A3" w:rsidP="000F3BE2">
      <w:pPr>
        <w:pStyle w:val="Ttulo2"/>
        <w:spacing w:line="240" w:lineRule="auto"/>
      </w:pPr>
      <w:bookmarkStart w:id="139" w:name="_Toc58486780"/>
      <w:bookmarkStart w:id="140" w:name="_Toc69717883"/>
      <w:bookmarkStart w:id="141" w:name="_Toc74225390"/>
      <w:r w:rsidRPr="00977573">
        <w:t>Medidas de Restitución</w:t>
      </w:r>
      <w:bookmarkEnd w:id="139"/>
      <w:bookmarkEnd w:id="140"/>
      <w:bookmarkEnd w:id="141"/>
    </w:p>
    <w:p w14:paraId="3F09E012" w14:textId="77777777" w:rsidR="006452A3" w:rsidRPr="00977573" w:rsidRDefault="006452A3" w:rsidP="000F3BE2">
      <w:pPr>
        <w:rPr>
          <w:rFonts w:ascii="Verdana" w:hAnsi="Verdana"/>
          <w:sz w:val="20"/>
          <w:szCs w:val="20"/>
          <w:lang w:val="es-CO"/>
        </w:rPr>
      </w:pPr>
    </w:p>
    <w:p w14:paraId="78E5D66C" w14:textId="77777777" w:rsidR="00892B6B" w:rsidRPr="00977573" w:rsidRDefault="006452A3" w:rsidP="000F3BE2">
      <w:pPr>
        <w:pStyle w:val="PrrafodeSentencia"/>
        <w:spacing w:line="240" w:lineRule="auto"/>
      </w:pPr>
      <w:r w:rsidRPr="00977573">
        <w:t xml:space="preserve">La </w:t>
      </w:r>
      <w:r w:rsidRPr="00977573">
        <w:rPr>
          <w:b/>
          <w:i/>
        </w:rPr>
        <w:t>Comisión</w:t>
      </w:r>
      <w:r w:rsidRPr="00977573">
        <w:t xml:space="preserve"> solicitó </w:t>
      </w:r>
      <w:r w:rsidR="00892B6B" w:rsidRPr="00977573">
        <w:t>que se reincorpore a la señora</w:t>
      </w:r>
      <w:r w:rsidRPr="00977573">
        <w:t xml:space="preserve"> Norka Moya </w:t>
      </w:r>
      <w:r w:rsidR="00BD3DFC" w:rsidRPr="00977573">
        <w:t>Solís</w:t>
      </w:r>
      <w:r w:rsidRPr="00977573">
        <w:t xml:space="preserve">, en caso de ser este su deseo, en un cargo similar al que desempeñaba en el Poder Judicial, con la remuneración, beneficios sociales y rango equiparable a los que </w:t>
      </w:r>
      <w:r w:rsidR="00892B6B" w:rsidRPr="00977573">
        <w:t>le correspondería el día de hoy</w:t>
      </w:r>
      <w:r w:rsidRPr="00977573">
        <w:t xml:space="preserve"> si no hubiera sido destituida. Si por razones fundadas no es posible la reincorporación, </w:t>
      </w:r>
      <w:r w:rsidR="00892B6B" w:rsidRPr="00977573">
        <w:t xml:space="preserve">la Comisión solicitó el pago de </w:t>
      </w:r>
      <w:r w:rsidRPr="00977573">
        <w:t>una indemnización alternativa.</w:t>
      </w:r>
    </w:p>
    <w:p w14:paraId="245FDCCE" w14:textId="77777777" w:rsidR="009347BD" w:rsidRPr="00977573" w:rsidRDefault="009347BD" w:rsidP="000F3BE2">
      <w:pPr>
        <w:rPr>
          <w:rFonts w:ascii="Verdana" w:hAnsi="Verdana"/>
          <w:sz w:val="20"/>
          <w:szCs w:val="20"/>
          <w:lang w:val="es-CO" w:eastAsia="es-MX"/>
        </w:rPr>
      </w:pPr>
    </w:p>
    <w:p w14:paraId="0CA69026" w14:textId="77777777" w:rsidR="00892B6B" w:rsidRPr="00977573" w:rsidRDefault="009347BD" w:rsidP="000F3BE2">
      <w:pPr>
        <w:pStyle w:val="PrrafodeSentencia"/>
        <w:spacing w:line="240" w:lineRule="auto"/>
      </w:pPr>
      <w:r w:rsidRPr="00977573">
        <w:t xml:space="preserve">La </w:t>
      </w:r>
      <w:r w:rsidRPr="00977573">
        <w:rPr>
          <w:b/>
          <w:i/>
        </w:rPr>
        <w:t>víctima</w:t>
      </w:r>
      <w:r w:rsidRPr="00977573">
        <w:t xml:space="preserve"> manifestó que</w:t>
      </w:r>
      <w:r w:rsidR="00BD3DFC" w:rsidRPr="00977573">
        <w:t xml:space="preserve"> no desea ser reincorporada al P</w:t>
      </w:r>
      <w:r w:rsidRPr="00977573">
        <w:t xml:space="preserve">oder </w:t>
      </w:r>
      <w:r w:rsidR="00BD3DFC" w:rsidRPr="00977573">
        <w:t>J</w:t>
      </w:r>
      <w:r w:rsidRPr="00977573">
        <w:t xml:space="preserve">udicial y que opta por </w:t>
      </w:r>
      <w:r w:rsidR="00D2180F">
        <w:t>la alternativa de indemnización</w:t>
      </w:r>
      <w:r w:rsidRPr="00977573">
        <w:t xml:space="preserve">. También señaló que </w:t>
      </w:r>
      <w:r w:rsidR="007A470F" w:rsidRPr="00977573">
        <w:t xml:space="preserve">no ha renunciado a su jubilación, pues ingresó al poder judicial por concurso en el año 1973 y se encuentra bajo el régimen de la Ley 20530 “Cédula Viva”. </w:t>
      </w:r>
    </w:p>
    <w:p w14:paraId="6CF4B5F4" w14:textId="77777777" w:rsidR="004C4551" w:rsidRPr="00977573" w:rsidRDefault="004C4551" w:rsidP="000F3BE2">
      <w:pPr>
        <w:rPr>
          <w:rFonts w:ascii="Verdana" w:hAnsi="Verdana"/>
          <w:sz w:val="20"/>
          <w:szCs w:val="20"/>
          <w:lang w:val="es-CO" w:eastAsia="es-MX"/>
        </w:rPr>
      </w:pPr>
    </w:p>
    <w:p w14:paraId="02F53BAB" w14:textId="77777777" w:rsidR="004C4551" w:rsidRPr="00977573" w:rsidRDefault="004C4551" w:rsidP="000F3BE2">
      <w:pPr>
        <w:pStyle w:val="PrrafodeSentencia"/>
        <w:spacing w:line="240" w:lineRule="auto"/>
      </w:pPr>
      <w:r w:rsidRPr="00977573">
        <w:t xml:space="preserve">El </w:t>
      </w:r>
      <w:r w:rsidRPr="00977573">
        <w:rPr>
          <w:b/>
          <w:i/>
        </w:rPr>
        <w:t>Estado</w:t>
      </w:r>
      <w:r w:rsidRPr="00977573">
        <w:t xml:space="preserve"> informó a la Corte que durante la etapa de seguimiento al cumplimiento de recomendaciones consultó a la víctima sobre su posición respecto </w:t>
      </w:r>
      <w:r w:rsidR="00562222" w:rsidRPr="00977573">
        <w:t>a</w:t>
      </w:r>
      <w:r w:rsidRPr="00977573">
        <w:t xml:space="preserve"> un eventual reintegro, a lo que la señora Moya Solís respondió que no era su deseo ser </w:t>
      </w:r>
      <w:r w:rsidR="00D2180F">
        <w:t>reincorporada al Poder Judicial</w:t>
      </w:r>
      <w:r w:rsidRPr="00977573">
        <w:t xml:space="preserve">. </w:t>
      </w:r>
    </w:p>
    <w:p w14:paraId="14FEC380" w14:textId="77777777" w:rsidR="00E260FD" w:rsidRPr="00977573" w:rsidRDefault="00E260FD" w:rsidP="000F3BE2">
      <w:pPr>
        <w:rPr>
          <w:rFonts w:ascii="Verdana" w:hAnsi="Verdana"/>
          <w:lang w:val="es-CO" w:eastAsia="es-MX"/>
        </w:rPr>
      </w:pPr>
    </w:p>
    <w:p w14:paraId="0C9EB7B5" w14:textId="77777777" w:rsidR="00E260FD" w:rsidRPr="00977573" w:rsidRDefault="00E260FD" w:rsidP="000F3BE2">
      <w:pPr>
        <w:pStyle w:val="PrrafodeSentencia"/>
        <w:spacing w:line="240" w:lineRule="auto"/>
      </w:pPr>
      <w:r w:rsidRPr="00977573">
        <w:t>L</w:t>
      </w:r>
      <w:r w:rsidR="002024D4" w:rsidRPr="00977573">
        <w:t>a Corte</w:t>
      </w:r>
      <w:r w:rsidRPr="00977573">
        <w:t xml:space="preserve"> advierte que </w:t>
      </w:r>
      <w:r w:rsidR="002024D4" w:rsidRPr="00977573">
        <w:t>la señora Moya Solís no desea ser reincorporada</w:t>
      </w:r>
      <w:r w:rsidR="006E2E2F" w:rsidRPr="00977573">
        <w:t xml:space="preserve"> al Poder Judicial, por esa razón no es procedente ordenar </w:t>
      </w:r>
      <w:r w:rsidR="007113AE" w:rsidRPr="00977573">
        <w:t>esta</w:t>
      </w:r>
      <w:r w:rsidR="006E2E2F" w:rsidRPr="00977573">
        <w:t xml:space="preserve"> medida de restitución</w:t>
      </w:r>
      <w:r w:rsidR="006B0127" w:rsidRPr="00977573">
        <w:t xml:space="preserve">, </w:t>
      </w:r>
      <w:r w:rsidR="006B0127" w:rsidRPr="00977573">
        <w:rPr>
          <w:bCs/>
        </w:rPr>
        <w:t>sin perjuicio de lo que se resuelv</w:t>
      </w:r>
      <w:r w:rsidR="00D2180F">
        <w:rPr>
          <w:bCs/>
        </w:rPr>
        <w:t>a</w:t>
      </w:r>
      <w:r w:rsidR="005A7644" w:rsidRPr="00977573">
        <w:t xml:space="preserve"> </w:t>
      </w:r>
      <w:r w:rsidR="006E2E2F" w:rsidRPr="00977573">
        <w:t>en el apartado de indemnizaciones compensatorias (</w:t>
      </w:r>
      <w:r w:rsidR="006E2E2F" w:rsidRPr="00977573">
        <w:rPr>
          <w:i/>
        </w:rPr>
        <w:t>supra</w:t>
      </w:r>
      <w:r w:rsidR="00D2180F">
        <w:t xml:space="preserve"> párr. 127</w:t>
      </w:r>
      <w:r w:rsidR="006E2E2F" w:rsidRPr="00977573">
        <w:t>)</w:t>
      </w:r>
      <w:r w:rsidRPr="00977573">
        <w:t>.</w:t>
      </w:r>
    </w:p>
    <w:p w14:paraId="3FFA59B2" w14:textId="77777777" w:rsidR="00864A66" w:rsidRPr="00977573" w:rsidRDefault="00864A66" w:rsidP="000F3BE2">
      <w:pPr>
        <w:rPr>
          <w:rFonts w:ascii="Verdana" w:hAnsi="Verdana"/>
          <w:color w:val="FF0000"/>
          <w:sz w:val="20"/>
          <w:lang w:val="es-CO"/>
        </w:rPr>
      </w:pPr>
    </w:p>
    <w:p w14:paraId="024FCB53" w14:textId="77777777" w:rsidR="006452A3" w:rsidRPr="00977573" w:rsidRDefault="006452A3" w:rsidP="000F3BE2">
      <w:pPr>
        <w:pStyle w:val="Ttulo2"/>
        <w:spacing w:line="240" w:lineRule="auto"/>
      </w:pPr>
      <w:bookmarkStart w:id="142" w:name="_Toc58486781"/>
      <w:bookmarkStart w:id="143" w:name="_Toc69717884"/>
      <w:bookmarkStart w:id="144" w:name="_Toc74225391"/>
      <w:r w:rsidRPr="00977573">
        <w:t>Medidas de Satisfacción</w:t>
      </w:r>
      <w:bookmarkEnd w:id="142"/>
      <w:bookmarkEnd w:id="143"/>
      <w:bookmarkEnd w:id="144"/>
    </w:p>
    <w:p w14:paraId="4A37D178" w14:textId="77777777" w:rsidR="006452A3" w:rsidRPr="00977573" w:rsidRDefault="006452A3" w:rsidP="000F3BE2">
      <w:pPr>
        <w:pStyle w:val="PrrafodeSentencia"/>
        <w:numPr>
          <w:ilvl w:val="0"/>
          <w:numId w:val="0"/>
        </w:numPr>
        <w:spacing w:line="240" w:lineRule="auto"/>
      </w:pPr>
    </w:p>
    <w:p w14:paraId="5A6BC9C7" w14:textId="77777777" w:rsidR="00441946" w:rsidRPr="00977573" w:rsidRDefault="00441946" w:rsidP="000F3BE2">
      <w:pPr>
        <w:pStyle w:val="PrrafodeSentencia"/>
        <w:spacing w:line="240" w:lineRule="auto"/>
      </w:pPr>
      <w:r w:rsidRPr="00977573">
        <w:t xml:space="preserve">La </w:t>
      </w:r>
      <w:r w:rsidRPr="00977573">
        <w:rPr>
          <w:b/>
          <w:i/>
        </w:rPr>
        <w:t>Comisión</w:t>
      </w:r>
      <w:r w:rsidRPr="00977573">
        <w:t xml:space="preserve"> no se pronunció de manera específica sobre este asunto. La </w:t>
      </w:r>
      <w:r w:rsidRPr="00977573">
        <w:rPr>
          <w:b/>
          <w:i/>
        </w:rPr>
        <w:t>víctima</w:t>
      </w:r>
      <w:r w:rsidR="00331754" w:rsidRPr="00977573">
        <w:t xml:space="preserve"> solicitó que, como medida de satisfacción, se realice un acto público de desagravio y </w:t>
      </w:r>
      <w:r w:rsidR="00D2180F">
        <w:t>reconocimiento de la responsabilidad del Estado</w:t>
      </w:r>
      <w:r w:rsidR="00331754" w:rsidRPr="00977573">
        <w:t>.</w:t>
      </w:r>
    </w:p>
    <w:p w14:paraId="7428B852" w14:textId="77777777" w:rsidR="002267B7" w:rsidRPr="00977573" w:rsidRDefault="002267B7" w:rsidP="000F3BE2">
      <w:pPr>
        <w:rPr>
          <w:rFonts w:ascii="Verdana" w:hAnsi="Verdana"/>
          <w:sz w:val="20"/>
          <w:szCs w:val="20"/>
          <w:lang w:val="es-CO" w:eastAsia="es-MX"/>
        </w:rPr>
      </w:pPr>
      <w:r w:rsidRPr="00977573">
        <w:rPr>
          <w:rFonts w:ascii="Verdana" w:hAnsi="Verdana"/>
          <w:sz w:val="20"/>
          <w:szCs w:val="20"/>
          <w:lang w:val="es-CO" w:eastAsia="es-MX"/>
        </w:rPr>
        <w:t xml:space="preserve"> </w:t>
      </w:r>
    </w:p>
    <w:p w14:paraId="59342A9B" w14:textId="77777777" w:rsidR="002267B7" w:rsidRPr="00977573" w:rsidRDefault="002267B7" w:rsidP="000F3BE2">
      <w:pPr>
        <w:pStyle w:val="PrrafodeSentencia"/>
        <w:spacing w:line="240" w:lineRule="auto"/>
      </w:pPr>
      <w:r w:rsidRPr="00977573">
        <w:t xml:space="preserve">El </w:t>
      </w:r>
      <w:r w:rsidRPr="00977573">
        <w:rPr>
          <w:b/>
          <w:i/>
        </w:rPr>
        <w:t>Estado</w:t>
      </w:r>
      <w:r w:rsidR="00D2180F">
        <w:t xml:space="preserve"> señaló</w:t>
      </w:r>
      <w:r w:rsidR="00DD429F" w:rsidRPr="00977573">
        <w:t xml:space="preserve"> </w:t>
      </w:r>
      <w:r w:rsidRPr="00977573">
        <w:t>que los actos de reconocimiento de responsabilidad internacionales y las disculpas públicas no son medidas de satisfacción necesarias en sí mismas en todos los casos, porque la propia Sentencia de la Corte con</w:t>
      </w:r>
      <w:r w:rsidR="00F266B8">
        <w:t>stituye una forma de reparación</w:t>
      </w:r>
      <w:r w:rsidRPr="00977573">
        <w:t>.</w:t>
      </w:r>
    </w:p>
    <w:p w14:paraId="41537039" w14:textId="77777777" w:rsidR="003565A0" w:rsidRPr="00977573" w:rsidRDefault="003565A0" w:rsidP="000F3BE2">
      <w:pPr>
        <w:rPr>
          <w:rFonts w:ascii="Verdana" w:hAnsi="Verdana"/>
          <w:lang w:val="es-CO" w:eastAsia="es-MX"/>
        </w:rPr>
      </w:pPr>
    </w:p>
    <w:p w14:paraId="39051479" w14:textId="6346C0B6" w:rsidR="003565A0" w:rsidRPr="00977573" w:rsidRDefault="003565A0" w:rsidP="000F3BE2">
      <w:pPr>
        <w:pStyle w:val="PrrafodeSentencia"/>
        <w:spacing w:line="240" w:lineRule="auto"/>
      </w:pPr>
      <w:r w:rsidRPr="00977573">
        <w:t>La Corte dispone, como lo ha hecho en otros casos</w:t>
      </w:r>
      <w:r w:rsidRPr="00977573">
        <w:rPr>
          <w:rStyle w:val="Refdenotaalpie"/>
          <w:sz w:val="20"/>
          <w:szCs w:val="20"/>
          <w:lang w:val="es-CO"/>
        </w:rPr>
        <w:footnoteReference w:id="88"/>
      </w:r>
      <w:r w:rsidRPr="00977573">
        <w:t>, que el Estado publique, en el plazo de seis meses, contado a partir de la notificación de la presente Sentencia, en un tamaño de letra legible y adecuado, lo siguiente: a) el resumen oficial de la presente Sentencia elaborado por la Corte, por una sola vez, en el Diario Oficial, y b) la presente Sentencia en su integridad, disponible por un per</w:t>
      </w:r>
      <w:r w:rsidR="004342A1">
        <w:t>í</w:t>
      </w:r>
      <w:r w:rsidRPr="00977573">
        <w:t>odo de un año, en el sitio web oficial del Poder Judicial. El Estado deberá informar de forma inmediata a este Tribunal una vez proceda a realizar cada una de las publicaciones dispuestas, independientemente del plazo de un año para presentar su primer informe</w:t>
      </w:r>
      <w:r w:rsidR="001C5F95" w:rsidRPr="00977573">
        <w:t>,</w:t>
      </w:r>
      <w:r w:rsidRPr="00977573">
        <w:t xml:space="preserve"> dispuesto en el punto resolutivo </w:t>
      </w:r>
      <w:r w:rsidR="00F266B8">
        <w:t>10</w:t>
      </w:r>
      <w:r w:rsidRPr="00977573">
        <w:t xml:space="preserve"> de la presente Sentencia. La Corte considera que la emisión de la presente </w:t>
      </w:r>
      <w:r w:rsidR="001C5F95" w:rsidRPr="00977573">
        <w:t>s</w:t>
      </w:r>
      <w:r w:rsidRPr="00977573">
        <w:t xml:space="preserve">entencia y la orden de publicación de su resumen en el Diario Oficial y de la sentencia en el sitio web del </w:t>
      </w:r>
      <w:r w:rsidR="00B859FE" w:rsidRPr="00977573">
        <w:t>Poder Judicial</w:t>
      </w:r>
      <w:r w:rsidRPr="00977573">
        <w:t>, son medidas de satisfacción suficientes en este caso, por lo que no ordenará la realización de un acto de desagravio</w:t>
      </w:r>
      <w:r w:rsidRPr="00977573">
        <w:rPr>
          <w:rStyle w:val="Refdenotaalpie"/>
          <w:sz w:val="20"/>
          <w:szCs w:val="20"/>
          <w:lang w:val="es-CO"/>
        </w:rPr>
        <w:footnoteReference w:id="89"/>
      </w:r>
      <w:r w:rsidRPr="00977573">
        <w:t>.</w:t>
      </w:r>
    </w:p>
    <w:p w14:paraId="12EF30AA" w14:textId="77777777" w:rsidR="003565A0" w:rsidRPr="00977573" w:rsidRDefault="003565A0" w:rsidP="000F3BE2">
      <w:pPr>
        <w:rPr>
          <w:rFonts w:ascii="Verdana" w:hAnsi="Verdana"/>
          <w:lang w:val="es-CO" w:eastAsia="es-MX"/>
        </w:rPr>
      </w:pPr>
    </w:p>
    <w:p w14:paraId="7D2AA0E7" w14:textId="77777777" w:rsidR="006452A3" w:rsidRPr="00977573" w:rsidRDefault="002024D4" w:rsidP="000F3BE2">
      <w:pPr>
        <w:pStyle w:val="Ttulo2"/>
        <w:spacing w:line="240" w:lineRule="auto"/>
      </w:pPr>
      <w:bookmarkStart w:id="145" w:name="_Toc74225392"/>
      <w:r w:rsidRPr="00977573">
        <w:t>Otras medidas solicitadas</w:t>
      </w:r>
      <w:bookmarkEnd w:id="145"/>
    </w:p>
    <w:p w14:paraId="676BB221" w14:textId="77777777" w:rsidR="006452A3" w:rsidRPr="00977573" w:rsidRDefault="006452A3" w:rsidP="000F3BE2">
      <w:pPr>
        <w:rPr>
          <w:rFonts w:ascii="Verdana" w:hAnsi="Verdana"/>
          <w:sz w:val="20"/>
          <w:szCs w:val="20"/>
          <w:lang w:val="es-CO"/>
        </w:rPr>
      </w:pPr>
    </w:p>
    <w:p w14:paraId="299D91B4" w14:textId="77777777" w:rsidR="006452A3" w:rsidRPr="00977573" w:rsidRDefault="006452A3" w:rsidP="000F3BE2">
      <w:pPr>
        <w:pStyle w:val="PrrafodeSentencia"/>
        <w:spacing w:line="240" w:lineRule="auto"/>
      </w:pPr>
      <w:r w:rsidRPr="00977573">
        <w:t xml:space="preserve">La </w:t>
      </w:r>
      <w:r w:rsidRPr="00977573">
        <w:rPr>
          <w:b/>
          <w:i/>
        </w:rPr>
        <w:t>Comisión</w:t>
      </w:r>
      <w:r w:rsidRPr="00977573">
        <w:t xml:space="preserve"> solicitó disponer las medidas de no repetición necesarias para asegurar que los procesos de ratificación de funcionarios del Poder Judicial, en la ley y en la práctica: i) regulen debidamente las faltas cometidas que dan lugar a la no ratificaci</w:t>
      </w:r>
      <w:r w:rsidR="00F266B8">
        <w:t>ón de un funcionario del Poder J</w:t>
      </w:r>
      <w:r w:rsidRPr="00977573">
        <w:t>u</w:t>
      </w:r>
      <w:r w:rsidR="00F266B8">
        <w:t>dicial</w:t>
      </w:r>
      <w:r w:rsidRPr="00977573">
        <w:t xml:space="preserve"> con base en criterios objetivos y de manera proporcional; ii) permitan que el funcionario sometido al proceso pueda defenderse frente a los cargos puntuales en su contra a la luz de criterios objetivos, así como contar con un recurso efectivo para enmendar posibles violaciones al debido proceso. </w:t>
      </w:r>
    </w:p>
    <w:p w14:paraId="1CEB6795" w14:textId="77777777" w:rsidR="00256976" w:rsidRPr="00977573" w:rsidRDefault="00256976" w:rsidP="000F3BE2">
      <w:pPr>
        <w:rPr>
          <w:rFonts w:ascii="Verdana" w:hAnsi="Verdana"/>
          <w:sz w:val="20"/>
          <w:szCs w:val="20"/>
          <w:lang w:val="es-CO" w:eastAsia="es-MX"/>
        </w:rPr>
      </w:pPr>
    </w:p>
    <w:p w14:paraId="0DF173A8" w14:textId="77777777" w:rsidR="004C4551" w:rsidRPr="00977573" w:rsidRDefault="00256976" w:rsidP="000F3BE2">
      <w:pPr>
        <w:pStyle w:val="PrrafodeSentencia"/>
        <w:spacing w:line="240" w:lineRule="auto"/>
        <w:rPr>
          <w:rFonts w:cs="Arial"/>
        </w:rPr>
      </w:pPr>
      <w:r w:rsidRPr="00977573">
        <w:t xml:space="preserve">El </w:t>
      </w:r>
      <w:r w:rsidRPr="00977573">
        <w:rPr>
          <w:b/>
          <w:i/>
        </w:rPr>
        <w:t>Estado</w:t>
      </w:r>
      <w:r w:rsidRPr="00977573">
        <w:t xml:space="preserve"> indicó que a la fecha no se encuentra regulada en la normatividad peruana la figura de la ratificación de los secretarios judiciales. En ese sentido, </w:t>
      </w:r>
      <w:r w:rsidR="004C4551" w:rsidRPr="00977573">
        <w:t xml:space="preserve">informó que </w:t>
      </w:r>
      <w:r w:rsidRPr="00977573">
        <w:t xml:space="preserve">el </w:t>
      </w:r>
      <w:r w:rsidR="00EF24AC" w:rsidRPr="00977573">
        <w:t>artículo 154</w:t>
      </w:r>
      <w:r w:rsidRPr="00977573">
        <w:t xml:space="preserve"> de la</w:t>
      </w:r>
      <w:r w:rsidR="004C4551" w:rsidRPr="00977573">
        <w:t xml:space="preserve"> Constitución Política del Perú</w:t>
      </w:r>
      <w:r w:rsidRPr="00977573">
        <w:t xml:space="preserve"> </w:t>
      </w:r>
      <w:r w:rsidR="00EF24AC" w:rsidRPr="00977573">
        <w:t>se refiere</w:t>
      </w:r>
      <w:r w:rsidRPr="00977573">
        <w:t xml:space="preserve"> al proceso de ratificación de jueces y fiscales por parte de la Junta Nacional de Justicia</w:t>
      </w:r>
      <w:r w:rsidR="00EF24AC" w:rsidRPr="00977573">
        <w:t xml:space="preserve">, </w:t>
      </w:r>
      <w:r w:rsidR="004C4551" w:rsidRPr="00977573">
        <w:t xml:space="preserve">y </w:t>
      </w:r>
      <w:r w:rsidR="00EF24AC" w:rsidRPr="00977573">
        <w:t xml:space="preserve">que </w:t>
      </w:r>
      <w:r w:rsidR="004C4551" w:rsidRPr="00977573">
        <w:t xml:space="preserve">estos </w:t>
      </w:r>
      <w:r w:rsidR="00EF24AC" w:rsidRPr="00977573">
        <w:t xml:space="preserve">son los únicos </w:t>
      </w:r>
      <w:r w:rsidR="004C4551" w:rsidRPr="00977573">
        <w:t xml:space="preserve">funcionarios </w:t>
      </w:r>
      <w:r w:rsidR="00EF24AC" w:rsidRPr="00977573">
        <w:t>respecto de los cuales se aplica actualmente esa figura</w:t>
      </w:r>
      <w:r w:rsidRPr="00977573">
        <w:t>.</w:t>
      </w:r>
      <w:r w:rsidR="00EF24AC" w:rsidRPr="00977573">
        <w:t xml:space="preserve"> </w:t>
      </w:r>
      <w:r w:rsidR="004C4551" w:rsidRPr="00977573">
        <w:t>I</w:t>
      </w:r>
      <w:r w:rsidR="00EF24AC" w:rsidRPr="00977573">
        <w:t>ndicó que</w:t>
      </w:r>
      <w:r w:rsidR="004C4551" w:rsidRPr="00977573">
        <w:t>, debido a que</w:t>
      </w:r>
      <w:r w:rsidR="00EF24AC" w:rsidRPr="00977573">
        <w:t xml:space="preserve"> a la fecha no existen procesos de ratificación aplicables a personal jurisdiccional, no es posible que hechos c</w:t>
      </w:r>
      <w:r w:rsidR="00F266B8">
        <w:t xml:space="preserve">omo los de este caso se repitan. </w:t>
      </w:r>
      <w:r w:rsidR="00EF24AC" w:rsidRPr="00977573">
        <w:t xml:space="preserve">En relación con los funcionarios judiciales, </w:t>
      </w:r>
      <w:r w:rsidR="004C4551" w:rsidRPr="00977573">
        <w:t>señaló</w:t>
      </w:r>
      <w:r w:rsidR="00EF24AC" w:rsidRPr="00977573">
        <w:t xml:space="preserve"> que actualmente está vigente la </w:t>
      </w:r>
      <w:bookmarkStart w:id="146" w:name="_Toc36823513"/>
      <w:r w:rsidR="00EF24AC" w:rsidRPr="00977573">
        <w:rPr>
          <w:rFonts w:cs="Arial"/>
        </w:rPr>
        <w:t>Directiva “N</w:t>
      </w:r>
      <w:r w:rsidR="00EF24AC" w:rsidRPr="00977573">
        <w:rPr>
          <w:rFonts w:cs="ArialMT"/>
        </w:rPr>
        <w:t>ormas para la Evaluación de Desempeño de los trabajadores en el Poder Judicial”</w:t>
      </w:r>
      <w:r w:rsidR="004C4551" w:rsidRPr="00977573">
        <w:rPr>
          <w:rFonts w:cs="ArialMT"/>
        </w:rPr>
        <w:t>,</w:t>
      </w:r>
      <w:r w:rsidR="00EF24AC" w:rsidRPr="00977573">
        <w:rPr>
          <w:rFonts w:cs="ArialMT"/>
        </w:rPr>
        <w:t xml:space="preserve"> que </w:t>
      </w:r>
      <w:r w:rsidR="00EF24AC" w:rsidRPr="00977573">
        <w:rPr>
          <w:rFonts w:cs="Arial"/>
        </w:rPr>
        <w:t>fue aprobada el 1 de septiembre de 2020. La Directiva no constituye un mecanismo para la separación del cargo, sino para mejorar la calificación y competencias de los trabajadores del Poder Judicial, para ello prevé la realización de una evaluación de desemp</w:t>
      </w:r>
      <w:r w:rsidR="004C4551" w:rsidRPr="00977573">
        <w:rPr>
          <w:rFonts w:cs="Arial"/>
        </w:rPr>
        <w:t>eño anual, de carácter reservado</w:t>
      </w:r>
      <w:r w:rsidR="00EF24AC" w:rsidRPr="00977573">
        <w:rPr>
          <w:rFonts w:cs="Arial"/>
        </w:rPr>
        <w:t xml:space="preserve">, </w:t>
      </w:r>
      <w:r w:rsidR="004C4551" w:rsidRPr="00977573">
        <w:rPr>
          <w:rFonts w:cs="Arial"/>
        </w:rPr>
        <w:t>que busca</w:t>
      </w:r>
      <w:r w:rsidR="00EF24AC" w:rsidRPr="00977573">
        <w:rPr>
          <w:rFonts w:cs="Arial"/>
        </w:rPr>
        <w:t xml:space="preserve"> mejorar el desempeño laboral del trabajador judicial evaluado, así como el desarrollo de sus potencialidades y, por ende, la mejora de la calidad del servicio</w:t>
      </w:r>
      <w:r w:rsidR="00F02C99" w:rsidRPr="00F266B8">
        <w:rPr>
          <w:rFonts w:cs="Arial"/>
        </w:rPr>
        <w:t>.</w:t>
      </w:r>
      <w:r w:rsidR="00F02C99" w:rsidRPr="00977573">
        <w:rPr>
          <w:rFonts w:cs="Arial"/>
          <w:b/>
        </w:rPr>
        <w:t xml:space="preserve"> </w:t>
      </w:r>
      <w:r w:rsidR="00F02C99" w:rsidRPr="00977573">
        <w:rPr>
          <w:rFonts w:cs="Arial"/>
        </w:rPr>
        <w:t>El Estado también informó que ha establecido un procedimiento administrativo disciplinario respetuoso de todas las garantías del debido proceso, de modo que, si un servidor judicial incurre en una falta tipificada en la norma, goza de todas las garantías para hacer valer sus derechos y ejerc</w:t>
      </w:r>
      <w:r w:rsidR="00F266B8">
        <w:rPr>
          <w:rFonts w:cs="Arial"/>
        </w:rPr>
        <w:t>er su defensa de forma adecuada</w:t>
      </w:r>
      <w:r w:rsidR="00F02C99" w:rsidRPr="00977573">
        <w:rPr>
          <w:rFonts w:cs="Arial"/>
        </w:rPr>
        <w:t>.</w:t>
      </w:r>
    </w:p>
    <w:p w14:paraId="02EEB42D" w14:textId="77777777" w:rsidR="006A588E" w:rsidRPr="00977573" w:rsidRDefault="006A588E" w:rsidP="000F3BE2">
      <w:pPr>
        <w:rPr>
          <w:rFonts w:ascii="Verdana" w:hAnsi="Verdana"/>
          <w:b/>
          <w:lang w:val="es-CO" w:eastAsia="es-MX"/>
        </w:rPr>
      </w:pPr>
    </w:p>
    <w:p w14:paraId="1A82C20C" w14:textId="77777777" w:rsidR="00087970" w:rsidRPr="00977573" w:rsidRDefault="006B0127" w:rsidP="000F3BE2">
      <w:pPr>
        <w:pStyle w:val="PrrafodeSentencia"/>
        <w:spacing w:line="240" w:lineRule="auto"/>
        <w:rPr>
          <w:rFonts w:ascii="Times New Roman" w:eastAsia="Times New Roman" w:hAnsi="Times New Roman"/>
          <w:spacing w:val="0"/>
          <w:sz w:val="24"/>
          <w:szCs w:val="24"/>
        </w:rPr>
      </w:pPr>
      <w:r w:rsidRPr="00977573">
        <w:t>En razón de lo expuesto y en especial</w:t>
      </w:r>
      <w:r w:rsidR="004F4CAE" w:rsidRPr="00977573">
        <w:t>, atendi</w:t>
      </w:r>
      <w:r w:rsidR="00483A9F">
        <w:t>endo</w:t>
      </w:r>
      <w:r w:rsidR="004F4CAE" w:rsidRPr="00977573">
        <w:t xml:space="preserve"> a</w:t>
      </w:r>
      <w:r w:rsidRPr="00977573">
        <w:t xml:space="preserve"> </w:t>
      </w:r>
      <w:r w:rsidR="00CC6E6B" w:rsidRPr="00977573">
        <w:t>que</w:t>
      </w:r>
      <w:r w:rsidR="004F4CAE" w:rsidRPr="00977573">
        <w:t xml:space="preserve"> </w:t>
      </w:r>
      <w:r w:rsidR="00CC6E6B" w:rsidRPr="00977573">
        <w:t>de acuerdo con la información proporcionada por el Estado</w:t>
      </w:r>
      <w:r w:rsidR="004F4CAE" w:rsidRPr="00977573">
        <w:t xml:space="preserve"> y no controvertida en autos, </w:t>
      </w:r>
      <w:r w:rsidR="00CC6E6B" w:rsidRPr="00977573">
        <w:t xml:space="preserve">las normas con fundamento en las cuales se </w:t>
      </w:r>
      <w:r w:rsidR="00C873B7">
        <w:t>llevó a cabo</w:t>
      </w:r>
      <w:r w:rsidR="00CC6E6B" w:rsidRPr="00977573">
        <w:t xml:space="preserve"> el proceso de ratificación de la </w:t>
      </w:r>
      <w:r w:rsidR="00BB6B65">
        <w:t>señora Moya Solís</w:t>
      </w:r>
      <w:r w:rsidR="00CC6E6B" w:rsidRPr="00977573">
        <w:t xml:space="preserve"> no se encuentran vigentes, </w:t>
      </w:r>
      <w:r w:rsidRPr="00977573">
        <w:t xml:space="preserve">la Corte </w:t>
      </w:r>
      <w:r w:rsidR="00CC6E6B" w:rsidRPr="00977573">
        <w:t xml:space="preserve">no estima pertinente </w:t>
      </w:r>
      <w:r w:rsidR="002024D4" w:rsidRPr="00977573">
        <w:t xml:space="preserve">conceder las medidas solicitadas por la Comisión Interamericana. </w:t>
      </w:r>
    </w:p>
    <w:p w14:paraId="255AF378" w14:textId="77777777" w:rsidR="00B859FE" w:rsidRPr="00977573" w:rsidRDefault="00B859FE" w:rsidP="000F3BE2">
      <w:pPr>
        <w:rPr>
          <w:rFonts w:ascii="Verdana" w:hAnsi="Verdana"/>
          <w:lang w:val="es-CO" w:eastAsia="es-MX"/>
        </w:rPr>
      </w:pPr>
    </w:p>
    <w:p w14:paraId="2D3B1A69" w14:textId="77777777" w:rsidR="006452A3" w:rsidRPr="00CB2880" w:rsidRDefault="006452A3" w:rsidP="000F3BE2">
      <w:pPr>
        <w:pStyle w:val="Ttulo2"/>
        <w:spacing w:line="240" w:lineRule="auto"/>
        <w:rPr>
          <w:b w:val="0"/>
          <w:bCs/>
        </w:rPr>
      </w:pPr>
      <w:bookmarkStart w:id="147" w:name="_Toc58486783"/>
      <w:bookmarkStart w:id="148" w:name="_Toc74225393"/>
      <w:bookmarkStart w:id="149" w:name="_Toc69717886"/>
      <w:r w:rsidRPr="00CB2880">
        <w:t>Indemnizaciones compensatorias</w:t>
      </w:r>
      <w:bookmarkEnd w:id="146"/>
      <w:bookmarkEnd w:id="147"/>
      <w:bookmarkEnd w:id="148"/>
      <w:r w:rsidR="00B0160D" w:rsidRPr="00CB2880">
        <w:rPr>
          <w:color w:val="FF0000"/>
        </w:rPr>
        <w:t xml:space="preserve"> </w:t>
      </w:r>
      <w:bookmarkEnd w:id="149"/>
    </w:p>
    <w:p w14:paraId="4F71037D" w14:textId="77777777" w:rsidR="006452A3" w:rsidRPr="00CB2880" w:rsidRDefault="006452A3" w:rsidP="000F3BE2">
      <w:pPr>
        <w:pStyle w:val="BodyA"/>
        <w:spacing w:line="240" w:lineRule="auto"/>
        <w:rPr>
          <w:bCs/>
          <w:sz w:val="20"/>
          <w:szCs w:val="20"/>
          <w:lang w:val="es-CO"/>
        </w:rPr>
      </w:pPr>
    </w:p>
    <w:p w14:paraId="3D9FA7FB" w14:textId="77777777" w:rsidR="006452A3" w:rsidRPr="00977573" w:rsidRDefault="000636E8" w:rsidP="000F3BE2">
      <w:pPr>
        <w:pStyle w:val="Ttulo3"/>
        <w:rPr>
          <w:rFonts w:eastAsiaTheme="minorHAnsi"/>
          <w:lang w:eastAsia="es-MX"/>
        </w:rPr>
      </w:pPr>
      <w:bookmarkStart w:id="150" w:name="_Toc192592"/>
      <w:bookmarkStart w:id="151" w:name="_Toc32394191"/>
      <w:bookmarkStart w:id="152" w:name="_Toc36823514"/>
      <w:bookmarkStart w:id="153" w:name="_Toc58486784"/>
      <w:bookmarkStart w:id="154" w:name="_Toc69717887"/>
      <w:bookmarkStart w:id="155" w:name="_Toc74225394"/>
      <w:r w:rsidRPr="00CB2880">
        <w:rPr>
          <w:rFonts w:eastAsiaTheme="minorHAnsi"/>
          <w:lang w:eastAsia="es-MX"/>
        </w:rPr>
        <w:t>E</w:t>
      </w:r>
      <w:r w:rsidR="006452A3" w:rsidRPr="00CB2880">
        <w:rPr>
          <w:rFonts w:eastAsiaTheme="minorHAnsi"/>
          <w:lang w:eastAsia="es-MX"/>
        </w:rPr>
        <w:t>.1 Daño material</w:t>
      </w:r>
      <w:bookmarkEnd w:id="150"/>
      <w:bookmarkEnd w:id="151"/>
      <w:bookmarkEnd w:id="152"/>
      <w:bookmarkEnd w:id="153"/>
      <w:bookmarkEnd w:id="154"/>
      <w:bookmarkEnd w:id="155"/>
    </w:p>
    <w:p w14:paraId="30FC0C4B" w14:textId="77777777" w:rsidR="007A470F" w:rsidRPr="00977573" w:rsidRDefault="007A470F" w:rsidP="000F3BE2">
      <w:pPr>
        <w:rPr>
          <w:rFonts w:ascii="Verdana" w:eastAsiaTheme="minorHAnsi" w:hAnsi="Verdana"/>
          <w:sz w:val="20"/>
          <w:szCs w:val="20"/>
          <w:lang w:val="es-CO" w:eastAsia="es-MX"/>
        </w:rPr>
      </w:pPr>
    </w:p>
    <w:p w14:paraId="5070775B" w14:textId="0B2D92C9" w:rsidR="00AD02AF" w:rsidRPr="00977573" w:rsidRDefault="00693FE0" w:rsidP="000F3BE2">
      <w:pPr>
        <w:pStyle w:val="PrrafodeSentencia"/>
        <w:spacing w:line="240" w:lineRule="auto"/>
        <w:rPr>
          <w:b/>
        </w:rPr>
      </w:pPr>
      <w:r w:rsidRPr="00977573">
        <w:t xml:space="preserve">La </w:t>
      </w:r>
      <w:r w:rsidRPr="00977573">
        <w:rPr>
          <w:b/>
          <w:i/>
        </w:rPr>
        <w:t>Comisión</w:t>
      </w:r>
      <w:r w:rsidRPr="00977573">
        <w:t xml:space="preserve"> no se pronunció de manera específica sobre este asunto. La </w:t>
      </w:r>
      <w:r w:rsidRPr="00977573">
        <w:rPr>
          <w:b/>
          <w:i/>
        </w:rPr>
        <w:t>víctima</w:t>
      </w:r>
      <w:r w:rsidRPr="00977573">
        <w:t xml:space="preserve"> solicitó el pago de S/. 4.425.578,30 (U</w:t>
      </w:r>
      <w:r w:rsidR="00A16A63">
        <w:t xml:space="preserve">SD </w:t>
      </w:r>
      <w:r w:rsidR="001158EA">
        <w:t>$</w:t>
      </w:r>
      <w:r w:rsidRPr="00977573">
        <w:t>1.</w:t>
      </w:r>
      <w:r w:rsidR="00F02C99" w:rsidRPr="00977573">
        <w:t>265</w:t>
      </w:r>
      <w:r w:rsidRPr="00977573">
        <w:t>.000 aprox.) por concepto de rem</w:t>
      </w:r>
      <w:r w:rsidR="009A081D">
        <w:t>uneraciones dejadas de percibir</w:t>
      </w:r>
      <w:r w:rsidR="00D53C0E" w:rsidRPr="00977573">
        <w:t xml:space="preserve"> </w:t>
      </w:r>
      <w:r w:rsidRPr="00977573">
        <w:t xml:space="preserve">y de S/. </w:t>
      </w:r>
      <w:r w:rsidR="00F02C99" w:rsidRPr="00977573">
        <w:t>4.185.941,94</w:t>
      </w:r>
      <w:r w:rsidRPr="00977573">
        <w:t xml:space="preserve"> (U</w:t>
      </w:r>
      <w:r w:rsidR="00A16A63">
        <w:t xml:space="preserve">SD </w:t>
      </w:r>
      <w:r w:rsidRPr="00977573">
        <w:t>$</w:t>
      </w:r>
      <w:r w:rsidR="00F02C99" w:rsidRPr="00977573">
        <w:t>1.195.000</w:t>
      </w:r>
      <w:r w:rsidRPr="00977573">
        <w:t xml:space="preserve"> aprox.) por concepto de daño emergente y lucro cesante. Adicionalmente, señaló que, por cuenta de su destitución, </w:t>
      </w:r>
      <w:r w:rsidR="00AD02AF" w:rsidRPr="00977573">
        <w:t xml:space="preserve">tuvo </w:t>
      </w:r>
      <w:r w:rsidRPr="00977573">
        <w:t>un perjuicio económico adicional, debido</w:t>
      </w:r>
      <w:r w:rsidR="00AD02AF" w:rsidRPr="00977573">
        <w:t xml:space="preserve"> a que, por</w:t>
      </w:r>
      <w:r w:rsidRPr="00977573">
        <w:t xml:space="preserve"> haber ingresado </w:t>
      </w:r>
      <w:r w:rsidR="00AD02AF" w:rsidRPr="00977573">
        <w:t xml:space="preserve">a trabajar </w:t>
      </w:r>
      <w:r w:rsidRPr="00977573">
        <w:t xml:space="preserve">en el año 1973, </w:t>
      </w:r>
      <w:r w:rsidR="00AD02AF" w:rsidRPr="00977573">
        <w:t xml:space="preserve">su jubilación estaba bajo el </w:t>
      </w:r>
      <w:r w:rsidRPr="00977573">
        <w:t xml:space="preserve">amparo del </w:t>
      </w:r>
      <w:r w:rsidR="00AD02AF" w:rsidRPr="00977573">
        <w:t>r</w:t>
      </w:r>
      <w:r w:rsidRPr="00977573">
        <w:t xml:space="preserve">égimen </w:t>
      </w:r>
      <w:r w:rsidR="00AD02AF" w:rsidRPr="00977573">
        <w:t xml:space="preserve">establecido </w:t>
      </w:r>
      <w:r w:rsidR="00E56617">
        <w:t>en</w:t>
      </w:r>
      <w:r w:rsidRPr="00977573">
        <w:t xml:space="preserve"> la Ley 20530, una de cuyas</w:t>
      </w:r>
      <w:r w:rsidR="00AD02AF" w:rsidRPr="00977573">
        <w:t xml:space="preserve"> </w:t>
      </w:r>
      <w:r w:rsidRPr="00977573">
        <w:t>ventajas</w:t>
      </w:r>
      <w:r w:rsidR="00AD02AF" w:rsidRPr="00977573">
        <w:t xml:space="preserve"> era que podía </w:t>
      </w:r>
      <w:r w:rsidRPr="00977573">
        <w:t>jubilar</w:t>
      </w:r>
      <w:r w:rsidR="00AD02AF" w:rsidRPr="00977573">
        <w:t>s</w:t>
      </w:r>
      <w:r w:rsidRPr="00977573">
        <w:t xml:space="preserve">e con el 100% del último </w:t>
      </w:r>
      <w:r w:rsidR="00AD02AF" w:rsidRPr="00977573">
        <w:t>salario y permitía que ese monto se pudiera</w:t>
      </w:r>
      <w:r w:rsidRPr="00977573">
        <w:t xml:space="preserve"> incrementar en función </w:t>
      </w:r>
      <w:r w:rsidR="005B4153" w:rsidRPr="00977573">
        <w:t>de</w:t>
      </w:r>
      <w:r w:rsidRPr="00977573">
        <w:t xml:space="preserve"> los incrementos que se</w:t>
      </w:r>
      <w:r w:rsidR="00AD02AF" w:rsidRPr="00977573">
        <w:t xml:space="preserve"> hicieran para </w:t>
      </w:r>
      <w:r w:rsidRPr="00977573">
        <w:t xml:space="preserve">el </w:t>
      </w:r>
      <w:r w:rsidR="00AD02AF" w:rsidRPr="00977573">
        <w:t>c</w:t>
      </w:r>
      <w:r w:rsidRPr="00977573">
        <w:t xml:space="preserve">argo </w:t>
      </w:r>
      <w:r w:rsidR="00E56617">
        <w:t>en el que se hubiera jubilado</w:t>
      </w:r>
      <w:r w:rsidR="00AD02AF" w:rsidRPr="00977573">
        <w:t>. En ese sentido solicitó que se proced</w:t>
      </w:r>
      <w:r w:rsidR="00E56617">
        <w:t>iera</w:t>
      </w:r>
      <w:r w:rsidR="00AD02AF" w:rsidRPr="00977573">
        <w:t xml:space="preserve"> a tramitar de forma inmediata su jubilación, respetando su fecha de ingreso </w:t>
      </w:r>
      <w:r w:rsidR="00E56617">
        <w:t>y el régimen que le corresponde</w:t>
      </w:r>
      <w:r w:rsidR="00AD02AF" w:rsidRPr="00977573">
        <w:t>.</w:t>
      </w:r>
    </w:p>
    <w:p w14:paraId="059FBD4C" w14:textId="77777777" w:rsidR="00AD02AF" w:rsidRPr="00977573" w:rsidRDefault="00AD02AF" w:rsidP="000F3BE2">
      <w:pPr>
        <w:rPr>
          <w:rFonts w:ascii="Verdana" w:hAnsi="Verdana"/>
          <w:sz w:val="20"/>
          <w:szCs w:val="20"/>
          <w:lang w:val="es-CO" w:eastAsia="es-MX"/>
        </w:rPr>
      </w:pPr>
    </w:p>
    <w:p w14:paraId="5C2DBAEA" w14:textId="02888513" w:rsidR="007A470F" w:rsidRPr="00977573" w:rsidRDefault="00256976" w:rsidP="000F3BE2">
      <w:pPr>
        <w:pStyle w:val="PrrafodeSentencia"/>
        <w:spacing w:line="240" w:lineRule="auto"/>
      </w:pPr>
      <w:r w:rsidRPr="00977573">
        <w:t xml:space="preserve">El </w:t>
      </w:r>
      <w:r w:rsidRPr="00977573">
        <w:rPr>
          <w:b/>
          <w:i/>
        </w:rPr>
        <w:t>Estado</w:t>
      </w:r>
      <w:r w:rsidRPr="00977573">
        <w:t xml:space="preserve"> </w:t>
      </w:r>
      <w:r w:rsidR="00F02C99" w:rsidRPr="00977573">
        <w:t>sostuvo</w:t>
      </w:r>
      <w:r w:rsidRPr="00977573">
        <w:t xml:space="preserve"> que tuvo plena disposición </w:t>
      </w:r>
      <w:r w:rsidR="00E56617">
        <w:t>de</w:t>
      </w:r>
      <w:r w:rsidRPr="00977573">
        <w:t xml:space="preserve"> dar cumplimiento a las recomendaciones hechas por la Comisión Interamericana</w:t>
      </w:r>
      <w:r w:rsidR="006A0596">
        <w:t>;</w:t>
      </w:r>
      <w:r w:rsidRPr="00977573">
        <w:t xml:space="preserve"> sin embargo, manifestó </w:t>
      </w:r>
      <w:r w:rsidR="005B4153" w:rsidRPr="00977573">
        <w:t>la</w:t>
      </w:r>
      <w:r w:rsidRPr="00977573">
        <w:t xml:space="preserve"> imposibilidad de dar cumplimiento a la pretensión </w:t>
      </w:r>
      <w:r w:rsidR="005B4153" w:rsidRPr="00977573">
        <w:t>pecuniaria</w:t>
      </w:r>
      <w:r w:rsidRPr="00977573">
        <w:t xml:space="preserve"> hecha</w:t>
      </w:r>
      <w:r w:rsidR="00E56617">
        <w:t xml:space="preserve"> por la señora Norka Moya Solís</w:t>
      </w:r>
      <w:r w:rsidRPr="00977573">
        <w:t>.</w:t>
      </w:r>
      <w:r w:rsidR="00F02C99" w:rsidRPr="00977573">
        <w:t xml:space="preserve"> Destacó que los montos alegados por la señora Moya Solís tienen como fundamento </w:t>
      </w:r>
      <w:r w:rsidR="005B4153" w:rsidRPr="00977573">
        <w:t>el</w:t>
      </w:r>
      <w:r w:rsidR="00513BE3" w:rsidRPr="00977573">
        <w:t xml:space="preserve"> ingreso</w:t>
      </w:r>
      <w:r w:rsidR="00F02C99" w:rsidRPr="00977573">
        <w:t xml:space="preserve"> a la carrera judicial y </w:t>
      </w:r>
      <w:r w:rsidR="00513BE3" w:rsidRPr="00977573">
        <w:t xml:space="preserve">el ejercicio del cargo </w:t>
      </w:r>
      <w:r w:rsidR="00F02C99" w:rsidRPr="00977573">
        <w:t>de magistrada</w:t>
      </w:r>
      <w:r w:rsidR="00513BE3" w:rsidRPr="00977573">
        <w:t xml:space="preserve">. No obstante, </w:t>
      </w:r>
      <w:r w:rsidR="005B4153" w:rsidRPr="00977573">
        <w:t xml:space="preserve">aseguró que </w:t>
      </w:r>
      <w:r w:rsidR="00F02C99" w:rsidRPr="00977573">
        <w:t xml:space="preserve">haber ocupado el cargo de secretaria judicial no aseguraba que </w:t>
      </w:r>
      <w:r w:rsidR="005B4153" w:rsidRPr="00977573">
        <w:t>pudiera ser</w:t>
      </w:r>
      <w:r w:rsidR="00F02C99" w:rsidRPr="00977573">
        <w:t xml:space="preserve"> nombrada como jueza. El Estado también indicó que</w:t>
      </w:r>
      <w:r w:rsidR="007F7350" w:rsidRPr="00977573">
        <w:t>,</w:t>
      </w:r>
      <w:r w:rsidR="00F02C99" w:rsidRPr="00977573">
        <w:t xml:space="preserve"> si la señora Moya Solís hubiese querido ingresar a la carrera judicial, lo habría podido hacer a través del correspondiente concurso público. </w:t>
      </w:r>
      <w:r w:rsidR="007F7350" w:rsidRPr="00977573">
        <w:t>En relación con la solicitud relacionada con la pensión de jubilación, indicó que la señora Moya</w:t>
      </w:r>
      <w:r w:rsidR="00513BE3" w:rsidRPr="00977573">
        <w:t xml:space="preserve"> Solís</w:t>
      </w:r>
      <w:r w:rsidR="007F7350" w:rsidRPr="00977573">
        <w:t xml:space="preserve"> ingresó a trabajar a la administración pública el 3 de julio de 1973. Para ese momento, el régimen previsional del Decreto Ley N° 20530 era cerrado. </w:t>
      </w:r>
      <w:r w:rsidR="005B4153" w:rsidRPr="00977573">
        <w:t>Ese</w:t>
      </w:r>
      <w:r w:rsidR="007F7350" w:rsidRPr="00977573">
        <w:t xml:space="preserve"> régimen fue abierto en 1985, mediante la Ley N° 24366, para los servidores que al 24 de febrero de 1974 contaran con siete (7) años o más de servicios y continuaran haciéndolo de manera ininterrumpida, requisito que no cumplía la señora Norka Moya Solís, quien para dicho momento contaba con menos de un (1) años de servicios. También indicó que</w:t>
      </w:r>
      <w:r w:rsidR="00E56617">
        <w:t>,</w:t>
      </w:r>
      <w:r w:rsidR="007F7350" w:rsidRPr="00977573">
        <w:t xml:space="preserve"> par</w:t>
      </w:r>
      <w:r w:rsidR="005B4153" w:rsidRPr="00977573">
        <w:t>a</w:t>
      </w:r>
      <w:r w:rsidR="007F7350" w:rsidRPr="00977573">
        <w:t xml:space="preserve"> ser acreedor de la pensión correspondiente a la totalidad del último salario, la persona </w:t>
      </w:r>
      <w:r w:rsidR="00513BE3" w:rsidRPr="00977573">
        <w:t>debía</w:t>
      </w:r>
      <w:r w:rsidR="007F7350" w:rsidRPr="00977573">
        <w:t xml:space="preserve"> haber prestado sus servicios por 25 años, lo que no </w:t>
      </w:r>
      <w:r w:rsidR="00513BE3" w:rsidRPr="00977573">
        <w:t>ocurrió</w:t>
      </w:r>
      <w:r w:rsidR="007F7350" w:rsidRPr="00977573">
        <w:t xml:space="preserve"> en este caso. Señaló </w:t>
      </w:r>
      <w:r w:rsidR="00513BE3" w:rsidRPr="00977573">
        <w:t>también</w:t>
      </w:r>
      <w:r w:rsidR="007F7350" w:rsidRPr="00977573">
        <w:t xml:space="preserve"> que, a la fecha, la señora Moya Solís tampoco cumple con los requisitos para acceder a una pensión de jubilación al amparo del Decreto Ley N° 19990, pues según lo informado por la Oficina de Normalización Previsional (ONP) solo </w:t>
      </w:r>
      <w:r w:rsidR="005B4153" w:rsidRPr="00977573">
        <w:t>constan</w:t>
      </w:r>
      <w:r w:rsidR="007F7350" w:rsidRPr="00977573">
        <w:t xml:space="preserve"> cinco (5) meses de aportes, y la normatividad exige que en el caso de las mujeres para acceder a una pensión se deban tener veinte (20) años de aportes y se</w:t>
      </w:r>
      <w:r w:rsidR="00E56617">
        <w:t>senta y cinco (65) años de edad</w:t>
      </w:r>
      <w:r w:rsidR="007F7350" w:rsidRPr="00977573">
        <w:t>.</w:t>
      </w:r>
    </w:p>
    <w:p w14:paraId="61688696" w14:textId="77777777" w:rsidR="006A588E" w:rsidRPr="00977573" w:rsidRDefault="006A588E" w:rsidP="000F3BE2">
      <w:pPr>
        <w:rPr>
          <w:sz w:val="20"/>
          <w:szCs w:val="20"/>
          <w:lang w:val="es-CO" w:eastAsia="es-MX"/>
        </w:rPr>
      </w:pPr>
    </w:p>
    <w:p w14:paraId="020011B2" w14:textId="03D59FFA" w:rsidR="00334BFF" w:rsidRPr="00977573" w:rsidRDefault="006A588E" w:rsidP="000F3BE2">
      <w:pPr>
        <w:pStyle w:val="PrrafodeSentencia"/>
        <w:spacing w:line="240" w:lineRule="auto"/>
      </w:pPr>
      <w:r w:rsidRPr="00977573">
        <w:t xml:space="preserve">La Corte ha </w:t>
      </w:r>
      <w:r w:rsidR="001C5F95" w:rsidRPr="00977573">
        <w:t>establecido</w:t>
      </w:r>
      <w:r w:rsidRPr="00977573">
        <w:t xml:space="preserve"> en su jurisprudencia que el daño material supone la pérdida o detrimento de los ingresos de las víctimas, los gastos efectuados con motivo de los hechos y las consecuencias de carácter pecuniario que tengan un nexo causal con los hechos del caso</w:t>
      </w:r>
      <w:r w:rsidRPr="00977573">
        <w:rPr>
          <w:rStyle w:val="Refdenotaalpie"/>
          <w:sz w:val="20"/>
          <w:szCs w:val="20"/>
          <w:lang w:val="es-CO"/>
        </w:rPr>
        <w:footnoteReference w:id="90"/>
      </w:r>
      <w:r w:rsidRPr="00977573">
        <w:t>.</w:t>
      </w:r>
      <w:r w:rsidR="00334BFF" w:rsidRPr="00977573">
        <w:t xml:space="preserve"> </w:t>
      </w:r>
      <w:r w:rsidR="002024D4" w:rsidRPr="00977573">
        <w:t xml:space="preserve">En este caso, </w:t>
      </w:r>
      <w:r w:rsidRPr="00977573">
        <w:t>teniendo en cuenta el tiempo transcurrido desde el cese en el cargo de la señora Moya Solís</w:t>
      </w:r>
      <w:r w:rsidR="008A4454" w:rsidRPr="00977573">
        <w:t xml:space="preserve"> y que </w:t>
      </w:r>
      <w:r w:rsidR="007113AE" w:rsidRPr="00977573">
        <w:t>no fue posible ordenar</w:t>
      </w:r>
      <w:r w:rsidR="008A4454" w:rsidRPr="00977573">
        <w:t xml:space="preserve"> su restitución en el cargo</w:t>
      </w:r>
      <w:r w:rsidRPr="00977573">
        <w:t xml:space="preserve">, la Corte resuelve fijar </w:t>
      </w:r>
      <w:r w:rsidR="00334BFF" w:rsidRPr="00977573">
        <w:t>por concepto de daño material una compensación en equidad correspondiente a U</w:t>
      </w:r>
      <w:r w:rsidR="00442A4B">
        <w:t>SD</w:t>
      </w:r>
      <w:r w:rsidR="001158EA">
        <w:t xml:space="preserve"> $</w:t>
      </w:r>
      <w:r w:rsidR="0034167D" w:rsidRPr="00977573">
        <w:t>5</w:t>
      </w:r>
      <w:r w:rsidR="008A4454" w:rsidRPr="00977573">
        <w:t>0</w:t>
      </w:r>
      <w:r w:rsidR="00334BFF" w:rsidRPr="00977573">
        <w:t>.000</w:t>
      </w:r>
      <w:r w:rsidR="00FE2587">
        <w:t>,00</w:t>
      </w:r>
      <w:r w:rsidR="00334BFF" w:rsidRPr="00977573">
        <w:t xml:space="preserve"> (</w:t>
      </w:r>
      <w:r w:rsidR="0034167D" w:rsidRPr="00977573">
        <w:t>cincuenta</w:t>
      </w:r>
      <w:r w:rsidR="002024D4" w:rsidRPr="00977573">
        <w:t xml:space="preserve"> </w:t>
      </w:r>
      <w:r w:rsidR="00334BFF" w:rsidRPr="00977573">
        <w:t xml:space="preserve">mil dólares de los Estados Unidos de América). </w:t>
      </w:r>
    </w:p>
    <w:p w14:paraId="57B38E0A" w14:textId="77777777" w:rsidR="00002258" w:rsidRPr="00977573" w:rsidRDefault="00334BFF" w:rsidP="000F3BE2">
      <w:pPr>
        <w:pStyle w:val="PrrafodeSentencia"/>
        <w:numPr>
          <w:ilvl w:val="0"/>
          <w:numId w:val="0"/>
        </w:numPr>
        <w:spacing w:line="240" w:lineRule="auto"/>
      </w:pPr>
      <w:r w:rsidRPr="00977573">
        <w:t xml:space="preserve"> </w:t>
      </w:r>
    </w:p>
    <w:p w14:paraId="1E5CEE34" w14:textId="77777777" w:rsidR="006452A3" w:rsidRPr="00977573" w:rsidRDefault="000636E8" w:rsidP="000F3BE2">
      <w:pPr>
        <w:pStyle w:val="Ttulo3"/>
        <w:rPr>
          <w:rFonts w:eastAsiaTheme="minorHAnsi"/>
          <w:lang w:eastAsia="es-MX"/>
        </w:rPr>
      </w:pPr>
      <w:bookmarkStart w:id="156" w:name="_Toc58486785"/>
      <w:bookmarkStart w:id="157" w:name="_Toc69717888"/>
      <w:bookmarkStart w:id="158" w:name="_Toc74225395"/>
      <w:r w:rsidRPr="00977573">
        <w:rPr>
          <w:rFonts w:eastAsiaTheme="minorHAnsi"/>
          <w:lang w:eastAsia="es-MX"/>
        </w:rPr>
        <w:t>E</w:t>
      </w:r>
      <w:r w:rsidR="006452A3" w:rsidRPr="00977573">
        <w:rPr>
          <w:rFonts w:eastAsiaTheme="minorHAnsi"/>
          <w:lang w:eastAsia="es-MX"/>
        </w:rPr>
        <w:t>.2 Daño inmaterial</w:t>
      </w:r>
      <w:bookmarkEnd w:id="156"/>
      <w:bookmarkEnd w:id="157"/>
      <w:bookmarkEnd w:id="158"/>
    </w:p>
    <w:p w14:paraId="6E2AFFD4" w14:textId="77777777" w:rsidR="006452A3" w:rsidRPr="00977573" w:rsidRDefault="006452A3" w:rsidP="000F3BE2">
      <w:pPr>
        <w:pStyle w:val="BodyA"/>
        <w:spacing w:line="240" w:lineRule="auto"/>
        <w:rPr>
          <w:sz w:val="20"/>
          <w:szCs w:val="20"/>
          <w:lang w:val="es-CO"/>
        </w:rPr>
      </w:pPr>
    </w:p>
    <w:p w14:paraId="02A5580A" w14:textId="6B9E0422" w:rsidR="00693FE0" w:rsidRPr="00977573" w:rsidRDefault="00693FE0" w:rsidP="000F3BE2">
      <w:pPr>
        <w:pStyle w:val="PrrafodeSentencia"/>
        <w:spacing w:line="240" w:lineRule="auto"/>
      </w:pPr>
      <w:r w:rsidRPr="00977573">
        <w:t xml:space="preserve">La </w:t>
      </w:r>
      <w:r w:rsidRPr="00977573">
        <w:rPr>
          <w:b/>
          <w:i/>
        </w:rPr>
        <w:t>Comisión</w:t>
      </w:r>
      <w:r w:rsidRPr="00977573">
        <w:t xml:space="preserve"> no se pronunció de manera específica sobre este asunto. La </w:t>
      </w:r>
      <w:r w:rsidRPr="00977573">
        <w:rPr>
          <w:b/>
          <w:i/>
        </w:rPr>
        <w:t>víctima</w:t>
      </w:r>
      <w:r w:rsidRPr="00977573">
        <w:rPr>
          <w:i/>
        </w:rPr>
        <w:t xml:space="preserve"> </w:t>
      </w:r>
      <w:r w:rsidRPr="00977573">
        <w:t>solicitó el pago de S/. 6.270.000 (U</w:t>
      </w:r>
      <w:r w:rsidR="000D6FC7" w:rsidRPr="00977573">
        <w:t>S</w:t>
      </w:r>
      <w:r w:rsidR="00DB199C">
        <w:t>D</w:t>
      </w:r>
      <w:r w:rsidR="001158EA">
        <w:t xml:space="preserve"> </w:t>
      </w:r>
      <w:r w:rsidRPr="00977573">
        <w:t>$1.</w:t>
      </w:r>
      <w:r w:rsidR="00F02C99" w:rsidRPr="00977573">
        <w:t>790</w:t>
      </w:r>
      <w:r w:rsidRPr="00977573">
        <w:t>.000 aprox.) por concepto de daño moral.</w:t>
      </w:r>
    </w:p>
    <w:p w14:paraId="1C2F1A07" w14:textId="77777777" w:rsidR="007F7350" w:rsidRPr="00977573" w:rsidRDefault="007F7350" w:rsidP="000F3BE2">
      <w:pPr>
        <w:rPr>
          <w:rFonts w:ascii="Verdana" w:hAnsi="Verdana"/>
          <w:sz w:val="20"/>
          <w:szCs w:val="20"/>
          <w:lang w:val="es-CO" w:eastAsia="es-MX"/>
        </w:rPr>
      </w:pPr>
    </w:p>
    <w:p w14:paraId="56064055" w14:textId="77777777" w:rsidR="007F7350" w:rsidRPr="00977573" w:rsidRDefault="007F7350" w:rsidP="000F3BE2">
      <w:pPr>
        <w:pStyle w:val="PrrafodeSentencia"/>
        <w:spacing w:line="240" w:lineRule="auto"/>
      </w:pPr>
      <w:r w:rsidRPr="00977573">
        <w:t xml:space="preserve">El </w:t>
      </w:r>
      <w:r w:rsidRPr="00977573">
        <w:rPr>
          <w:b/>
          <w:i/>
        </w:rPr>
        <w:t>Estado</w:t>
      </w:r>
      <w:r w:rsidRPr="00977573">
        <w:t xml:space="preserve"> sostuvo que el cálculo del </w:t>
      </w:r>
      <w:r w:rsidR="00E56617">
        <w:t>monto por daño inmaterial</w:t>
      </w:r>
      <w:r w:rsidR="0067172F" w:rsidRPr="00977573">
        <w:t xml:space="preserve"> partió</w:t>
      </w:r>
      <w:r w:rsidRPr="00977573">
        <w:t xml:space="preserve"> del monto empleado pa</w:t>
      </w:r>
      <w:r w:rsidR="0067172F" w:rsidRPr="00977573">
        <w:t>ra el cálculo del lucro cesante</w:t>
      </w:r>
      <w:r w:rsidR="005B4153" w:rsidRPr="00977573">
        <w:t>,</w:t>
      </w:r>
      <w:r w:rsidRPr="00977573">
        <w:t xml:space="preserve"> lo </w:t>
      </w:r>
      <w:r w:rsidR="0067172F" w:rsidRPr="00977573">
        <w:t>que</w:t>
      </w:r>
      <w:r w:rsidRPr="00977573">
        <w:t xml:space="preserve"> es incorrecto</w:t>
      </w:r>
      <w:r w:rsidR="0067172F" w:rsidRPr="00977573">
        <w:t>,</w:t>
      </w:r>
      <w:r w:rsidRPr="00977573">
        <w:t xml:space="preserve"> en la medida </w:t>
      </w:r>
      <w:r w:rsidR="0067172F" w:rsidRPr="00977573">
        <w:t xml:space="preserve">en </w:t>
      </w:r>
      <w:r w:rsidRPr="00977573">
        <w:t xml:space="preserve">que el </w:t>
      </w:r>
      <w:r w:rsidR="0067172F" w:rsidRPr="00977573">
        <w:t>d</w:t>
      </w:r>
      <w:r w:rsidRPr="00977573">
        <w:t>año</w:t>
      </w:r>
      <w:r w:rsidR="0088606F" w:rsidRPr="00977573">
        <w:t xml:space="preserve"> </w:t>
      </w:r>
      <w:r w:rsidRPr="00977573">
        <w:t xml:space="preserve">inmaterial es distinto </w:t>
      </w:r>
      <w:r w:rsidR="0067172F" w:rsidRPr="00977573">
        <w:t>al</w:t>
      </w:r>
      <w:r w:rsidRPr="00977573">
        <w:t xml:space="preserve"> material y no podría emplearse el mismo sustento para su cuantificación. Por otra parte, sostuvo que</w:t>
      </w:r>
      <w:r w:rsidR="003565A0" w:rsidRPr="00977573">
        <w:t>,</w:t>
      </w:r>
      <w:r w:rsidRPr="00977573">
        <w:t xml:space="preserve"> si bien la señora Moya Solís indicó que el daño a su proyecto de vida no se puede resarcir</w:t>
      </w:r>
      <w:r w:rsidR="0067172F" w:rsidRPr="00977573">
        <w:t>,</w:t>
      </w:r>
      <w:r w:rsidRPr="00977573">
        <w:t xml:space="preserve"> </w:t>
      </w:r>
      <w:r w:rsidR="005B4153" w:rsidRPr="00977573">
        <w:t>señaló también</w:t>
      </w:r>
      <w:r w:rsidRPr="00977573">
        <w:t xml:space="preserve"> que ha podido forjarse una carrera en el mundo del derecho, por lo que, a juicio del Estado, el supuesto daño no </w:t>
      </w:r>
      <w:r w:rsidR="0067172F" w:rsidRPr="00977573">
        <w:t>corresponde</w:t>
      </w:r>
      <w:r w:rsidRPr="00977573">
        <w:t xml:space="preserve"> </w:t>
      </w:r>
      <w:r w:rsidR="0067172F" w:rsidRPr="00977573">
        <w:t xml:space="preserve">a </w:t>
      </w:r>
      <w:r w:rsidRPr="00977573">
        <w:t>la trayectoria</w:t>
      </w:r>
      <w:r w:rsidR="0067172F" w:rsidRPr="00977573">
        <w:t xml:space="preserve"> profesional</w:t>
      </w:r>
      <w:r w:rsidRPr="00977573">
        <w:t xml:space="preserve"> que la </w:t>
      </w:r>
      <w:r w:rsidR="00BB6B65">
        <w:t>señora Moya Solís</w:t>
      </w:r>
      <w:r w:rsidR="00E56617">
        <w:t xml:space="preserve"> alega</w:t>
      </w:r>
      <w:r w:rsidRPr="00977573">
        <w:t>.</w:t>
      </w:r>
    </w:p>
    <w:p w14:paraId="48DED9CA" w14:textId="77777777" w:rsidR="00693FE0" w:rsidRPr="00977573" w:rsidRDefault="00693FE0" w:rsidP="000F3BE2">
      <w:pPr>
        <w:pStyle w:val="PrrafodeSentencia"/>
        <w:numPr>
          <w:ilvl w:val="0"/>
          <w:numId w:val="0"/>
        </w:numPr>
        <w:spacing w:line="240" w:lineRule="auto"/>
      </w:pPr>
    </w:p>
    <w:p w14:paraId="2855FD37" w14:textId="77777777" w:rsidR="003565A0" w:rsidRPr="00977573" w:rsidRDefault="003565A0" w:rsidP="000F3BE2">
      <w:pPr>
        <w:pStyle w:val="PrrafodeSentencia"/>
        <w:spacing w:line="240" w:lineRule="auto"/>
      </w:pPr>
      <w:r w:rsidRPr="00977573">
        <w:t>Este Tribunal ha desarrollado en su jurisprudencia el concepto de daño inmaterial, y ha establecido que este puede comprender tanto los sufrimientos y las aflicciones causados por la violación, como el menoscabo de valores muy significativos para las personas, así como alteraciones, de carácter no pecuniario, en las condiciones de existencia de las víctimas</w:t>
      </w:r>
      <w:r w:rsidR="003A5411" w:rsidRPr="00977573">
        <w:rPr>
          <w:rStyle w:val="Refdenotaalpie"/>
          <w:sz w:val="20"/>
          <w:szCs w:val="20"/>
          <w:lang w:val="es-CO"/>
        </w:rPr>
        <w:footnoteReference w:id="91"/>
      </w:r>
      <w:r w:rsidRPr="00977573">
        <w:t>. Por otra parte, debido a que no es posible asignar al daño inmaterial un equivalente monetario preciso, solo puede ser objeto de compensación para los fines de la reparación integral a la víctima, mediante el pago de una cantidad de dinero o la entrega de bienes o servicios apreciables en dinero que el Tribunal determine, en aplicación razonable del arbitrio judicial y en términos de equidad</w:t>
      </w:r>
      <w:r w:rsidR="00E56617">
        <w:rPr>
          <w:rStyle w:val="Refdenotaalpie"/>
        </w:rPr>
        <w:footnoteReference w:id="92"/>
      </w:r>
      <w:r w:rsidRPr="00977573">
        <w:t>.</w:t>
      </w:r>
    </w:p>
    <w:p w14:paraId="05DFF0DD" w14:textId="77777777" w:rsidR="003565A0" w:rsidRPr="00977573" w:rsidRDefault="003565A0" w:rsidP="000F3BE2">
      <w:pPr>
        <w:rPr>
          <w:rFonts w:ascii="Verdana" w:hAnsi="Verdana"/>
          <w:sz w:val="20"/>
          <w:szCs w:val="20"/>
          <w:lang w:val="es-CO" w:eastAsia="es-MX"/>
        </w:rPr>
      </w:pPr>
    </w:p>
    <w:p w14:paraId="7B280581" w14:textId="23B01E55" w:rsidR="003565A0" w:rsidRPr="00977573" w:rsidRDefault="003565A0" w:rsidP="000F3BE2">
      <w:pPr>
        <w:pStyle w:val="PrrafodeSentencia"/>
        <w:spacing w:line="240" w:lineRule="auto"/>
        <w:rPr>
          <w:color w:val="000000" w:themeColor="text1"/>
        </w:rPr>
      </w:pPr>
      <w:r w:rsidRPr="00977573">
        <w:rPr>
          <w:color w:val="000000" w:themeColor="text1"/>
        </w:rPr>
        <w:t>Con fundamento en lo anterior y atendiendo a las circunstancias propias del caso, la Corte estima que la decisión de separar de su cargo a la señora Moya Solís le ocasionó perjuicios morales, por lo que fija</w:t>
      </w:r>
      <w:r w:rsidR="00FE2587">
        <w:rPr>
          <w:color w:val="000000" w:themeColor="text1"/>
        </w:rPr>
        <w:t xml:space="preserve"> en equidad</w:t>
      </w:r>
      <w:r w:rsidRPr="00977573">
        <w:rPr>
          <w:color w:val="000000" w:themeColor="text1"/>
        </w:rPr>
        <w:t xml:space="preserve"> la </w:t>
      </w:r>
      <w:r w:rsidR="007113AE" w:rsidRPr="00977573">
        <w:rPr>
          <w:color w:val="000000" w:themeColor="text1"/>
        </w:rPr>
        <w:t>suma</w:t>
      </w:r>
      <w:r w:rsidRPr="00977573">
        <w:rPr>
          <w:color w:val="000000" w:themeColor="text1"/>
        </w:rPr>
        <w:t xml:space="preserve"> de USD $</w:t>
      </w:r>
      <w:r w:rsidR="008A4454" w:rsidRPr="00977573">
        <w:rPr>
          <w:color w:val="000000" w:themeColor="text1"/>
        </w:rPr>
        <w:t>20</w:t>
      </w:r>
      <w:r w:rsidRPr="00977573">
        <w:rPr>
          <w:color w:val="000000" w:themeColor="text1"/>
        </w:rPr>
        <w:t>.000,00 (</w:t>
      </w:r>
      <w:r w:rsidR="008A4454" w:rsidRPr="00977573">
        <w:rPr>
          <w:color w:val="000000" w:themeColor="text1"/>
        </w:rPr>
        <w:t>veinte</w:t>
      </w:r>
      <w:r w:rsidRPr="00977573">
        <w:rPr>
          <w:color w:val="000000" w:themeColor="text1"/>
        </w:rPr>
        <w:t xml:space="preserve"> mil dólares de los Estados Unidos de América) por concepto de daño inmaterial.</w:t>
      </w:r>
    </w:p>
    <w:p w14:paraId="4968210C" w14:textId="77777777" w:rsidR="003565A0" w:rsidRPr="00977573" w:rsidRDefault="003565A0" w:rsidP="000F3BE2">
      <w:pPr>
        <w:pStyle w:val="BodyA"/>
        <w:spacing w:line="240" w:lineRule="auto"/>
        <w:rPr>
          <w:sz w:val="20"/>
          <w:szCs w:val="20"/>
          <w:lang w:val="es-CO"/>
        </w:rPr>
      </w:pPr>
    </w:p>
    <w:p w14:paraId="3AC89483" w14:textId="77777777" w:rsidR="006452A3" w:rsidRPr="00977573" w:rsidRDefault="00BB6B65" w:rsidP="000F3BE2">
      <w:pPr>
        <w:pStyle w:val="Ttulo2"/>
        <w:spacing w:line="240" w:lineRule="auto"/>
      </w:pPr>
      <w:bookmarkStart w:id="159" w:name="_Toc58486786"/>
      <w:bookmarkStart w:id="160" w:name="_Toc69717889"/>
      <w:bookmarkStart w:id="161" w:name="_Toc74225396"/>
      <w:r>
        <w:t xml:space="preserve"> </w:t>
      </w:r>
      <w:r w:rsidR="006452A3" w:rsidRPr="00977573">
        <w:t>Costas y gastos</w:t>
      </w:r>
      <w:bookmarkEnd w:id="159"/>
      <w:bookmarkEnd w:id="160"/>
      <w:bookmarkEnd w:id="161"/>
    </w:p>
    <w:p w14:paraId="3BF6468C" w14:textId="77777777" w:rsidR="006452A3" w:rsidRPr="00977573" w:rsidRDefault="006452A3" w:rsidP="000F3BE2">
      <w:pPr>
        <w:rPr>
          <w:rFonts w:ascii="Verdana" w:hAnsi="Verdana"/>
          <w:sz w:val="20"/>
          <w:szCs w:val="20"/>
          <w:lang w:val="es-CO"/>
        </w:rPr>
      </w:pPr>
    </w:p>
    <w:p w14:paraId="71FD4458" w14:textId="77777777" w:rsidR="00850DC6" w:rsidRPr="00977573" w:rsidRDefault="00850DC6" w:rsidP="000F3BE2">
      <w:pPr>
        <w:pStyle w:val="PrrafodeSentencia"/>
        <w:spacing w:line="240" w:lineRule="auto"/>
        <w:rPr>
          <w:b/>
        </w:rPr>
      </w:pPr>
      <w:r w:rsidRPr="00977573">
        <w:t xml:space="preserve">La </w:t>
      </w:r>
      <w:r w:rsidRPr="00977573">
        <w:rPr>
          <w:b/>
          <w:i/>
        </w:rPr>
        <w:t>Comisión</w:t>
      </w:r>
      <w:r w:rsidRPr="00977573">
        <w:t xml:space="preserve"> no se pronunció de manera específica sobre este asunto. La </w:t>
      </w:r>
      <w:r w:rsidRPr="00977573">
        <w:rPr>
          <w:b/>
          <w:i/>
        </w:rPr>
        <w:t>víctima</w:t>
      </w:r>
      <w:r w:rsidRPr="00977573">
        <w:t xml:space="preserve"> solicitó que se ordene al Estado resarcir los gastos y costas incurrid</w:t>
      </w:r>
      <w:r w:rsidR="00002258" w:rsidRPr="00977573">
        <w:t>a</w:t>
      </w:r>
      <w:r w:rsidRPr="00977573">
        <w:t xml:space="preserve">s en el </w:t>
      </w:r>
      <w:r w:rsidR="00002258" w:rsidRPr="00977573">
        <w:t>trámite</w:t>
      </w:r>
      <w:r w:rsidR="00FE2587">
        <w:t xml:space="preserve"> del presente caso</w:t>
      </w:r>
      <w:r w:rsidRPr="00FE2587">
        <w:t>.</w:t>
      </w:r>
    </w:p>
    <w:p w14:paraId="1C33DBDB" w14:textId="77777777" w:rsidR="002267B7" w:rsidRPr="00977573" w:rsidRDefault="002267B7" w:rsidP="000F3BE2">
      <w:pPr>
        <w:rPr>
          <w:rFonts w:ascii="Verdana" w:hAnsi="Verdana"/>
          <w:sz w:val="20"/>
          <w:szCs w:val="20"/>
          <w:lang w:val="es-CO" w:eastAsia="es-MX"/>
        </w:rPr>
      </w:pPr>
    </w:p>
    <w:p w14:paraId="0C862C04" w14:textId="77777777" w:rsidR="002267B7" w:rsidRPr="00977573" w:rsidRDefault="002267B7" w:rsidP="000F3BE2">
      <w:pPr>
        <w:pStyle w:val="PrrafodeSentencia"/>
        <w:spacing w:line="240" w:lineRule="auto"/>
      </w:pPr>
      <w:r w:rsidRPr="00977573">
        <w:t xml:space="preserve">El </w:t>
      </w:r>
      <w:r w:rsidRPr="00977573">
        <w:rPr>
          <w:b/>
          <w:i/>
        </w:rPr>
        <w:t>Estado</w:t>
      </w:r>
      <w:r w:rsidRPr="00977573">
        <w:t xml:space="preserve"> sostuvo que, de acuerdo a la jurisprudencia constante de la Corte, sólo procede el pago de costas y gastos si existen recibos, pasajes o demás documentos que comprueben que el desembolso se realizó con ocasión del proceso. Además, que los gastos y costas deben estar directamente relacionados con el caso y el desarrollo del proceso en sí mismo, entendiéndose que quedan excluidos todos aquellos montos que se pretendan </w:t>
      </w:r>
      <w:r w:rsidR="00FE2587">
        <w:t xml:space="preserve">incluir y que no correspondan </w:t>
      </w:r>
      <w:r w:rsidRPr="00977573">
        <w:t>o no se vinculen es</w:t>
      </w:r>
      <w:r w:rsidR="00FE2587">
        <w:t>trictamente al caso en concreto</w:t>
      </w:r>
      <w:r w:rsidRPr="00977573">
        <w:t>.</w:t>
      </w:r>
    </w:p>
    <w:p w14:paraId="1253458F" w14:textId="77777777" w:rsidR="002267B7" w:rsidRPr="00977573" w:rsidRDefault="002267B7" w:rsidP="000F3BE2">
      <w:pPr>
        <w:autoSpaceDE w:val="0"/>
        <w:autoSpaceDN w:val="0"/>
        <w:adjustRightInd w:val="0"/>
        <w:jc w:val="both"/>
        <w:rPr>
          <w:rFonts w:ascii="Verdana" w:hAnsi="Verdana"/>
          <w:sz w:val="20"/>
          <w:szCs w:val="20"/>
          <w:lang w:val="es-CO" w:eastAsia="es-MX"/>
        </w:rPr>
      </w:pPr>
    </w:p>
    <w:p w14:paraId="1FA049F4" w14:textId="3BB704A3" w:rsidR="003565A0" w:rsidRPr="00977573" w:rsidRDefault="003565A0" w:rsidP="000F3BE2">
      <w:pPr>
        <w:pStyle w:val="PrrafodeSentencia"/>
        <w:spacing w:line="240" w:lineRule="auto"/>
      </w:pPr>
      <w:r w:rsidRPr="00977573">
        <w:t xml:space="preserve">En el presente caso no consta en el expediente respaldo probatorio alguno con relación a las costas y gastos en los cuales incurrió la señora Moya Solís en la tramitación </w:t>
      </w:r>
      <w:r w:rsidR="00FE2587">
        <w:t>de este asunto</w:t>
      </w:r>
      <w:r w:rsidRPr="00977573">
        <w:t xml:space="preserve"> ante el Sistema Interamericano. Además, la víctima no concretó su solicitud indicando un monto específico. No obstante, el Tribunal considera que tales trámites necesariamente implicaron erogaciones pecuniarias, por lo que determina que el Estado debe entregar </w:t>
      </w:r>
      <w:r w:rsidR="00A017AF">
        <w:t xml:space="preserve">en equidad </w:t>
      </w:r>
      <w:r w:rsidRPr="00977573">
        <w:t>a la señora Norka Moya Solís la cantidad de USD $15.000,00 (quince mil dólares de los Estados Unidos de América) por concepto de costas y gastos. Cabe agregar que, en la etapa de supervisión de cumplimiento de la presente Sentencia, la Corte podrá disponer que el Estado reembolse a la víctima o su representante los gastos razonables en que incurran en dicha etapa procesal.</w:t>
      </w:r>
    </w:p>
    <w:p w14:paraId="6341E8A9" w14:textId="77777777" w:rsidR="00DA018A" w:rsidRPr="00977573" w:rsidRDefault="00DA018A" w:rsidP="000F3BE2">
      <w:pPr>
        <w:rPr>
          <w:rFonts w:ascii="Verdana" w:hAnsi="Verdana"/>
          <w:sz w:val="20"/>
          <w:szCs w:val="20"/>
          <w:lang w:val="es-CO" w:eastAsia="es-MX"/>
        </w:rPr>
      </w:pPr>
    </w:p>
    <w:p w14:paraId="72877F1F" w14:textId="77777777" w:rsidR="00DA018A" w:rsidRPr="00977573" w:rsidRDefault="00DA018A" w:rsidP="000F3BE2">
      <w:pPr>
        <w:pStyle w:val="Ttulo2"/>
        <w:spacing w:line="240" w:lineRule="auto"/>
      </w:pPr>
      <w:bookmarkStart w:id="162" w:name="_Toc69717890"/>
      <w:bookmarkStart w:id="163" w:name="_Toc74225397"/>
      <w:r w:rsidRPr="00977573">
        <w:t>Modalidad de cumplimiento de los pagos ordenados</w:t>
      </w:r>
      <w:bookmarkEnd w:id="162"/>
      <w:bookmarkEnd w:id="163"/>
      <w:r w:rsidRPr="00977573">
        <w:t xml:space="preserve"> </w:t>
      </w:r>
    </w:p>
    <w:p w14:paraId="5324BF66" w14:textId="77777777" w:rsidR="002267B7" w:rsidRPr="00977573" w:rsidRDefault="002267B7" w:rsidP="000F3BE2">
      <w:pPr>
        <w:rPr>
          <w:rFonts w:ascii="Verdana" w:hAnsi="Verdana"/>
          <w:sz w:val="20"/>
          <w:szCs w:val="20"/>
          <w:lang w:val="es-CO"/>
        </w:rPr>
      </w:pPr>
    </w:p>
    <w:p w14:paraId="43CF7EB3" w14:textId="2C76CC27" w:rsidR="003565A0" w:rsidRPr="00977573" w:rsidRDefault="003565A0" w:rsidP="000F3BE2">
      <w:pPr>
        <w:pStyle w:val="PrrafodeSentencia"/>
        <w:spacing w:line="240" w:lineRule="auto"/>
      </w:pPr>
      <w:r w:rsidRPr="00977573">
        <w:t>El Estado deberá efectuar el pago de la</w:t>
      </w:r>
      <w:r w:rsidR="000D2B83">
        <w:t>s</w:t>
      </w:r>
      <w:r w:rsidRPr="00977573">
        <w:t xml:space="preserve"> indemnizaci</w:t>
      </w:r>
      <w:r w:rsidR="000D2B83">
        <w:t>o</w:t>
      </w:r>
      <w:r w:rsidRPr="00977573">
        <w:t>n</w:t>
      </w:r>
      <w:r w:rsidR="000D2B83">
        <w:t>es</w:t>
      </w:r>
      <w:r w:rsidRPr="00977573">
        <w:t xml:space="preserve"> </w:t>
      </w:r>
      <w:r w:rsidR="00FE2587">
        <w:t>ordenada</w:t>
      </w:r>
      <w:r w:rsidR="000D2B83">
        <w:t>s</w:t>
      </w:r>
      <w:r w:rsidRPr="00977573">
        <w:t xml:space="preserve"> por concept</w:t>
      </w:r>
      <w:r w:rsidR="00FE2587">
        <w:t>o de daño material e inmaterial</w:t>
      </w:r>
      <w:r w:rsidRPr="00977573">
        <w:t xml:space="preserve"> y el reintegro de costas y gastos establecidos en la presente Sentencia, directamente a la señora Norka Moya Solís, dentro del plazo de un año, contado a partir de la notificación del presente </w:t>
      </w:r>
      <w:r w:rsidR="00FE2587">
        <w:t>f</w:t>
      </w:r>
      <w:r w:rsidRPr="00977573">
        <w:t xml:space="preserve">allo. </w:t>
      </w:r>
    </w:p>
    <w:p w14:paraId="0A3C8048" w14:textId="77777777" w:rsidR="003565A0" w:rsidRPr="00977573" w:rsidRDefault="003565A0" w:rsidP="000F3BE2">
      <w:pPr>
        <w:pStyle w:val="PrrafodeSentencia"/>
        <w:numPr>
          <w:ilvl w:val="0"/>
          <w:numId w:val="0"/>
        </w:numPr>
        <w:spacing w:line="240" w:lineRule="auto"/>
      </w:pPr>
    </w:p>
    <w:p w14:paraId="4E12092C" w14:textId="77777777" w:rsidR="003565A0" w:rsidRPr="00977573" w:rsidRDefault="003565A0" w:rsidP="000F3BE2">
      <w:pPr>
        <w:pStyle w:val="PrrafodeSentencia"/>
        <w:spacing w:line="240" w:lineRule="auto"/>
      </w:pPr>
      <w:r w:rsidRPr="00977573">
        <w:t xml:space="preserve">En caso de que la beneficiaria fallezca antes de que le sean entregadas las indemnizaciones respectivas, estas se efectuarán directamente a sus derechohabientes, conforme al derecho interno aplicable. </w:t>
      </w:r>
    </w:p>
    <w:p w14:paraId="24F6AD9C" w14:textId="77777777" w:rsidR="003565A0" w:rsidRPr="00977573" w:rsidRDefault="003565A0" w:rsidP="000F3BE2">
      <w:pPr>
        <w:pStyle w:val="PrrafodeSentencia"/>
        <w:numPr>
          <w:ilvl w:val="0"/>
          <w:numId w:val="0"/>
        </w:numPr>
        <w:spacing w:line="240" w:lineRule="auto"/>
      </w:pPr>
    </w:p>
    <w:p w14:paraId="266EFE3C" w14:textId="77777777" w:rsidR="003565A0" w:rsidRPr="00977573" w:rsidRDefault="00FE2587" w:rsidP="000F3BE2">
      <w:pPr>
        <w:pStyle w:val="PrrafodeSentencia"/>
        <w:spacing w:line="240" w:lineRule="auto"/>
      </w:pPr>
      <w:r w:rsidRPr="00FE2587">
        <w:t>El Estado deberá cumplir con las obligaciones monetarias mediante el pago en dólares de los Estados Unidos de América o su equivalente en moneda nacional, utilizando para el cálculo respectivo el tipo de cambio de mercado publicado o calculado por una autoridad bancaria o financiera pertinente, en la fecha más cercana al día del pago.</w:t>
      </w:r>
      <w:r w:rsidR="00087970" w:rsidRPr="00977573">
        <w:t xml:space="preserve"> </w:t>
      </w:r>
    </w:p>
    <w:p w14:paraId="0B1BFEFE" w14:textId="77777777" w:rsidR="003565A0" w:rsidRPr="00977573" w:rsidRDefault="003565A0" w:rsidP="000F3BE2">
      <w:pPr>
        <w:pStyle w:val="PrrafodeSentencia"/>
        <w:numPr>
          <w:ilvl w:val="0"/>
          <w:numId w:val="0"/>
        </w:numPr>
        <w:spacing w:line="240" w:lineRule="auto"/>
      </w:pPr>
    </w:p>
    <w:p w14:paraId="4C121CC8" w14:textId="7816D4C7" w:rsidR="003565A0" w:rsidRPr="00977573" w:rsidRDefault="003565A0" w:rsidP="000F3BE2">
      <w:pPr>
        <w:pStyle w:val="PrrafodeSentencia"/>
        <w:spacing w:line="240" w:lineRule="auto"/>
      </w:pPr>
      <w:r w:rsidRPr="00977573">
        <w:t>Si por causas atribuibles a</w:t>
      </w:r>
      <w:r w:rsidR="002A66E7">
        <w:t xml:space="preserve"> </w:t>
      </w:r>
      <w:r w:rsidRPr="00977573">
        <w:t>l</w:t>
      </w:r>
      <w:r w:rsidR="002A66E7">
        <w:t>a</w:t>
      </w:r>
      <w:r w:rsidRPr="00977573">
        <w:t xml:space="preserve"> beneficiari</w:t>
      </w:r>
      <w:r w:rsidR="002A66E7">
        <w:t>a</w:t>
      </w:r>
      <w:r w:rsidRPr="00977573">
        <w:t xml:space="preserve"> de las indemnizaciones o a sus derechohabientes no fuese posible el pago de las cantidades determinadas dentro del plazo indicado, el Estado consignará dichos montos a su favor en una cuenta o certificado de depósito en una institución financiera peruana solvente, en dólares de los Estados Unidos de América, y en las condiciones financieras más favorables que permitan la legislación y la práctica bancaria. Si no se reclama la indemnización correspondiente una vez transcurridos diez años, las cantidades serán devueltas al Estado con los intereses devengados. </w:t>
      </w:r>
    </w:p>
    <w:p w14:paraId="6DE6FB92" w14:textId="77777777" w:rsidR="000E416C" w:rsidRPr="00977573" w:rsidRDefault="000E416C" w:rsidP="000F3BE2">
      <w:pPr>
        <w:pStyle w:val="PrrafodeSentencia"/>
        <w:numPr>
          <w:ilvl w:val="0"/>
          <w:numId w:val="0"/>
        </w:numPr>
        <w:spacing w:line="240" w:lineRule="auto"/>
      </w:pPr>
    </w:p>
    <w:p w14:paraId="514E04DA" w14:textId="77777777" w:rsidR="003565A0" w:rsidRPr="00977573" w:rsidRDefault="004454AF" w:rsidP="000F3BE2">
      <w:pPr>
        <w:pStyle w:val="PrrafodeSentencia"/>
        <w:spacing w:line="240" w:lineRule="auto"/>
      </w:pPr>
      <w:r w:rsidRPr="00977573">
        <w:t>Las</w:t>
      </w:r>
      <w:r w:rsidR="000E416C" w:rsidRPr="00977573">
        <w:t xml:space="preserve"> </w:t>
      </w:r>
      <w:r w:rsidR="003565A0" w:rsidRPr="00977573">
        <w:t xml:space="preserve">cantidades asignadas en la presente Sentencia como indemnización por daños materiales e </w:t>
      </w:r>
      <w:r w:rsidR="00FE2587">
        <w:t>inmateriales</w:t>
      </w:r>
      <w:r w:rsidR="003565A0" w:rsidRPr="00977573">
        <w:t xml:space="preserve"> y como reintegro de costas y gastos, deberán ser entregadas a la persona indicada en forma íntegra, conforme a lo establecido en esta Sentencia, sin reducciones derivadas de eventuales cargas fiscales. </w:t>
      </w:r>
    </w:p>
    <w:p w14:paraId="391CFFEE" w14:textId="77777777" w:rsidR="003565A0" w:rsidRPr="00977573" w:rsidRDefault="003565A0" w:rsidP="000F3BE2">
      <w:pPr>
        <w:pStyle w:val="PrrafodeSentencia"/>
        <w:numPr>
          <w:ilvl w:val="0"/>
          <w:numId w:val="0"/>
        </w:numPr>
        <w:spacing w:line="240" w:lineRule="auto"/>
      </w:pPr>
    </w:p>
    <w:p w14:paraId="2893140C" w14:textId="77777777" w:rsidR="00864A66" w:rsidRPr="00977573" w:rsidRDefault="003565A0" w:rsidP="000F3BE2">
      <w:pPr>
        <w:pStyle w:val="PrrafodeSentencia"/>
        <w:spacing w:line="240" w:lineRule="auto"/>
        <w:rPr>
          <w:color w:val="0070C0"/>
        </w:rPr>
      </w:pPr>
      <w:r w:rsidRPr="00977573">
        <w:t>En caso de que el Estado incurriera en mora, deberá pagar un interés sobre la cantidad adeudada correspondiente al interés bancario moratorio en la República del Perú.</w:t>
      </w:r>
    </w:p>
    <w:p w14:paraId="2D74C7E2" w14:textId="77777777" w:rsidR="008D4828" w:rsidRPr="00977573" w:rsidRDefault="008D4828" w:rsidP="000F3BE2">
      <w:pPr>
        <w:rPr>
          <w:rFonts w:ascii="Verdana" w:hAnsi="Verdana"/>
          <w:sz w:val="20"/>
          <w:szCs w:val="20"/>
          <w:lang w:val="es-CO"/>
        </w:rPr>
      </w:pPr>
    </w:p>
    <w:p w14:paraId="7424F36D" w14:textId="77777777" w:rsidR="00AC6ECD" w:rsidRPr="00977573" w:rsidRDefault="00AC6ECD" w:rsidP="000F3BE2">
      <w:pPr>
        <w:pStyle w:val="Ttulo1"/>
        <w:rPr>
          <w:rFonts w:ascii="Verdana" w:hAnsi="Verdana"/>
          <w:sz w:val="20"/>
          <w:szCs w:val="20"/>
          <w:lang w:val="es-CO"/>
        </w:rPr>
      </w:pPr>
      <w:bookmarkStart w:id="164" w:name="_Toc61442617"/>
      <w:bookmarkStart w:id="165" w:name="_Toc62746996"/>
      <w:bookmarkStart w:id="166" w:name="_Toc74225398"/>
      <w:r w:rsidRPr="00977573">
        <w:rPr>
          <w:rFonts w:ascii="Verdana" w:hAnsi="Verdana"/>
          <w:sz w:val="20"/>
          <w:szCs w:val="20"/>
          <w:lang w:val="es-CO"/>
        </w:rPr>
        <w:t>IX</w:t>
      </w:r>
      <w:r w:rsidRPr="00977573">
        <w:rPr>
          <w:rStyle w:val="None"/>
          <w:rFonts w:ascii="Verdana" w:hAnsi="Verdana"/>
          <w:sz w:val="20"/>
          <w:szCs w:val="20"/>
          <w:lang w:val="es-CO"/>
        </w:rPr>
        <w:br/>
      </w:r>
      <w:r w:rsidRPr="00977573">
        <w:rPr>
          <w:rFonts w:ascii="Verdana" w:hAnsi="Verdana"/>
          <w:sz w:val="20"/>
          <w:szCs w:val="20"/>
          <w:lang w:val="es-CO"/>
        </w:rPr>
        <w:t>PUNTOS RESOLUTIVOS</w:t>
      </w:r>
      <w:bookmarkEnd w:id="164"/>
      <w:bookmarkEnd w:id="165"/>
      <w:bookmarkEnd w:id="166"/>
    </w:p>
    <w:p w14:paraId="489BA3FE" w14:textId="77777777" w:rsidR="00AC6ECD" w:rsidRPr="00977573" w:rsidRDefault="00AC6ECD" w:rsidP="000F3BE2">
      <w:pPr>
        <w:rPr>
          <w:rFonts w:ascii="Verdana" w:hAnsi="Verdana"/>
          <w:sz w:val="20"/>
          <w:szCs w:val="20"/>
          <w:lang w:val="es-CO"/>
        </w:rPr>
      </w:pPr>
    </w:p>
    <w:p w14:paraId="15EF29CF" w14:textId="77777777" w:rsidR="00AC6ECD" w:rsidRPr="00977573" w:rsidRDefault="00AC6ECD" w:rsidP="000F3BE2">
      <w:pPr>
        <w:pStyle w:val="PrrafodeSentencia"/>
        <w:spacing w:line="240" w:lineRule="auto"/>
      </w:pPr>
      <w:r w:rsidRPr="00977573">
        <w:t>Por tanto,</w:t>
      </w:r>
    </w:p>
    <w:p w14:paraId="13239835" w14:textId="77777777" w:rsidR="00AC6ECD" w:rsidRPr="00977573" w:rsidRDefault="00AC6ECD" w:rsidP="000F3BE2">
      <w:pPr>
        <w:rPr>
          <w:rFonts w:ascii="Verdana" w:hAnsi="Verdana"/>
          <w:sz w:val="20"/>
          <w:szCs w:val="20"/>
          <w:lang w:val="es-CO"/>
        </w:rPr>
      </w:pPr>
    </w:p>
    <w:p w14:paraId="5792F0F6" w14:textId="77777777" w:rsidR="00AC6ECD" w:rsidRPr="00977573" w:rsidRDefault="00AC6ECD" w:rsidP="000F3BE2">
      <w:pPr>
        <w:jc w:val="both"/>
        <w:rPr>
          <w:rFonts w:ascii="Verdana" w:hAnsi="Verdana"/>
          <w:b/>
          <w:sz w:val="20"/>
          <w:szCs w:val="20"/>
          <w:lang w:val="es-CO"/>
        </w:rPr>
      </w:pPr>
      <w:r w:rsidRPr="00977573">
        <w:rPr>
          <w:rFonts w:ascii="Verdana" w:hAnsi="Verdana"/>
          <w:b/>
          <w:sz w:val="20"/>
          <w:szCs w:val="20"/>
          <w:lang w:val="es-CO"/>
        </w:rPr>
        <w:t>LA CORTE</w:t>
      </w:r>
    </w:p>
    <w:p w14:paraId="3B32E0B0" w14:textId="77777777" w:rsidR="00AC6ECD" w:rsidRPr="00977573" w:rsidRDefault="00AC6ECD" w:rsidP="000F3BE2">
      <w:pPr>
        <w:jc w:val="both"/>
        <w:rPr>
          <w:rFonts w:ascii="Verdana" w:hAnsi="Verdana"/>
          <w:b/>
          <w:sz w:val="20"/>
          <w:szCs w:val="20"/>
          <w:lang w:val="es-CO"/>
        </w:rPr>
      </w:pPr>
    </w:p>
    <w:p w14:paraId="29E2992E" w14:textId="77777777" w:rsidR="00AC6ECD" w:rsidRPr="00977573" w:rsidRDefault="00AC6ECD" w:rsidP="000F3BE2">
      <w:pPr>
        <w:jc w:val="both"/>
        <w:rPr>
          <w:rFonts w:ascii="Verdana" w:hAnsi="Verdana"/>
          <w:b/>
          <w:sz w:val="20"/>
          <w:szCs w:val="20"/>
          <w:lang w:val="es-CO"/>
        </w:rPr>
      </w:pPr>
      <w:r w:rsidRPr="00977573">
        <w:rPr>
          <w:rFonts w:ascii="Verdana" w:hAnsi="Verdana"/>
          <w:b/>
          <w:sz w:val="20"/>
          <w:szCs w:val="20"/>
          <w:lang w:val="es-CO"/>
        </w:rPr>
        <w:t>DECIDE,</w:t>
      </w:r>
    </w:p>
    <w:p w14:paraId="751B39FF" w14:textId="77777777" w:rsidR="00AC6ECD" w:rsidRPr="00977573" w:rsidRDefault="00AC6ECD" w:rsidP="000F3BE2">
      <w:pPr>
        <w:jc w:val="both"/>
        <w:rPr>
          <w:rFonts w:ascii="Verdana" w:hAnsi="Verdana"/>
          <w:sz w:val="20"/>
          <w:szCs w:val="20"/>
          <w:lang w:val="es-CO"/>
        </w:rPr>
      </w:pPr>
    </w:p>
    <w:p w14:paraId="308CE5FF" w14:textId="77777777" w:rsidR="00AC6ECD" w:rsidRPr="00977573" w:rsidRDefault="00AC6ECD" w:rsidP="000F3BE2">
      <w:pPr>
        <w:jc w:val="both"/>
        <w:rPr>
          <w:rFonts w:ascii="Verdana" w:hAnsi="Verdana"/>
          <w:sz w:val="20"/>
          <w:szCs w:val="20"/>
          <w:lang w:val="es-CO"/>
        </w:rPr>
      </w:pPr>
      <w:r w:rsidRPr="00977573">
        <w:rPr>
          <w:rFonts w:ascii="Verdana" w:hAnsi="Verdana"/>
          <w:sz w:val="20"/>
          <w:szCs w:val="20"/>
          <w:lang w:val="es-CO"/>
        </w:rPr>
        <w:t xml:space="preserve">Por </w:t>
      </w:r>
      <w:r w:rsidR="00470B4E">
        <w:rPr>
          <w:rFonts w:ascii="Verdana" w:hAnsi="Verdana"/>
          <w:sz w:val="20"/>
          <w:szCs w:val="20"/>
          <w:lang w:val="es-CO"/>
        </w:rPr>
        <w:t>unanimidad</w:t>
      </w:r>
      <w:r w:rsidR="00470B4E" w:rsidRPr="00977573">
        <w:rPr>
          <w:rFonts w:ascii="Verdana" w:hAnsi="Verdana"/>
          <w:sz w:val="20"/>
          <w:szCs w:val="20"/>
          <w:lang w:val="es-CO"/>
        </w:rPr>
        <w:t>:</w:t>
      </w:r>
    </w:p>
    <w:p w14:paraId="286032F1" w14:textId="77777777" w:rsidR="00AC6ECD" w:rsidRPr="00977573" w:rsidRDefault="00AC6ECD" w:rsidP="000F3BE2">
      <w:pPr>
        <w:jc w:val="both"/>
        <w:rPr>
          <w:rFonts w:ascii="Verdana" w:hAnsi="Verdana"/>
          <w:sz w:val="20"/>
          <w:szCs w:val="20"/>
          <w:lang w:val="es-CO"/>
        </w:rPr>
      </w:pPr>
    </w:p>
    <w:p w14:paraId="0D8F1016" w14:textId="16F696E1" w:rsidR="00AC6ECD" w:rsidRPr="00977573" w:rsidRDefault="00AC6ECD" w:rsidP="000F3BE2">
      <w:pPr>
        <w:pStyle w:val="PrrafodeSentencia"/>
        <w:widowControl w:val="0"/>
        <w:numPr>
          <w:ilvl w:val="0"/>
          <w:numId w:val="38"/>
        </w:numPr>
        <w:adjustRightInd w:val="0"/>
        <w:spacing w:line="240" w:lineRule="auto"/>
        <w:ind w:left="0" w:firstLine="0"/>
        <w:textAlignment w:val="baseline"/>
      </w:pPr>
      <w:r w:rsidRPr="00977573">
        <w:t xml:space="preserve">Desestimar </w:t>
      </w:r>
      <w:r w:rsidR="002A66E7" w:rsidRPr="00694654">
        <w:t xml:space="preserve">la excepción preliminar </w:t>
      </w:r>
      <w:r w:rsidR="002A66E7">
        <w:t xml:space="preserve">relativa a </w:t>
      </w:r>
      <w:r w:rsidRPr="00977573">
        <w:t xml:space="preserve">la solicitud de control de legalidad en relación con la alegada falta de agotamiento de recursos internos, de conformidad con los </w:t>
      </w:r>
      <w:r w:rsidRPr="00694654">
        <w:t>párrafos 21 a 24</w:t>
      </w:r>
      <w:r w:rsidRPr="00977573">
        <w:t xml:space="preserve"> de esta Sentencia.</w:t>
      </w:r>
    </w:p>
    <w:p w14:paraId="4468C8E0" w14:textId="77777777" w:rsidR="00AC6ECD" w:rsidRPr="00977573" w:rsidRDefault="00AC6ECD" w:rsidP="000F3BE2">
      <w:pPr>
        <w:rPr>
          <w:lang w:val="es-CO" w:eastAsia="es-MX"/>
        </w:rPr>
      </w:pPr>
    </w:p>
    <w:p w14:paraId="0BFB771B" w14:textId="77777777" w:rsidR="00AC6ECD" w:rsidRPr="00977573" w:rsidRDefault="00AC6ECD" w:rsidP="000F3BE2">
      <w:pPr>
        <w:pStyle w:val="PrrafodeSentencia"/>
        <w:widowControl w:val="0"/>
        <w:numPr>
          <w:ilvl w:val="0"/>
          <w:numId w:val="38"/>
        </w:numPr>
        <w:adjustRightInd w:val="0"/>
        <w:spacing w:line="240" w:lineRule="auto"/>
        <w:ind w:left="0" w:firstLine="0"/>
        <w:textAlignment w:val="baseline"/>
      </w:pPr>
      <w:r w:rsidRPr="00694654">
        <w:t>Desestimar la excepción preliminar de “cuarta instancia”, de conformidad con los párrafos 28 a 29 de esta Sentencia</w:t>
      </w:r>
      <w:r w:rsidRPr="00977573">
        <w:t>.</w:t>
      </w:r>
    </w:p>
    <w:p w14:paraId="5B47B9CE" w14:textId="77777777" w:rsidR="00AC6ECD" w:rsidRPr="00977573" w:rsidRDefault="00AC6ECD" w:rsidP="000F3BE2">
      <w:pPr>
        <w:pStyle w:val="PrrafodeSentencia"/>
        <w:widowControl w:val="0"/>
        <w:numPr>
          <w:ilvl w:val="0"/>
          <w:numId w:val="0"/>
        </w:numPr>
        <w:adjustRightInd w:val="0"/>
        <w:spacing w:line="240" w:lineRule="auto"/>
        <w:textAlignment w:val="baseline"/>
      </w:pPr>
    </w:p>
    <w:p w14:paraId="69AFF743" w14:textId="2FC87060" w:rsidR="00AC6ECD" w:rsidRPr="00694654" w:rsidRDefault="00AC6ECD" w:rsidP="000F3BE2">
      <w:pPr>
        <w:pStyle w:val="PrrafodeSentencia"/>
        <w:widowControl w:val="0"/>
        <w:numPr>
          <w:ilvl w:val="0"/>
          <w:numId w:val="38"/>
        </w:numPr>
        <w:adjustRightInd w:val="0"/>
        <w:spacing w:line="240" w:lineRule="auto"/>
        <w:ind w:left="0" w:firstLine="0"/>
        <w:textAlignment w:val="baseline"/>
      </w:pPr>
      <w:r w:rsidRPr="00977573">
        <w:t xml:space="preserve">Desestimar la excepción preliminar relacionada con la </w:t>
      </w:r>
      <w:r w:rsidR="002A66E7">
        <w:t xml:space="preserve">alegada </w:t>
      </w:r>
      <w:r w:rsidRPr="00977573">
        <w:t xml:space="preserve">indebida </w:t>
      </w:r>
      <w:r w:rsidRPr="00694654">
        <w:t xml:space="preserve">inclusión de los artículos 5 y 11 </w:t>
      </w:r>
      <w:r w:rsidR="002A66E7">
        <w:t xml:space="preserve">de la Convención Americana sobre Derechos Humanos </w:t>
      </w:r>
      <w:r w:rsidRPr="00694654">
        <w:t xml:space="preserve">en el </w:t>
      </w:r>
      <w:r w:rsidR="002A66E7">
        <w:t>e</w:t>
      </w:r>
      <w:r w:rsidRPr="00694654">
        <w:t xml:space="preserve">scrito de </w:t>
      </w:r>
      <w:r w:rsidR="002A66E7">
        <w:t>s</w:t>
      </w:r>
      <w:r w:rsidRPr="00694654">
        <w:t xml:space="preserve">olicitudes y </w:t>
      </w:r>
      <w:r w:rsidR="002A66E7">
        <w:t>a</w:t>
      </w:r>
      <w:r w:rsidRPr="00694654">
        <w:t>rgumentos, de conformidad con los párrafos 32 a 33 de esta Sentencia.</w:t>
      </w:r>
    </w:p>
    <w:p w14:paraId="0BB6D4B7" w14:textId="77777777" w:rsidR="00AC6ECD" w:rsidRPr="00977573" w:rsidRDefault="00AC6ECD" w:rsidP="000F3BE2">
      <w:pPr>
        <w:jc w:val="both"/>
        <w:rPr>
          <w:rFonts w:ascii="Verdana" w:hAnsi="Verdana"/>
          <w:b/>
          <w:sz w:val="20"/>
          <w:szCs w:val="20"/>
          <w:lang w:val="es-CO"/>
        </w:rPr>
      </w:pPr>
    </w:p>
    <w:p w14:paraId="000B21F0" w14:textId="77777777" w:rsidR="00AC6ECD" w:rsidRPr="00977573" w:rsidRDefault="00AC6ECD" w:rsidP="000F3BE2">
      <w:pPr>
        <w:jc w:val="both"/>
        <w:rPr>
          <w:rFonts w:ascii="Verdana" w:hAnsi="Verdana"/>
          <w:b/>
          <w:sz w:val="20"/>
          <w:szCs w:val="20"/>
          <w:lang w:val="es-CO"/>
        </w:rPr>
      </w:pPr>
      <w:r w:rsidRPr="00977573">
        <w:rPr>
          <w:rFonts w:ascii="Verdana" w:hAnsi="Verdana"/>
          <w:b/>
          <w:sz w:val="20"/>
          <w:szCs w:val="20"/>
          <w:lang w:val="es-CO"/>
        </w:rPr>
        <w:t>DECLARA,</w:t>
      </w:r>
    </w:p>
    <w:p w14:paraId="4621A32B" w14:textId="77777777" w:rsidR="00AC6ECD" w:rsidRPr="00977573" w:rsidRDefault="00AC6ECD" w:rsidP="000F3BE2">
      <w:pPr>
        <w:jc w:val="both"/>
        <w:rPr>
          <w:rFonts w:ascii="Verdana" w:hAnsi="Verdana"/>
          <w:sz w:val="20"/>
          <w:szCs w:val="20"/>
          <w:lang w:val="es-CO"/>
        </w:rPr>
      </w:pPr>
    </w:p>
    <w:p w14:paraId="137D7E32" w14:textId="77777777" w:rsidR="00AC6ECD" w:rsidRPr="00977573" w:rsidRDefault="00AC6ECD" w:rsidP="000F3BE2">
      <w:pPr>
        <w:jc w:val="both"/>
        <w:rPr>
          <w:rFonts w:ascii="Verdana" w:hAnsi="Verdana"/>
          <w:sz w:val="20"/>
          <w:szCs w:val="20"/>
          <w:lang w:val="es-CO"/>
        </w:rPr>
      </w:pPr>
      <w:r w:rsidRPr="00977573">
        <w:rPr>
          <w:rFonts w:ascii="Verdana" w:hAnsi="Verdana"/>
          <w:sz w:val="20"/>
          <w:szCs w:val="20"/>
          <w:lang w:val="es-CO"/>
        </w:rPr>
        <w:t xml:space="preserve">Por </w:t>
      </w:r>
      <w:r w:rsidR="00470B4E">
        <w:rPr>
          <w:rFonts w:ascii="Verdana" w:hAnsi="Verdana"/>
          <w:sz w:val="20"/>
          <w:szCs w:val="20"/>
          <w:lang w:val="es-CO"/>
        </w:rPr>
        <w:t>unanimidad</w:t>
      </w:r>
      <w:r w:rsidR="00470B4E" w:rsidRPr="00977573">
        <w:rPr>
          <w:rFonts w:ascii="Verdana" w:hAnsi="Verdana"/>
          <w:sz w:val="20"/>
          <w:szCs w:val="20"/>
          <w:lang w:val="es-CO"/>
        </w:rPr>
        <w:t xml:space="preserve">, </w:t>
      </w:r>
      <w:r w:rsidRPr="00977573">
        <w:rPr>
          <w:rFonts w:ascii="Verdana" w:hAnsi="Verdana"/>
          <w:sz w:val="20"/>
          <w:szCs w:val="20"/>
          <w:lang w:val="es-CO"/>
        </w:rPr>
        <w:t>que:</w:t>
      </w:r>
    </w:p>
    <w:p w14:paraId="505EEF8C" w14:textId="77777777" w:rsidR="00AC6ECD" w:rsidRPr="00977573" w:rsidRDefault="00AC6ECD" w:rsidP="000F3BE2">
      <w:pPr>
        <w:jc w:val="both"/>
        <w:rPr>
          <w:rFonts w:ascii="Verdana" w:hAnsi="Verdana"/>
          <w:sz w:val="20"/>
          <w:szCs w:val="20"/>
          <w:lang w:val="es-CO"/>
        </w:rPr>
      </w:pPr>
    </w:p>
    <w:p w14:paraId="6518AE37" w14:textId="6B471CD5" w:rsidR="00AC6ECD" w:rsidRPr="00694654" w:rsidRDefault="00AC6ECD" w:rsidP="000F3BE2">
      <w:pPr>
        <w:pStyle w:val="PrrafodeSentencia"/>
        <w:widowControl w:val="0"/>
        <w:numPr>
          <w:ilvl w:val="0"/>
          <w:numId w:val="3"/>
        </w:numPr>
        <w:adjustRightInd w:val="0"/>
        <w:spacing w:line="240" w:lineRule="auto"/>
        <w:ind w:left="0" w:firstLine="0"/>
        <w:textAlignment w:val="baseline"/>
      </w:pPr>
      <w:r w:rsidRPr="00977573">
        <w:t xml:space="preserve">El Estado es responsable por la violación de los derechos </w:t>
      </w:r>
      <w:r w:rsidRPr="00694654">
        <w:t>reconocidos en los artículos 8</w:t>
      </w:r>
      <w:r w:rsidR="006B60E4">
        <w:t>.1, 8.2</w:t>
      </w:r>
      <w:r w:rsidRPr="00694654">
        <w:t xml:space="preserve"> y 9 de la Convención Americana sobre Derechos Humanos, en relación con </w:t>
      </w:r>
      <w:r w:rsidR="00D2180F">
        <w:t>los</w:t>
      </w:r>
      <w:r w:rsidRPr="00694654">
        <w:t xml:space="preserve"> artículo</w:t>
      </w:r>
      <w:r w:rsidR="00D2180F">
        <w:t>s</w:t>
      </w:r>
      <w:r w:rsidRPr="00694654">
        <w:t xml:space="preserve"> 1.1</w:t>
      </w:r>
      <w:r w:rsidR="00D2180F">
        <w:t xml:space="preserve"> y 2 del mismo T</w:t>
      </w:r>
      <w:r w:rsidRPr="00694654">
        <w:t>ratado, en perjuicio de Norka Moya Solís, en los términos de los párrafos 6</w:t>
      </w:r>
      <w:r w:rsidR="008440DA" w:rsidRPr="00694654">
        <w:t>6</w:t>
      </w:r>
      <w:r w:rsidRPr="00694654">
        <w:t xml:space="preserve"> a </w:t>
      </w:r>
      <w:r w:rsidR="008440DA" w:rsidRPr="00694654">
        <w:t>91</w:t>
      </w:r>
      <w:r w:rsidRPr="00694654">
        <w:t xml:space="preserve"> de la presente Sentencia.</w:t>
      </w:r>
    </w:p>
    <w:p w14:paraId="7EE06472" w14:textId="77777777" w:rsidR="00AC6ECD" w:rsidRPr="00694654" w:rsidRDefault="00AC6ECD" w:rsidP="000F3BE2">
      <w:pPr>
        <w:pStyle w:val="PrrafodeSentencia"/>
        <w:numPr>
          <w:ilvl w:val="0"/>
          <w:numId w:val="0"/>
        </w:numPr>
        <w:spacing w:line="240" w:lineRule="auto"/>
      </w:pPr>
    </w:p>
    <w:p w14:paraId="6D776DF0" w14:textId="28D83F3D" w:rsidR="00AC6ECD" w:rsidRPr="00694654" w:rsidRDefault="00AC6ECD" w:rsidP="000F3BE2">
      <w:pPr>
        <w:pStyle w:val="PrrafodeSentencia"/>
        <w:widowControl w:val="0"/>
        <w:numPr>
          <w:ilvl w:val="0"/>
          <w:numId w:val="3"/>
        </w:numPr>
        <w:adjustRightInd w:val="0"/>
        <w:spacing w:line="240" w:lineRule="auto"/>
        <w:ind w:left="0" w:firstLine="0"/>
        <w:textAlignment w:val="baseline"/>
      </w:pPr>
      <w:r w:rsidRPr="00694654">
        <w:t xml:space="preserve">El Estado es responsable por la violación </w:t>
      </w:r>
      <w:r w:rsidR="008440DA" w:rsidRPr="00694654">
        <w:t>de los derechos reconocidos en los artículos 8</w:t>
      </w:r>
      <w:r w:rsidR="006B60E4">
        <w:t>.1</w:t>
      </w:r>
      <w:r w:rsidR="008440DA" w:rsidRPr="00694654">
        <w:t xml:space="preserve"> y </w:t>
      </w:r>
      <w:r w:rsidRPr="00694654">
        <w:t xml:space="preserve">25 de la Convención Americana sobre Derechos Humanos, en relación con </w:t>
      </w:r>
      <w:r w:rsidR="008440DA" w:rsidRPr="00694654">
        <w:t>el artículo</w:t>
      </w:r>
      <w:r w:rsidR="00D2180F">
        <w:t xml:space="preserve"> 1.1 del mismo T</w:t>
      </w:r>
      <w:r w:rsidRPr="00694654">
        <w:t xml:space="preserve">ratado, en perjuicio de </w:t>
      </w:r>
      <w:r w:rsidR="008440DA" w:rsidRPr="00694654">
        <w:t>Norka Moya Solís</w:t>
      </w:r>
      <w:r w:rsidRPr="00694654">
        <w:t xml:space="preserve">, en los términos de los párrafos </w:t>
      </w:r>
      <w:r w:rsidR="008440DA" w:rsidRPr="00694654">
        <w:t>95</w:t>
      </w:r>
      <w:r w:rsidRPr="00694654">
        <w:t xml:space="preserve"> a </w:t>
      </w:r>
      <w:r w:rsidR="008440DA" w:rsidRPr="00694654">
        <w:t>104</w:t>
      </w:r>
      <w:r w:rsidRPr="00694654">
        <w:t xml:space="preserve"> de la presente Sentencia</w:t>
      </w:r>
      <w:r w:rsidR="00986135">
        <w:t>.</w:t>
      </w:r>
    </w:p>
    <w:p w14:paraId="19C1720C" w14:textId="77777777" w:rsidR="00AC6ECD" w:rsidRPr="00977573" w:rsidRDefault="00AC6ECD" w:rsidP="000F3BE2">
      <w:pPr>
        <w:pStyle w:val="Prrafodelista"/>
        <w:rPr>
          <w:lang w:val="es-CO"/>
        </w:rPr>
      </w:pPr>
    </w:p>
    <w:p w14:paraId="67011F36" w14:textId="5F73025E" w:rsidR="008440DA" w:rsidRPr="00694654" w:rsidRDefault="008440DA" w:rsidP="000F3BE2">
      <w:pPr>
        <w:pStyle w:val="PrrafodeSentencia"/>
        <w:widowControl w:val="0"/>
        <w:numPr>
          <w:ilvl w:val="0"/>
          <w:numId w:val="3"/>
        </w:numPr>
        <w:adjustRightInd w:val="0"/>
        <w:spacing w:line="240" w:lineRule="auto"/>
        <w:ind w:left="0" w:firstLine="0"/>
        <w:textAlignment w:val="baseline"/>
      </w:pPr>
      <w:r w:rsidRPr="00977573">
        <w:t xml:space="preserve">El Estado es responsable por la violación del derecho </w:t>
      </w:r>
      <w:r w:rsidRPr="00694654">
        <w:t>reconocido en el artículo 23.1.c) de la Convención Americana sobre Derechos Humanos, en relación</w:t>
      </w:r>
      <w:r w:rsidR="00D2180F">
        <w:t xml:space="preserve"> con el artículo 1.1 del mismo T</w:t>
      </w:r>
      <w:r w:rsidRPr="00694654">
        <w:t>ratado, en perjuicio de Norka Moya Solís, en los términos de los párrafos 108 a 111 de la presente Sentencia</w:t>
      </w:r>
      <w:r w:rsidR="00986135">
        <w:t>.</w:t>
      </w:r>
    </w:p>
    <w:p w14:paraId="3117544D" w14:textId="77777777" w:rsidR="00AC6ECD" w:rsidRPr="00977573" w:rsidRDefault="00AC6ECD" w:rsidP="000F3BE2">
      <w:pPr>
        <w:jc w:val="both"/>
        <w:rPr>
          <w:rFonts w:ascii="Verdana" w:hAnsi="Verdana"/>
          <w:sz w:val="20"/>
          <w:szCs w:val="20"/>
          <w:lang w:val="es-CO"/>
        </w:rPr>
      </w:pPr>
    </w:p>
    <w:p w14:paraId="6709E736" w14:textId="77777777" w:rsidR="00AC6ECD" w:rsidRPr="00977573" w:rsidRDefault="00AC6ECD" w:rsidP="000F3BE2">
      <w:pPr>
        <w:jc w:val="both"/>
        <w:rPr>
          <w:rFonts w:ascii="Verdana" w:hAnsi="Verdana"/>
          <w:b/>
          <w:sz w:val="20"/>
          <w:szCs w:val="20"/>
          <w:lang w:val="es-CO"/>
        </w:rPr>
      </w:pPr>
      <w:r w:rsidRPr="00977573">
        <w:rPr>
          <w:rFonts w:ascii="Verdana" w:hAnsi="Verdana"/>
          <w:b/>
          <w:sz w:val="20"/>
          <w:szCs w:val="20"/>
          <w:lang w:val="es-CO"/>
        </w:rPr>
        <w:t>Y DISPONE:</w:t>
      </w:r>
    </w:p>
    <w:p w14:paraId="01F7E946" w14:textId="77777777" w:rsidR="00AC6ECD" w:rsidRPr="00977573" w:rsidRDefault="00AC6ECD" w:rsidP="000F3BE2">
      <w:pPr>
        <w:jc w:val="both"/>
        <w:rPr>
          <w:rFonts w:ascii="Verdana" w:hAnsi="Verdana"/>
          <w:sz w:val="20"/>
          <w:szCs w:val="20"/>
          <w:lang w:val="es-CO"/>
        </w:rPr>
      </w:pPr>
    </w:p>
    <w:p w14:paraId="1EBCD010" w14:textId="77777777" w:rsidR="00AC6ECD" w:rsidRPr="00977573" w:rsidRDefault="00AC6ECD" w:rsidP="000F3BE2">
      <w:pPr>
        <w:jc w:val="both"/>
        <w:rPr>
          <w:rFonts w:ascii="Verdana" w:hAnsi="Verdana"/>
          <w:sz w:val="20"/>
          <w:szCs w:val="20"/>
          <w:lang w:val="es-CO"/>
        </w:rPr>
      </w:pPr>
      <w:r w:rsidRPr="00977573">
        <w:rPr>
          <w:rFonts w:ascii="Verdana" w:hAnsi="Verdana"/>
          <w:sz w:val="20"/>
          <w:szCs w:val="20"/>
          <w:lang w:val="es-CO"/>
        </w:rPr>
        <w:t xml:space="preserve">Por </w:t>
      </w:r>
      <w:r w:rsidR="00470B4E">
        <w:rPr>
          <w:rFonts w:ascii="Verdana" w:hAnsi="Verdana"/>
          <w:sz w:val="20"/>
          <w:szCs w:val="20"/>
          <w:lang w:val="es-CO"/>
        </w:rPr>
        <w:t>unanimidad</w:t>
      </w:r>
      <w:r w:rsidR="00470B4E" w:rsidRPr="00977573">
        <w:rPr>
          <w:rFonts w:ascii="Verdana" w:hAnsi="Verdana"/>
          <w:sz w:val="20"/>
          <w:szCs w:val="20"/>
          <w:lang w:val="es-CO"/>
        </w:rPr>
        <w:t xml:space="preserve">, </w:t>
      </w:r>
      <w:r w:rsidRPr="00977573">
        <w:rPr>
          <w:rFonts w:ascii="Verdana" w:hAnsi="Verdana"/>
          <w:sz w:val="20"/>
          <w:szCs w:val="20"/>
          <w:lang w:val="es-CO"/>
        </w:rPr>
        <w:t>que:</w:t>
      </w:r>
    </w:p>
    <w:p w14:paraId="4C86C10B" w14:textId="77777777" w:rsidR="00AC6ECD" w:rsidRPr="00977573" w:rsidRDefault="00AC6ECD" w:rsidP="000F3BE2">
      <w:pPr>
        <w:jc w:val="both"/>
        <w:rPr>
          <w:rFonts w:ascii="Verdana" w:hAnsi="Verdana"/>
          <w:sz w:val="20"/>
          <w:szCs w:val="20"/>
          <w:lang w:val="es-CO"/>
        </w:rPr>
      </w:pPr>
    </w:p>
    <w:p w14:paraId="68A89B8F" w14:textId="77777777" w:rsidR="00AC6ECD" w:rsidRPr="00977573" w:rsidRDefault="00AC6ECD" w:rsidP="000F3BE2">
      <w:pPr>
        <w:pStyle w:val="PrrafodeSentencia"/>
        <w:widowControl w:val="0"/>
        <w:numPr>
          <w:ilvl w:val="0"/>
          <w:numId w:val="3"/>
        </w:numPr>
        <w:adjustRightInd w:val="0"/>
        <w:spacing w:line="240" w:lineRule="auto"/>
        <w:ind w:left="0" w:firstLine="0"/>
        <w:textAlignment w:val="baseline"/>
      </w:pPr>
      <w:r w:rsidRPr="00977573">
        <w:t>Esta Sentencia constituye, por sí misma, una forma de reparación.</w:t>
      </w:r>
    </w:p>
    <w:p w14:paraId="2764B19D" w14:textId="77777777" w:rsidR="00AC6ECD" w:rsidRPr="00977573" w:rsidRDefault="00AC6ECD" w:rsidP="000F3BE2">
      <w:pPr>
        <w:pStyle w:val="PrrafodeSentencia"/>
        <w:numPr>
          <w:ilvl w:val="0"/>
          <w:numId w:val="0"/>
        </w:numPr>
        <w:spacing w:line="240" w:lineRule="auto"/>
      </w:pPr>
    </w:p>
    <w:p w14:paraId="0E282624" w14:textId="77777777" w:rsidR="00AC6ECD" w:rsidRPr="00694654" w:rsidRDefault="00AC6ECD" w:rsidP="000F3BE2">
      <w:pPr>
        <w:pStyle w:val="PrrafodeSentencia"/>
        <w:widowControl w:val="0"/>
        <w:numPr>
          <w:ilvl w:val="0"/>
          <w:numId w:val="3"/>
        </w:numPr>
        <w:adjustRightInd w:val="0"/>
        <w:spacing w:line="240" w:lineRule="auto"/>
        <w:ind w:left="0" w:firstLine="0"/>
        <w:textAlignment w:val="baseline"/>
      </w:pPr>
      <w:r w:rsidRPr="00694654">
        <w:t>El Estado realizará las publicaciones indicadas en el párrafo 121 de la presente Sentencia.</w:t>
      </w:r>
    </w:p>
    <w:p w14:paraId="354BDDB7" w14:textId="77777777" w:rsidR="00AC6ECD" w:rsidRPr="00977573" w:rsidRDefault="00AC6ECD" w:rsidP="000F3BE2">
      <w:pPr>
        <w:pStyle w:val="Sinespaciado"/>
        <w:rPr>
          <w:lang w:val="es-CO"/>
        </w:rPr>
      </w:pPr>
    </w:p>
    <w:p w14:paraId="56A4B472" w14:textId="27D58D0D" w:rsidR="00AC6ECD" w:rsidRPr="00694654" w:rsidRDefault="00AC6ECD" w:rsidP="000F3BE2">
      <w:pPr>
        <w:pStyle w:val="PrrafodeSentencia"/>
        <w:widowControl w:val="0"/>
        <w:numPr>
          <w:ilvl w:val="0"/>
          <w:numId w:val="3"/>
        </w:numPr>
        <w:adjustRightInd w:val="0"/>
        <w:spacing w:line="240" w:lineRule="auto"/>
        <w:ind w:left="0" w:firstLine="0"/>
        <w:textAlignment w:val="baseline"/>
      </w:pPr>
      <w:r w:rsidRPr="00694654">
        <w:t>El Estado pagará las cantidades fijadas en los párrafos 1</w:t>
      </w:r>
      <w:r w:rsidR="008440DA" w:rsidRPr="00694654">
        <w:t>27 y</w:t>
      </w:r>
      <w:r w:rsidRPr="00694654">
        <w:t xml:space="preserve"> 1</w:t>
      </w:r>
      <w:r w:rsidR="008440DA" w:rsidRPr="00694654">
        <w:t>31</w:t>
      </w:r>
      <w:r w:rsidRPr="00694654">
        <w:t xml:space="preserve"> de la presente Sentencia por concepto de indemnizaci</w:t>
      </w:r>
      <w:r w:rsidR="008440DA" w:rsidRPr="00694654">
        <w:t>ones compensatorias</w:t>
      </w:r>
      <w:r w:rsidRPr="00694654">
        <w:t xml:space="preserve">, y </w:t>
      </w:r>
      <w:r w:rsidR="008440DA" w:rsidRPr="00694654">
        <w:t xml:space="preserve">en el párrafo 134 </w:t>
      </w:r>
      <w:r w:rsidRPr="00694654">
        <w:t>por el reintegro de costas y gastos</w:t>
      </w:r>
      <w:r w:rsidR="00986135">
        <w:t>, en los términos de los párrafos 135 a 140 de esta Sentencia</w:t>
      </w:r>
      <w:r w:rsidRPr="00694654">
        <w:t>.</w:t>
      </w:r>
    </w:p>
    <w:p w14:paraId="07AB6517" w14:textId="77777777" w:rsidR="00AC6ECD" w:rsidRPr="00977573" w:rsidRDefault="00AC6ECD" w:rsidP="000F3BE2">
      <w:pPr>
        <w:pStyle w:val="Sinespaciado"/>
        <w:rPr>
          <w:lang w:val="es-CO"/>
        </w:rPr>
      </w:pPr>
    </w:p>
    <w:p w14:paraId="11163422" w14:textId="77777777" w:rsidR="00AC6ECD" w:rsidRPr="00694654" w:rsidRDefault="00AC6ECD" w:rsidP="000F3BE2">
      <w:pPr>
        <w:pStyle w:val="PrrafodeSentencia"/>
        <w:widowControl w:val="0"/>
        <w:numPr>
          <w:ilvl w:val="0"/>
          <w:numId w:val="3"/>
        </w:numPr>
        <w:adjustRightInd w:val="0"/>
        <w:spacing w:line="240" w:lineRule="auto"/>
        <w:ind w:left="0" w:firstLine="0"/>
        <w:textAlignment w:val="baseline"/>
      </w:pPr>
      <w:r w:rsidRPr="00694654">
        <w:t>El Estado, dentro del plazo de un año contado a partir de la notificación de esta Sentencia, rendirá al Tribunal un informe sobre las medidas adoptadas para cumplir con la misma, sin perjuicio de lo establecido en el párrafo 121 de la presente Sentencia.</w:t>
      </w:r>
    </w:p>
    <w:p w14:paraId="1BDAA796" w14:textId="77777777" w:rsidR="00AC6ECD" w:rsidRPr="00977573" w:rsidRDefault="00AC6ECD" w:rsidP="000F3BE2">
      <w:pPr>
        <w:pStyle w:val="PrrafodeSentencia"/>
        <w:numPr>
          <w:ilvl w:val="0"/>
          <w:numId w:val="0"/>
        </w:numPr>
        <w:spacing w:line="240" w:lineRule="auto"/>
      </w:pPr>
    </w:p>
    <w:p w14:paraId="2BC1D470" w14:textId="77777777" w:rsidR="00AC6ECD" w:rsidRPr="00977573" w:rsidRDefault="00AC6ECD" w:rsidP="000F3BE2">
      <w:pPr>
        <w:pStyle w:val="PrrafodeSentencia"/>
        <w:widowControl w:val="0"/>
        <w:numPr>
          <w:ilvl w:val="0"/>
          <w:numId w:val="3"/>
        </w:numPr>
        <w:adjustRightInd w:val="0"/>
        <w:spacing w:line="240" w:lineRule="auto"/>
        <w:ind w:left="0" w:firstLine="0"/>
        <w:textAlignment w:val="baseline"/>
      </w:pPr>
      <w:r w:rsidRPr="00977573">
        <w:t>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w:t>
      </w:r>
    </w:p>
    <w:p w14:paraId="45FF9C30" w14:textId="77777777" w:rsidR="00AC6ECD" w:rsidRPr="00977573" w:rsidRDefault="00AC6ECD" w:rsidP="000F3BE2">
      <w:pPr>
        <w:pStyle w:val="PrrafodeSentencia"/>
        <w:numPr>
          <w:ilvl w:val="0"/>
          <w:numId w:val="0"/>
        </w:numPr>
        <w:spacing w:line="240" w:lineRule="auto"/>
      </w:pPr>
    </w:p>
    <w:p w14:paraId="7A17AC8F" w14:textId="77777777" w:rsidR="00AC6ECD" w:rsidRPr="00977573" w:rsidRDefault="00AC6ECD" w:rsidP="000F3BE2">
      <w:pPr>
        <w:pStyle w:val="PrrafodeSentencia"/>
        <w:numPr>
          <w:ilvl w:val="0"/>
          <w:numId w:val="0"/>
        </w:numPr>
        <w:spacing w:line="240" w:lineRule="auto"/>
      </w:pPr>
      <w:r w:rsidRPr="00977573">
        <w:t xml:space="preserve">Redactada en español en San José, Costa Rica, el </w:t>
      </w:r>
      <w:r w:rsidR="00470B4E">
        <w:t>3</w:t>
      </w:r>
      <w:r w:rsidR="00470B4E" w:rsidRPr="00977573">
        <w:t xml:space="preserve"> </w:t>
      </w:r>
      <w:r w:rsidRPr="00977573">
        <w:t xml:space="preserve">de </w:t>
      </w:r>
      <w:r w:rsidR="00470B4E">
        <w:t>junio</w:t>
      </w:r>
      <w:r w:rsidR="00470B4E" w:rsidRPr="00977573">
        <w:t xml:space="preserve"> </w:t>
      </w:r>
      <w:r w:rsidRPr="00977573">
        <w:t xml:space="preserve">de 2021. </w:t>
      </w:r>
    </w:p>
    <w:p w14:paraId="7943E2F5" w14:textId="77777777" w:rsidR="00AC6ECD" w:rsidRPr="00977573" w:rsidRDefault="00AC6ECD" w:rsidP="000F3BE2">
      <w:pPr>
        <w:jc w:val="both"/>
        <w:rPr>
          <w:rFonts w:ascii="Verdana" w:hAnsi="Verdana"/>
          <w:sz w:val="20"/>
          <w:szCs w:val="20"/>
          <w:lang w:val="es-CO"/>
        </w:rPr>
      </w:pPr>
    </w:p>
    <w:p w14:paraId="35ED5B17" w14:textId="77777777" w:rsidR="001E7450" w:rsidRDefault="00AC6ECD" w:rsidP="000F3BE2">
      <w:pPr>
        <w:jc w:val="both"/>
        <w:rPr>
          <w:rFonts w:ascii="Verdana" w:hAnsi="Verdana"/>
          <w:sz w:val="20"/>
          <w:szCs w:val="20"/>
          <w:lang w:val="es-CO"/>
        </w:rPr>
        <w:sectPr w:rsidR="001E7450" w:rsidSect="00F25E87">
          <w:footerReference w:type="default" r:id="rId8"/>
          <w:headerReference w:type="first" r:id="rId9"/>
          <w:pgSz w:w="12240" w:h="15840" w:code="119"/>
          <w:pgMar w:top="1440" w:right="1440" w:bottom="1440" w:left="1440" w:header="709" w:footer="709" w:gutter="0"/>
          <w:cols w:space="708"/>
          <w:titlePg/>
          <w:docGrid w:linePitch="360"/>
        </w:sectPr>
      </w:pPr>
      <w:r w:rsidRPr="00B772E6">
        <w:rPr>
          <w:rFonts w:ascii="Verdana" w:hAnsi="Verdana"/>
          <w:sz w:val="20"/>
          <w:szCs w:val="20"/>
          <w:lang w:val="pt-BR"/>
        </w:rPr>
        <w:t xml:space="preserve">Corte IDH. </w:t>
      </w:r>
      <w:r w:rsidRPr="00B772E6">
        <w:rPr>
          <w:rFonts w:ascii="Verdana" w:hAnsi="Verdana"/>
          <w:i/>
          <w:sz w:val="20"/>
          <w:szCs w:val="20"/>
          <w:lang w:val="pt-BR"/>
        </w:rPr>
        <w:t xml:space="preserve">Caso </w:t>
      </w:r>
      <w:r w:rsidR="00D81D7F" w:rsidRPr="00B772E6">
        <w:rPr>
          <w:rFonts w:ascii="Verdana" w:hAnsi="Verdana"/>
          <w:i/>
          <w:sz w:val="20"/>
          <w:szCs w:val="20"/>
          <w:lang w:val="pt-BR"/>
        </w:rPr>
        <w:t>Moya Solís</w:t>
      </w:r>
      <w:r w:rsidRPr="00B772E6">
        <w:rPr>
          <w:rFonts w:ascii="Verdana" w:hAnsi="Verdana"/>
          <w:i/>
          <w:sz w:val="20"/>
          <w:szCs w:val="20"/>
          <w:lang w:val="pt-BR"/>
        </w:rPr>
        <w:t xml:space="preserve"> Vs. </w:t>
      </w:r>
      <w:r w:rsidRPr="00425B5F">
        <w:rPr>
          <w:rFonts w:ascii="Verdana" w:hAnsi="Verdana"/>
          <w:i/>
          <w:sz w:val="20"/>
          <w:szCs w:val="20"/>
          <w:lang w:val="es-CO"/>
        </w:rPr>
        <w:t xml:space="preserve">Perú. </w:t>
      </w:r>
      <w:r w:rsidRPr="006F4791">
        <w:rPr>
          <w:rFonts w:ascii="Verdana" w:hAnsi="Verdana"/>
          <w:sz w:val="20"/>
          <w:szCs w:val="20"/>
          <w:lang w:val="es-CO"/>
        </w:rPr>
        <w:t>Excepci</w:t>
      </w:r>
      <w:r w:rsidR="00D81D7F" w:rsidRPr="006F4791">
        <w:rPr>
          <w:rFonts w:ascii="Verdana" w:hAnsi="Verdana"/>
          <w:sz w:val="20"/>
          <w:szCs w:val="20"/>
          <w:lang w:val="es-CO"/>
        </w:rPr>
        <w:t>ones</w:t>
      </w:r>
      <w:r w:rsidRPr="006F4791">
        <w:rPr>
          <w:rFonts w:ascii="Verdana" w:hAnsi="Verdana"/>
          <w:sz w:val="20"/>
          <w:szCs w:val="20"/>
          <w:lang w:val="es-CO"/>
        </w:rPr>
        <w:t xml:space="preserve"> Preliminar</w:t>
      </w:r>
      <w:r w:rsidR="00D81D7F" w:rsidRPr="006F4791">
        <w:rPr>
          <w:rFonts w:ascii="Verdana" w:hAnsi="Verdana"/>
          <w:sz w:val="20"/>
          <w:szCs w:val="20"/>
          <w:lang w:val="es-CO"/>
        </w:rPr>
        <w:t>es</w:t>
      </w:r>
      <w:r w:rsidRPr="006F4791">
        <w:rPr>
          <w:rFonts w:ascii="Verdana" w:hAnsi="Verdana"/>
          <w:sz w:val="20"/>
          <w:szCs w:val="20"/>
          <w:lang w:val="es-CO"/>
        </w:rPr>
        <w:t xml:space="preserve">, Fondo, Reparaciones y Costas. Sentencia de </w:t>
      </w:r>
      <w:r w:rsidR="00470B4E" w:rsidRPr="006F4791">
        <w:rPr>
          <w:rFonts w:ascii="Verdana" w:hAnsi="Verdana"/>
          <w:sz w:val="20"/>
          <w:szCs w:val="20"/>
          <w:lang w:val="es-CO"/>
        </w:rPr>
        <w:t xml:space="preserve">3 </w:t>
      </w:r>
      <w:r w:rsidRPr="006F4791">
        <w:rPr>
          <w:rFonts w:ascii="Verdana" w:hAnsi="Verdana"/>
          <w:sz w:val="20"/>
          <w:szCs w:val="20"/>
          <w:lang w:val="es-CO"/>
        </w:rPr>
        <w:t xml:space="preserve">de </w:t>
      </w:r>
      <w:r w:rsidR="00470B4E" w:rsidRPr="006F4791">
        <w:rPr>
          <w:rFonts w:ascii="Verdana" w:hAnsi="Verdana"/>
          <w:sz w:val="20"/>
          <w:szCs w:val="20"/>
          <w:lang w:val="es-CO"/>
        </w:rPr>
        <w:t xml:space="preserve">junio </w:t>
      </w:r>
      <w:r w:rsidRPr="006F4791">
        <w:rPr>
          <w:rFonts w:ascii="Verdana" w:hAnsi="Verdana"/>
          <w:sz w:val="20"/>
          <w:szCs w:val="20"/>
          <w:lang w:val="es-CO"/>
        </w:rPr>
        <w:t>de 2021.</w:t>
      </w:r>
    </w:p>
    <w:p w14:paraId="4FAC25E4" w14:textId="79E83C5C" w:rsidR="001E7450" w:rsidRPr="001E7450" w:rsidRDefault="001E7450" w:rsidP="001E7450">
      <w:pPr>
        <w:jc w:val="both"/>
        <w:rPr>
          <w:rFonts w:ascii="Verdana" w:hAnsi="Verdana"/>
          <w:sz w:val="20"/>
          <w:szCs w:val="20"/>
          <w:lang w:val="es-CO"/>
        </w:rPr>
      </w:pPr>
      <w:r w:rsidRPr="001E7450">
        <w:rPr>
          <w:rFonts w:ascii="Verdana" w:hAnsi="Verdana"/>
          <w:sz w:val="20"/>
          <w:szCs w:val="20"/>
          <w:lang w:val="pt-BR"/>
        </w:rPr>
        <w:t xml:space="preserve">Corte IDH. </w:t>
      </w:r>
      <w:r w:rsidRPr="001E7450">
        <w:rPr>
          <w:rFonts w:ascii="Verdana" w:hAnsi="Verdana"/>
          <w:i/>
          <w:sz w:val="20"/>
          <w:szCs w:val="20"/>
          <w:lang w:val="pt-BR"/>
        </w:rPr>
        <w:t xml:space="preserve">Caso Moya Solís Vs. </w:t>
      </w:r>
      <w:r w:rsidRPr="001E7450">
        <w:rPr>
          <w:rFonts w:ascii="Verdana" w:hAnsi="Verdana"/>
          <w:i/>
          <w:sz w:val="20"/>
          <w:szCs w:val="20"/>
          <w:lang w:val="es-CO"/>
        </w:rPr>
        <w:t xml:space="preserve">Perú. </w:t>
      </w:r>
      <w:r w:rsidRPr="001E7450">
        <w:rPr>
          <w:rFonts w:ascii="Verdana" w:hAnsi="Verdana"/>
          <w:sz w:val="20"/>
          <w:szCs w:val="20"/>
          <w:lang w:val="es-CO"/>
        </w:rPr>
        <w:t xml:space="preserve">Excepciones Preliminares, Fondo, Reparaciones y Costas. Sentencia de 3 de junio de 2021. </w:t>
      </w:r>
      <w:r w:rsidRPr="001E7450">
        <w:rPr>
          <w:rFonts w:ascii="Verdana" w:hAnsi="Verdana"/>
          <w:iCs/>
          <w:sz w:val="20"/>
          <w:szCs w:val="20"/>
        </w:rPr>
        <w:t>Sentencia adoptada en San José de Costa Rica por medio de sesión virtual</w:t>
      </w:r>
      <w:r w:rsidRPr="001E7450">
        <w:rPr>
          <w:rFonts w:ascii="Verdana" w:hAnsi="Verdana"/>
          <w:iCs/>
        </w:rPr>
        <w:t>.</w:t>
      </w:r>
    </w:p>
    <w:p w14:paraId="1A367465" w14:textId="77777777" w:rsidR="001E7450" w:rsidRPr="001E7450" w:rsidRDefault="001E7450" w:rsidP="001E7450">
      <w:pPr>
        <w:rPr>
          <w:rFonts w:ascii="Verdana" w:hAnsi="Verdana"/>
        </w:rPr>
      </w:pPr>
    </w:p>
    <w:p w14:paraId="361C14FE" w14:textId="4F582378" w:rsidR="001E7450" w:rsidRDefault="001E7450" w:rsidP="001E7450">
      <w:pPr>
        <w:rPr>
          <w:rFonts w:ascii="Verdana" w:hAnsi="Verdana"/>
        </w:rPr>
      </w:pPr>
    </w:p>
    <w:p w14:paraId="03558D30" w14:textId="77777777" w:rsidR="001E7450" w:rsidRPr="001E7450" w:rsidRDefault="001E7450" w:rsidP="001E7450">
      <w:pPr>
        <w:rPr>
          <w:rFonts w:ascii="Verdana" w:hAnsi="Verdana"/>
        </w:rPr>
      </w:pPr>
    </w:p>
    <w:p w14:paraId="6E5E26FE" w14:textId="77777777" w:rsidR="001E7450" w:rsidRPr="001E7450" w:rsidRDefault="001E7450" w:rsidP="001E7450">
      <w:pPr>
        <w:rPr>
          <w:rFonts w:ascii="Verdana" w:hAnsi="Verdana"/>
        </w:rPr>
      </w:pPr>
    </w:p>
    <w:p w14:paraId="2D0ACC7F" w14:textId="2CA6E746" w:rsidR="001E7450" w:rsidRPr="001E7450" w:rsidRDefault="001E7450" w:rsidP="001E7450">
      <w:pPr>
        <w:rPr>
          <w:rFonts w:ascii="Verdana" w:hAnsi="Verdana"/>
        </w:rPr>
      </w:pPr>
    </w:p>
    <w:p w14:paraId="1253DF1C" w14:textId="77777777" w:rsidR="001E7450" w:rsidRPr="001E7450" w:rsidRDefault="001E7450" w:rsidP="001E7450">
      <w:pPr>
        <w:jc w:val="center"/>
        <w:rPr>
          <w:rFonts w:ascii="Verdana" w:hAnsi="Verdana"/>
          <w:sz w:val="20"/>
        </w:rPr>
      </w:pPr>
      <w:r w:rsidRPr="001E7450">
        <w:rPr>
          <w:rFonts w:ascii="Verdana" w:hAnsi="Verdana"/>
          <w:sz w:val="20"/>
          <w:lang w:val="es-CR"/>
        </w:rPr>
        <w:t>Elizabeth Odio Benito</w:t>
      </w:r>
    </w:p>
    <w:p w14:paraId="36A2E6C6" w14:textId="4E0716D0" w:rsidR="001E7450" w:rsidRDefault="001E7450" w:rsidP="001E7450">
      <w:pPr>
        <w:jc w:val="center"/>
        <w:rPr>
          <w:rFonts w:ascii="Verdana" w:hAnsi="Verdana"/>
          <w:sz w:val="20"/>
        </w:rPr>
      </w:pPr>
      <w:r w:rsidRPr="001E7450">
        <w:rPr>
          <w:rFonts w:ascii="Verdana" w:hAnsi="Verdana"/>
          <w:sz w:val="20"/>
        </w:rPr>
        <w:t>Presidenta</w:t>
      </w:r>
    </w:p>
    <w:p w14:paraId="010304C1" w14:textId="77777777" w:rsidR="001E7450" w:rsidRPr="001E7450" w:rsidRDefault="001E7450" w:rsidP="001E7450">
      <w:pPr>
        <w:jc w:val="center"/>
        <w:rPr>
          <w:rFonts w:ascii="Verdana" w:hAnsi="Verdana"/>
          <w:sz w:val="20"/>
        </w:rPr>
      </w:pPr>
    </w:p>
    <w:p w14:paraId="227C1D36" w14:textId="77777777" w:rsidR="001E7450" w:rsidRPr="001E7450" w:rsidRDefault="001E7450" w:rsidP="001E7450">
      <w:pPr>
        <w:rPr>
          <w:rFonts w:ascii="Verdana" w:hAnsi="Verdana"/>
          <w:sz w:val="20"/>
        </w:rPr>
      </w:pPr>
    </w:p>
    <w:p w14:paraId="0E796DF2" w14:textId="77777777" w:rsidR="001E7450" w:rsidRPr="001E7450" w:rsidRDefault="001E7450" w:rsidP="001E7450">
      <w:pPr>
        <w:jc w:val="center"/>
        <w:rPr>
          <w:rFonts w:ascii="Verdana" w:hAnsi="Verdana"/>
          <w:sz w:val="20"/>
          <w:lang w:val="es-CR"/>
        </w:rPr>
      </w:pPr>
    </w:p>
    <w:p w14:paraId="637BA1C5" w14:textId="77777777" w:rsidR="001E7450" w:rsidRPr="001E7450" w:rsidRDefault="001E7450" w:rsidP="001E7450">
      <w:pPr>
        <w:rPr>
          <w:rFonts w:ascii="Verdana" w:hAnsi="Verdana"/>
          <w:sz w:val="20"/>
          <w:lang w:val="es-CR"/>
        </w:rPr>
      </w:pPr>
    </w:p>
    <w:p w14:paraId="18FA0000" w14:textId="5BAF9067" w:rsidR="001E7450" w:rsidRPr="001E7450" w:rsidRDefault="001E7450" w:rsidP="001E7450">
      <w:pPr>
        <w:rPr>
          <w:rFonts w:ascii="Verdana" w:hAnsi="Verdana"/>
          <w:sz w:val="20"/>
          <w:lang w:val="es-CR"/>
        </w:rPr>
      </w:pPr>
      <w:r w:rsidRPr="001E7450">
        <w:rPr>
          <w:rFonts w:ascii="Verdana" w:hAnsi="Verdana"/>
          <w:sz w:val="20"/>
          <w:lang w:val="es-CR"/>
        </w:rPr>
        <w:t>L. Patricio Pazmiño Freire</w:t>
      </w:r>
      <w:r w:rsidRPr="001E7450">
        <w:rPr>
          <w:rFonts w:ascii="Verdana" w:hAnsi="Verdana"/>
          <w:sz w:val="20"/>
          <w:lang w:val="es-CR"/>
        </w:rPr>
        <w:tab/>
      </w:r>
      <w:r w:rsidRPr="001E7450">
        <w:rPr>
          <w:rFonts w:ascii="Verdana" w:hAnsi="Verdana"/>
          <w:sz w:val="20"/>
          <w:lang w:val="es-CR"/>
        </w:rPr>
        <w:tab/>
      </w:r>
      <w:r w:rsidRPr="001E7450">
        <w:rPr>
          <w:rFonts w:ascii="Verdana" w:hAnsi="Verdana"/>
          <w:sz w:val="20"/>
          <w:lang w:val="es-CR"/>
        </w:rPr>
        <w:tab/>
      </w:r>
      <w:r w:rsidRPr="001E7450">
        <w:rPr>
          <w:rFonts w:ascii="Verdana" w:hAnsi="Verdana"/>
          <w:sz w:val="20"/>
          <w:lang w:val="es-CR"/>
        </w:rPr>
        <w:tab/>
      </w:r>
      <w:r w:rsidRPr="001E7450">
        <w:rPr>
          <w:rFonts w:ascii="Verdana" w:hAnsi="Verdana"/>
          <w:sz w:val="20"/>
          <w:lang w:val="es-CR"/>
        </w:rPr>
        <w:tab/>
      </w:r>
      <w:r w:rsidRPr="001E7450">
        <w:rPr>
          <w:rFonts w:ascii="Verdana" w:hAnsi="Verdana"/>
          <w:sz w:val="20"/>
          <w:lang w:val="es-CR"/>
        </w:rPr>
        <w:tab/>
        <w:t xml:space="preserve">    Eduardo Vio Grossi </w:t>
      </w:r>
    </w:p>
    <w:p w14:paraId="49DEB606" w14:textId="34F876DB" w:rsidR="001E7450" w:rsidRPr="001E7450" w:rsidRDefault="001E7450" w:rsidP="001E7450">
      <w:pPr>
        <w:rPr>
          <w:rFonts w:ascii="Verdana" w:hAnsi="Verdana"/>
          <w:sz w:val="20"/>
          <w:lang w:val="es-CR"/>
        </w:rPr>
      </w:pPr>
    </w:p>
    <w:p w14:paraId="7FF9DC97" w14:textId="77777777" w:rsidR="001E7450" w:rsidRPr="001E7450" w:rsidRDefault="001E7450" w:rsidP="001E7450">
      <w:pPr>
        <w:rPr>
          <w:rFonts w:ascii="Verdana" w:hAnsi="Verdana"/>
          <w:sz w:val="20"/>
          <w:lang w:val="es-CR"/>
        </w:rPr>
      </w:pPr>
    </w:p>
    <w:p w14:paraId="2F9099F2" w14:textId="77777777" w:rsidR="001E7450" w:rsidRPr="001E7450" w:rsidRDefault="001E7450" w:rsidP="001E7450">
      <w:pPr>
        <w:rPr>
          <w:rFonts w:ascii="Verdana" w:hAnsi="Verdana"/>
          <w:sz w:val="20"/>
          <w:lang w:val="es-CR"/>
        </w:rPr>
      </w:pPr>
    </w:p>
    <w:p w14:paraId="596EB3F3" w14:textId="77777777" w:rsidR="001E7450" w:rsidRPr="001E7450" w:rsidRDefault="001E7450" w:rsidP="001E7450">
      <w:pPr>
        <w:rPr>
          <w:rFonts w:ascii="Verdana" w:hAnsi="Verdana"/>
          <w:sz w:val="20"/>
          <w:lang w:val="es-CR"/>
        </w:rPr>
      </w:pPr>
    </w:p>
    <w:p w14:paraId="06FA65B8" w14:textId="77777777" w:rsidR="001E7450" w:rsidRPr="001E7450" w:rsidRDefault="001E7450" w:rsidP="001E7450">
      <w:pPr>
        <w:rPr>
          <w:rFonts w:ascii="Verdana" w:hAnsi="Verdana"/>
          <w:sz w:val="20"/>
        </w:rPr>
      </w:pPr>
    </w:p>
    <w:p w14:paraId="4F1D01A9" w14:textId="77777777" w:rsidR="001E7450" w:rsidRPr="001E7450" w:rsidRDefault="001E7450" w:rsidP="001E7450">
      <w:pPr>
        <w:rPr>
          <w:rFonts w:ascii="Verdana" w:hAnsi="Verdana"/>
          <w:sz w:val="20"/>
          <w:lang w:val="es-CR"/>
        </w:rPr>
      </w:pPr>
    </w:p>
    <w:p w14:paraId="26D5849E" w14:textId="5AD2BEC6" w:rsidR="001E7450" w:rsidRPr="001E7450" w:rsidRDefault="001E7450" w:rsidP="001E7450">
      <w:pPr>
        <w:rPr>
          <w:rFonts w:ascii="Verdana" w:hAnsi="Verdana"/>
          <w:sz w:val="20"/>
        </w:rPr>
      </w:pPr>
      <w:r w:rsidRPr="001E7450">
        <w:rPr>
          <w:rFonts w:ascii="Verdana" w:hAnsi="Verdana"/>
          <w:sz w:val="20"/>
          <w:lang w:val="es-CR"/>
        </w:rPr>
        <w:t>Humberto Antonio Sierra Porto</w:t>
      </w:r>
      <w:r w:rsidRPr="001E7450">
        <w:rPr>
          <w:rFonts w:ascii="Verdana" w:hAnsi="Verdana"/>
          <w:sz w:val="20"/>
        </w:rPr>
        <w:tab/>
      </w:r>
      <w:r w:rsidRPr="001E7450">
        <w:rPr>
          <w:rFonts w:ascii="Verdana" w:hAnsi="Verdana"/>
          <w:sz w:val="20"/>
        </w:rPr>
        <w:tab/>
      </w:r>
      <w:r w:rsidRPr="001E7450">
        <w:rPr>
          <w:rFonts w:ascii="Verdana" w:hAnsi="Verdana"/>
          <w:sz w:val="20"/>
        </w:rPr>
        <w:tab/>
        <w:t xml:space="preserve">        </w:t>
      </w:r>
      <w:r w:rsidRPr="001E7450">
        <w:rPr>
          <w:rFonts w:ascii="Verdana" w:hAnsi="Verdana"/>
          <w:sz w:val="20"/>
          <w:lang w:val="es-CR"/>
        </w:rPr>
        <w:t xml:space="preserve">Eduardo Ferrer Mac-Gregor Poisot </w:t>
      </w:r>
    </w:p>
    <w:p w14:paraId="684D5B2B" w14:textId="77777777" w:rsidR="001E7450" w:rsidRPr="001E7450" w:rsidRDefault="001E7450" w:rsidP="001E7450">
      <w:pPr>
        <w:rPr>
          <w:rFonts w:ascii="Verdana" w:hAnsi="Verdana"/>
          <w:sz w:val="20"/>
          <w:lang w:val="es-CR"/>
        </w:rPr>
      </w:pPr>
    </w:p>
    <w:p w14:paraId="7AAF5C2E" w14:textId="63AFCEDA" w:rsidR="001E7450" w:rsidRPr="001E7450" w:rsidRDefault="001E7450" w:rsidP="001E7450">
      <w:pPr>
        <w:rPr>
          <w:rFonts w:ascii="Verdana" w:hAnsi="Verdana"/>
          <w:sz w:val="20"/>
          <w:lang w:val="es-CR"/>
        </w:rPr>
      </w:pPr>
    </w:p>
    <w:p w14:paraId="34704F91" w14:textId="77777777" w:rsidR="001E7450" w:rsidRPr="001E7450" w:rsidRDefault="001E7450" w:rsidP="001E7450">
      <w:pPr>
        <w:rPr>
          <w:rFonts w:ascii="Verdana" w:hAnsi="Verdana"/>
          <w:sz w:val="20"/>
          <w:lang w:val="es-CR"/>
        </w:rPr>
      </w:pPr>
    </w:p>
    <w:p w14:paraId="53A93515" w14:textId="77777777" w:rsidR="001E7450" w:rsidRPr="001E7450" w:rsidRDefault="001E7450" w:rsidP="001E7450">
      <w:pPr>
        <w:rPr>
          <w:rFonts w:ascii="Verdana" w:hAnsi="Verdana"/>
          <w:sz w:val="20"/>
          <w:lang w:val="es-CR"/>
        </w:rPr>
      </w:pPr>
    </w:p>
    <w:p w14:paraId="1D664471" w14:textId="4A3E3B0D" w:rsidR="001E7450" w:rsidRDefault="001E7450" w:rsidP="001E7450">
      <w:pPr>
        <w:rPr>
          <w:rFonts w:ascii="Verdana" w:hAnsi="Verdana"/>
          <w:sz w:val="20"/>
        </w:rPr>
      </w:pPr>
    </w:p>
    <w:p w14:paraId="506C4CB8" w14:textId="77777777" w:rsidR="001E7450" w:rsidRPr="001E7450" w:rsidRDefault="001E7450" w:rsidP="001E7450">
      <w:pPr>
        <w:rPr>
          <w:rFonts w:ascii="Verdana" w:hAnsi="Verdana"/>
          <w:sz w:val="20"/>
        </w:rPr>
      </w:pPr>
    </w:p>
    <w:p w14:paraId="775C6669" w14:textId="77777777" w:rsidR="001E7450" w:rsidRPr="001E7450" w:rsidRDefault="001E7450" w:rsidP="001E7450">
      <w:pPr>
        <w:rPr>
          <w:rFonts w:ascii="Verdana" w:hAnsi="Verdana"/>
          <w:sz w:val="20"/>
          <w:lang w:val="es-CR"/>
        </w:rPr>
      </w:pPr>
      <w:r w:rsidRPr="001E7450">
        <w:rPr>
          <w:rFonts w:ascii="Verdana" w:hAnsi="Verdana"/>
          <w:sz w:val="20"/>
          <w:lang w:val="es-CR"/>
        </w:rPr>
        <w:t>Eugenio Raúl Zaffaroni</w:t>
      </w:r>
      <w:r w:rsidRPr="001E7450">
        <w:rPr>
          <w:rFonts w:ascii="Verdana" w:hAnsi="Verdana"/>
          <w:sz w:val="20"/>
          <w:lang w:val="es-CR"/>
        </w:rPr>
        <w:tab/>
      </w:r>
      <w:r w:rsidRPr="001E7450">
        <w:rPr>
          <w:rFonts w:ascii="Verdana" w:hAnsi="Verdana"/>
          <w:sz w:val="20"/>
          <w:lang w:val="es-CR"/>
        </w:rPr>
        <w:tab/>
      </w:r>
      <w:r w:rsidRPr="001E7450">
        <w:rPr>
          <w:rFonts w:ascii="Verdana" w:hAnsi="Verdana"/>
          <w:sz w:val="20"/>
          <w:lang w:val="es-CR"/>
        </w:rPr>
        <w:tab/>
      </w:r>
      <w:r w:rsidRPr="001E7450">
        <w:rPr>
          <w:rFonts w:ascii="Verdana" w:hAnsi="Verdana"/>
          <w:sz w:val="20"/>
          <w:lang w:val="es-CR"/>
        </w:rPr>
        <w:tab/>
      </w:r>
      <w:r w:rsidRPr="001E7450">
        <w:rPr>
          <w:rFonts w:ascii="Verdana" w:hAnsi="Verdana"/>
          <w:sz w:val="20"/>
          <w:lang w:val="es-CR"/>
        </w:rPr>
        <w:tab/>
        <w:t xml:space="preserve">    Ricardo C. Pérez Manrique</w:t>
      </w:r>
    </w:p>
    <w:p w14:paraId="2ED1AF4D" w14:textId="77777777" w:rsidR="001E7450" w:rsidRPr="001E7450" w:rsidRDefault="001E7450" w:rsidP="001E7450">
      <w:pPr>
        <w:rPr>
          <w:rFonts w:ascii="Verdana" w:hAnsi="Verdana"/>
          <w:sz w:val="20"/>
          <w:lang w:val="es-CR"/>
        </w:rPr>
      </w:pPr>
      <w:r w:rsidRPr="001E7450">
        <w:rPr>
          <w:rFonts w:ascii="Verdana" w:hAnsi="Verdana"/>
          <w:sz w:val="20"/>
          <w:lang w:val="es-CR"/>
        </w:rPr>
        <w:tab/>
      </w:r>
      <w:r w:rsidRPr="001E7450">
        <w:rPr>
          <w:rFonts w:ascii="Verdana" w:hAnsi="Verdana"/>
          <w:sz w:val="20"/>
          <w:lang w:val="es-CR"/>
        </w:rPr>
        <w:tab/>
      </w:r>
      <w:r w:rsidRPr="001E7450">
        <w:rPr>
          <w:rFonts w:ascii="Verdana" w:hAnsi="Verdana"/>
          <w:sz w:val="20"/>
          <w:lang w:val="es-CR"/>
        </w:rPr>
        <w:tab/>
      </w:r>
    </w:p>
    <w:p w14:paraId="3D3ED8D7" w14:textId="69A280A2" w:rsidR="001E7450" w:rsidRDefault="001E7450" w:rsidP="001E7450">
      <w:pPr>
        <w:rPr>
          <w:rFonts w:ascii="Verdana" w:hAnsi="Verdana"/>
          <w:sz w:val="20"/>
          <w:lang w:val="es-CR"/>
        </w:rPr>
      </w:pPr>
    </w:p>
    <w:p w14:paraId="1A2DC03D" w14:textId="77777777" w:rsidR="001E7450" w:rsidRPr="001E7450" w:rsidRDefault="001E7450" w:rsidP="001E7450">
      <w:pPr>
        <w:rPr>
          <w:rFonts w:ascii="Verdana" w:hAnsi="Verdana"/>
          <w:sz w:val="20"/>
          <w:lang w:val="es-CR"/>
        </w:rPr>
      </w:pPr>
    </w:p>
    <w:p w14:paraId="2F118EF7" w14:textId="77777777" w:rsidR="001E7450" w:rsidRPr="001E7450" w:rsidRDefault="001E7450" w:rsidP="001E7450">
      <w:pPr>
        <w:rPr>
          <w:rFonts w:ascii="Verdana" w:hAnsi="Verdana"/>
          <w:sz w:val="20"/>
          <w:lang w:val="es-CR"/>
        </w:rPr>
      </w:pPr>
    </w:p>
    <w:p w14:paraId="4FA671EC" w14:textId="77777777" w:rsidR="001E7450" w:rsidRPr="001E7450" w:rsidRDefault="001E7450" w:rsidP="001E7450">
      <w:pPr>
        <w:tabs>
          <w:tab w:val="left" w:pos="8460"/>
          <w:tab w:val="left" w:pos="8640"/>
        </w:tabs>
        <w:jc w:val="both"/>
        <w:rPr>
          <w:rFonts w:ascii="Verdana" w:hAnsi="Verdana"/>
          <w:sz w:val="20"/>
          <w:lang w:val="es-CR"/>
        </w:rPr>
      </w:pPr>
    </w:p>
    <w:p w14:paraId="3F6D3C8E" w14:textId="77777777" w:rsidR="001E7450" w:rsidRPr="001E7450" w:rsidRDefault="001E7450" w:rsidP="001E7450">
      <w:pPr>
        <w:tabs>
          <w:tab w:val="left" w:pos="8460"/>
          <w:tab w:val="left" w:pos="8640"/>
        </w:tabs>
        <w:jc w:val="center"/>
        <w:rPr>
          <w:rFonts w:ascii="Verdana" w:hAnsi="Verdana"/>
          <w:sz w:val="20"/>
          <w:lang w:val="es-CR"/>
        </w:rPr>
      </w:pPr>
    </w:p>
    <w:p w14:paraId="5CB8FAE9" w14:textId="77777777" w:rsidR="001E7450" w:rsidRPr="001E7450" w:rsidRDefault="001E7450" w:rsidP="001E7450">
      <w:pPr>
        <w:tabs>
          <w:tab w:val="left" w:pos="8460"/>
          <w:tab w:val="left" w:pos="8640"/>
        </w:tabs>
        <w:jc w:val="center"/>
        <w:rPr>
          <w:rFonts w:ascii="Verdana" w:hAnsi="Verdana"/>
          <w:sz w:val="20"/>
        </w:rPr>
      </w:pPr>
      <w:r w:rsidRPr="001E7450">
        <w:rPr>
          <w:rFonts w:ascii="Verdana" w:hAnsi="Verdana"/>
          <w:sz w:val="20"/>
        </w:rPr>
        <w:t>Pablo Saavedra Alessandri</w:t>
      </w:r>
    </w:p>
    <w:p w14:paraId="3F7EA8FE" w14:textId="77777777" w:rsidR="001E7450" w:rsidRPr="001E7450" w:rsidRDefault="001E7450" w:rsidP="001E7450">
      <w:pPr>
        <w:tabs>
          <w:tab w:val="left" w:pos="8460"/>
          <w:tab w:val="left" w:pos="8640"/>
        </w:tabs>
        <w:jc w:val="center"/>
        <w:rPr>
          <w:rFonts w:ascii="Verdana" w:hAnsi="Verdana"/>
          <w:sz w:val="20"/>
        </w:rPr>
      </w:pPr>
      <w:r w:rsidRPr="001E7450">
        <w:rPr>
          <w:rFonts w:ascii="Verdana" w:hAnsi="Verdana"/>
          <w:sz w:val="20"/>
        </w:rPr>
        <w:t>Secretario</w:t>
      </w:r>
    </w:p>
    <w:p w14:paraId="7925E4C6" w14:textId="6CD1EEB3" w:rsidR="001E7450" w:rsidRPr="001E7450" w:rsidRDefault="001E7450" w:rsidP="001E7450">
      <w:pPr>
        <w:jc w:val="both"/>
        <w:rPr>
          <w:rFonts w:ascii="Verdana" w:hAnsi="Verdana"/>
          <w:sz w:val="20"/>
        </w:rPr>
      </w:pPr>
    </w:p>
    <w:p w14:paraId="3DC66B3A" w14:textId="25F23259" w:rsidR="001E7450" w:rsidRPr="001E7450" w:rsidRDefault="001E7450" w:rsidP="001E7450">
      <w:pPr>
        <w:jc w:val="both"/>
        <w:rPr>
          <w:rFonts w:ascii="Verdana" w:hAnsi="Verdana"/>
          <w:sz w:val="20"/>
        </w:rPr>
      </w:pPr>
    </w:p>
    <w:p w14:paraId="000C6E1C" w14:textId="77777777" w:rsidR="001E7450" w:rsidRPr="001E7450" w:rsidRDefault="001E7450" w:rsidP="001E7450">
      <w:pPr>
        <w:tabs>
          <w:tab w:val="left" w:pos="8460"/>
          <w:tab w:val="left" w:pos="8640"/>
        </w:tabs>
        <w:jc w:val="both"/>
        <w:rPr>
          <w:rFonts w:ascii="Verdana" w:hAnsi="Verdana"/>
          <w:sz w:val="20"/>
        </w:rPr>
      </w:pPr>
      <w:r w:rsidRPr="001E7450">
        <w:rPr>
          <w:rFonts w:ascii="Verdana" w:hAnsi="Verdana"/>
          <w:sz w:val="20"/>
        </w:rPr>
        <w:t>Comuníquese y ejecútese,</w:t>
      </w:r>
    </w:p>
    <w:p w14:paraId="77E8DA12" w14:textId="4161B387" w:rsidR="001E7450" w:rsidRDefault="001E7450" w:rsidP="001E7450">
      <w:pPr>
        <w:rPr>
          <w:rFonts w:ascii="Verdana" w:hAnsi="Verdana"/>
          <w:sz w:val="20"/>
          <w:lang w:val="es-CR"/>
        </w:rPr>
      </w:pPr>
    </w:p>
    <w:p w14:paraId="5C3110A4" w14:textId="77777777" w:rsidR="001E7450" w:rsidRPr="001E7450" w:rsidRDefault="001E7450" w:rsidP="001E7450">
      <w:pPr>
        <w:rPr>
          <w:rFonts w:ascii="Verdana" w:hAnsi="Verdana"/>
          <w:sz w:val="20"/>
          <w:lang w:val="es-CR"/>
        </w:rPr>
      </w:pPr>
    </w:p>
    <w:p w14:paraId="3B02E3B2" w14:textId="77777777" w:rsidR="001E7450" w:rsidRPr="001E7450" w:rsidRDefault="001E7450" w:rsidP="001E7450">
      <w:pPr>
        <w:jc w:val="center"/>
        <w:rPr>
          <w:rFonts w:ascii="Verdana" w:hAnsi="Verdana"/>
          <w:sz w:val="20"/>
          <w:lang w:val="es-CR"/>
        </w:rPr>
      </w:pPr>
    </w:p>
    <w:p w14:paraId="78E5EE37" w14:textId="77777777" w:rsidR="001E7450" w:rsidRPr="001E7450" w:rsidRDefault="001E7450" w:rsidP="001E7450">
      <w:pPr>
        <w:jc w:val="right"/>
        <w:rPr>
          <w:rFonts w:ascii="Verdana" w:hAnsi="Verdana"/>
          <w:sz w:val="20"/>
        </w:rPr>
      </w:pPr>
      <w:r w:rsidRPr="001E7450">
        <w:rPr>
          <w:rFonts w:ascii="Verdana" w:hAnsi="Verdana"/>
          <w:sz w:val="20"/>
          <w:lang w:val="es-CR"/>
        </w:rPr>
        <w:t>Elizabeth Odio Benito</w:t>
      </w:r>
    </w:p>
    <w:p w14:paraId="27F0A9EB" w14:textId="77777777" w:rsidR="001E7450" w:rsidRPr="001E7450" w:rsidRDefault="001E7450" w:rsidP="001E7450">
      <w:pPr>
        <w:ind w:right="519"/>
        <w:jc w:val="right"/>
        <w:rPr>
          <w:rFonts w:ascii="Verdana" w:hAnsi="Verdana"/>
          <w:sz w:val="20"/>
        </w:rPr>
      </w:pPr>
      <w:r w:rsidRPr="001E7450">
        <w:rPr>
          <w:rFonts w:ascii="Verdana" w:hAnsi="Verdana"/>
          <w:sz w:val="20"/>
        </w:rPr>
        <w:t>Presidenta</w:t>
      </w:r>
    </w:p>
    <w:p w14:paraId="56B3729D" w14:textId="26FF38B1" w:rsidR="001E7450" w:rsidRDefault="001E7450" w:rsidP="001E7450">
      <w:pPr>
        <w:tabs>
          <w:tab w:val="left" w:pos="8460"/>
          <w:tab w:val="left" w:pos="8640"/>
        </w:tabs>
        <w:jc w:val="both"/>
        <w:rPr>
          <w:rFonts w:ascii="Verdana" w:hAnsi="Verdana"/>
          <w:sz w:val="20"/>
        </w:rPr>
      </w:pPr>
    </w:p>
    <w:p w14:paraId="282EAA34" w14:textId="77777777" w:rsidR="001E7450" w:rsidRPr="001E7450" w:rsidRDefault="001E7450" w:rsidP="001E7450">
      <w:pPr>
        <w:tabs>
          <w:tab w:val="left" w:pos="8460"/>
          <w:tab w:val="left" w:pos="8640"/>
        </w:tabs>
        <w:jc w:val="both"/>
        <w:rPr>
          <w:rFonts w:ascii="Verdana" w:hAnsi="Verdana"/>
          <w:sz w:val="20"/>
        </w:rPr>
      </w:pPr>
    </w:p>
    <w:p w14:paraId="3D40CD7F" w14:textId="77777777" w:rsidR="001E7450" w:rsidRPr="001E7450" w:rsidRDefault="001E7450" w:rsidP="001E7450">
      <w:pPr>
        <w:tabs>
          <w:tab w:val="left" w:pos="8460"/>
          <w:tab w:val="left" w:pos="8640"/>
        </w:tabs>
        <w:jc w:val="both"/>
        <w:rPr>
          <w:rFonts w:ascii="Verdana" w:hAnsi="Verdana"/>
          <w:sz w:val="20"/>
        </w:rPr>
      </w:pPr>
    </w:p>
    <w:p w14:paraId="7A186084" w14:textId="77777777" w:rsidR="001E7450" w:rsidRPr="001E7450" w:rsidRDefault="001E7450" w:rsidP="001E7450">
      <w:pPr>
        <w:tabs>
          <w:tab w:val="left" w:pos="8460"/>
          <w:tab w:val="left" w:pos="8640"/>
        </w:tabs>
        <w:jc w:val="both"/>
        <w:rPr>
          <w:rFonts w:ascii="Verdana" w:hAnsi="Verdana"/>
          <w:sz w:val="20"/>
        </w:rPr>
      </w:pPr>
      <w:r w:rsidRPr="001E7450">
        <w:rPr>
          <w:rFonts w:ascii="Verdana" w:hAnsi="Verdana"/>
          <w:sz w:val="20"/>
        </w:rPr>
        <w:t>Pablo Saavedra Alessandri</w:t>
      </w:r>
    </w:p>
    <w:p w14:paraId="143BB0ED" w14:textId="77777777" w:rsidR="001E7450" w:rsidRPr="001E7450" w:rsidRDefault="001E7450" w:rsidP="001E7450">
      <w:pPr>
        <w:ind w:firstLine="720"/>
        <w:jc w:val="both"/>
        <w:rPr>
          <w:rFonts w:ascii="Verdana" w:hAnsi="Verdana"/>
          <w:sz w:val="20"/>
        </w:rPr>
      </w:pPr>
      <w:r w:rsidRPr="001E7450">
        <w:rPr>
          <w:rFonts w:ascii="Verdana" w:hAnsi="Verdana"/>
          <w:sz w:val="20"/>
        </w:rPr>
        <w:t xml:space="preserve">  Secretario</w:t>
      </w:r>
    </w:p>
    <w:p w14:paraId="4BBA5AF0" w14:textId="2DAB908E" w:rsidR="00AC6ECD" w:rsidRPr="00977573" w:rsidRDefault="00AC6ECD" w:rsidP="000F3BE2">
      <w:pPr>
        <w:rPr>
          <w:rFonts w:ascii="Verdana" w:hAnsi="Verdana"/>
          <w:sz w:val="20"/>
          <w:szCs w:val="20"/>
          <w:lang w:val="es-CO"/>
        </w:rPr>
      </w:pPr>
    </w:p>
    <w:sectPr w:rsidR="00AC6ECD" w:rsidRPr="00977573" w:rsidSect="00F25E87">
      <w:pgSz w:w="12240" w:h="15840" w:code="11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9540F" w14:textId="77777777" w:rsidR="001C076F" w:rsidRDefault="001C076F" w:rsidP="00890092">
      <w:r>
        <w:separator/>
      </w:r>
    </w:p>
  </w:endnote>
  <w:endnote w:type="continuationSeparator" w:id="0">
    <w:p w14:paraId="5B10ED4D" w14:textId="77777777" w:rsidR="001C076F" w:rsidRDefault="001C076F" w:rsidP="00890092">
      <w:r>
        <w:continuationSeparator/>
      </w:r>
    </w:p>
  </w:endnote>
  <w:endnote w:type="continuationNotice" w:id="1">
    <w:p w14:paraId="6789605E" w14:textId="77777777" w:rsidR="001C076F" w:rsidRDefault="001C07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00000003" w:usb1="08070000" w:usb2="00000010" w:usb3="00000000" w:csb0="00020001"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MT">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1769727742"/>
      <w:docPartObj>
        <w:docPartGallery w:val="Page Numbers (Bottom of Page)"/>
        <w:docPartUnique/>
      </w:docPartObj>
    </w:sdtPr>
    <w:sdtEndPr/>
    <w:sdtContent>
      <w:p w14:paraId="44663A1B" w14:textId="5BE470E1" w:rsidR="0039102A" w:rsidRPr="0009585A" w:rsidRDefault="0039102A">
        <w:pPr>
          <w:pStyle w:val="Piedepgina"/>
          <w:jc w:val="right"/>
          <w:rPr>
            <w:rFonts w:asciiTheme="minorHAnsi" w:hAnsiTheme="minorHAnsi" w:cstheme="minorHAnsi"/>
          </w:rPr>
        </w:pPr>
        <w:r w:rsidRPr="0009585A">
          <w:rPr>
            <w:rFonts w:asciiTheme="minorHAnsi" w:hAnsiTheme="minorHAnsi" w:cstheme="minorHAnsi"/>
          </w:rPr>
          <w:fldChar w:fldCharType="begin"/>
        </w:r>
        <w:r w:rsidRPr="0009585A">
          <w:rPr>
            <w:rFonts w:asciiTheme="minorHAnsi" w:hAnsiTheme="minorHAnsi" w:cstheme="minorHAnsi"/>
          </w:rPr>
          <w:instrText>PAGE   \* MERGEFORMAT</w:instrText>
        </w:r>
        <w:r w:rsidRPr="0009585A">
          <w:rPr>
            <w:rFonts w:asciiTheme="minorHAnsi" w:hAnsiTheme="minorHAnsi" w:cstheme="minorHAnsi"/>
          </w:rPr>
          <w:fldChar w:fldCharType="separate"/>
        </w:r>
        <w:r w:rsidR="0016711D" w:rsidRPr="0016711D">
          <w:rPr>
            <w:rFonts w:asciiTheme="minorHAnsi" w:hAnsiTheme="minorHAnsi" w:cstheme="minorHAnsi"/>
            <w:noProof/>
            <w:lang w:val="es-ES"/>
          </w:rPr>
          <w:t>34</w:t>
        </w:r>
        <w:r w:rsidRPr="0009585A">
          <w:rPr>
            <w:rFonts w:asciiTheme="minorHAnsi" w:hAnsiTheme="minorHAnsi" w:cstheme="minorHAnsi"/>
          </w:rPr>
          <w:fldChar w:fldCharType="end"/>
        </w:r>
      </w:p>
    </w:sdtContent>
  </w:sdt>
  <w:p w14:paraId="20CFFB2C" w14:textId="77777777" w:rsidR="0039102A" w:rsidRPr="0009585A" w:rsidRDefault="0039102A">
    <w:pPr>
      <w:pStyle w:val="Piedepgina"/>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E9B46" w14:textId="77777777" w:rsidR="001C076F" w:rsidRDefault="001C076F" w:rsidP="00890092">
      <w:r>
        <w:separator/>
      </w:r>
    </w:p>
  </w:footnote>
  <w:footnote w:type="continuationSeparator" w:id="0">
    <w:p w14:paraId="32FFD72F" w14:textId="77777777" w:rsidR="001C076F" w:rsidRDefault="001C076F" w:rsidP="00890092">
      <w:r>
        <w:continuationSeparator/>
      </w:r>
    </w:p>
  </w:footnote>
  <w:footnote w:type="continuationNotice" w:id="1">
    <w:p w14:paraId="3994D46C" w14:textId="77777777" w:rsidR="001C076F" w:rsidRDefault="001C076F"/>
  </w:footnote>
  <w:footnote w:id="2">
    <w:p w14:paraId="31CC4D06" w14:textId="77777777" w:rsidR="0039102A" w:rsidRPr="001D38D9" w:rsidRDefault="0039102A" w:rsidP="000461DD">
      <w:pPr>
        <w:pStyle w:val="Textonotapie"/>
        <w:snapToGrid w:val="0"/>
        <w:spacing w:before="100"/>
        <w:rPr>
          <w:sz w:val="16"/>
          <w:szCs w:val="16"/>
          <w:lang w:val="es-ES"/>
        </w:rPr>
      </w:pPr>
      <w:r w:rsidRPr="001D38D9">
        <w:rPr>
          <w:rStyle w:val="Refdenotaalpie"/>
        </w:rPr>
        <w:footnoteRef/>
      </w:r>
      <w:r w:rsidRPr="001D38D9">
        <w:rPr>
          <w:sz w:val="16"/>
          <w:szCs w:val="16"/>
          <w:lang w:val="es-ES"/>
        </w:rPr>
        <w:t xml:space="preserve"> </w:t>
      </w:r>
      <w:r w:rsidRPr="001D38D9">
        <w:rPr>
          <w:sz w:val="16"/>
          <w:szCs w:val="16"/>
          <w:lang w:val="es-ES"/>
        </w:rPr>
        <w:tab/>
        <w:t xml:space="preserve">La Comisión designó como sus delegados al Comisionado Joel Hernández y al entonces Secretario Ejecutivo Paulo </w:t>
      </w:r>
      <w:r w:rsidRPr="001D38D9">
        <w:rPr>
          <w:sz w:val="16"/>
          <w:szCs w:val="16"/>
        </w:rPr>
        <w:t>Abrão</w:t>
      </w:r>
      <w:r w:rsidRPr="001D38D9">
        <w:rPr>
          <w:sz w:val="16"/>
          <w:szCs w:val="16"/>
          <w:lang w:val="es-ES"/>
        </w:rPr>
        <w:t>. Asimismo, delegó a la Secretar</w:t>
      </w:r>
      <w:r>
        <w:rPr>
          <w:sz w:val="16"/>
          <w:szCs w:val="16"/>
          <w:lang w:val="es-ES"/>
        </w:rPr>
        <w:t>i</w:t>
      </w:r>
      <w:r w:rsidRPr="001D38D9">
        <w:rPr>
          <w:sz w:val="16"/>
          <w:szCs w:val="16"/>
          <w:lang w:val="es-ES"/>
        </w:rPr>
        <w:t>a Ejecutiva Adjunta, Marisol Blanchard y a los abogados de la Secretaría Jorge Meza Flores y Christian González Chacón como asesora y asesores legales.</w:t>
      </w:r>
    </w:p>
  </w:footnote>
  <w:footnote w:id="3">
    <w:p w14:paraId="05B3BE91" w14:textId="77777777" w:rsidR="0039102A" w:rsidRPr="001D38D9" w:rsidRDefault="0039102A" w:rsidP="000461DD">
      <w:pPr>
        <w:pStyle w:val="Textonotapie"/>
        <w:snapToGrid w:val="0"/>
        <w:spacing w:before="100"/>
        <w:rPr>
          <w:sz w:val="16"/>
          <w:szCs w:val="16"/>
          <w:lang w:val="es-ES"/>
        </w:rPr>
      </w:pPr>
      <w:r w:rsidRPr="001D38D9">
        <w:rPr>
          <w:rStyle w:val="Refdenotaalpie"/>
        </w:rPr>
        <w:footnoteRef/>
      </w:r>
      <w:r w:rsidRPr="001D38D9">
        <w:rPr>
          <w:sz w:val="16"/>
          <w:szCs w:val="16"/>
          <w:lang w:val="es-ES"/>
        </w:rPr>
        <w:t xml:space="preserve"> </w:t>
      </w:r>
      <w:r w:rsidRPr="001D38D9">
        <w:rPr>
          <w:sz w:val="16"/>
          <w:szCs w:val="16"/>
          <w:lang w:val="es-ES"/>
        </w:rPr>
        <w:tab/>
        <w:t xml:space="preserve">El Estado de Perú designó como su agente titular en este caso a Carlos Miguel Reaño Balarezo, Procurador Público Especializado Supranacional y, como agentes alternos, al Procurador Público Adjunto Especializado Supranacional Carlos Llaja Villena y a la abogada Silvana Lucía Gómez Salazar. El 3 de diciembre de 2020 el Estado informó el término de la designación de la abogada Gómez Salazar como agente alterna. </w:t>
      </w:r>
    </w:p>
  </w:footnote>
  <w:footnote w:id="4">
    <w:p w14:paraId="5BA27CEB" w14:textId="77777777" w:rsidR="0039102A" w:rsidRPr="001D38D9" w:rsidRDefault="0039102A" w:rsidP="000461DD">
      <w:pPr>
        <w:pStyle w:val="Textonotapie"/>
        <w:spacing w:before="100"/>
        <w:rPr>
          <w:sz w:val="16"/>
          <w:szCs w:val="16"/>
        </w:rPr>
      </w:pPr>
      <w:r w:rsidRPr="001D38D9">
        <w:rPr>
          <w:rStyle w:val="Refdenotaalpie"/>
        </w:rPr>
        <w:footnoteRef/>
      </w:r>
      <w:r w:rsidRPr="001D38D9">
        <w:rPr>
          <w:sz w:val="16"/>
          <w:szCs w:val="16"/>
        </w:rPr>
        <w:t xml:space="preserve"> </w:t>
      </w:r>
      <w:r w:rsidRPr="001D38D9">
        <w:rPr>
          <w:sz w:val="16"/>
          <w:szCs w:val="16"/>
        </w:rPr>
        <w:tab/>
      </w:r>
      <w:r w:rsidRPr="001D38D9">
        <w:rPr>
          <w:i/>
          <w:sz w:val="16"/>
          <w:szCs w:val="16"/>
        </w:rPr>
        <w:t>Cfr.</w:t>
      </w:r>
      <w:r w:rsidRPr="001D38D9">
        <w:rPr>
          <w:sz w:val="16"/>
          <w:szCs w:val="16"/>
        </w:rPr>
        <w:t xml:space="preserve"> Caso Moya Solís Vs. Perú. Resolución de la Presidenta de la Corte Interamericana de Derechos Humanos de 1 de febrero de 2021. Disponible en: </w:t>
      </w:r>
      <w:hyperlink r:id="rId1" w:history="1">
        <w:r w:rsidRPr="008F767E">
          <w:rPr>
            <w:rStyle w:val="Hipervnculo"/>
            <w:sz w:val="16"/>
            <w:szCs w:val="16"/>
          </w:rPr>
          <w:t>http://www.corteidh.or.cr/docs/asuntos/moya_solis_1_02_2021.pdf</w:t>
        </w:r>
      </w:hyperlink>
      <w:r w:rsidRPr="00AB596B">
        <w:rPr>
          <w:rStyle w:val="Hipervnculo"/>
          <w:color w:val="auto"/>
          <w:sz w:val="16"/>
          <w:szCs w:val="16"/>
          <w:u w:val="none"/>
        </w:rPr>
        <w:t>.</w:t>
      </w:r>
      <w:r>
        <w:rPr>
          <w:sz w:val="16"/>
          <w:szCs w:val="16"/>
        </w:rPr>
        <w:t xml:space="preserve"> </w:t>
      </w:r>
    </w:p>
  </w:footnote>
  <w:footnote w:id="5">
    <w:p w14:paraId="039F1EB6" w14:textId="77777777" w:rsidR="0039102A" w:rsidRPr="00CE2C31" w:rsidRDefault="0039102A" w:rsidP="000461DD">
      <w:pPr>
        <w:pStyle w:val="Textonotapie"/>
        <w:spacing w:before="100"/>
        <w:rPr>
          <w:b/>
          <w:sz w:val="16"/>
          <w:szCs w:val="18"/>
        </w:rPr>
      </w:pPr>
      <w:r w:rsidRPr="001D38D9">
        <w:rPr>
          <w:rStyle w:val="Refdenotaalpie"/>
        </w:rPr>
        <w:footnoteRef/>
      </w:r>
      <w:r w:rsidRPr="001D38D9">
        <w:rPr>
          <w:sz w:val="16"/>
          <w:szCs w:val="16"/>
        </w:rPr>
        <w:t xml:space="preserve"> </w:t>
      </w:r>
      <w:r w:rsidRPr="001D38D9">
        <w:rPr>
          <w:sz w:val="16"/>
          <w:szCs w:val="16"/>
        </w:rPr>
        <w:tab/>
      </w:r>
      <w:r w:rsidRPr="00886994">
        <w:rPr>
          <w:sz w:val="16"/>
          <w:szCs w:val="16"/>
        </w:rPr>
        <w:t>El 18 de marzo de 2021 se solicitó al Estado información relacionada con la denominación actual del cargo “secretario judicial grado V2”, los salarios devengados por quienes ocupaban dicho cargo y las políticas de ascensos o promociones en el cargo. El 22 de abril de 2021 se solicitó al Estado información sobre los cargos ocupados por la señora Moya Solís en el poder judicial con posterioridad a septiembre de 1982.</w:t>
      </w:r>
      <w:r w:rsidRPr="00467254">
        <w:rPr>
          <w:b/>
          <w:sz w:val="16"/>
          <w:szCs w:val="16"/>
        </w:rPr>
        <w:t xml:space="preserve"> </w:t>
      </w:r>
    </w:p>
  </w:footnote>
  <w:footnote w:id="6">
    <w:p w14:paraId="0A69EFB5" w14:textId="77777777" w:rsidR="0039102A" w:rsidRPr="001D38D9" w:rsidRDefault="0039102A" w:rsidP="000461DD">
      <w:pPr>
        <w:pStyle w:val="Textonotapie"/>
        <w:tabs>
          <w:tab w:val="left" w:pos="567"/>
          <w:tab w:val="left" w:pos="709"/>
        </w:tabs>
        <w:snapToGrid w:val="0"/>
        <w:spacing w:before="100"/>
        <w:rPr>
          <w:sz w:val="16"/>
          <w:szCs w:val="16"/>
          <w:lang w:val="es-ES"/>
        </w:rPr>
      </w:pPr>
      <w:r w:rsidRPr="001D38D9">
        <w:rPr>
          <w:rStyle w:val="Refdenotaalpie"/>
        </w:rPr>
        <w:footnoteRef/>
      </w:r>
      <w:r w:rsidRPr="001D38D9">
        <w:rPr>
          <w:sz w:val="16"/>
          <w:szCs w:val="16"/>
          <w:lang w:val="es-ES"/>
        </w:rPr>
        <w:t xml:space="preserve"> </w:t>
      </w:r>
      <w:r w:rsidRPr="001D38D9">
        <w:rPr>
          <w:sz w:val="16"/>
          <w:szCs w:val="16"/>
          <w:lang w:val="es-ES"/>
        </w:rPr>
        <w:tab/>
      </w:r>
      <w:r w:rsidRPr="001D38D9">
        <w:rPr>
          <w:color w:val="000000" w:themeColor="text1"/>
          <w:sz w:val="16"/>
          <w:szCs w:val="16"/>
          <w:lang w:val="es-ES"/>
        </w:rPr>
        <w:t>Debido a las circunstancias excepcionales ocasionadas por la pandemia COVID -19, e</w:t>
      </w:r>
      <w:r w:rsidRPr="001D38D9">
        <w:rPr>
          <w:sz w:val="16"/>
          <w:szCs w:val="16"/>
          <w:lang w:val="es-ES"/>
        </w:rPr>
        <w:t xml:space="preserve">sta Sentencia fue deliberada y aprobada durante el </w:t>
      </w:r>
      <w:r>
        <w:rPr>
          <w:sz w:val="16"/>
          <w:szCs w:val="16"/>
          <w:lang w:val="es-ES"/>
        </w:rPr>
        <w:t>142</w:t>
      </w:r>
      <w:r w:rsidRPr="001D38D9">
        <w:rPr>
          <w:sz w:val="16"/>
          <w:szCs w:val="16"/>
          <w:lang w:val="es-ES"/>
        </w:rPr>
        <w:t xml:space="preserve"> Período Ordinario de Sesiones, el cual se llevó</w:t>
      </w:r>
      <w:r w:rsidRPr="001D38D9">
        <w:rPr>
          <w:color w:val="000000" w:themeColor="text1"/>
          <w:sz w:val="16"/>
          <w:szCs w:val="16"/>
          <w:lang w:val="es-ES"/>
        </w:rPr>
        <w:t xml:space="preserve"> a cabo de forma no presencial utilizando medios tecnológicos de conformidad con lo establecido en el Reglamento de la Corte. </w:t>
      </w:r>
    </w:p>
  </w:footnote>
  <w:footnote w:id="7">
    <w:p w14:paraId="1D1DA017" w14:textId="77777777" w:rsidR="0039102A" w:rsidRPr="00D87505" w:rsidRDefault="0039102A" w:rsidP="000461DD">
      <w:pPr>
        <w:pStyle w:val="Textonotapie"/>
        <w:spacing w:before="100"/>
        <w:rPr>
          <w:b/>
          <w:sz w:val="16"/>
          <w:szCs w:val="16"/>
        </w:rPr>
      </w:pPr>
      <w:r w:rsidRPr="00E92DC1">
        <w:rPr>
          <w:rStyle w:val="Refdenotaalpie"/>
        </w:rPr>
        <w:footnoteRef/>
      </w:r>
      <w:r w:rsidRPr="00E92DC1">
        <w:rPr>
          <w:sz w:val="16"/>
          <w:szCs w:val="16"/>
        </w:rPr>
        <w:t xml:space="preserve"> </w:t>
      </w:r>
      <w:r w:rsidRPr="00E92DC1">
        <w:rPr>
          <w:sz w:val="16"/>
          <w:szCs w:val="16"/>
        </w:rPr>
        <w:tab/>
      </w:r>
      <w:r w:rsidRPr="007F328B">
        <w:rPr>
          <w:i/>
          <w:sz w:val="16"/>
          <w:szCs w:val="16"/>
        </w:rPr>
        <w:t>Cfr. Caso Velásquez Rodríguez Vs. Honduras</w:t>
      </w:r>
      <w:r w:rsidRPr="0064145D">
        <w:rPr>
          <w:i/>
          <w:sz w:val="16"/>
          <w:szCs w:val="16"/>
        </w:rPr>
        <w:t xml:space="preserve">. Excepciones Preliminares. </w:t>
      </w:r>
      <w:r w:rsidRPr="0064145D">
        <w:rPr>
          <w:sz w:val="16"/>
          <w:szCs w:val="16"/>
        </w:rPr>
        <w:t xml:space="preserve">Sentencia de 26 </w:t>
      </w:r>
      <w:r>
        <w:rPr>
          <w:sz w:val="16"/>
          <w:szCs w:val="16"/>
        </w:rPr>
        <w:t>de junio de 1987. Serie C No. 1</w:t>
      </w:r>
      <w:r w:rsidRPr="007F328B">
        <w:rPr>
          <w:sz w:val="16"/>
          <w:szCs w:val="16"/>
        </w:rPr>
        <w:t xml:space="preserve">, párr. 88, y </w:t>
      </w:r>
      <w:r w:rsidRPr="007F328B">
        <w:rPr>
          <w:i/>
          <w:sz w:val="16"/>
          <w:szCs w:val="16"/>
        </w:rPr>
        <w:t>Caso Martínez Esq</w:t>
      </w:r>
      <w:r>
        <w:rPr>
          <w:i/>
          <w:sz w:val="16"/>
          <w:szCs w:val="16"/>
        </w:rPr>
        <w:t>uivia Vs. Colombia. Excepciones P</w:t>
      </w:r>
      <w:r w:rsidRPr="007F328B">
        <w:rPr>
          <w:i/>
          <w:sz w:val="16"/>
          <w:szCs w:val="16"/>
        </w:rPr>
        <w:t>reliminares, Fondo y Reparaciones.</w:t>
      </w:r>
      <w:r w:rsidRPr="007F328B">
        <w:rPr>
          <w:sz w:val="16"/>
          <w:szCs w:val="16"/>
        </w:rPr>
        <w:t xml:space="preserve"> Sentencia de 6 de octubre de 2020. Serie C No. 412, párr. 21.</w:t>
      </w:r>
    </w:p>
  </w:footnote>
  <w:footnote w:id="8">
    <w:p w14:paraId="149341B7" w14:textId="77777777" w:rsidR="0039102A" w:rsidRPr="001D38D9" w:rsidRDefault="0039102A" w:rsidP="000461DD">
      <w:pPr>
        <w:pStyle w:val="Textonotapie"/>
        <w:spacing w:before="100"/>
        <w:rPr>
          <w:rFonts w:cstheme="minorHAnsi"/>
          <w:sz w:val="16"/>
          <w:szCs w:val="16"/>
          <w:lang w:val="es-CO"/>
        </w:rPr>
      </w:pPr>
      <w:r w:rsidRPr="001D38D9">
        <w:rPr>
          <w:rStyle w:val="Refdenotaalpie"/>
          <w:lang w:val="es-CO"/>
        </w:rPr>
        <w:footnoteRef/>
      </w:r>
      <w:r w:rsidRPr="001D38D9">
        <w:rPr>
          <w:rFonts w:cstheme="minorHAnsi"/>
          <w:sz w:val="16"/>
          <w:szCs w:val="16"/>
          <w:lang w:val="es-CO"/>
        </w:rPr>
        <w:t xml:space="preserve"> </w:t>
      </w:r>
      <w:r w:rsidRPr="001D38D9">
        <w:rPr>
          <w:rFonts w:cstheme="minorHAnsi"/>
          <w:sz w:val="16"/>
          <w:szCs w:val="16"/>
          <w:lang w:val="es-CO"/>
        </w:rPr>
        <w:tab/>
      </w:r>
      <w:r w:rsidRPr="001D38D9">
        <w:rPr>
          <w:rFonts w:cstheme="minorHAnsi"/>
          <w:i/>
          <w:sz w:val="16"/>
          <w:szCs w:val="16"/>
          <w:lang w:val="es-CO"/>
        </w:rPr>
        <w:t>Cfr.</w:t>
      </w:r>
      <w:r w:rsidRPr="001D38D9">
        <w:rPr>
          <w:rFonts w:cstheme="minorHAnsi"/>
          <w:sz w:val="16"/>
          <w:szCs w:val="16"/>
          <w:lang w:val="es-CO"/>
        </w:rPr>
        <w:t xml:space="preserve"> </w:t>
      </w:r>
      <w:r w:rsidRPr="001D38D9">
        <w:rPr>
          <w:rFonts w:cstheme="minorHAnsi"/>
          <w:i/>
          <w:sz w:val="16"/>
          <w:szCs w:val="16"/>
          <w:lang w:val="es-CO"/>
        </w:rPr>
        <w:t>Caso del Pueblo Saramaka Vs. Suriname. Excepciones Preliminares, Fondo, Reparaciones y Costas.</w:t>
      </w:r>
      <w:r w:rsidRPr="001D38D9">
        <w:rPr>
          <w:rFonts w:cstheme="minorHAnsi"/>
          <w:sz w:val="16"/>
          <w:szCs w:val="16"/>
          <w:lang w:val="es-CO"/>
        </w:rPr>
        <w:t xml:space="preserve"> Sentencia de 28 de noviembre de 2007. Serie C No. 172, párr. 32, y </w:t>
      </w:r>
      <w:r w:rsidRPr="001D38D9">
        <w:rPr>
          <w:rFonts w:cstheme="minorHAnsi"/>
          <w:i/>
          <w:sz w:val="16"/>
          <w:szCs w:val="16"/>
          <w:lang w:val="es-CO"/>
        </w:rPr>
        <w:t>Caso Urrutia Laubreaux Vs. Chile. Excepciones Preliminares, Fondo, Reparaciones y Costas.</w:t>
      </w:r>
      <w:r w:rsidRPr="001D38D9">
        <w:rPr>
          <w:rFonts w:cstheme="minorHAnsi"/>
          <w:sz w:val="16"/>
          <w:szCs w:val="16"/>
          <w:lang w:val="es-CO"/>
        </w:rPr>
        <w:t xml:space="preserve"> Sentencia de 27 de agosto de 2020. Serie C No. 409, párr. 25.</w:t>
      </w:r>
    </w:p>
  </w:footnote>
  <w:footnote w:id="9">
    <w:p w14:paraId="704CB529" w14:textId="77777777" w:rsidR="0039102A" w:rsidRPr="009C3FC1" w:rsidRDefault="0039102A" w:rsidP="000461DD">
      <w:pPr>
        <w:pStyle w:val="Textonotapie"/>
        <w:spacing w:before="100"/>
        <w:rPr>
          <w:sz w:val="16"/>
        </w:rPr>
      </w:pPr>
      <w:r w:rsidRPr="001D38D9">
        <w:rPr>
          <w:rStyle w:val="Refdenotaalpie"/>
        </w:rPr>
        <w:footnoteRef/>
      </w:r>
      <w:r w:rsidRPr="001D38D9">
        <w:rPr>
          <w:sz w:val="16"/>
          <w:szCs w:val="16"/>
        </w:rPr>
        <w:t xml:space="preserve"> </w:t>
      </w:r>
      <w:r w:rsidRPr="001D38D9">
        <w:rPr>
          <w:sz w:val="16"/>
          <w:szCs w:val="16"/>
        </w:rPr>
        <w:tab/>
        <w:t xml:space="preserve">La petición inicial de la presunta víctima señala: “DENUNCIO al Estado Peruano, por violación de la </w:t>
      </w:r>
      <w:r>
        <w:rPr>
          <w:sz w:val="16"/>
          <w:szCs w:val="16"/>
        </w:rPr>
        <w:t>C</w:t>
      </w:r>
      <w:r w:rsidRPr="001D38D9">
        <w:rPr>
          <w:sz w:val="16"/>
          <w:szCs w:val="16"/>
        </w:rPr>
        <w:t>onvención enunciada y por haberse conculcado principales derechos de garantía constitucional peruana en agravio de la suscrita, por los fundamentos de hecho y de derecho que expongo: […] 2. - Mediante Leyes No 23344 de fecha 19 diciembre del año 1981 y 23369 de fecha 31 diciembre del año 1981, se legisló sobre los nombramientos de Secretarios de Juzgado y la ratific</w:t>
      </w:r>
      <w:r>
        <w:rPr>
          <w:sz w:val="16"/>
          <w:szCs w:val="16"/>
        </w:rPr>
        <w:t>ación de los magistrados de la C</w:t>
      </w:r>
      <w:r w:rsidRPr="001D38D9">
        <w:rPr>
          <w:sz w:val="16"/>
          <w:szCs w:val="16"/>
        </w:rPr>
        <w:t>orte,</w:t>
      </w:r>
      <w:r>
        <w:rPr>
          <w:sz w:val="16"/>
          <w:szCs w:val="16"/>
        </w:rPr>
        <w:t xml:space="preserve"> secretarios y relatores de la C</w:t>
      </w:r>
      <w:r w:rsidRPr="001D38D9">
        <w:rPr>
          <w:sz w:val="16"/>
          <w:szCs w:val="16"/>
        </w:rPr>
        <w:t>orte, respectivamente. Con el objeto de cumplirse dichos mandatos, mediante Decreto Supremo No 003-82 JUS, de fecha 13 de enero del año 1982, se nombró una Comisión de vocales para proceder con la ratificación de los Secretarios de Juzgados. Es así que después de la revisión de los expedientes a mi cargo y de la evaluación efectuada por la Comisión de Ratificación, el Presidente del Tribunal me comunicó con fecha 13 de septiembre del año 1982, no haber sido ratificada en el Cargo de Secretaria Judicial, impidiéndome la entrada a mi centro de labores sin fundamento […]”</w:t>
      </w:r>
      <w:r>
        <w:rPr>
          <w:sz w:val="16"/>
          <w:szCs w:val="16"/>
        </w:rPr>
        <w:t>.</w:t>
      </w:r>
      <w:r w:rsidRPr="001D38D9">
        <w:rPr>
          <w:sz w:val="16"/>
          <w:szCs w:val="16"/>
        </w:rPr>
        <w:t xml:space="preserve"> </w:t>
      </w:r>
      <w:r>
        <w:rPr>
          <w:sz w:val="16"/>
          <w:szCs w:val="16"/>
        </w:rPr>
        <w:t xml:space="preserve">Petición inicial presentada por la señora Norka Moya Solís ante la Comisión Interamericana de Derechos Humanos, 21 de marzo de 2000 </w:t>
      </w:r>
      <w:r w:rsidRPr="001D38D9">
        <w:rPr>
          <w:sz w:val="16"/>
          <w:szCs w:val="16"/>
        </w:rPr>
        <w:t>(expediente de prueba, folios 314 a 315).</w:t>
      </w:r>
    </w:p>
  </w:footnote>
  <w:footnote w:id="10">
    <w:p w14:paraId="49CEE220" w14:textId="77777777" w:rsidR="0039102A" w:rsidRPr="001D38D9" w:rsidRDefault="0039102A" w:rsidP="000461DD">
      <w:pPr>
        <w:pStyle w:val="Textonotapie"/>
        <w:spacing w:before="100"/>
        <w:rPr>
          <w:rFonts w:cstheme="minorHAnsi"/>
          <w:sz w:val="16"/>
          <w:szCs w:val="16"/>
          <w:lang w:val="es-CO"/>
        </w:rPr>
      </w:pPr>
      <w:r w:rsidRPr="001D38D9">
        <w:rPr>
          <w:rStyle w:val="Refdenotaalpie"/>
          <w:lang w:val="es-CO"/>
        </w:rPr>
        <w:footnoteRef/>
      </w:r>
      <w:r w:rsidRPr="001D38D9">
        <w:rPr>
          <w:rFonts w:cstheme="minorHAnsi"/>
          <w:sz w:val="16"/>
          <w:szCs w:val="16"/>
          <w:lang w:val="es-CO"/>
        </w:rPr>
        <w:t xml:space="preserve"> </w:t>
      </w:r>
      <w:r w:rsidRPr="001D38D9">
        <w:rPr>
          <w:rFonts w:cstheme="minorHAnsi"/>
          <w:sz w:val="16"/>
          <w:szCs w:val="16"/>
          <w:lang w:val="es-CO"/>
        </w:rPr>
        <w:tab/>
      </w:r>
      <w:r w:rsidRPr="001D38D9">
        <w:rPr>
          <w:rFonts w:cstheme="minorHAnsi"/>
          <w:i/>
          <w:sz w:val="16"/>
          <w:szCs w:val="16"/>
          <w:lang w:val="es-CO"/>
        </w:rPr>
        <w:t>Cfr. Caso de los “Niños de la Calle” (Villagrán Morales y otros) Vs. Guatemala. Fondo.</w:t>
      </w:r>
      <w:r w:rsidRPr="001D38D9">
        <w:rPr>
          <w:rFonts w:cstheme="minorHAnsi"/>
          <w:sz w:val="16"/>
          <w:szCs w:val="16"/>
          <w:lang w:val="es-CO"/>
        </w:rPr>
        <w:t xml:space="preserve"> Sentencia de 19 de noviembre de 1999. Serie C No. 63, párr. 222, y </w:t>
      </w:r>
      <w:r w:rsidRPr="00C75795">
        <w:rPr>
          <w:rFonts w:cstheme="minorHAnsi"/>
          <w:i/>
          <w:sz w:val="16"/>
          <w:szCs w:val="16"/>
          <w:lang w:val="es-CO"/>
        </w:rPr>
        <w:t xml:space="preserve">Caso Cordero Bernal Vs. Perú. Excepción Preliminar y Fondo. </w:t>
      </w:r>
      <w:r w:rsidRPr="00C75795">
        <w:rPr>
          <w:rFonts w:cstheme="minorHAnsi"/>
          <w:sz w:val="16"/>
          <w:szCs w:val="16"/>
          <w:lang w:val="es-CO"/>
        </w:rPr>
        <w:t xml:space="preserve">Sentencia de 16 de febrero de 2021. Serie C No. 421, párr. 18. </w:t>
      </w:r>
    </w:p>
  </w:footnote>
  <w:footnote w:id="11">
    <w:p w14:paraId="20C5C5C3" w14:textId="77777777" w:rsidR="0039102A" w:rsidRPr="001D38D9" w:rsidRDefault="0039102A" w:rsidP="000461DD">
      <w:pPr>
        <w:pStyle w:val="Textonotapie"/>
        <w:spacing w:before="100"/>
        <w:rPr>
          <w:rFonts w:cstheme="minorHAnsi"/>
          <w:sz w:val="16"/>
          <w:szCs w:val="16"/>
          <w:lang w:val="es-CO"/>
        </w:rPr>
      </w:pPr>
      <w:r w:rsidRPr="001D38D9">
        <w:rPr>
          <w:rStyle w:val="Refdenotaalpie"/>
          <w:lang w:val="es-CO"/>
        </w:rPr>
        <w:footnoteRef/>
      </w:r>
      <w:r w:rsidRPr="00802F45">
        <w:rPr>
          <w:rFonts w:cstheme="minorHAnsi"/>
          <w:sz w:val="16"/>
          <w:szCs w:val="16"/>
        </w:rPr>
        <w:t xml:space="preserve"> </w:t>
      </w:r>
      <w:r w:rsidRPr="00802F45">
        <w:rPr>
          <w:rFonts w:cstheme="minorHAnsi"/>
          <w:sz w:val="16"/>
          <w:szCs w:val="16"/>
        </w:rPr>
        <w:tab/>
      </w:r>
      <w:r w:rsidRPr="00802F45">
        <w:rPr>
          <w:rFonts w:cstheme="minorHAnsi"/>
          <w:i/>
          <w:sz w:val="16"/>
          <w:szCs w:val="16"/>
        </w:rPr>
        <w:t>Cfr.</w:t>
      </w:r>
      <w:r w:rsidRPr="00802F45">
        <w:rPr>
          <w:rFonts w:cstheme="minorHAnsi"/>
          <w:sz w:val="16"/>
          <w:szCs w:val="16"/>
        </w:rPr>
        <w:t xml:space="preserve"> </w:t>
      </w:r>
      <w:r w:rsidRPr="00802F45">
        <w:rPr>
          <w:rFonts w:eastAsiaTheme="minorHAnsi" w:cstheme="minorHAnsi"/>
          <w:i/>
          <w:iCs/>
          <w:sz w:val="16"/>
          <w:szCs w:val="16"/>
        </w:rPr>
        <w:t xml:space="preserve">Caso Familia Pacheco Tineo Vs. </w:t>
      </w:r>
      <w:r w:rsidRPr="001D38D9">
        <w:rPr>
          <w:rFonts w:eastAsiaTheme="minorHAnsi" w:cstheme="minorHAnsi"/>
          <w:i/>
          <w:iCs/>
          <w:sz w:val="16"/>
          <w:szCs w:val="16"/>
          <w:lang w:val="es-CO"/>
        </w:rPr>
        <w:t xml:space="preserve">Bolivia. Excepciones Preliminares, Fondo, Reparaciones y Costas. </w:t>
      </w:r>
      <w:r w:rsidRPr="001D38D9">
        <w:rPr>
          <w:rFonts w:eastAsiaTheme="minorHAnsi" w:cstheme="minorHAnsi"/>
          <w:iCs/>
          <w:sz w:val="16"/>
          <w:szCs w:val="16"/>
          <w:lang w:val="es-CO"/>
        </w:rPr>
        <w:t xml:space="preserve">Sentencia de 25 de noviembre de </w:t>
      </w:r>
      <w:r>
        <w:rPr>
          <w:rFonts w:eastAsiaTheme="minorHAnsi" w:cstheme="minorHAnsi"/>
          <w:iCs/>
          <w:sz w:val="16"/>
          <w:szCs w:val="16"/>
          <w:lang w:val="es-CO"/>
        </w:rPr>
        <w:t>2013. Serie C No. 272, párr. 22, y</w:t>
      </w:r>
      <w:r w:rsidRPr="00C75795">
        <w:rPr>
          <w:rFonts w:cstheme="minorHAnsi"/>
          <w:i/>
          <w:sz w:val="16"/>
          <w:szCs w:val="16"/>
          <w:shd w:val="clear" w:color="auto" w:fill="FFFFFF"/>
          <w:lang w:val="es-CO"/>
        </w:rPr>
        <w:t xml:space="preserve"> </w:t>
      </w:r>
      <w:r w:rsidRPr="00CA2DDE">
        <w:rPr>
          <w:rFonts w:cstheme="minorHAnsi"/>
          <w:i/>
          <w:sz w:val="16"/>
          <w:szCs w:val="16"/>
          <w:shd w:val="clear" w:color="auto" w:fill="FFFFFF"/>
          <w:lang w:val="es-CO"/>
        </w:rPr>
        <w:t xml:space="preserve">Caso Coc Max y otros (Masacre de Xamán) Vs. Guatemala. </w:t>
      </w:r>
      <w:r w:rsidRPr="00CA2DDE">
        <w:rPr>
          <w:rFonts w:cstheme="minorHAnsi"/>
          <w:sz w:val="16"/>
          <w:szCs w:val="16"/>
          <w:shd w:val="clear" w:color="auto" w:fill="FFFFFF"/>
          <w:lang w:val="es-CO"/>
        </w:rPr>
        <w:t>Fondo, Reparaciones y Costas. Sentencia de 22 de agosto de 2018. Serie C No. 356</w:t>
      </w:r>
      <w:r>
        <w:rPr>
          <w:rFonts w:cstheme="minorHAnsi"/>
          <w:sz w:val="16"/>
          <w:szCs w:val="16"/>
          <w:shd w:val="clear" w:color="auto" w:fill="FFFFFF"/>
          <w:lang w:val="es-CO"/>
        </w:rPr>
        <w:t>, párr. 133</w:t>
      </w:r>
      <w:r w:rsidRPr="00CA2DDE">
        <w:rPr>
          <w:rFonts w:cstheme="minorHAnsi"/>
          <w:sz w:val="16"/>
          <w:szCs w:val="16"/>
          <w:shd w:val="clear" w:color="auto" w:fill="FFFFFF"/>
          <w:lang w:val="es-CO"/>
        </w:rPr>
        <w:t>.</w:t>
      </w:r>
    </w:p>
  </w:footnote>
  <w:footnote w:id="12">
    <w:p w14:paraId="5E407F0A" w14:textId="77777777" w:rsidR="0039102A" w:rsidRPr="001D38D9" w:rsidRDefault="0039102A" w:rsidP="000461DD">
      <w:pPr>
        <w:pStyle w:val="Textonotapie"/>
        <w:spacing w:before="100"/>
        <w:rPr>
          <w:sz w:val="16"/>
          <w:szCs w:val="16"/>
        </w:rPr>
      </w:pPr>
      <w:r w:rsidRPr="001D38D9">
        <w:rPr>
          <w:rStyle w:val="Refdenotaalpie"/>
        </w:rPr>
        <w:footnoteRef/>
      </w:r>
      <w:r w:rsidRPr="001D38D9">
        <w:rPr>
          <w:sz w:val="16"/>
          <w:szCs w:val="16"/>
        </w:rPr>
        <w:t xml:space="preserve"> </w:t>
      </w:r>
      <w:r w:rsidRPr="001D38D9">
        <w:rPr>
          <w:sz w:val="16"/>
          <w:szCs w:val="16"/>
        </w:rPr>
        <w:tab/>
        <w:t>La prueba documental puede ser presentada, en general y de conformidad con el artículo 57.2 del Reglamento, junto con los escritos de sometimiento del caso, de solicitudes y argumentos o de contestación, según corresponda. No es admisible la prueba remitida fuera de esas oportunidades procesales, salvo las excepciones establecidas en el referido artículo 57.2 del Reglamento (fuerza mayor o impedimento grave) o si se trata de un hecho superviniente, es decir, ocurrido con posterioridad a los citados momentos procesales.</w:t>
      </w:r>
    </w:p>
  </w:footnote>
  <w:footnote w:id="13">
    <w:p w14:paraId="6B567B1F" w14:textId="77777777" w:rsidR="0039102A" w:rsidRPr="0009585A" w:rsidRDefault="0039102A" w:rsidP="000461DD">
      <w:pPr>
        <w:pStyle w:val="Textonotapie"/>
        <w:snapToGrid w:val="0"/>
        <w:spacing w:before="100"/>
        <w:rPr>
          <w:rFonts w:cs="Arial Unicode MS"/>
          <w:sz w:val="16"/>
          <w:szCs w:val="16"/>
          <w:lang w:val="es-ES"/>
        </w:rPr>
      </w:pPr>
      <w:r w:rsidRPr="001D38D9">
        <w:rPr>
          <w:rStyle w:val="None"/>
          <w:sz w:val="16"/>
          <w:szCs w:val="16"/>
          <w:vertAlign w:val="superscript"/>
          <w:lang w:val="es-ES"/>
        </w:rPr>
        <w:footnoteRef/>
      </w:r>
      <w:r w:rsidRPr="001D38D9">
        <w:rPr>
          <w:rStyle w:val="None"/>
          <w:rFonts w:eastAsia="Arial Unicode MS" w:cs="Arial Unicode MS"/>
          <w:sz w:val="16"/>
          <w:szCs w:val="16"/>
          <w:lang w:val="es-ES"/>
        </w:rPr>
        <w:t xml:space="preserve"> </w:t>
      </w:r>
      <w:r w:rsidRPr="001D38D9">
        <w:rPr>
          <w:rStyle w:val="None"/>
          <w:rFonts w:eastAsia="Arial Unicode MS" w:cs="Arial Unicode MS"/>
          <w:sz w:val="16"/>
          <w:szCs w:val="16"/>
          <w:lang w:val="es-ES"/>
        </w:rPr>
        <w:tab/>
      </w:r>
      <w:r w:rsidRPr="001D38D9">
        <w:rPr>
          <w:rStyle w:val="None"/>
          <w:rFonts w:eastAsia="Arial Unicode MS" w:cs="Arial Unicode MS"/>
          <w:i/>
          <w:sz w:val="16"/>
          <w:szCs w:val="16"/>
          <w:lang w:val="es-ES"/>
        </w:rPr>
        <w:t>Cfr.</w:t>
      </w:r>
      <w:r w:rsidRPr="001D38D9">
        <w:rPr>
          <w:rStyle w:val="None"/>
          <w:rFonts w:eastAsia="Arial Unicode MS" w:cs="Arial Unicode MS"/>
          <w:sz w:val="16"/>
          <w:szCs w:val="16"/>
          <w:lang w:val="es-ES"/>
        </w:rPr>
        <w:t xml:space="preserve"> </w:t>
      </w:r>
      <w:r w:rsidRPr="001D38D9">
        <w:rPr>
          <w:rFonts w:cs="Arial Unicode MS"/>
          <w:sz w:val="16"/>
          <w:szCs w:val="16"/>
          <w:lang w:val="es-ES"/>
        </w:rPr>
        <w:t>Artículo 57 del Reglamento; también</w:t>
      </w:r>
      <w:r w:rsidRPr="001D38D9">
        <w:rPr>
          <w:rStyle w:val="None"/>
          <w:rFonts w:eastAsia="Arial Unicode MS" w:cs="Arial Unicode MS"/>
          <w:i/>
          <w:iCs/>
          <w:sz w:val="16"/>
          <w:szCs w:val="16"/>
          <w:lang w:val="es-ES"/>
        </w:rPr>
        <w:t xml:space="preserve"> Caso Velásquez Rodríguez Vs. Honduras. Fondo. </w:t>
      </w:r>
      <w:r w:rsidRPr="001D38D9">
        <w:rPr>
          <w:rStyle w:val="None"/>
          <w:rFonts w:eastAsia="Arial Unicode MS" w:cs="Arial Unicode MS"/>
          <w:sz w:val="16"/>
          <w:szCs w:val="16"/>
          <w:lang w:val="es-ES"/>
        </w:rPr>
        <w:t xml:space="preserve">Sentencia de 29 de julio de 1988. Serie C No. 4, párr. 140, y </w:t>
      </w:r>
      <w:r w:rsidRPr="0009585A">
        <w:rPr>
          <w:rFonts w:cs="Arial Unicode MS"/>
          <w:i/>
          <w:iCs/>
          <w:sz w:val="16"/>
          <w:szCs w:val="16"/>
          <w:lang w:val="es-ES"/>
        </w:rPr>
        <w:t>Caso Cordero Bernal Vs. Perú</w:t>
      </w:r>
      <w:r>
        <w:rPr>
          <w:rFonts w:cs="Arial Unicode MS"/>
          <w:i/>
          <w:iCs/>
          <w:sz w:val="16"/>
          <w:szCs w:val="16"/>
          <w:lang w:val="es-ES"/>
        </w:rPr>
        <w:t xml:space="preserve">, supra, </w:t>
      </w:r>
      <w:r>
        <w:rPr>
          <w:rFonts w:cs="Arial Unicode MS"/>
          <w:iCs/>
          <w:sz w:val="16"/>
          <w:szCs w:val="16"/>
          <w:lang w:val="es-ES"/>
        </w:rPr>
        <w:t>párr. 20.</w:t>
      </w:r>
    </w:p>
  </w:footnote>
  <w:footnote w:id="14">
    <w:p w14:paraId="6FBE41F4" w14:textId="77777777" w:rsidR="0039102A" w:rsidRPr="00FB069B" w:rsidRDefault="0039102A" w:rsidP="000461DD">
      <w:pPr>
        <w:pStyle w:val="Textonotapie"/>
        <w:spacing w:before="100"/>
        <w:rPr>
          <w:sz w:val="16"/>
          <w:szCs w:val="16"/>
        </w:rPr>
      </w:pPr>
      <w:r w:rsidRPr="00D46920">
        <w:rPr>
          <w:rStyle w:val="Refdenotaalpie"/>
        </w:rPr>
        <w:footnoteRef/>
      </w:r>
      <w:r w:rsidRPr="00D46920">
        <w:rPr>
          <w:sz w:val="16"/>
          <w:szCs w:val="16"/>
        </w:rPr>
        <w:t xml:space="preserve"> </w:t>
      </w:r>
      <w:r w:rsidRPr="00D46920">
        <w:rPr>
          <w:sz w:val="16"/>
          <w:szCs w:val="16"/>
        </w:rPr>
        <w:tab/>
      </w:r>
      <w:r w:rsidRPr="007F328B">
        <w:rPr>
          <w:sz w:val="16"/>
          <w:szCs w:val="16"/>
        </w:rPr>
        <w:t xml:space="preserve">El Estado remitió dos anexos a sus alegatos finales escritos: (i) Ficha de Evaluación. Personal no jerárquico - Moya Solís Norka, de 1 de julio de 1976; y (ii) Resolución Corrida No. 000495-2020-CE-PJ, de 29 de diciembre del 2020. La presunta víctima adjuntó cuatro documentos a sus alegatos finales escritos: (i) Recurso de Reconsideración y Resolución Administrativa N° 10-82-TRCCLL de 26 de julio de 1982; (ii) Decreto Supremo que incrementa la remuneración mínima vital. Decreto Supremo </w:t>
      </w:r>
      <w:r w:rsidRPr="007F328B">
        <w:rPr>
          <w:rFonts w:eastAsiaTheme="minorHAnsi" w:cs="Arial"/>
          <w:sz w:val="16"/>
          <w:szCs w:val="16"/>
        </w:rPr>
        <w:t>N° 005-201 6-TR</w:t>
      </w:r>
      <w:r w:rsidRPr="007F328B">
        <w:rPr>
          <w:rFonts w:eastAsiaTheme="minorHAnsi" w:cs="ArialMT"/>
          <w:sz w:val="16"/>
          <w:szCs w:val="16"/>
        </w:rPr>
        <w:t xml:space="preserve">; (iii) Tabla de evolución de la </w:t>
      </w:r>
      <w:r w:rsidRPr="007F328B">
        <w:rPr>
          <w:rFonts w:eastAsiaTheme="minorHAnsi" w:cs="Arial"/>
          <w:sz w:val="16"/>
          <w:szCs w:val="16"/>
        </w:rPr>
        <w:t xml:space="preserve">remuneración mínima vital, noviembre 1962 - </w:t>
      </w:r>
      <w:r w:rsidRPr="007F328B">
        <w:rPr>
          <w:rFonts w:eastAsiaTheme="minorHAnsi" w:cs="ArialMT"/>
          <w:sz w:val="16"/>
          <w:szCs w:val="16"/>
        </w:rPr>
        <w:t>febrero 2013</w:t>
      </w:r>
      <w:r w:rsidRPr="007F328B">
        <w:rPr>
          <w:sz w:val="16"/>
          <w:szCs w:val="16"/>
        </w:rPr>
        <w:t>; y (iv) Título de Secretaria de Juzgado, otorgado por la Corte Superior de Lima el 4 de enero de 1983.</w:t>
      </w:r>
    </w:p>
  </w:footnote>
  <w:footnote w:id="15">
    <w:p w14:paraId="70F52AD8" w14:textId="77777777" w:rsidR="0039102A" w:rsidRPr="00FB069B" w:rsidRDefault="0039102A" w:rsidP="000461DD">
      <w:pPr>
        <w:pStyle w:val="Textonotapie"/>
        <w:spacing w:before="100"/>
      </w:pPr>
      <w:r w:rsidRPr="00FB069B">
        <w:rPr>
          <w:rStyle w:val="Refdenotaalpie"/>
        </w:rPr>
        <w:footnoteRef/>
      </w:r>
      <w:r w:rsidRPr="00FB069B">
        <w:rPr>
          <w:sz w:val="16"/>
          <w:szCs w:val="16"/>
        </w:rPr>
        <w:t xml:space="preserve"> </w:t>
      </w:r>
      <w:r>
        <w:rPr>
          <w:sz w:val="16"/>
          <w:szCs w:val="16"/>
        </w:rPr>
        <w:tab/>
      </w:r>
      <w:r w:rsidRPr="00FB069B">
        <w:rPr>
          <w:sz w:val="16"/>
          <w:szCs w:val="16"/>
        </w:rPr>
        <w:t xml:space="preserve">La presunta víctima </w:t>
      </w:r>
      <w:r>
        <w:rPr>
          <w:sz w:val="16"/>
          <w:szCs w:val="16"/>
        </w:rPr>
        <w:t xml:space="preserve">anexó un certificado de trabajo expedido por el Director de Personal del Poder Judicial el 24 de abril de 1981. </w:t>
      </w:r>
    </w:p>
  </w:footnote>
  <w:footnote w:id="16">
    <w:p w14:paraId="08798E64" w14:textId="77777777" w:rsidR="0039102A" w:rsidRPr="007206F3" w:rsidRDefault="0039102A" w:rsidP="000461DD">
      <w:pPr>
        <w:pStyle w:val="Textonotapie"/>
        <w:spacing w:before="100"/>
        <w:rPr>
          <w:sz w:val="16"/>
          <w:szCs w:val="16"/>
          <w:highlight w:val="lightGray"/>
        </w:rPr>
      </w:pPr>
      <w:r w:rsidRPr="00D46920">
        <w:rPr>
          <w:rStyle w:val="Refdenotaalpie"/>
        </w:rPr>
        <w:footnoteRef/>
      </w:r>
      <w:r w:rsidRPr="00D46920">
        <w:rPr>
          <w:sz w:val="16"/>
          <w:szCs w:val="16"/>
        </w:rPr>
        <w:t xml:space="preserve"> </w:t>
      </w:r>
      <w:r w:rsidRPr="00D46920">
        <w:rPr>
          <w:sz w:val="16"/>
          <w:szCs w:val="16"/>
        </w:rPr>
        <w:tab/>
        <w:t>La declaración del señor Jaime Gómez Valverde fue rendida el 4 de marzo de 2021 en la Provincia de Lima</w:t>
      </w:r>
      <w:r w:rsidRPr="0009585A">
        <w:rPr>
          <w:sz w:val="16"/>
          <w:szCs w:val="16"/>
        </w:rPr>
        <w:t xml:space="preserve">, Perú, ante el notario Carlos Martín Luque Rázuri. </w:t>
      </w:r>
    </w:p>
  </w:footnote>
  <w:footnote w:id="17">
    <w:p w14:paraId="3A5857CA" w14:textId="77777777" w:rsidR="0039102A" w:rsidRPr="007206F3" w:rsidRDefault="0039102A" w:rsidP="000461DD">
      <w:pPr>
        <w:pStyle w:val="Textonotapie"/>
        <w:spacing w:before="100"/>
        <w:rPr>
          <w:sz w:val="16"/>
          <w:szCs w:val="16"/>
        </w:rPr>
      </w:pPr>
      <w:r w:rsidRPr="0009585A">
        <w:rPr>
          <w:rStyle w:val="Refdenotaalpie"/>
        </w:rPr>
        <w:footnoteRef/>
      </w:r>
      <w:r w:rsidRPr="0009585A">
        <w:rPr>
          <w:sz w:val="16"/>
          <w:szCs w:val="16"/>
        </w:rPr>
        <w:t xml:space="preserve"> </w:t>
      </w:r>
      <w:r w:rsidRPr="0009585A">
        <w:rPr>
          <w:sz w:val="16"/>
          <w:szCs w:val="16"/>
        </w:rPr>
        <w:tab/>
        <w:t>La perita Tania Zuñiga, en el video remitido a la Corte Interamericana, indicó: “por motivos de salud y orden sanitario, en el contexto de la pandemia COVID-19, por indicación médica respecto del distanciamiento social y aislamiento, la suscrita procede a la emisión del informe pericial solicitado con la excepción de la certificación por notario público. Declaro que el informe pericial que se remite desde mi cuenta de correo electrónic</w:t>
      </w:r>
      <w:r>
        <w:rPr>
          <w:sz w:val="16"/>
          <w:szCs w:val="16"/>
        </w:rPr>
        <w:t>o</w:t>
      </w:r>
      <w:r w:rsidRPr="0009585A">
        <w:rPr>
          <w:sz w:val="16"/>
          <w:szCs w:val="16"/>
        </w:rPr>
        <w:t xml:space="preserve"> ha sido elaborado en su integridad por mi persona y las firmas que constan en cada una de las páginas del informe referido son propias y auténticas”. Por su parte, el perito Hernán Víctor Gullco sostuvo: “estoy haciendo este video para remplazar la acreditación de mi firma por fedatario al cual no puedo concurrir en razón de las medidas tomadas para combatir la pandemia del COVID-19. Soy autor del informe presentado en este caso Moya Solís Vs. Perú. Esto lo estoy haciendo desde la ciudad de Buenos Aires, República Argentina”.</w:t>
      </w:r>
      <w:r w:rsidRPr="007206F3">
        <w:rPr>
          <w:sz w:val="16"/>
          <w:szCs w:val="16"/>
        </w:rPr>
        <w:t xml:space="preserve"> </w:t>
      </w:r>
    </w:p>
  </w:footnote>
  <w:footnote w:id="18">
    <w:p w14:paraId="6A2CA278" w14:textId="77777777" w:rsidR="0039102A" w:rsidRPr="001D38D9" w:rsidRDefault="0039102A" w:rsidP="000461DD">
      <w:pPr>
        <w:pStyle w:val="Textonotapie"/>
        <w:spacing w:before="100"/>
        <w:rPr>
          <w:rFonts w:cstheme="minorHAnsi"/>
          <w:b/>
          <w:sz w:val="16"/>
          <w:szCs w:val="16"/>
          <w:lang w:val="es-CO"/>
        </w:rPr>
      </w:pPr>
      <w:r w:rsidRPr="001D38D9">
        <w:rPr>
          <w:rStyle w:val="Refdenotaalpie"/>
          <w:lang w:val="es-CO"/>
        </w:rPr>
        <w:footnoteRef/>
      </w:r>
      <w:r w:rsidRPr="001D38D9">
        <w:rPr>
          <w:rFonts w:cstheme="minorHAnsi"/>
          <w:sz w:val="16"/>
          <w:szCs w:val="16"/>
          <w:lang w:val="es-CO"/>
        </w:rPr>
        <w:t xml:space="preserve"> </w:t>
      </w:r>
      <w:r w:rsidRPr="001D38D9">
        <w:rPr>
          <w:rFonts w:cstheme="minorHAnsi"/>
          <w:sz w:val="16"/>
          <w:szCs w:val="16"/>
          <w:lang w:val="es-CO"/>
        </w:rPr>
        <w:tab/>
      </w:r>
      <w:r w:rsidRPr="001D38D9">
        <w:rPr>
          <w:rFonts w:cstheme="minorHAnsi"/>
          <w:i/>
          <w:sz w:val="16"/>
          <w:szCs w:val="16"/>
          <w:lang w:val="es-CO"/>
        </w:rPr>
        <w:t>Cfr.</w:t>
      </w:r>
      <w:r w:rsidRPr="001D38D9">
        <w:rPr>
          <w:rFonts w:cstheme="minorHAnsi"/>
          <w:sz w:val="16"/>
          <w:szCs w:val="16"/>
          <w:lang w:val="es-CO"/>
        </w:rPr>
        <w:t xml:space="preserve"> Ley N° 23344 de 18 de diciembre de 1981 (expediente de prueba, folio 7).</w:t>
      </w:r>
    </w:p>
  </w:footnote>
  <w:footnote w:id="19">
    <w:p w14:paraId="4D61B760" w14:textId="77777777" w:rsidR="0039102A" w:rsidRPr="001D38D9" w:rsidRDefault="0039102A" w:rsidP="000461DD">
      <w:pPr>
        <w:pStyle w:val="Textonotapie"/>
        <w:spacing w:before="100"/>
        <w:rPr>
          <w:rFonts w:cstheme="minorHAnsi"/>
          <w:b/>
          <w:sz w:val="16"/>
          <w:szCs w:val="16"/>
          <w:lang w:val="es-CO"/>
        </w:rPr>
      </w:pPr>
      <w:r w:rsidRPr="001D38D9">
        <w:rPr>
          <w:rStyle w:val="Refdenotaalpie"/>
          <w:lang w:val="es-CO"/>
        </w:rPr>
        <w:footnoteRef/>
      </w:r>
      <w:r w:rsidRPr="001D38D9">
        <w:rPr>
          <w:rFonts w:cstheme="minorHAnsi"/>
          <w:sz w:val="16"/>
          <w:szCs w:val="16"/>
          <w:lang w:val="es-CO"/>
        </w:rPr>
        <w:t xml:space="preserve"> </w:t>
      </w:r>
      <w:r w:rsidRPr="001D38D9">
        <w:rPr>
          <w:rFonts w:cstheme="minorHAnsi"/>
          <w:sz w:val="16"/>
          <w:szCs w:val="16"/>
          <w:lang w:val="es-CO"/>
        </w:rPr>
        <w:tab/>
      </w:r>
      <w:r w:rsidRPr="001D38D9">
        <w:rPr>
          <w:rFonts w:cstheme="minorHAnsi"/>
          <w:i/>
          <w:sz w:val="16"/>
          <w:szCs w:val="16"/>
          <w:lang w:val="es-CO"/>
        </w:rPr>
        <w:t>Cfr.</w:t>
      </w:r>
      <w:r w:rsidRPr="001D38D9">
        <w:rPr>
          <w:rFonts w:cstheme="minorHAnsi"/>
          <w:sz w:val="16"/>
          <w:szCs w:val="16"/>
          <w:lang w:val="es-CO"/>
        </w:rPr>
        <w:t xml:space="preserve"> Ley N° 23369 de 30 de diciembre de 1981 (expediente de prueba, folio 9)</w:t>
      </w:r>
      <w:r w:rsidRPr="001D38D9">
        <w:rPr>
          <w:rFonts w:cstheme="minorHAnsi"/>
          <w:b/>
          <w:sz w:val="16"/>
          <w:szCs w:val="16"/>
          <w:lang w:val="es-CO"/>
        </w:rPr>
        <w:t>.</w:t>
      </w:r>
    </w:p>
  </w:footnote>
  <w:footnote w:id="20">
    <w:p w14:paraId="38C4B94A" w14:textId="77777777" w:rsidR="0039102A" w:rsidRPr="001D38D9" w:rsidRDefault="0039102A" w:rsidP="000461DD">
      <w:pPr>
        <w:pStyle w:val="Textonotapie"/>
        <w:spacing w:before="100"/>
        <w:rPr>
          <w:rFonts w:cstheme="minorHAnsi"/>
          <w:sz w:val="16"/>
          <w:szCs w:val="16"/>
          <w:lang w:val="es-CO"/>
        </w:rPr>
      </w:pPr>
      <w:r w:rsidRPr="001D38D9">
        <w:rPr>
          <w:rStyle w:val="Refdenotaalpie"/>
          <w:lang w:val="es-CO"/>
        </w:rPr>
        <w:footnoteRef/>
      </w:r>
      <w:r w:rsidRPr="001D38D9">
        <w:rPr>
          <w:rFonts w:cstheme="minorHAnsi"/>
          <w:sz w:val="16"/>
          <w:szCs w:val="16"/>
          <w:lang w:val="es-CO"/>
        </w:rPr>
        <w:t xml:space="preserve"> </w:t>
      </w:r>
      <w:r w:rsidRPr="001D38D9">
        <w:rPr>
          <w:rFonts w:cstheme="minorHAnsi"/>
          <w:sz w:val="16"/>
          <w:szCs w:val="16"/>
          <w:lang w:val="es-CO"/>
        </w:rPr>
        <w:tab/>
      </w:r>
      <w:r w:rsidRPr="001D38D9">
        <w:rPr>
          <w:rFonts w:cstheme="minorHAnsi"/>
          <w:i/>
          <w:sz w:val="16"/>
          <w:szCs w:val="16"/>
          <w:lang w:val="es-CO"/>
        </w:rPr>
        <w:t>Cfr.</w:t>
      </w:r>
      <w:r w:rsidRPr="001D38D9">
        <w:rPr>
          <w:rFonts w:cstheme="minorHAnsi"/>
          <w:sz w:val="16"/>
          <w:szCs w:val="16"/>
          <w:lang w:val="es-CO"/>
        </w:rPr>
        <w:t xml:space="preserve"> Decreto Supremo N° 003-82-JUS, de 12 de enero de 1982 (expediente de prueba, folio 11)</w:t>
      </w:r>
      <w:r w:rsidRPr="001D38D9">
        <w:rPr>
          <w:rFonts w:cstheme="minorHAnsi"/>
          <w:b/>
          <w:sz w:val="16"/>
          <w:szCs w:val="16"/>
          <w:lang w:val="es-CO"/>
        </w:rPr>
        <w:t>.</w:t>
      </w:r>
    </w:p>
  </w:footnote>
  <w:footnote w:id="21">
    <w:p w14:paraId="6E05166F" w14:textId="77777777" w:rsidR="0039102A" w:rsidRPr="001D38D9" w:rsidRDefault="0039102A" w:rsidP="000461DD">
      <w:pPr>
        <w:pStyle w:val="Textonotapie"/>
        <w:spacing w:before="100"/>
        <w:rPr>
          <w:rFonts w:cstheme="minorHAnsi"/>
          <w:sz w:val="16"/>
          <w:szCs w:val="16"/>
          <w:lang w:val="es-CO"/>
        </w:rPr>
      </w:pPr>
      <w:r w:rsidRPr="001D38D9">
        <w:rPr>
          <w:rStyle w:val="Refdenotaalpie"/>
          <w:lang w:val="es-CO"/>
        </w:rPr>
        <w:footnoteRef/>
      </w:r>
      <w:r w:rsidRPr="001D38D9">
        <w:rPr>
          <w:rFonts w:cstheme="minorHAnsi"/>
          <w:sz w:val="16"/>
          <w:szCs w:val="16"/>
          <w:lang w:val="es-CO"/>
        </w:rPr>
        <w:t xml:space="preserve"> </w:t>
      </w:r>
      <w:r w:rsidRPr="001D38D9">
        <w:rPr>
          <w:rFonts w:cstheme="minorHAnsi"/>
          <w:sz w:val="16"/>
          <w:szCs w:val="16"/>
          <w:lang w:val="es-CO"/>
        </w:rPr>
        <w:tab/>
      </w:r>
      <w:r w:rsidRPr="001D38D9">
        <w:rPr>
          <w:rFonts w:cstheme="minorHAnsi"/>
          <w:i/>
          <w:sz w:val="16"/>
          <w:szCs w:val="16"/>
          <w:lang w:val="es-CO"/>
        </w:rPr>
        <w:t xml:space="preserve">Cfr. </w:t>
      </w:r>
      <w:r w:rsidRPr="001D38D9">
        <w:rPr>
          <w:rFonts w:cstheme="minorHAnsi"/>
          <w:sz w:val="16"/>
          <w:szCs w:val="16"/>
          <w:lang w:val="es-CO"/>
        </w:rPr>
        <w:t>Decreto Ley No. 14605 de 25 de julio de 1963. Ley Orgánica del Poder Judicial (expediente de prueba, folios 684 a 686).</w:t>
      </w:r>
    </w:p>
  </w:footnote>
  <w:footnote w:id="22">
    <w:p w14:paraId="543A9643" w14:textId="77777777" w:rsidR="0039102A" w:rsidRPr="001D38D9" w:rsidRDefault="0039102A" w:rsidP="000461DD">
      <w:pPr>
        <w:pStyle w:val="Textonotapie"/>
        <w:spacing w:before="100"/>
        <w:rPr>
          <w:rFonts w:cstheme="minorHAnsi"/>
          <w:sz w:val="16"/>
          <w:szCs w:val="16"/>
          <w:lang w:val="es-CO"/>
        </w:rPr>
      </w:pPr>
      <w:r w:rsidRPr="001D38D9">
        <w:rPr>
          <w:rStyle w:val="Refdenotaalpie"/>
          <w:lang w:val="es-CO"/>
        </w:rPr>
        <w:footnoteRef/>
      </w:r>
      <w:r w:rsidRPr="001D38D9">
        <w:rPr>
          <w:rFonts w:cstheme="minorHAnsi"/>
          <w:sz w:val="16"/>
          <w:szCs w:val="16"/>
          <w:lang w:val="es-CO"/>
        </w:rPr>
        <w:t xml:space="preserve"> </w:t>
      </w:r>
      <w:r w:rsidRPr="001D38D9">
        <w:rPr>
          <w:rFonts w:cstheme="minorHAnsi"/>
          <w:sz w:val="16"/>
          <w:szCs w:val="16"/>
          <w:lang w:val="es-CO"/>
        </w:rPr>
        <w:tab/>
        <w:t xml:space="preserve">La señora Moya Solís se desempeñó entre 1973 y 1979 como auxiliar del Tercer Juzgado Privativo del Trabajo de Lima. A partir de 1979 pasó a desempeñarse como Secretaria Judicial. </w:t>
      </w:r>
      <w:r w:rsidRPr="001D38D9">
        <w:rPr>
          <w:rFonts w:cstheme="minorHAnsi"/>
          <w:i/>
          <w:sz w:val="16"/>
          <w:szCs w:val="16"/>
          <w:lang w:val="es-CO"/>
        </w:rPr>
        <w:t>Cfr.</w:t>
      </w:r>
      <w:r w:rsidRPr="001D38D9">
        <w:rPr>
          <w:rFonts w:cstheme="minorHAnsi"/>
          <w:sz w:val="16"/>
          <w:szCs w:val="16"/>
          <w:lang w:val="es-CO"/>
        </w:rPr>
        <w:t xml:space="preserve"> Resolución Ministerial Nro. 419 de 2 de julio de 1973, en la que se nombra a Norka Moya Solís por un periodo de prueba de 6 meses como auxiliar del Tercer Juzgado Privativo de Trabajo (expediente de prueba, folio 2);</w:t>
      </w:r>
      <w:r w:rsidRPr="001D38D9">
        <w:rPr>
          <w:rFonts w:cstheme="minorHAnsi"/>
          <w:b/>
          <w:sz w:val="16"/>
          <w:szCs w:val="16"/>
          <w:lang w:val="es-CO"/>
        </w:rPr>
        <w:t xml:space="preserve"> </w:t>
      </w:r>
      <w:r w:rsidRPr="001D38D9">
        <w:rPr>
          <w:rFonts w:cstheme="minorHAnsi"/>
          <w:sz w:val="16"/>
          <w:szCs w:val="16"/>
          <w:lang w:val="es-CO"/>
        </w:rPr>
        <w:t xml:space="preserve">Resolución Ministerial Nro. 008-74-TR de 9 de enero de 1974, en la que se ratifica a Norka Moya Solís como auxiliar del Tercer Juzgado Privativo de Trabajo de Lima (expediente de prueba, folio 4); y Resolución </w:t>
      </w:r>
      <w:r>
        <w:rPr>
          <w:rFonts w:cstheme="minorHAnsi"/>
          <w:sz w:val="16"/>
          <w:szCs w:val="16"/>
          <w:lang w:val="es-CO"/>
        </w:rPr>
        <w:t>Directorial</w:t>
      </w:r>
      <w:r w:rsidRPr="001D38D9">
        <w:rPr>
          <w:rFonts w:cstheme="minorHAnsi"/>
          <w:sz w:val="16"/>
          <w:szCs w:val="16"/>
          <w:lang w:val="es-CO"/>
        </w:rPr>
        <w:t xml:space="preserve"> No. 191-79-SA del 21 de diciembre de 1979 en la que se otorgó el cargo de Secretaria Judicial del Fuero Privativo del Trabajo y Comunidades Laborales a la señora Norka Moya Solís (expediente de prueba, folio 5).</w:t>
      </w:r>
    </w:p>
  </w:footnote>
  <w:footnote w:id="23">
    <w:p w14:paraId="66A35E95" w14:textId="77777777" w:rsidR="0039102A" w:rsidRPr="001D38D9" w:rsidRDefault="0039102A" w:rsidP="000461DD">
      <w:pPr>
        <w:pStyle w:val="Textonotapie"/>
        <w:spacing w:before="100"/>
        <w:rPr>
          <w:rFonts w:cstheme="minorHAnsi"/>
          <w:sz w:val="16"/>
          <w:szCs w:val="16"/>
          <w:lang w:val="es-CO"/>
        </w:rPr>
      </w:pPr>
      <w:r w:rsidRPr="001D38D9">
        <w:rPr>
          <w:rStyle w:val="Refdenotaalpie"/>
          <w:lang w:val="es-CO"/>
        </w:rPr>
        <w:footnoteRef/>
      </w:r>
      <w:r w:rsidRPr="001D38D9">
        <w:rPr>
          <w:rFonts w:cstheme="minorHAnsi"/>
          <w:sz w:val="16"/>
          <w:szCs w:val="16"/>
          <w:lang w:val="es-CO"/>
        </w:rPr>
        <w:t xml:space="preserve"> </w:t>
      </w:r>
      <w:r w:rsidRPr="001D38D9">
        <w:rPr>
          <w:rFonts w:cstheme="minorHAnsi"/>
          <w:sz w:val="16"/>
          <w:szCs w:val="16"/>
          <w:lang w:val="es-CO"/>
        </w:rPr>
        <w:tab/>
      </w:r>
      <w:r w:rsidRPr="001D38D9">
        <w:rPr>
          <w:rFonts w:cstheme="minorHAnsi"/>
          <w:i/>
          <w:sz w:val="16"/>
          <w:szCs w:val="16"/>
          <w:lang w:val="es-CO"/>
        </w:rPr>
        <w:t>Cfr.</w:t>
      </w:r>
      <w:r w:rsidRPr="001D38D9">
        <w:rPr>
          <w:rFonts w:cstheme="minorHAnsi"/>
          <w:sz w:val="16"/>
          <w:szCs w:val="16"/>
          <w:lang w:val="es-CO"/>
        </w:rPr>
        <w:t xml:space="preserve"> Consta en el expediente </w:t>
      </w:r>
      <w:r>
        <w:rPr>
          <w:rFonts w:cstheme="minorHAnsi"/>
          <w:sz w:val="16"/>
          <w:szCs w:val="16"/>
          <w:lang w:val="es-CO"/>
        </w:rPr>
        <w:t>copia d</w:t>
      </w:r>
      <w:r w:rsidRPr="001D38D9">
        <w:rPr>
          <w:rFonts w:cstheme="minorHAnsi"/>
          <w:sz w:val="16"/>
          <w:szCs w:val="16"/>
          <w:lang w:val="es-CO"/>
        </w:rPr>
        <w:t xml:space="preserve">el acta de una entrevista </w:t>
      </w:r>
      <w:r>
        <w:rPr>
          <w:rFonts w:cstheme="minorHAnsi"/>
          <w:sz w:val="16"/>
          <w:szCs w:val="16"/>
          <w:lang w:val="es-CO"/>
        </w:rPr>
        <w:t>realizada</w:t>
      </w:r>
      <w:r w:rsidRPr="001D38D9">
        <w:rPr>
          <w:rFonts w:cstheme="minorHAnsi"/>
          <w:sz w:val="16"/>
          <w:szCs w:val="16"/>
          <w:lang w:val="es-CO"/>
        </w:rPr>
        <w:t xml:space="preserve"> a la señora Moya Solís el 12 de agosto de 1982 y copia del acta de la visita del 26 de agosto de 1982 de la Comisión de Ratificaciones al Décimo Juzgado Privativo de Trabajo a fin de revisar los expedientes y el despacho de la señora Norka Moya Solís (expediente de prueba, folios 727 y 729)</w:t>
      </w:r>
      <w:r w:rsidRPr="001D38D9">
        <w:rPr>
          <w:rFonts w:cstheme="minorHAnsi"/>
          <w:b/>
          <w:sz w:val="16"/>
          <w:szCs w:val="16"/>
          <w:lang w:val="es-CO"/>
        </w:rPr>
        <w:t>.</w:t>
      </w:r>
      <w:r w:rsidRPr="001D38D9">
        <w:rPr>
          <w:rFonts w:cstheme="minorHAnsi"/>
          <w:sz w:val="16"/>
          <w:szCs w:val="16"/>
          <w:lang w:val="es-CO"/>
        </w:rPr>
        <w:t xml:space="preserve"> </w:t>
      </w:r>
    </w:p>
  </w:footnote>
  <w:footnote w:id="24">
    <w:p w14:paraId="24705698" w14:textId="77777777" w:rsidR="0039102A" w:rsidRPr="001D38D9" w:rsidRDefault="0039102A" w:rsidP="000461DD">
      <w:pPr>
        <w:pStyle w:val="Textonotapie"/>
        <w:spacing w:before="100"/>
        <w:rPr>
          <w:rFonts w:cstheme="minorHAnsi"/>
          <w:sz w:val="16"/>
          <w:szCs w:val="16"/>
          <w:lang w:val="es-CO"/>
        </w:rPr>
      </w:pPr>
      <w:r w:rsidRPr="001D38D9">
        <w:rPr>
          <w:rStyle w:val="Refdenotaalpie"/>
          <w:lang w:val="es-CO"/>
        </w:rPr>
        <w:footnoteRef/>
      </w:r>
      <w:r w:rsidRPr="001D38D9">
        <w:rPr>
          <w:rFonts w:cstheme="minorHAnsi"/>
          <w:sz w:val="16"/>
          <w:szCs w:val="16"/>
          <w:lang w:val="es-CO"/>
        </w:rPr>
        <w:t xml:space="preserve"> </w:t>
      </w:r>
      <w:r w:rsidRPr="001D38D9">
        <w:rPr>
          <w:rFonts w:cstheme="minorHAnsi"/>
          <w:sz w:val="16"/>
          <w:szCs w:val="16"/>
          <w:lang w:val="es-CO"/>
        </w:rPr>
        <w:tab/>
      </w:r>
      <w:r w:rsidRPr="001D38D9">
        <w:rPr>
          <w:rFonts w:cstheme="minorHAnsi"/>
          <w:i/>
          <w:sz w:val="16"/>
          <w:szCs w:val="16"/>
          <w:lang w:val="es-CO"/>
        </w:rPr>
        <w:t xml:space="preserve">Cfr. </w:t>
      </w:r>
      <w:r w:rsidRPr="001D38D9">
        <w:rPr>
          <w:rFonts w:cstheme="minorHAnsi"/>
          <w:sz w:val="16"/>
          <w:szCs w:val="16"/>
          <w:lang w:val="es-CO"/>
        </w:rPr>
        <w:t xml:space="preserve">Certificado del Acuerdo de Sala Plena </w:t>
      </w:r>
      <w:r>
        <w:rPr>
          <w:rFonts w:cstheme="minorHAnsi"/>
          <w:sz w:val="16"/>
          <w:szCs w:val="16"/>
          <w:lang w:val="es-CO"/>
        </w:rPr>
        <w:t>referido a la</w:t>
      </w:r>
      <w:r w:rsidRPr="001D38D9">
        <w:rPr>
          <w:rFonts w:cstheme="minorHAnsi"/>
          <w:sz w:val="16"/>
          <w:szCs w:val="16"/>
          <w:lang w:val="es-CO"/>
        </w:rPr>
        <w:t xml:space="preserve"> no ratificación de la señora Norka Moya Solís, expedido el 14 de marzo de 1988 (expediente de prueba, folio 13)</w:t>
      </w:r>
      <w:r w:rsidRPr="001D38D9">
        <w:rPr>
          <w:rFonts w:cstheme="minorHAnsi"/>
          <w:b/>
          <w:sz w:val="16"/>
          <w:szCs w:val="16"/>
          <w:lang w:val="es-CO"/>
        </w:rPr>
        <w:t>.</w:t>
      </w:r>
    </w:p>
  </w:footnote>
  <w:footnote w:id="25">
    <w:p w14:paraId="04B6BE3E" w14:textId="77777777" w:rsidR="0039102A" w:rsidRPr="001D38D9" w:rsidRDefault="0039102A" w:rsidP="000461DD">
      <w:pPr>
        <w:pStyle w:val="Textonotapie"/>
        <w:spacing w:before="100"/>
        <w:rPr>
          <w:rFonts w:cstheme="minorHAnsi"/>
          <w:sz w:val="16"/>
          <w:szCs w:val="16"/>
          <w:lang w:val="es-CO"/>
        </w:rPr>
      </w:pPr>
      <w:r w:rsidRPr="001D38D9">
        <w:rPr>
          <w:rStyle w:val="Refdenotaalpie"/>
          <w:lang w:val="es-CO"/>
        </w:rPr>
        <w:footnoteRef/>
      </w:r>
      <w:r w:rsidRPr="001D38D9">
        <w:rPr>
          <w:rFonts w:cstheme="minorHAnsi"/>
          <w:sz w:val="16"/>
          <w:szCs w:val="16"/>
          <w:lang w:val="es-CO"/>
        </w:rPr>
        <w:t xml:space="preserve"> </w:t>
      </w:r>
      <w:r w:rsidRPr="001D38D9">
        <w:rPr>
          <w:rFonts w:cstheme="minorHAnsi"/>
          <w:sz w:val="16"/>
          <w:szCs w:val="16"/>
          <w:lang w:val="es-CO"/>
        </w:rPr>
        <w:tab/>
      </w:r>
      <w:r w:rsidRPr="001D38D9">
        <w:rPr>
          <w:rFonts w:cstheme="minorHAnsi"/>
          <w:i/>
          <w:sz w:val="16"/>
          <w:szCs w:val="16"/>
          <w:lang w:val="es-CO"/>
        </w:rPr>
        <w:t xml:space="preserve">Cfr. </w:t>
      </w:r>
      <w:r w:rsidRPr="001D38D9">
        <w:rPr>
          <w:rFonts w:cstheme="minorHAnsi"/>
          <w:sz w:val="16"/>
          <w:szCs w:val="16"/>
          <w:lang w:val="es-CO"/>
        </w:rPr>
        <w:t xml:space="preserve">Resolución N° 0015-82-TT de 13 de septiembre de 1982 (expediente de prueba, folio 756). </w:t>
      </w:r>
    </w:p>
  </w:footnote>
  <w:footnote w:id="26">
    <w:p w14:paraId="71AD0CC3" w14:textId="77777777" w:rsidR="0039102A" w:rsidRPr="001D38D9" w:rsidRDefault="0039102A" w:rsidP="000461DD">
      <w:pPr>
        <w:pStyle w:val="Textonotapie"/>
        <w:spacing w:before="100"/>
        <w:rPr>
          <w:rFonts w:cstheme="minorHAnsi"/>
          <w:sz w:val="16"/>
          <w:szCs w:val="16"/>
          <w:lang w:val="es-CO"/>
        </w:rPr>
      </w:pPr>
      <w:r w:rsidRPr="001D38D9">
        <w:rPr>
          <w:rStyle w:val="Refdenotaalpie"/>
          <w:lang w:val="es-CO"/>
        </w:rPr>
        <w:footnoteRef/>
      </w:r>
      <w:r w:rsidRPr="001D38D9">
        <w:rPr>
          <w:rFonts w:cstheme="minorHAnsi"/>
          <w:sz w:val="16"/>
          <w:szCs w:val="16"/>
          <w:lang w:val="es-CO"/>
        </w:rPr>
        <w:t xml:space="preserve"> </w:t>
      </w:r>
      <w:r w:rsidRPr="001D38D9">
        <w:rPr>
          <w:rFonts w:cstheme="minorHAnsi"/>
          <w:sz w:val="16"/>
          <w:szCs w:val="16"/>
          <w:lang w:val="es-CO"/>
        </w:rPr>
        <w:tab/>
        <w:t xml:space="preserve">El recurso interpuesto por la señora Moya Solís señala: “4°. - Como quiera que el inciso c) del Artículo 2º del Decreto Supremo 003-82-JUS, otorga al Secretario examinado la posibilidad como cuestión inmanente de </w:t>
      </w:r>
      <w:r>
        <w:rPr>
          <w:rFonts w:cstheme="minorHAnsi"/>
          <w:sz w:val="16"/>
          <w:szCs w:val="16"/>
          <w:lang w:val="es-CO"/>
        </w:rPr>
        <w:t>su</w:t>
      </w:r>
      <w:r w:rsidRPr="001D38D9">
        <w:rPr>
          <w:rFonts w:cstheme="minorHAnsi"/>
          <w:sz w:val="16"/>
          <w:szCs w:val="16"/>
          <w:lang w:val="es-CO"/>
        </w:rPr>
        <w:t xml:space="preserve"> derecho, a la actuación de pruebas y a la sustentación de su descargo, si su actuación resultara impugnada. Solicité verbalmente la entrega de la copia del acta, para tener idea de mi evaluación como Secretario; lo que fue negado por la Comisión, no obstante estar legislado como obligación. // 5º. – No se me ha permitido informar por escrito sobre mi actividad en el Fuero […]. 7º. – La Comisión Evaluadora y los Señores Magistrados que han decidido sobre la cuestión que impugno y cuya revisión solicito, en ningún momento me han dado a conocer de mis ‘deméritos’, de mis ‘desvalores’, de mis ‘errores’, de mis ‘defectos’ […]. Motivando con este silencio la imposibilidad de actuación de mis pruebas de descargo a las posibles imputaciones que hubiera lugar”. </w:t>
      </w:r>
      <w:r w:rsidRPr="001D38D9">
        <w:rPr>
          <w:rFonts w:cstheme="minorHAnsi"/>
          <w:i/>
          <w:sz w:val="16"/>
          <w:szCs w:val="16"/>
          <w:lang w:val="es-CO"/>
        </w:rPr>
        <w:t xml:space="preserve">Cfr. </w:t>
      </w:r>
      <w:r w:rsidRPr="001D38D9">
        <w:rPr>
          <w:rFonts w:cstheme="minorHAnsi"/>
          <w:sz w:val="16"/>
          <w:szCs w:val="16"/>
          <w:lang w:val="es-CO"/>
        </w:rPr>
        <w:t>Recurso de revisión interpuesto por Norka Moya Solís ante la Corte Suprema de 21 de septiembre de 1982 (expediente de prueba, folios 16 a 17).</w:t>
      </w:r>
    </w:p>
  </w:footnote>
  <w:footnote w:id="27">
    <w:p w14:paraId="16CF968B" w14:textId="77777777" w:rsidR="0039102A" w:rsidRPr="001D38D9" w:rsidRDefault="0039102A" w:rsidP="000461DD">
      <w:pPr>
        <w:pStyle w:val="Textonotapie"/>
        <w:spacing w:before="100"/>
        <w:rPr>
          <w:rFonts w:cstheme="minorHAnsi"/>
          <w:sz w:val="16"/>
          <w:szCs w:val="16"/>
          <w:lang w:val="es-CO"/>
        </w:rPr>
      </w:pPr>
      <w:r w:rsidRPr="001D38D9">
        <w:rPr>
          <w:rStyle w:val="Refdenotaalpie"/>
          <w:lang w:val="es-CO"/>
        </w:rPr>
        <w:footnoteRef/>
      </w:r>
      <w:r w:rsidRPr="001D38D9">
        <w:rPr>
          <w:rFonts w:cstheme="minorHAnsi"/>
          <w:sz w:val="16"/>
          <w:szCs w:val="16"/>
          <w:lang w:val="es-CO"/>
        </w:rPr>
        <w:t xml:space="preserve"> </w:t>
      </w:r>
      <w:r w:rsidRPr="001D38D9">
        <w:rPr>
          <w:rFonts w:cstheme="minorHAnsi"/>
          <w:sz w:val="16"/>
          <w:szCs w:val="16"/>
          <w:lang w:val="es-CO"/>
        </w:rPr>
        <w:tab/>
      </w:r>
      <w:r w:rsidRPr="001D38D9">
        <w:rPr>
          <w:rFonts w:cstheme="minorHAnsi"/>
          <w:i/>
          <w:sz w:val="16"/>
          <w:szCs w:val="16"/>
          <w:lang w:val="es-CO"/>
        </w:rPr>
        <w:t xml:space="preserve">Cfr. </w:t>
      </w:r>
      <w:r w:rsidRPr="001D38D9">
        <w:rPr>
          <w:rFonts w:cstheme="minorHAnsi"/>
          <w:sz w:val="16"/>
          <w:szCs w:val="16"/>
          <w:lang w:val="es-CO"/>
        </w:rPr>
        <w:t xml:space="preserve">Recurso de revisión interpuesto por Norka Moya Solís ante la Corte Suprema </w:t>
      </w:r>
      <w:r>
        <w:rPr>
          <w:rFonts w:cstheme="minorHAnsi"/>
          <w:sz w:val="16"/>
          <w:szCs w:val="16"/>
          <w:lang w:val="es-CO"/>
        </w:rPr>
        <w:t>el</w:t>
      </w:r>
      <w:r w:rsidRPr="001D38D9">
        <w:rPr>
          <w:rFonts w:cstheme="minorHAnsi"/>
          <w:sz w:val="16"/>
          <w:szCs w:val="16"/>
          <w:lang w:val="es-CO"/>
        </w:rPr>
        <w:t xml:space="preserve"> 21 de septiembre de 1982 (expediente de prueba, folio 19). </w:t>
      </w:r>
      <w:r w:rsidRPr="001D38D9">
        <w:rPr>
          <w:rFonts w:cstheme="minorHAnsi"/>
          <w:sz w:val="16"/>
          <w:szCs w:val="16"/>
          <w:lang w:val="es-CO"/>
        </w:rPr>
        <w:tab/>
      </w:r>
    </w:p>
  </w:footnote>
  <w:footnote w:id="28">
    <w:p w14:paraId="34CF1628" w14:textId="77777777" w:rsidR="0039102A" w:rsidRPr="001D38D9" w:rsidRDefault="0039102A" w:rsidP="000461DD">
      <w:pPr>
        <w:pStyle w:val="Textonotapie"/>
        <w:spacing w:before="100"/>
        <w:rPr>
          <w:rFonts w:cstheme="minorHAnsi"/>
          <w:sz w:val="16"/>
          <w:szCs w:val="16"/>
          <w:lang w:val="es-CO"/>
        </w:rPr>
      </w:pPr>
      <w:r w:rsidRPr="001D38D9">
        <w:rPr>
          <w:rStyle w:val="Refdenotaalpie"/>
          <w:lang w:val="es-CO"/>
        </w:rPr>
        <w:footnoteRef/>
      </w:r>
      <w:r w:rsidRPr="001D38D9">
        <w:rPr>
          <w:rFonts w:cstheme="minorHAnsi"/>
          <w:sz w:val="16"/>
          <w:szCs w:val="16"/>
          <w:lang w:val="es-CO"/>
        </w:rPr>
        <w:t xml:space="preserve"> </w:t>
      </w:r>
      <w:r w:rsidRPr="001D38D9">
        <w:rPr>
          <w:rFonts w:cstheme="minorHAnsi"/>
          <w:sz w:val="16"/>
          <w:szCs w:val="16"/>
          <w:lang w:val="es-CO"/>
        </w:rPr>
        <w:tab/>
      </w:r>
      <w:r w:rsidRPr="001D38D9">
        <w:rPr>
          <w:rFonts w:cstheme="minorHAnsi"/>
          <w:i/>
          <w:sz w:val="16"/>
          <w:szCs w:val="16"/>
          <w:lang w:val="es-CO"/>
        </w:rPr>
        <w:t>Cfr.</w:t>
      </w:r>
      <w:r w:rsidRPr="001D38D9">
        <w:rPr>
          <w:rFonts w:cstheme="minorHAnsi"/>
          <w:sz w:val="16"/>
          <w:szCs w:val="16"/>
          <w:lang w:val="es-CO"/>
        </w:rPr>
        <w:t xml:space="preserve"> Resolución N° 752-82 de la Sala Plena Laboral de la Corte</w:t>
      </w:r>
      <w:r>
        <w:rPr>
          <w:rFonts w:cstheme="minorHAnsi"/>
          <w:sz w:val="16"/>
          <w:szCs w:val="16"/>
          <w:lang w:val="es-CO"/>
        </w:rPr>
        <w:t xml:space="preserve"> Suprema</w:t>
      </w:r>
      <w:r w:rsidRPr="001D38D9">
        <w:rPr>
          <w:rFonts w:cstheme="minorHAnsi"/>
          <w:sz w:val="16"/>
          <w:szCs w:val="16"/>
          <w:lang w:val="es-CO"/>
        </w:rPr>
        <w:t xml:space="preserve"> de 12 de octubre de 1983 (expediente de prueba, folio 22).</w:t>
      </w:r>
    </w:p>
  </w:footnote>
  <w:footnote w:id="29">
    <w:p w14:paraId="0791D733" w14:textId="77777777" w:rsidR="0039102A" w:rsidRPr="001D38D9" w:rsidRDefault="0039102A" w:rsidP="000461DD">
      <w:pPr>
        <w:pStyle w:val="Textonotapie"/>
        <w:spacing w:before="100"/>
        <w:rPr>
          <w:rFonts w:cstheme="minorHAnsi"/>
          <w:sz w:val="16"/>
          <w:szCs w:val="16"/>
          <w:lang w:val="es-CO"/>
        </w:rPr>
      </w:pPr>
      <w:r w:rsidRPr="001D38D9">
        <w:rPr>
          <w:rStyle w:val="Refdenotaalpie"/>
          <w:lang w:val="es-CO"/>
        </w:rPr>
        <w:footnoteRef/>
      </w:r>
      <w:r w:rsidRPr="001D38D9">
        <w:rPr>
          <w:rFonts w:cstheme="minorHAnsi"/>
          <w:sz w:val="16"/>
          <w:szCs w:val="16"/>
          <w:lang w:val="es-CO"/>
        </w:rPr>
        <w:t xml:space="preserve"> </w:t>
      </w:r>
      <w:r w:rsidRPr="001D38D9">
        <w:rPr>
          <w:rFonts w:cstheme="minorHAnsi"/>
          <w:sz w:val="16"/>
          <w:szCs w:val="16"/>
          <w:lang w:val="es-CO"/>
        </w:rPr>
        <w:tab/>
      </w:r>
      <w:r w:rsidRPr="001D38D9">
        <w:rPr>
          <w:rFonts w:cstheme="minorHAnsi"/>
          <w:i/>
          <w:sz w:val="16"/>
          <w:szCs w:val="16"/>
          <w:lang w:val="es-CO"/>
        </w:rPr>
        <w:t>Cfr.</w:t>
      </w:r>
      <w:r w:rsidRPr="001D38D9">
        <w:rPr>
          <w:rFonts w:cstheme="minorHAnsi"/>
          <w:sz w:val="16"/>
          <w:szCs w:val="16"/>
          <w:lang w:val="es-CO"/>
        </w:rPr>
        <w:t xml:space="preserve"> Acción de Amparo contra la Resolución de 12 de octubre de 1983</w:t>
      </w:r>
      <w:r>
        <w:rPr>
          <w:rFonts w:cstheme="minorHAnsi"/>
          <w:sz w:val="16"/>
          <w:szCs w:val="16"/>
          <w:lang w:val="es-CO"/>
        </w:rPr>
        <w:t xml:space="preserve">, </w:t>
      </w:r>
      <w:r w:rsidRPr="001D38D9">
        <w:rPr>
          <w:rFonts w:cstheme="minorHAnsi"/>
          <w:sz w:val="16"/>
          <w:szCs w:val="16"/>
          <w:lang w:val="es-CO"/>
        </w:rPr>
        <w:t>interpuesta por Norka Moya</w:t>
      </w:r>
      <w:r>
        <w:rPr>
          <w:rFonts w:cstheme="minorHAnsi"/>
          <w:sz w:val="16"/>
          <w:szCs w:val="16"/>
          <w:lang w:val="es-CO"/>
        </w:rPr>
        <w:t xml:space="preserve"> Solís el 17 de febrero de 1984</w:t>
      </w:r>
      <w:r w:rsidRPr="001D38D9">
        <w:rPr>
          <w:rFonts w:cstheme="minorHAnsi"/>
          <w:sz w:val="16"/>
          <w:szCs w:val="16"/>
          <w:lang w:val="es-CO"/>
        </w:rPr>
        <w:t xml:space="preserve"> (expediente de prueba, folio 25).</w:t>
      </w:r>
    </w:p>
  </w:footnote>
  <w:footnote w:id="30">
    <w:p w14:paraId="00F96AC4" w14:textId="77777777" w:rsidR="0039102A" w:rsidRPr="001D38D9" w:rsidRDefault="0039102A" w:rsidP="000461DD">
      <w:pPr>
        <w:pStyle w:val="Textonotapie"/>
        <w:spacing w:before="100"/>
        <w:rPr>
          <w:rFonts w:cstheme="minorHAnsi"/>
          <w:sz w:val="16"/>
          <w:szCs w:val="16"/>
          <w:lang w:val="es-CO"/>
        </w:rPr>
      </w:pPr>
      <w:r w:rsidRPr="001D38D9">
        <w:rPr>
          <w:rStyle w:val="Refdenotaalpie"/>
          <w:lang w:val="es-CO"/>
        </w:rPr>
        <w:footnoteRef/>
      </w:r>
      <w:r w:rsidRPr="001D38D9">
        <w:rPr>
          <w:rFonts w:cstheme="minorHAnsi"/>
          <w:sz w:val="16"/>
          <w:szCs w:val="16"/>
          <w:lang w:val="es-CO"/>
        </w:rPr>
        <w:t xml:space="preserve"> </w:t>
      </w:r>
      <w:r w:rsidRPr="001D38D9">
        <w:rPr>
          <w:rFonts w:cstheme="minorHAnsi"/>
          <w:sz w:val="16"/>
          <w:szCs w:val="16"/>
          <w:lang w:val="es-CO"/>
        </w:rPr>
        <w:tab/>
      </w:r>
      <w:r w:rsidRPr="001D38D9">
        <w:rPr>
          <w:rFonts w:cstheme="minorHAnsi"/>
          <w:i/>
          <w:sz w:val="16"/>
          <w:szCs w:val="16"/>
          <w:lang w:val="es-CO"/>
        </w:rPr>
        <w:t>Cfr.</w:t>
      </w:r>
      <w:r w:rsidRPr="001D38D9">
        <w:rPr>
          <w:rFonts w:cstheme="minorHAnsi"/>
          <w:sz w:val="16"/>
          <w:szCs w:val="16"/>
          <w:lang w:val="es-CO"/>
        </w:rPr>
        <w:t xml:space="preserve"> Sentencia del 14 de junio de 1985 (expediente de pruebas, folio 30).</w:t>
      </w:r>
    </w:p>
  </w:footnote>
  <w:footnote w:id="31">
    <w:p w14:paraId="7B818D42" w14:textId="77777777" w:rsidR="0039102A" w:rsidRPr="001D38D9" w:rsidRDefault="0039102A" w:rsidP="000461DD">
      <w:pPr>
        <w:pStyle w:val="Textonotapie"/>
        <w:spacing w:before="100"/>
        <w:rPr>
          <w:rFonts w:cstheme="minorHAnsi"/>
          <w:sz w:val="16"/>
          <w:szCs w:val="16"/>
          <w:lang w:val="es-CO"/>
        </w:rPr>
      </w:pPr>
      <w:r w:rsidRPr="001D38D9">
        <w:rPr>
          <w:rStyle w:val="Refdenotaalpie"/>
          <w:lang w:val="es-CO"/>
        </w:rPr>
        <w:footnoteRef/>
      </w:r>
      <w:r w:rsidRPr="001D38D9">
        <w:rPr>
          <w:rFonts w:cstheme="minorHAnsi"/>
          <w:sz w:val="16"/>
          <w:szCs w:val="16"/>
          <w:lang w:val="es-CO"/>
        </w:rPr>
        <w:t xml:space="preserve"> </w:t>
      </w:r>
      <w:r w:rsidRPr="001D38D9">
        <w:rPr>
          <w:rFonts w:cstheme="minorHAnsi"/>
          <w:sz w:val="16"/>
          <w:szCs w:val="16"/>
          <w:lang w:val="es-CO"/>
        </w:rPr>
        <w:tab/>
      </w:r>
      <w:r w:rsidRPr="001D38D9">
        <w:rPr>
          <w:rFonts w:cstheme="minorHAnsi"/>
          <w:i/>
          <w:sz w:val="16"/>
          <w:szCs w:val="16"/>
          <w:lang w:val="es-CO"/>
        </w:rPr>
        <w:t>Cfr.</w:t>
      </w:r>
      <w:r w:rsidRPr="001D38D9">
        <w:rPr>
          <w:rFonts w:cstheme="minorHAnsi"/>
          <w:sz w:val="16"/>
          <w:szCs w:val="16"/>
          <w:lang w:val="es-CO"/>
        </w:rPr>
        <w:t xml:space="preserve"> Recurso de apelación interpuesto por la señora Norka Moya Solís el 1 de julio de 1985 (expediente de prueba, folio 32).</w:t>
      </w:r>
    </w:p>
  </w:footnote>
  <w:footnote w:id="32">
    <w:p w14:paraId="341515B0" w14:textId="77777777" w:rsidR="0039102A" w:rsidRPr="001D38D9" w:rsidRDefault="0039102A" w:rsidP="000461DD">
      <w:pPr>
        <w:pStyle w:val="Textonotapie"/>
        <w:spacing w:before="100"/>
        <w:rPr>
          <w:rFonts w:cstheme="minorHAnsi"/>
          <w:sz w:val="16"/>
          <w:szCs w:val="16"/>
          <w:lang w:val="es-CO"/>
        </w:rPr>
      </w:pPr>
      <w:r w:rsidRPr="001D38D9">
        <w:rPr>
          <w:rStyle w:val="Refdenotaalpie"/>
          <w:lang w:val="es-CO"/>
        </w:rPr>
        <w:footnoteRef/>
      </w:r>
      <w:r w:rsidRPr="001D38D9">
        <w:rPr>
          <w:rFonts w:cstheme="minorHAnsi"/>
          <w:sz w:val="16"/>
          <w:szCs w:val="16"/>
          <w:lang w:val="es-CO"/>
        </w:rPr>
        <w:t xml:space="preserve"> </w:t>
      </w:r>
      <w:r w:rsidRPr="001D38D9">
        <w:rPr>
          <w:rFonts w:cstheme="minorHAnsi"/>
          <w:sz w:val="16"/>
          <w:szCs w:val="16"/>
          <w:lang w:val="es-CO"/>
        </w:rPr>
        <w:tab/>
      </w:r>
      <w:r w:rsidRPr="001D38D9">
        <w:rPr>
          <w:rFonts w:cstheme="minorHAnsi"/>
          <w:i/>
          <w:sz w:val="16"/>
          <w:szCs w:val="16"/>
          <w:lang w:val="es-CO"/>
        </w:rPr>
        <w:t>Cfr.</w:t>
      </w:r>
      <w:r w:rsidRPr="001D38D9">
        <w:rPr>
          <w:rFonts w:cstheme="minorHAnsi"/>
          <w:sz w:val="16"/>
          <w:szCs w:val="16"/>
          <w:lang w:val="es-CO"/>
        </w:rPr>
        <w:t xml:space="preserve"> Sentencia de 2 de septiembre de 1985 (expediente de prueba, folio 34).</w:t>
      </w:r>
    </w:p>
  </w:footnote>
  <w:footnote w:id="33">
    <w:p w14:paraId="27EDD7EE" w14:textId="77777777" w:rsidR="0039102A" w:rsidRPr="001D38D9" w:rsidRDefault="0039102A" w:rsidP="000461DD">
      <w:pPr>
        <w:pStyle w:val="Textonotapie"/>
        <w:spacing w:before="100"/>
        <w:rPr>
          <w:rFonts w:cstheme="minorHAnsi"/>
          <w:sz w:val="16"/>
          <w:szCs w:val="16"/>
          <w:lang w:val="es-CO"/>
        </w:rPr>
      </w:pPr>
      <w:r w:rsidRPr="001D38D9">
        <w:rPr>
          <w:rStyle w:val="Refdenotaalpie"/>
          <w:lang w:val="es-CO"/>
        </w:rPr>
        <w:footnoteRef/>
      </w:r>
      <w:r w:rsidRPr="001D38D9">
        <w:rPr>
          <w:rFonts w:cstheme="minorHAnsi"/>
          <w:sz w:val="16"/>
          <w:szCs w:val="16"/>
          <w:lang w:val="es-CO"/>
        </w:rPr>
        <w:t xml:space="preserve"> </w:t>
      </w:r>
      <w:r w:rsidRPr="001D38D9">
        <w:rPr>
          <w:rFonts w:cstheme="minorHAnsi"/>
          <w:sz w:val="16"/>
          <w:szCs w:val="16"/>
          <w:lang w:val="es-CO"/>
        </w:rPr>
        <w:tab/>
      </w:r>
      <w:r w:rsidRPr="001D38D9">
        <w:rPr>
          <w:rFonts w:cstheme="minorHAnsi"/>
          <w:i/>
          <w:sz w:val="16"/>
          <w:szCs w:val="16"/>
          <w:lang w:val="es-CO"/>
        </w:rPr>
        <w:t>Cfr.</w:t>
      </w:r>
      <w:r w:rsidRPr="001D38D9">
        <w:rPr>
          <w:rFonts w:cstheme="minorHAnsi"/>
          <w:sz w:val="16"/>
          <w:szCs w:val="16"/>
          <w:lang w:val="es-CO"/>
        </w:rPr>
        <w:t xml:space="preserve"> Recurso de nulidad interpuesto ante la Tercera Sala Civil de Lima por Norka Moya Solís </w:t>
      </w:r>
      <w:r>
        <w:rPr>
          <w:rFonts w:cstheme="minorHAnsi"/>
          <w:sz w:val="16"/>
          <w:szCs w:val="16"/>
          <w:lang w:val="es-CO"/>
        </w:rPr>
        <w:t>el</w:t>
      </w:r>
      <w:r w:rsidRPr="001D38D9">
        <w:rPr>
          <w:rFonts w:cstheme="minorHAnsi"/>
          <w:sz w:val="16"/>
          <w:szCs w:val="16"/>
          <w:lang w:val="es-CO"/>
        </w:rPr>
        <w:t xml:space="preserve"> 17 de septiembre de 1985 (expediente de prueba, folio 36)</w:t>
      </w:r>
      <w:r w:rsidRPr="001D38D9">
        <w:rPr>
          <w:rFonts w:cstheme="minorHAnsi"/>
          <w:b/>
          <w:sz w:val="16"/>
          <w:szCs w:val="16"/>
          <w:lang w:val="es-CO"/>
        </w:rPr>
        <w:t>.</w:t>
      </w:r>
    </w:p>
  </w:footnote>
  <w:footnote w:id="34">
    <w:p w14:paraId="6A819AE0" w14:textId="77777777" w:rsidR="0039102A" w:rsidRPr="001D38D9" w:rsidRDefault="0039102A" w:rsidP="000461DD">
      <w:pPr>
        <w:pStyle w:val="Textonotapie"/>
        <w:spacing w:before="100"/>
        <w:rPr>
          <w:rFonts w:cstheme="minorHAnsi"/>
          <w:sz w:val="16"/>
          <w:szCs w:val="16"/>
          <w:lang w:val="es-CO"/>
        </w:rPr>
      </w:pPr>
      <w:r w:rsidRPr="001D38D9">
        <w:rPr>
          <w:rStyle w:val="Refdenotaalpie"/>
          <w:lang w:val="es-CO"/>
        </w:rPr>
        <w:footnoteRef/>
      </w:r>
      <w:r w:rsidRPr="001D38D9">
        <w:rPr>
          <w:rFonts w:cstheme="minorHAnsi"/>
          <w:sz w:val="16"/>
          <w:szCs w:val="16"/>
          <w:lang w:val="es-CO"/>
        </w:rPr>
        <w:t xml:space="preserve"> </w:t>
      </w:r>
      <w:r w:rsidRPr="001D38D9">
        <w:rPr>
          <w:rFonts w:cstheme="minorHAnsi"/>
          <w:sz w:val="16"/>
          <w:szCs w:val="16"/>
          <w:lang w:val="es-CO"/>
        </w:rPr>
        <w:tab/>
      </w:r>
      <w:r w:rsidRPr="001D38D9">
        <w:rPr>
          <w:rFonts w:cstheme="minorHAnsi"/>
          <w:i/>
          <w:sz w:val="16"/>
          <w:szCs w:val="16"/>
          <w:lang w:val="es-CO"/>
        </w:rPr>
        <w:t xml:space="preserve">Cfr. </w:t>
      </w:r>
      <w:r>
        <w:rPr>
          <w:rFonts w:cstheme="minorHAnsi"/>
          <w:sz w:val="16"/>
          <w:szCs w:val="16"/>
          <w:lang w:val="es-CO"/>
        </w:rPr>
        <w:t>Dictamen</w:t>
      </w:r>
      <w:r w:rsidRPr="001D38D9">
        <w:rPr>
          <w:rFonts w:cstheme="minorHAnsi"/>
          <w:sz w:val="16"/>
          <w:szCs w:val="16"/>
          <w:lang w:val="es-CO"/>
        </w:rPr>
        <w:t xml:space="preserve"> remitido por el Ministerio Público al Presidente de la Segunda Sala Civil de la Corte Suprema el 17 de enero de 1986 (expediente de prueba, folios 39 a 40).</w:t>
      </w:r>
    </w:p>
  </w:footnote>
  <w:footnote w:id="35">
    <w:p w14:paraId="091F8647" w14:textId="77777777" w:rsidR="0039102A" w:rsidRPr="001D38D9" w:rsidRDefault="0039102A" w:rsidP="000461DD">
      <w:pPr>
        <w:pStyle w:val="Textonotapie"/>
        <w:spacing w:before="100"/>
        <w:rPr>
          <w:rFonts w:cstheme="minorHAnsi"/>
          <w:sz w:val="16"/>
          <w:szCs w:val="16"/>
          <w:lang w:val="es-CO"/>
        </w:rPr>
      </w:pPr>
      <w:r w:rsidRPr="001D38D9">
        <w:rPr>
          <w:rStyle w:val="Refdenotaalpie"/>
          <w:lang w:val="es-CO"/>
        </w:rPr>
        <w:footnoteRef/>
      </w:r>
      <w:r w:rsidRPr="001D38D9">
        <w:rPr>
          <w:rFonts w:cstheme="minorHAnsi"/>
          <w:sz w:val="16"/>
          <w:szCs w:val="16"/>
          <w:lang w:val="es-CO"/>
        </w:rPr>
        <w:t xml:space="preserve"> </w:t>
      </w:r>
      <w:r w:rsidRPr="001D38D9">
        <w:rPr>
          <w:rFonts w:cstheme="minorHAnsi"/>
          <w:sz w:val="16"/>
          <w:szCs w:val="16"/>
          <w:lang w:val="es-CO"/>
        </w:rPr>
        <w:tab/>
      </w:r>
      <w:r w:rsidRPr="001D38D9">
        <w:rPr>
          <w:rFonts w:cstheme="minorHAnsi"/>
          <w:i/>
          <w:sz w:val="16"/>
          <w:szCs w:val="16"/>
          <w:lang w:val="es-CO"/>
        </w:rPr>
        <w:t>Cfr.</w:t>
      </w:r>
      <w:r w:rsidRPr="001D38D9">
        <w:rPr>
          <w:rFonts w:cstheme="minorHAnsi"/>
          <w:sz w:val="16"/>
          <w:szCs w:val="16"/>
          <w:lang w:val="es-CO"/>
        </w:rPr>
        <w:t xml:space="preserve"> Resolución de 4 de agosto de 1986 (expediente de prueba, folio 43)</w:t>
      </w:r>
      <w:r w:rsidRPr="001D38D9">
        <w:rPr>
          <w:rFonts w:cstheme="minorHAnsi"/>
          <w:b/>
          <w:sz w:val="16"/>
          <w:szCs w:val="16"/>
          <w:lang w:val="es-CO"/>
        </w:rPr>
        <w:t>.</w:t>
      </w:r>
    </w:p>
  </w:footnote>
  <w:footnote w:id="36">
    <w:p w14:paraId="196F11C9" w14:textId="77777777" w:rsidR="0039102A" w:rsidRPr="001D38D9" w:rsidRDefault="0039102A" w:rsidP="000461DD">
      <w:pPr>
        <w:pStyle w:val="Textonotapie"/>
        <w:spacing w:before="100"/>
        <w:rPr>
          <w:rFonts w:cstheme="minorHAnsi"/>
          <w:sz w:val="16"/>
          <w:szCs w:val="16"/>
          <w:lang w:val="es-CO"/>
        </w:rPr>
      </w:pPr>
      <w:r w:rsidRPr="001D38D9">
        <w:rPr>
          <w:rStyle w:val="Refdenotaalpie"/>
          <w:lang w:val="es-CO"/>
        </w:rPr>
        <w:footnoteRef/>
      </w:r>
      <w:r w:rsidRPr="001D38D9">
        <w:rPr>
          <w:rFonts w:cstheme="minorHAnsi"/>
          <w:sz w:val="16"/>
          <w:szCs w:val="16"/>
          <w:lang w:val="es-CO"/>
        </w:rPr>
        <w:t xml:space="preserve"> </w:t>
      </w:r>
      <w:r w:rsidRPr="001D38D9">
        <w:rPr>
          <w:rFonts w:cstheme="minorHAnsi"/>
          <w:sz w:val="16"/>
          <w:szCs w:val="16"/>
          <w:lang w:val="es-CO"/>
        </w:rPr>
        <w:tab/>
      </w:r>
      <w:r w:rsidRPr="001D38D9">
        <w:rPr>
          <w:rFonts w:cstheme="minorHAnsi"/>
          <w:i/>
          <w:sz w:val="16"/>
          <w:szCs w:val="16"/>
          <w:lang w:val="es-CO"/>
        </w:rPr>
        <w:t>Cfr.</w:t>
      </w:r>
      <w:r w:rsidRPr="001D38D9">
        <w:rPr>
          <w:rFonts w:cstheme="minorHAnsi"/>
          <w:sz w:val="16"/>
          <w:szCs w:val="16"/>
          <w:lang w:val="es-CO"/>
        </w:rPr>
        <w:t xml:space="preserve"> Oficio remitido por la Jueza del Déc</w:t>
      </w:r>
      <w:r>
        <w:rPr>
          <w:rFonts w:cstheme="minorHAnsi"/>
          <w:sz w:val="16"/>
          <w:szCs w:val="16"/>
          <w:lang w:val="es-CO"/>
        </w:rPr>
        <w:t>imo Sexto Juzgado Civil de Lima</w:t>
      </w:r>
      <w:r w:rsidRPr="001D38D9">
        <w:rPr>
          <w:rFonts w:cstheme="minorHAnsi"/>
          <w:sz w:val="16"/>
          <w:szCs w:val="16"/>
          <w:lang w:val="es-CO"/>
        </w:rPr>
        <w:t xml:space="preserve"> al Presidente de la Corte Superior de Lima</w:t>
      </w:r>
      <w:r>
        <w:rPr>
          <w:rFonts w:cstheme="minorHAnsi"/>
          <w:sz w:val="16"/>
          <w:szCs w:val="16"/>
          <w:lang w:val="es-CO"/>
        </w:rPr>
        <w:t xml:space="preserve"> el</w:t>
      </w:r>
      <w:r w:rsidRPr="001D38D9">
        <w:rPr>
          <w:rFonts w:cstheme="minorHAnsi"/>
          <w:sz w:val="16"/>
          <w:szCs w:val="16"/>
          <w:lang w:val="es-CO"/>
        </w:rPr>
        <w:t xml:space="preserve"> 27 de noviembre de 1986 (expediente de prueba, folio 57)</w:t>
      </w:r>
      <w:r w:rsidRPr="001D38D9">
        <w:rPr>
          <w:rFonts w:cstheme="minorHAnsi"/>
          <w:b/>
          <w:sz w:val="16"/>
          <w:szCs w:val="16"/>
          <w:lang w:val="es-CO"/>
        </w:rPr>
        <w:t xml:space="preserve"> </w:t>
      </w:r>
      <w:r>
        <w:rPr>
          <w:rFonts w:cstheme="minorHAnsi"/>
          <w:sz w:val="16"/>
          <w:szCs w:val="16"/>
          <w:lang w:val="es-CO"/>
        </w:rPr>
        <w:t>y Oficio N</w:t>
      </w:r>
      <w:r w:rsidRPr="001D38D9">
        <w:rPr>
          <w:rFonts w:cstheme="minorHAnsi"/>
          <w:sz w:val="16"/>
          <w:szCs w:val="16"/>
          <w:lang w:val="es-CO"/>
        </w:rPr>
        <w:t>o. 1195-84 remitido por el Juez del Décimo Sexto Juzgado Civil de Lima al Presidente del Tribunal de Trabajo</w:t>
      </w:r>
      <w:r>
        <w:rPr>
          <w:rFonts w:cstheme="minorHAnsi"/>
          <w:sz w:val="16"/>
          <w:szCs w:val="16"/>
          <w:lang w:val="es-CO"/>
        </w:rPr>
        <w:t xml:space="preserve"> el</w:t>
      </w:r>
      <w:r w:rsidRPr="001D38D9">
        <w:rPr>
          <w:rFonts w:cstheme="minorHAnsi"/>
          <w:sz w:val="16"/>
          <w:szCs w:val="16"/>
          <w:lang w:val="es-CO"/>
        </w:rPr>
        <w:t xml:space="preserve"> 13 de marzo de 1987 (expediente de prueba, folio 46). Ver también: Oficios remitidos en diferentes fechas por la señora Moya Solís solicitando la remisión del exp</w:t>
      </w:r>
      <w:r>
        <w:rPr>
          <w:rFonts w:cstheme="minorHAnsi"/>
          <w:sz w:val="16"/>
          <w:szCs w:val="16"/>
          <w:lang w:val="es-CO"/>
        </w:rPr>
        <w:t>ediente de ratificaciones al 16</w:t>
      </w:r>
      <w:r w:rsidRPr="001D38D9">
        <w:rPr>
          <w:rFonts w:cstheme="minorHAnsi"/>
          <w:sz w:val="16"/>
          <w:szCs w:val="16"/>
          <w:lang w:val="es-CO"/>
        </w:rPr>
        <w:t xml:space="preserve"> Juzgado Civil de Lima (expediente de prueba, folios 47</w:t>
      </w:r>
      <w:r>
        <w:rPr>
          <w:rFonts w:cstheme="minorHAnsi"/>
          <w:sz w:val="16"/>
          <w:szCs w:val="16"/>
          <w:lang w:val="es-CO"/>
        </w:rPr>
        <w:t xml:space="preserve"> a</w:t>
      </w:r>
      <w:r w:rsidRPr="001D38D9">
        <w:rPr>
          <w:rFonts w:cstheme="minorHAnsi"/>
          <w:sz w:val="16"/>
          <w:szCs w:val="16"/>
          <w:lang w:val="es-CO"/>
        </w:rPr>
        <w:t xml:space="preserve"> 49)</w:t>
      </w:r>
    </w:p>
  </w:footnote>
  <w:footnote w:id="37">
    <w:p w14:paraId="550A0424" w14:textId="77777777" w:rsidR="0039102A" w:rsidRPr="001D38D9" w:rsidRDefault="0039102A" w:rsidP="000461DD">
      <w:pPr>
        <w:pStyle w:val="Textonotapie"/>
        <w:spacing w:before="100"/>
        <w:rPr>
          <w:rFonts w:cstheme="minorHAnsi"/>
          <w:sz w:val="16"/>
          <w:szCs w:val="16"/>
          <w:lang w:val="es-CO"/>
        </w:rPr>
      </w:pPr>
      <w:r w:rsidRPr="001D38D9">
        <w:rPr>
          <w:rStyle w:val="Refdenotaalpie"/>
          <w:lang w:val="es-CO"/>
        </w:rPr>
        <w:footnoteRef/>
      </w:r>
      <w:r w:rsidRPr="001D38D9">
        <w:rPr>
          <w:rFonts w:cstheme="minorHAnsi"/>
          <w:sz w:val="16"/>
          <w:szCs w:val="16"/>
          <w:lang w:val="es-CO"/>
        </w:rPr>
        <w:t xml:space="preserve"> </w:t>
      </w:r>
      <w:r w:rsidRPr="001D38D9">
        <w:rPr>
          <w:rFonts w:cstheme="minorHAnsi"/>
          <w:sz w:val="16"/>
          <w:szCs w:val="16"/>
          <w:lang w:val="es-CO"/>
        </w:rPr>
        <w:tab/>
      </w:r>
      <w:r w:rsidRPr="001D38D9">
        <w:rPr>
          <w:rFonts w:cstheme="minorHAnsi"/>
          <w:i/>
          <w:sz w:val="16"/>
          <w:szCs w:val="16"/>
          <w:lang w:val="es-CO"/>
        </w:rPr>
        <w:t>Cfr.</w:t>
      </w:r>
      <w:r w:rsidRPr="001D38D9">
        <w:rPr>
          <w:rFonts w:cstheme="minorHAnsi"/>
          <w:sz w:val="16"/>
          <w:szCs w:val="16"/>
          <w:lang w:val="es-CO"/>
        </w:rPr>
        <w:t xml:space="preserve"> Oficio remitido por la Jueza </w:t>
      </w:r>
      <w:r>
        <w:rPr>
          <w:rFonts w:cstheme="minorHAnsi"/>
          <w:sz w:val="16"/>
          <w:szCs w:val="16"/>
          <w:lang w:val="es-CO"/>
        </w:rPr>
        <w:t>E</w:t>
      </w:r>
      <w:r w:rsidRPr="001D38D9">
        <w:rPr>
          <w:rFonts w:cstheme="minorHAnsi"/>
          <w:sz w:val="16"/>
          <w:szCs w:val="16"/>
          <w:lang w:val="es-CO"/>
        </w:rPr>
        <w:t xml:space="preserve">specializada Civil del 33 Juzgado en lo Civil del Distrito Judicial de Lima al Presidente de la Corte Superior de Lima </w:t>
      </w:r>
      <w:r>
        <w:rPr>
          <w:rFonts w:cstheme="minorHAnsi"/>
          <w:sz w:val="16"/>
          <w:szCs w:val="16"/>
          <w:lang w:val="es-CO"/>
        </w:rPr>
        <w:t>el</w:t>
      </w:r>
      <w:r w:rsidRPr="001D38D9">
        <w:rPr>
          <w:rFonts w:cstheme="minorHAnsi"/>
          <w:sz w:val="16"/>
          <w:szCs w:val="16"/>
          <w:lang w:val="es-CO"/>
        </w:rPr>
        <w:t xml:space="preserve"> 22 de junio de 1995 (expediente de prueba, folio 63).</w:t>
      </w:r>
    </w:p>
  </w:footnote>
  <w:footnote w:id="38">
    <w:p w14:paraId="7C4DB4C9" w14:textId="77777777" w:rsidR="0039102A" w:rsidRPr="001D38D9" w:rsidRDefault="0039102A" w:rsidP="000461DD">
      <w:pPr>
        <w:pStyle w:val="Textonotapie"/>
        <w:spacing w:before="100"/>
        <w:rPr>
          <w:rFonts w:cstheme="minorHAnsi"/>
          <w:sz w:val="16"/>
          <w:szCs w:val="16"/>
          <w:lang w:val="es-CO"/>
        </w:rPr>
      </w:pPr>
      <w:r w:rsidRPr="001D38D9">
        <w:rPr>
          <w:rStyle w:val="Refdenotaalpie"/>
          <w:lang w:val="es-CO"/>
        </w:rPr>
        <w:footnoteRef/>
      </w:r>
      <w:r w:rsidRPr="001D38D9">
        <w:rPr>
          <w:rFonts w:cstheme="minorHAnsi"/>
          <w:sz w:val="16"/>
          <w:szCs w:val="16"/>
          <w:lang w:val="es-CO"/>
        </w:rPr>
        <w:t xml:space="preserve"> </w:t>
      </w:r>
      <w:r w:rsidRPr="001D38D9">
        <w:rPr>
          <w:rFonts w:cstheme="minorHAnsi"/>
          <w:sz w:val="16"/>
          <w:szCs w:val="16"/>
          <w:lang w:val="es-CO"/>
        </w:rPr>
        <w:tab/>
      </w:r>
      <w:r w:rsidRPr="001D38D9">
        <w:rPr>
          <w:rFonts w:cstheme="minorHAnsi"/>
          <w:i/>
          <w:sz w:val="16"/>
          <w:szCs w:val="16"/>
          <w:lang w:val="es-CO"/>
        </w:rPr>
        <w:t>Cfr.</w:t>
      </w:r>
      <w:r w:rsidRPr="001D38D9">
        <w:rPr>
          <w:rFonts w:cstheme="minorHAnsi"/>
          <w:sz w:val="16"/>
          <w:szCs w:val="16"/>
          <w:lang w:val="es-CO"/>
        </w:rPr>
        <w:t xml:space="preserve"> Oficio N°076-DA-SYJTL remitido por el Delegado Administrativo de las Salas y Juzgados Laborales de Lima al Presidente de la Corte Superior de Justicia de Lima </w:t>
      </w:r>
      <w:r>
        <w:rPr>
          <w:rFonts w:cstheme="minorHAnsi"/>
          <w:sz w:val="16"/>
          <w:szCs w:val="16"/>
          <w:lang w:val="es-CO"/>
        </w:rPr>
        <w:t xml:space="preserve">el </w:t>
      </w:r>
      <w:r w:rsidRPr="001D38D9">
        <w:rPr>
          <w:rFonts w:cstheme="minorHAnsi"/>
          <w:sz w:val="16"/>
          <w:szCs w:val="16"/>
          <w:lang w:val="es-CO"/>
        </w:rPr>
        <w:t>4 de marzo de 1996 (expediente de prueba, folio 65).</w:t>
      </w:r>
    </w:p>
  </w:footnote>
  <w:footnote w:id="39">
    <w:p w14:paraId="4C1D8FCF" w14:textId="77777777" w:rsidR="0039102A" w:rsidRPr="001D38D9" w:rsidRDefault="0039102A" w:rsidP="000461DD">
      <w:pPr>
        <w:pStyle w:val="Textonotapie"/>
        <w:spacing w:before="100"/>
        <w:rPr>
          <w:rFonts w:cstheme="minorHAnsi"/>
          <w:sz w:val="16"/>
          <w:szCs w:val="16"/>
          <w:lang w:val="es-CO"/>
        </w:rPr>
      </w:pPr>
      <w:r w:rsidRPr="001D38D9">
        <w:rPr>
          <w:rStyle w:val="Refdenotaalpie"/>
          <w:lang w:val="es-CO"/>
        </w:rPr>
        <w:footnoteRef/>
      </w:r>
      <w:r w:rsidRPr="001D38D9">
        <w:rPr>
          <w:rFonts w:cstheme="minorHAnsi"/>
          <w:sz w:val="16"/>
          <w:szCs w:val="16"/>
          <w:lang w:val="es-CO"/>
        </w:rPr>
        <w:t xml:space="preserve"> </w:t>
      </w:r>
      <w:r w:rsidRPr="001D38D9">
        <w:rPr>
          <w:rFonts w:cstheme="minorHAnsi"/>
          <w:sz w:val="16"/>
          <w:szCs w:val="16"/>
          <w:lang w:val="es-CO"/>
        </w:rPr>
        <w:tab/>
      </w:r>
      <w:r w:rsidRPr="001D38D9">
        <w:rPr>
          <w:rFonts w:cstheme="minorHAnsi"/>
          <w:i/>
          <w:sz w:val="16"/>
          <w:szCs w:val="16"/>
          <w:lang w:val="es-CO"/>
        </w:rPr>
        <w:t>Cfr.</w:t>
      </w:r>
      <w:r w:rsidRPr="001D38D9">
        <w:rPr>
          <w:rFonts w:cstheme="minorHAnsi"/>
          <w:sz w:val="16"/>
          <w:szCs w:val="16"/>
          <w:lang w:val="es-CO"/>
        </w:rPr>
        <w:t xml:space="preserve"> </w:t>
      </w:r>
      <w:r>
        <w:rPr>
          <w:rFonts w:cstheme="minorHAnsi"/>
          <w:sz w:val="16"/>
          <w:szCs w:val="16"/>
          <w:lang w:val="es-CO"/>
        </w:rPr>
        <w:t>Decisión</w:t>
      </w:r>
      <w:r w:rsidRPr="001D38D9">
        <w:rPr>
          <w:rFonts w:cstheme="minorHAnsi"/>
          <w:sz w:val="16"/>
          <w:szCs w:val="16"/>
          <w:lang w:val="es-CO"/>
        </w:rPr>
        <w:t xml:space="preserve"> del Décimo Sexto Juzgado Especializado de lo Civil en Lima de 30 de diciembre de 1996 (expediente de prueba, folios 68 y 69).</w:t>
      </w:r>
    </w:p>
  </w:footnote>
  <w:footnote w:id="40">
    <w:p w14:paraId="2522DDBB" w14:textId="77777777" w:rsidR="0039102A" w:rsidRPr="001D38D9" w:rsidRDefault="0039102A" w:rsidP="000461DD">
      <w:pPr>
        <w:pStyle w:val="Textonotapie"/>
        <w:spacing w:before="100"/>
        <w:rPr>
          <w:rFonts w:cstheme="minorHAnsi"/>
          <w:sz w:val="16"/>
          <w:szCs w:val="16"/>
          <w:lang w:val="es-CO"/>
        </w:rPr>
      </w:pPr>
      <w:r w:rsidRPr="001D38D9">
        <w:rPr>
          <w:rStyle w:val="Refdenotaalpie"/>
          <w:lang w:val="es-CO"/>
        </w:rPr>
        <w:footnoteRef/>
      </w:r>
      <w:r w:rsidRPr="001D38D9">
        <w:rPr>
          <w:rFonts w:cstheme="minorHAnsi"/>
          <w:sz w:val="16"/>
          <w:szCs w:val="16"/>
          <w:lang w:val="es-CO"/>
        </w:rPr>
        <w:t xml:space="preserve"> </w:t>
      </w:r>
      <w:r w:rsidRPr="001D38D9">
        <w:rPr>
          <w:rFonts w:cstheme="minorHAnsi"/>
          <w:sz w:val="16"/>
          <w:szCs w:val="16"/>
          <w:lang w:val="es-CO"/>
        </w:rPr>
        <w:tab/>
      </w:r>
      <w:r w:rsidRPr="001D38D9">
        <w:rPr>
          <w:rFonts w:cstheme="minorHAnsi"/>
          <w:i/>
          <w:sz w:val="16"/>
          <w:szCs w:val="16"/>
          <w:lang w:val="es-CO"/>
        </w:rPr>
        <w:t>Cfr.</w:t>
      </w:r>
      <w:r w:rsidRPr="001D38D9">
        <w:rPr>
          <w:rFonts w:cstheme="minorHAnsi"/>
          <w:sz w:val="16"/>
          <w:szCs w:val="16"/>
          <w:lang w:val="es-CO"/>
        </w:rPr>
        <w:t xml:space="preserve"> Recurso de apelación presentado por la señora Norka Moya Solís ante el Décimo Sexto Juzgado especializado Civil de Lima el 19 de mayo de 1997 (expediente de prueba, folios 72 a 73).</w:t>
      </w:r>
    </w:p>
  </w:footnote>
  <w:footnote w:id="41">
    <w:p w14:paraId="45A10721" w14:textId="77777777" w:rsidR="0039102A" w:rsidRPr="001D38D9" w:rsidRDefault="0039102A" w:rsidP="000461DD">
      <w:pPr>
        <w:pStyle w:val="Textonotapie"/>
        <w:spacing w:before="100"/>
        <w:rPr>
          <w:rFonts w:cstheme="minorHAnsi"/>
          <w:sz w:val="16"/>
          <w:szCs w:val="16"/>
          <w:lang w:val="es-CO"/>
        </w:rPr>
      </w:pPr>
      <w:r w:rsidRPr="001D38D9">
        <w:rPr>
          <w:rStyle w:val="Refdenotaalpie"/>
          <w:lang w:val="es-CO"/>
        </w:rPr>
        <w:footnoteRef/>
      </w:r>
      <w:r w:rsidRPr="001D38D9">
        <w:rPr>
          <w:rFonts w:cstheme="minorHAnsi"/>
          <w:sz w:val="16"/>
          <w:szCs w:val="16"/>
          <w:lang w:val="es-CO"/>
        </w:rPr>
        <w:t xml:space="preserve"> </w:t>
      </w:r>
      <w:r w:rsidRPr="001D38D9">
        <w:rPr>
          <w:rFonts w:cstheme="minorHAnsi"/>
          <w:sz w:val="16"/>
          <w:szCs w:val="16"/>
          <w:lang w:val="es-CO"/>
        </w:rPr>
        <w:tab/>
      </w:r>
      <w:r w:rsidRPr="001D38D9">
        <w:rPr>
          <w:rFonts w:cstheme="minorHAnsi"/>
          <w:i/>
          <w:sz w:val="16"/>
          <w:szCs w:val="16"/>
          <w:lang w:val="es-CO"/>
        </w:rPr>
        <w:t>Cfr.</w:t>
      </w:r>
      <w:r w:rsidRPr="001D38D9">
        <w:rPr>
          <w:rFonts w:cstheme="minorHAnsi"/>
          <w:sz w:val="16"/>
          <w:szCs w:val="16"/>
          <w:lang w:val="es-CO"/>
        </w:rPr>
        <w:t xml:space="preserve"> </w:t>
      </w:r>
      <w:r>
        <w:rPr>
          <w:rFonts w:cstheme="minorHAnsi"/>
          <w:sz w:val="16"/>
          <w:szCs w:val="16"/>
          <w:lang w:val="es-CO"/>
        </w:rPr>
        <w:t>Decisión</w:t>
      </w:r>
      <w:r w:rsidRPr="001D38D9">
        <w:rPr>
          <w:rFonts w:cstheme="minorHAnsi"/>
          <w:sz w:val="16"/>
          <w:szCs w:val="16"/>
          <w:lang w:val="es-CO"/>
        </w:rPr>
        <w:t xml:space="preserve"> de la Sala Corporativa Transitoria Especializada en Derecho Público de 20 de marzo de 1998 (expediente de prueba, folio 78).</w:t>
      </w:r>
    </w:p>
  </w:footnote>
  <w:footnote w:id="42">
    <w:p w14:paraId="4D9B5FAB" w14:textId="77777777" w:rsidR="0039102A" w:rsidRPr="001D38D9" w:rsidRDefault="0039102A" w:rsidP="000461DD">
      <w:pPr>
        <w:pStyle w:val="Textonotapie"/>
        <w:spacing w:before="100"/>
        <w:rPr>
          <w:rFonts w:cstheme="minorHAnsi"/>
          <w:sz w:val="16"/>
          <w:szCs w:val="16"/>
          <w:lang w:val="es-CO"/>
        </w:rPr>
      </w:pPr>
      <w:r w:rsidRPr="001D38D9">
        <w:rPr>
          <w:rStyle w:val="Refdenotaalpie"/>
          <w:lang w:val="es-CO"/>
        </w:rPr>
        <w:footnoteRef/>
      </w:r>
      <w:r w:rsidRPr="001D38D9">
        <w:rPr>
          <w:rFonts w:cstheme="minorHAnsi"/>
          <w:sz w:val="16"/>
          <w:szCs w:val="16"/>
          <w:lang w:val="es-CO"/>
        </w:rPr>
        <w:t xml:space="preserve"> </w:t>
      </w:r>
      <w:r w:rsidRPr="001D38D9">
        <w:rPr>
          <w:rFonts w:cstheme="minorHAnsi"/>
          <w:sz w:val="16"/>
          <w:szCs w:val="16"/>
          <w:lang w:val="es-CO"/>
        </w:rPr>
        <w:tab/>
      </w:r>
      <w:r w:rsidRPr="001D38D9">
        <w:rPr>
          <w:rFonts w:cstheme="minorHAnsi"/>
          <w:i/>
          <w:sz w:val="16"/>
          <w:szCs w:val="16"/>
          <w:lang w:val="es-CO"/>
        </w:rPr>
        <w:t>Cfr.</w:t>
      </w:r>
      <w:r w:rsidRPr="001D38D9">
        <w:rPr>
          <w:rFonts w:cstheme="minorHAnsi"/>
          <w:sz w:val="16"/>
          <w:szCs w:val="16"/>
          <w:lang w:val="es-CO"/>
        </w:rPr>
        <w:t xml:space="preserve"> Recurso de nulidad interpuesto por Norka Moya Solís el 8 de abril de 1998 (expediente de prueba, folios 80 a 85).</w:t>
      </w:r>
    </w:p>
  </w:footnote>
  <w:footnote w:id="43">
    <w:p w14:paraId="5CB2056D" w14:textId="23FF5C6F" w:rsidR="0039102A" w:rsidRPr="001D38D9" w:rsidRDefault="0039102A" w:rsidP="000461DD">
      <w:pPr>
        <w:pStyle w:val="Textonotapie"/>
        <w:spacing w:before="100"/>
        <w:rPr>
          <w:rFonts w:cstheme="minorHAnsi"/>
          <w:sz w:val="16"/>
          <w:szCs w:val="16"/>
          <w:lang w:val="es-CO"/>
        </w:rPr>
      </w:pPr>
      <w:r w:rsidRPr="001D38D9">
        <w:rPr>
          <w:rStyle w:val="Refdenotaalpie"/>
          <w:lang w:val="es-CO"/>
        </w:rPr>
        <w:footnoteRef/>
      </w:r>
      <w:r w:rsidRPr="001D38D9">
        <w:rPr>
          <w:rFonts w:cstheme="minorHAnsi"/>
          <w:sz w:val="16"/>
          <w:szCs w:val="16"/>
          <w:lang w:val="es-CO"/>
        </w:rPr>
        <w:t xml:space="preserve"> </w:t>
      </w:r>
      <w:r w:rsidRPr="001D38D9">
        <w:rPr>
          <w:rFonts w:cstheme="minorHAnsi"/>
          <w:sz w:val="16"/>
          <w:szCs w:val="16"/>
          <w:lang w:val="es-CO"/>
        </w:rPr>
        <w:tab/>
      </w:r>
      <w:r w:rsidRPr="001D38D9">
        <w:rPr>
          <w:rFonts w:cstheme="minorHAnsi"/>
          <w:i/>
          <w:sz w:val="16"/>
          <w:szCs w:val="16"/>
          <w:lang w:val="es-CO"/>
        </w:rPr>
        <w:t>Cfr.</w:t>
      </w:r>
      <w:r w:rsidRPr="001D38D9">
        <w:rPr>
          <w:rFonts w:cstheme="minorHAnsi"/>
          <w:sz w:val="16"/>
          <w:szCs w:val="16"/>
          <w:lang w:val="es-CO"/>
        </w:rPr>
        <w:t xml:space="preserve"> </w:t>
      </w:r>
      <w:r>
        <w:rPr>
          <w:rFonts w:cstheme="minorHAnsi"/>
          <w:sz w:val="16"/>
          <w:szCs w:val="16"/>
          <w:lang w:val="es-CO"/>
        </w:rPr>
        <w:t>Decisión</w:t>
      </w:r>
      <w:r w:rsidRPr="001D38D9">
        <w:rPr>
          <w:rFonts w:cstheme="minorHAnsi"/>
          <w:sz w:val="16"/>
          <w:szCs w:val="16"/>
          <w:lang w:val="es-CO"/>
        </w:rPr>
        <w:t xml:space="preserve"> del 29 de octubre de 1998 (expediente de prueba, folio 87). Este fallo cuenta con un voto disidente del juez Castillo La Rosa Sánchez</w:t>
      </w:r>
      <w:r>
        <w:rPr>
          <w:rFonts w:cstheme="minorHAnsi"/>
          <w:sz w:val="16"/>
          <w:szCs w:val="16"/>
          <w:lang w:val="es-CO"/>
        </w:rPr>
        <w:t>, que señala</w:t>
      </w:r>
      <w:r w:rsidRPr="001D38D9">
        <w:rPr>
          <w:rFonts w:cstheme="minorHAnsi"/>
          <w:sz w:val="16"/>
          <w:szCs w:val="16"/>
          <w:lang w:val="es-CO"/>
        </w:rPr>
        <w:t>: “Segundo. - que, la resolución de no ratificación de la Sala Plena del Fuero de Trabajo Y. Comunidades Laborales, se sustentó en lo actuado en dicho expediente laboral, en especial en el informe final del mismo, que hace referencia a un informe favorable en parte a la demandante y consta que la no ratificación fue acordado cuando se produjo empate de votos para la ratificación; Tercero. - que, el acuerdo de no ratificación debe estar precedido de entrevista del evaluado, poniéndose a su conocimiento los cargos que pesan sobre su función, a fin de que pueda ejercer el derecho de defensa; que la omisión o no de estos requisitos que debe emerger del expedient</w:t>
      </w:r>
      <w:r>
        <w:rPr>
          <w:rFonts w:cstheme="minorHAnsi"/>
          <w:sz w:val="16"/>
          <w:szCs w:val="16"/>
          <w:lang w:val="es-CO"/>
        </w:rPr>
        <w:t>e</w:t>
      </w:r>
      <w:r w:rsidRPr="001D38D9">
        <w:rPr>
          <w:rFonts w:cstheme="minorHAnsi"/>
          <w:sz w:val="16"/>
          <w:szCs w:val="16"/>
          <w:lang w:val="es-CO"/>
        </w:rPr>
        <w:t xml:space="preserve"> aludido de ratificaciones hacen enteramente indispensable tener a la vista el mismo para la expedición de las sentencias lo que no ha ocurrido, indicándose que el expediente no es hallado, por lo que en su caso debe procederse a su </w:t>
      </w:r>
      <w:r w:rsidRPr="005A1B46">
        <w:rPr>
          <w:rFonts w:cstheme="minorHAnsi"/>
          <w:sz w:val="16"/>
          <w:szCs w:val="16"/>
          <w:lang w:val="es-CO"/>
        </w:rPr>
        <w:t>rehaciemiento (sic);</w:t>
      </w:r>
      <w:r w:rsidRPr="001D38D9">
        <w:rPr>
          <w:rFonts w:cstheme="minorHAnsi"/>
          <w:sz w:val="16"/>
          <w:szCs w:val="16"/>
          <w:lang w:val="es-CO"/>
        </w:rPr>
        <w:t xml:space="preserve"> MI VOTO es porque se declare NULA la sentencia de vista […] e INSUBSISTENTE la apelada […]”. Voto disidente del Juez Castillo La Rosa Sánchez (expediente de prueba, folios 90 a 91).   </w:t>
      </w:r>
    </w:p>
  </w:footnote>
  <w:footnote w:id="44">
    <w:p w14:paraId="34870C6D" w14:textId="77777777" w:rsidR="0039102A" w:rsidRPr="00533BD6" w:rsidRDefault="0039102A" w:rsidP="000461DD">
      <w:pPr>
        <w:pStyle w:val="Textonotapie"/>
        <w:spacing w:before="100"/>
        <w:rPr>
          <w:sz w:val="16"/>
          <w:szCs w:val="16"/>
        </w:rPr>
      </w:pPr>
      <w:r w:rsidRPr="00533BD6">
        <w:rPr>
          <w:rStyle w:val="Refdenotaalpie"/>
        </w:rPr>
        <w:footnoteRef/>
      </w:r>
      <w:r w:rsidRPr="00533BD6">
        <w:rPr>
          <w:sz w:val="16"/>
          <w:szCs w:val="16"/>
        </w:rPr>
        <w:t xml:space="preserve"> </w:t>
      </w:r>
      <w:r w:rsidRPr="00533BD6">
        <w:rPr>
          <w:sz w:val="16"/>
          <w:szCs w:val="16"/>
        </w:rPr>
        <w:tab/>
        <w:t>Artículos 8 y 9 de la Convención Americana.</w:t>
      </w:r>
    </w:p>
  </w:footnote>
  <w:footnote w:id="45">
    <w:p w14:paraId="3BF485AB" w14:textId="77777777" w:rsidR="0039102A" w:rsidRPr="007206F3" w:rsidRDefault="0039102A" w:rsidP="000461DD">
      <w:pPr>
        <w:pStyle w:val="Textonotapie"/>
        <w:spacing w:before="100"/>
        <w:rPr>
          <w:rFonts w:cstheme="minorHAnsi"/>
          <w:sz w:val="16"/>
          <w:szCs w:val="16"/>
          <w:lang w:val="es-CO"/>
        </w:rPr>
      </w:pPr>
      <w:r w:rsidRPr="007206F3">
        <w:rPr>
          <w:rStyle w:val="Refdenotaalpie"/>
          <w:lang w:val="es-CO"/>
        </w:rPr>
        <w:footnoteRef/>
      </w:r>
      <w:r w:rsidRPr="007206F3">
        <w:rPr>
          <w:rFonts w:cstheme="minorHAnsi"/>
          <w:sz w:val="16"/>
          <w:szCs w:val="16"/>
          <w:lang w:val="es-CO"/>
        </w:rPr>
        <w:t xml:space="preserve"> </w:t>
      </w:r>
      <w:r w:rsidRPr="007206F3">
        <w:rPr>
          <w:rFonts w:cstheme="minorHAnsi"/>
          <w:sz w:val="16"/>
          <w:szCs w:val="16"/>
          <w:lang w:val="es-CO"/>
        </w:rPr>
        <w:tab/>
      </w:r>
      <w:r w:rsidRPr="000F512F">
        <w:rPr>
          <w:rFonts w:cstheme="minorHAnsi"/>
          <w:i/>
          <w:sz w:val="16"/>
          <w:szCs w:val="16"/>
          <w:lang w:val="es-CO"/>
        </w:rPr>
        <w:t>Garantías judiciales en Estados de Emergencia (arts. 27.2, 25 y 8 Convención Americana sobre Derechos Humanos).</w:t>
      </w:r>
      <w:r w:rsidRPr="007206F3">
        <w:rPr>
          <w:rFonts w:cstheme="minorHAnsi"/>
          <w:sz w:val="16"/>
          <w:szCs w:val="16"/>
          <w:lang w:val="es-CO"/>
        </w:rPr>
        <w:t xml:space="preserve"> Opinión Consultiva OC-9/87 del 6 de octubre de 1987. Serie A No. 9, párr. 27.</w:t>
      </w:r>
    </w:p>
  </w:footnote>
  <w:footnote w:id="46">
    <w:p w14:paraId="2EB8C352" w14:textId="77777777" w:rsidR="0039102A" w:rsidRPr="007206F3" w:rsidRDefault="0039102A" w:rsidP="000461DD">
      <w:pPr>
        <w:pStyle w:val="Textonotapie"/>
        <w:spacing w:before="100"/>
        <w:rPr>
          <w:rFonts w:cstheme="minorHAnsi"/>
          <w:sz w:val="16"/>
          <w:szCs w:val="16"/>
          <w:lang w:val="es-CO"/>
        </w:rPr>
      </w:pPr>
      <w:r w:rsidRPr="007206F3">
        <w:rPr>
          <w:rStyle w:val="Refdenotaalpie"/>
          <w:lang w:val="es-CO"/>
        </w:rPr>
        <w:footnoteRef/>
      </w:r>
      <w:r w:rsidRPr="007206F3">
        <w:rPr>
          <w:rFonts w:cstheme="minorHAnsi"/>
          <w:sz w:val="16"/>
          <w:szCs w:val="16"/>
          <w:lang w:val="es-CO"/>
        </w:rPr>
        <w:t xml:space="preserve"> </w:t>
      </w:r>
      <w:r w:rsidRPr="007206F3">
        <w:rPr>
          <w:rFonts w:cstheme="minorHAnsi"/>
          <w:sz w:val="16"/>
          <w:szCs w:val="16"/>
          <w:lang w:val="es-CO"/>
        </w:rPr>
        <w:tab/>
      </w:r>
      <w:r w:rsidRPr="007206F3">
        <w:rPr>
          <w:rFonts w:cstheme="minorHAnsi"/>
          <w:i/>
          <w:sz w:val="16"/>
          <w:szCs w:val="16"/>
          <w:lang w:val="es-CO"/>
        </w:rPr>
        <w:t xml:space="preserve">Cfr. </w:t>
      </w:r>
      <w:r w:rsidRPr="00DA36B3">
        <w:rPr>
          <w:rFonts w:cstheme="minorHAnsi"/>
          <w:i/>
          <w:sz w:val="16"/>
          <w:szCs w:val="16"/>
          <w:lang w:val="es-CO"/>
        </w:rPr>
        <w:t xml:space="preserve">Caso Baena Ricardo y otros Vs. Panamá. Fondo, Reparaciones y Costas. </w:t>
      </w:r>
      <w:r w:rsidRPr="007206F3">
        <w:rPr>
          <w:rFonts w:cstheme="minorHAnsi"/>
          <w:sz w:val="16"/>
          <w:szCs w:val="16"/>
          <w:lang w:val="es-CO"/>
        </w:rPr>
        <w:t xml:space="preserve">Sentencia de 2 de febrero de 2001. Serie C No. 72, párr. 124 y </w:t>
      </w:r>
      <w:r w:rsidRPr="00DA36B3">
        <w:rPr>
          <w:rFonts w:cstheme="minorHAnsi"/>
          <w:i/>
          <w:sz w:val="16"/>
          <w:szCs w:val="16"/>
          <w:lang w:val="es-CO"/>
        </w:rPr>
        <w:t>Caso Pollo Rivera y otros Vs. Perú. Fondo, Reparaciones y Costas.</w:t>
      </w:r>
      <w:r w:rsidRPr="00DA36B3">
        <w:rPr>
          <w:rFonts w:cstheme="minorHAnsi"/>
          <w:sz w:val="16"/>
          <w:szCs w:val="16"/>
          <w:lang w:val="es-CO"/>
        </w:rPr>
        <w:t xml:space="preserve"> Sentencia de 21 de octubre de 2016. Serie </w:t>
      </w:r>
      <w:r>
        <w:rPr>
          <w:rFonts w:cstheme="minorHAnsi"/>
          <w:sz w:val="16"/>
          <w:szCs w:val="16"/>
          <w:lang w:val="es-CO"/>
        </w:rPr>
        <w:t>C No. 319, párr. 209</w:t>
      </w:r>
      <w:r w:rsidRPr="007206F3">
        <w:rPr>
          <w:rFonts w:cstheme="minorHAnsi"/>
          <w:sz w:val="16"/>
          <w:szCs w:val="16"/>
          <w:lang w:val="es-CO"/>
        </w:rPr>
        <w:t>.</w:t>
      </w:r>
    </w:p>
  </w:footnote>
  <w:footnote w:id="47">
    <w:p w14:paraId="0129DE3C" w14:textId="77777777" w:rsidR="0039102A" w:rsidRPr="007206F3" w:rsidRDefault="0039102A" w:rsidP="000461DD">
      <w:pPr>
        <w:pStyle w:val="PrrafodeSentencia"/>
        <w:numPr>
          <w:ilvl w:val="0"/>
          <w:numId w:val="0"/>
        </w:numPr>
        <w:spacing w:before="100" w:line="240" w:lineRule="auto"/>
        <w:rPr>
          <w:sz w:val="16"/>
          <w:szCs w:val="16"/>
        </w:rPr>
      </w:pPr>
      <w:r w:rsidRPr="007206F3">
        <w:rPr>
          <w:rStyle w:val="Refdenotaalpie"/>
        </w:rPr>
        <w:footnoteRef/>
      </w:r>
      <w:r w:rsidRPr="007206F3">
        <w:rPr>
          <w:sz w:val="16"/>
          <w:szCs w:val="16"/>
        </w:rPr>
        <w:t xml:space="preserve"> </w:t>
      </w:r>
      <w:r w:rsidRPr="007206F3">
        <w:rPr>
          <w:sz w:val="16"/>
          <w:szCs w:val="16"/>
        </w:rPr>
        <w:tab/>
      </w:r>
      <w:r w:rsidRPr="00DA36B3">
        <w:rPr>
          <w:i/>
          <w:sz w:val="16"/>
          <w:szCs w:val="16"/>
        </w:rPr>
        <w:t>Cfr.</w:t>
      </w:r>
      <w:r w:rsidRPr="007206F3">
        <w:rPr>
          <w:sz w:val="16"/>
          <w:szCs w:val="16"/>
        </w:rPr>
        <w:t xml:space="preserve"> </w:t>
      </w:r>
      <w:r w:rsidRPr="00DA36B3">
        <w:rPr>
          <w:i/>
          <w:sz w:val="16"/>
          <w:szCs w:val="16"/>
        </w:rPr>
        <w:t xml:space="preserve">Caso Claude Reyes y otros Vs. Chile. Fondo, Reparaciones y Costas. </w:t>
      </w:r>
      <w:r w:rsidRPr="007206F3">
        <w:rPr>
          <w:sz w:val="16"/>
          <w:szCs w:val="16"/>
        </w:rPr>
        <w:t xml:space="preserve">Sentencia de 19 de septiembre de 2006. Serie C No. 151, párr. 117, y </w:t>
      </w:r>
      <w:r w:rsidRPr="00DA36B3">
        <w:rPr>
          <w:i/>
          <w:sz w:val="16"/>
          <w:szCs w:val="16"/>
        </w:rPr>
        <w:t>Caso Maldonado Ordóñez Vs. Guatemala. Excepción Preliminar, Fondo, Reparaciones y Costas.</w:t>
      </w:r>
      <w:r w:rsidRPr="007206F3">
        <w:rPr>
          <w:sz w:val="16"/>
          <w:szCs w:val="16"/>
        </w:rPr>
        <w:t xml:space="preserve"> Sentencia de 3 de mayo de 2016. Serie C No. 311, párr. 72. </w:t>
      </w:r>
    </w:p>
  </w:footnote>
  <w:footnote w:id="48">
    <w:p w14:paraId="3E3F552D" w14:textId="77777777" w:rsidR="0039102A" w:rsidRPr="007206F3" w:rsidRDefault="0039102A" w:rsidP="000461DD">
      <w:pPr>
        <w:pStyle w:val="PrrafodeSentencia"/>
        <w:numPr>
          <w:ilvl w:val="0"/>
          <w:numId w:val="0"/>
        </w:numPr>
        <w:spacing w:before="100" w:line="240" w:lineRule="auto"/>
        <w:rPr>
          <w:sz w:val="16"/>
          <w:szCs w:val="16"/>
        </w:rPr>
      </w:pPr>
      <w:r w:rsidRPr="007206F3">
        <w:rPr>
          <w:rStyle w:val="Refdenotaalpie"/>
        </w:rPr>
        <w:footnoteRef/>
      </w:r>
      <w:r w:rsidRPr="007206F3">
        <w:rPr>
          <w:sz w:val="16"/>
          <w:szCs w:val="16"/>
        </w:rPr>
        <w:t xml:space="preserve"> </w:t>
      </w:r>
      <w:r w:rsidRPr="007206F3">
        <w:rPr>
          <w:sz w:val="16"/>
          <w:szCs w:val="16"/>
        </w:rPr>
        <w:tab/>
      </w:r>
      <w:r w:rsidRPr="00DA36B3">
        <w:rPr>
          <w:i/>
          <w:sz w:val="16"/>
          <w:szCs w:val="16"/>
        </w:rPr>
        <w:t xml:space="preserve">Cfr. </w:t>
      </w:r>
      <w:r w:rsidRPr="00DA36B3">
        <w:rPr>
          <w:rFonts w:cstheme="minorHAnsi"/>
          <w:i/>
          <w:sz w:val="16"/>
          <w:szCs w:val="16"/>
        </w:rPr>
        <w:t>Caso Baena Ricardo y otros Vs. Panamá</w:t>
      </w:r>
      <w:r>
        <w:rPr>
          <w:rFonts w:cstheme="minorHAnsi"/>
          <w:i/>
          <w:sz w:val="16"/>
          <w:szCs w:val="16"/>
        </w:rPr>
        <w:t>, supra</w:t>
      </w:r>
      <w:r w:rsidRPr="007206F3">
        <w:rPr>
          <w:rFonts w:cstheme="minorHAnsi"/>
          <w:sz w:val="16"/>
          <w:szCs w:val="16"/>
        </w:rPr>
        <w:t>,</w:t>
      </w:r>
      <w:r>
        <w:rPr>
          <w:rFonts w:cstheme="minorHAnsi"/>
          <w:sz w:val="16"/>
          <w:szCs w:val="16"/>
        </w:rPr>
        <w:t xml:space="preserve"> </w:t>
      </w:r>
      <w:r w:rsidRPr="007206F3">
        <w:rPr>
          <w:sz w:val="16"/>
          <w:szCs w:val="16"/>
        </w:rPr>
        <w:t xml:space="preserve">párr. </w:t>
      </w:r>
      <w:r>
        <w:rPr>
          <w:sz w:val="16"/>
          <w:szCs w:val="16"/>
        </w:rPr>
        <w:t>137</w:t>
      </w:r>
      <w:r w:rsidRPr="007206F3">
        <w:rPr>
          <w:sz w:val="16"/>
          <w:szCs w:val="16"/>
        </w:rPr>
        <w:t xml:space="preserve">, y </w:t>
      </w:r>
      <w:r w:rsidRPr="00DA36B3">
        <w:rPr>
          <w:i/>
          <w:sz w:val="16"/>
          <w:szCs w:val="16"/>
        </w:rPr>
        <w:t>Caso Maldonado Ordóñez Vs. Guatemala</w:t>
      </w:r>
      <w:r>
        <w:rPr>
          <w:i/>
          <w:sz w:val="16"/>
          <w:szCs w:val="16"/>
        </w:rPr>
        <w:t>, supra</w:t>
      </w:r>
      <w:r w:rsidRPr="007206F3">
        <w:rPr>
          <w:sz w:val="16"/>
          <w:szCs w:val="16"/>
        </w:rPr>
        <w:t>, párr. 73.</w:t>
      </w:r>
    </w:p>
  </w:footnote>
  <w:footnote w:id="49">
    <w:p w14:paraId="1EB36DBA" w14:textId="77777777" w:rsidR="0039102A" w:rsidRPr="007206F3" w:rsidRDefault="0039102A" w:rsidP="000461DD">
      <w:pPr>
        <w:pStyle w:val="Textonotapie"/>
        <w:spacing w:before="100"/>
        <w:rPr>
          <w:sz w:val="16"/>
          <w:szCs w:val="16"/>
        </w:rPr>
      </w:pPr>
      <w:r w:rsidRPr="007206F3">
        <w:rPr>
          <w:rStyle w:val="Refdenotaalpie"/>
        </w:rPr>
        <w:footnoteRef/>
      </w:r>
      <w:r w:rsidRPr="007206F3">
        <w:rPr>
          <w:sz w:val="16"/>
          <w:szCs w:val="16"/>
        </w:rPr>
        <w:t xml:space="preserve"> </w:t>
      </w:r>
      <w:r w:rsidRPr="007206F3">
        <w:rPr>
          <w:sz w:val="16"/>
          <w:szCs w:val="16"/>
        </w:rPr>
        <w:tab/>
      </w:r>
      <w:r w:rsidRPr="00DA36B3">
        <w:rPr>
          <w:i/>
          <w:sz w:val="16"/>
          <w:szCs w:val="16"/>
        </w:rPr>
        <w:t>Cfr. Caso del Tribunal Constitucional Vs. Perú. Fondo, Reparaciones y Costas.</w:t>
      </w:r>
      <w:r w:rsidRPr="00DA36B3">
        <w:rPr>
          <w:sz w:val="16"/>
          <w:szCs w:val="16"/>
        </w:rPr>
        <w:t xml:space="preserve"> Sentencia de 31 de enero de 2001. Serie C No. 71</w:t>
      </w:r>
      <w:r>
        <w:rPr>
          <w:sz w:val="16"/>
          <w:szCs w:val="16"/>
        </w:rPr>
        <w:t>;</w:t>
      </w:r>
      <w:r w:rsidRPr="00DA36B3">
        <w:rPr>
          <w:sz w:val="16"/>
          <w:szCs w:val="16"/>
        </w:rPr>
        <w:t xml:space="preserve"> </w:t>
      </w:r>
      <w:r w:rsidRPr="00DA36B3">
        <w:rPr>
          <w:i/>
          <w:sz w:val="16"/>
          <w:szCs w:val="16"/>
        </w:rPr>
        <w:t xml:space="preserve">Caso Baena Ricardo </w:t>
      </w:r>
      <w:r>
        <w:rPr>
          <w:i/>
          <w:sz w:val="16"/>
          <w:szCs w:val="16"/>
        </w:rPr>
        <w:t xml:space="preserve">y otros </w:t>
      </w:r>
      <w:r w:rsidRPr="00DA36B3">
        <w:rPr>
          <w:i/>
          <w:sz w:val="16"/>
          <w:szCs w:val="16"/>
        </w:rPr>
        <w:t>Vs. Panamá</w:t>
      </w:r>
      <w:r>
        <w:rPr>
          <w:i/>
          <w:sz w:val="16"/>
          <w:szCs w:val="16"/>
        </w:rPr>
        <w:t>, supra</w:t>
      </w:r>
      <w:r>
        <w:rPr>
          <w:sz w:val="16"/>
          <w:szCs w:val="16"/>
        </w:rPr>
        <w:t>;</w:t>
      </w:r>
      <w:r w:rsidRPr="00DA36B3">
        <w:rPr>
          <w:sz w:val="16"/>
          <w:szCs w:val="16"/>
        </w:rPr>
        <w:t xml:space="preserve"> </w:t>
      </w:r>
      <w:r w:rsidRPr="00DA36B3">
        <w:rPr>
          <w:i/>
          <w:sz w:val="16"/>
          <w:szCs w:val="16"/>
        </w:rPr>
        <w:t>Caso Ivcher Bronstein Vs. Perú. Fondo, Reparaciones y Costas.</w:t>
      </w:r>
      <w:r w:rsidRPr="00DA36B3">
        <w:rPr>
          <w:sz w:val="16"/>
          <w:szCs w:val="16"/>
        </w:rPr>
        <w:t xml:space="preserve"> Sentencia de 6 de febrero de 2001. Serie C No. 74</w:t>
      </w:r>
      <w:r>
        <w:rPr>
          <w:sz w:val="16"/>
          <w:szCs w:val="16"/>
        </w:rPr>
        <w:t>;</w:t>
      </w:r>
      <w:r w:rsidRPr="00DA36B3">
        <w:rPr>
          <w:sz w:val="16"/>
          <w:szCs w:val="16"/>
        </w:rPr>
        <w:t xml:space="preserve"> </w:t>
      </w:r>
      <w:r w:rsidRPr="00DA36B3">
        <w:rPr>
          <w:i/>
          <w:sz w:val="16"/>
          <w:szCs w:val="16"/>
        </w:rPr>
        <w:t>Caso Vélez Loor Vs. Panamá. Excepciones Preliminares, Fondo, Reparaciones y Costas.</w:t>
      </w:r>
      <w:r w:rsidRPr="00DA36B3">
        <w:rPr>
          <w:sz w:val="16"/>
          <w:szCs w:val="16"/>
        </w:rPr>
        <w:t xml:space="preserve"> Sentencia de 23 de noviembre de 2010. Serie C No. 218</w:t>
      </w:r>
      <w:r>
        <w:rPr>
          <w:sz w:val="16"/>
          <w:szCs w:val="16"/>
        </w:rPr>
        <w:t>;</w:t>
      </w:r>
      <w:r w:rsidRPr="00DA36B3">
        <w:rPr>
          <w:sz w:val="16"/>
          <w:szCs w:val="16"/>
        </w:rPr>
        <w:t xml:space="preserve"> </w:t>
      </w:r>
      <w:r w:rsidRPr="00DA36B3">
        <w:rPr>
          <w:i/>
          <w:sz w:val="16"/>
          <w:szCs w:val="16"/>
        </w:rPr>
        <w:t>Caso del Tribunal Constitucional (Camba Campos y otros) Vs. Ecuador.</w:t>
      </w:r>
      <w:r w:rsidRPr="00DA36B3">
        <w:rPr>
          <w:sz w:val="16"/>
          <w:szCs w:val="16"/>
        </w:rPr>
        <w:t xml:space="preserve"> </w:t>
      </w:r>
      <w:r w:rsidRPr="00DA36B3">
        <w:rPr>
          <w:i/>
          <w:sz w:val="16"/>
          <w:szCs w:val="16"/>
        </w:rPr>
        <w:t>Excepciones Preliminares, Fondo, Reparaciones y Costas.</w:t>
      </w:r>
      <w:r w:rsidRPr="00DA36B3">
        <w:rPr>
          <w:sz w:val="16"/>
          <w:szCs w:val="16"/>
        </w:rPr>
        <w:t xml:space="preserve"> Sentencia de 28 de agosto de 2013. Serie C No. 268, y </w:t>
      </w:r>
      <w:r w:rsidRPr="00DA36B3">
        <w:rPr>
          <w:i/>
          <w:sz w:val="16"/>
          <w:szCs w:val="16"/>
        </w:rPr>
        <w:t>Caso Maldonado Ordóñez Vs. Guatemala</w:t>
      </w:r>
      <w:r>
        <w:rPr>
          <w:i/>
          <w:sz w:val="16"/>
          <w:szCs w:val="16"/>
        </w:rPr>
        <w:t>, supra</w:t>
      </w:r>
      <w:r w:rsidRPr="00DA36B3">
        <w:rPr>
          <w:sz w:val="16"/>
          <w:szCs w:val="16"/>
        </w:rPr>
        <w:t>.</w:t>
      </w:r>
    </w:p>
  </w:footnote>
  <w:footnote w:id="50">
    <w:p w14:paraId="6485375C" w14:textId="77777777" w:rsidR="0039102A" w:rsidRPr="007206F3" w:rsidRDefault="0039102A" w:rsidP="000461DD">
      <w:pPr>
        <w:pStyle w:val="PrrafodeSentencia"/>
        <w:numPr>
          <w:ilvl w:val="0"/>
          <w:numId w:val="0"/>
        </w:numPr>
        <w:spacing w:before="100" w:line="240" w:lineRule="auto"/>
        <w:rPr>
          <w:sz w:val="16"/>
          <w:szCs w:val="16"/>
        </w:rPr>
      </w:pPr>
      <w:r w:rsidRPr="007206F3">
        <w:rPr>
          <w:rStyle w:val="Refdenotaalpie"/>
        </w:rPr>
        <w:footnoteRef/>
      </w:r>
      <w:r w:rsidRPr="007206F3">
        <w:rPr>
          <w:sz w:val="16"/>
          <w:szCs w:val="16"/>
        </w:rPr>
        <w:t xml:space="preserve"> </w:t>
      </w:r>
      <w:r w:rsidRPr="007206F3">
        <w:rPr>
          <w:sz w:val="16"/>
          <w:szCs w:val="16"/>
        </w:rPr>
        <w:tab/>
      </w:r>
      <w:r w:rsidRPr="00DA36B3">
        <w:rPr>
          <w:i/>
          <w:sz w:val="16"/>
          <w:szCs w:val="16"/>
        </w:rPr>
        <w:t>Caso del Tribunal Constitucional Vs. Perú</w:t>
      </w:r>
      <w:r>
        <w:rPr>
          <w:i/>
          <w:sz w:val="16"/>
          <w:szCs w:val="16"/>
        </w:rPr>
        <w:t>, supra</w:t>
      </w:r>
      <w:r w:rsidRPr="007206F3">
        <w:rPr>
          <w:sz w:val="16"/>
          <w:szCs w:val="16"/>
        </w:rPr>
        <w:t xml:space="preserve">, párr. 70. </w:t>
      </w:r>
    </w:p>
  </w:footnote>
  <w:footnote w:id="51">
    <w:p w14:paraId="65A9A680" w14:textId="77777777" w:rsidR="0039102A" w:rsidRPr="007206F3" w:rsidRDefault="0039102A" w:rsidP="000461DD">
      <w:pPr>
        <w:pStyle w:val="PrrafodeSentencia"/>
        <w:numPr>
          <w:ilvl w:val="0"/>
          <w:numId w:val="0"/>
        </w:numPr>
        <w:spacing w:before="100" w:line="240" w:lineRule="auto"/>
        <w:rPr>
          <w:sz w:val="16"/>
          <w:szCs w:val="16"/>
        </w:rPr>
      </w:pPr>
      <w:r w:rsidRPr="007206F3">
        <w:rPr>
          <w:rStyle w:val="Refdenotaalpie"/>
        </w:rPr>
        <w:footnoteRef/>
      </w:r>
      <w:r w:rsidRPr="007206F3">
        <w:rPr>
          <w:sz w:val="16"/>
          <w:szCs w:val="16"/>
        </w:rPr>
        <w:t xml:space="preserve"> </w:t>
      </w:r>
      <w:r w:rsidRPr="007206F3">
        <w:rPr>
          <w:sz w:val="16"/>
          <w:szCs w:val="16"/>
        </w:rPr>
        <w:tab/>
      </w:r>
      <w:r w:rsidRPr="007206F3">
        <w:rPr>
          <w:i/>
          <w:sz w:val="16"/>
          <w:szCs w:val="16"/>
        </w:rPr>
        <w:t>Cfr. Caso Maldonado Ordóñez Vs. Guatemala</w:t>
      </w:r>
      <w:r>
        <w:rPr>
          <w:i/>
          <w:sz w:val="16"/>
          <w:szCs w:val="16"/>
        </w:rPr>
        <w:t>, supra</w:t>
      </w:r>
      <w:r w:rsidRPr="007206F3">
        <w:rPr>
          <w:sz w:val="16"/>
          <w:szCs w:val="16"/>
        </w:rPr>
        <w:t>, párr. 75.</w:t>
      </w:r>
    </w:p>
  </w:footnote>
  <w:footnote w:id="52">
    <w:p w14:paraId="386573C9" w14:textId="77777777" w:rsidR="0039102A" w:rsidRPr="007206F3" w:rsidRDefault="0039102A" w:rsidP="000461DD">
      <w:pPr>
        <w:pStyle w:val="Textonotapie"/>
        <w:spacing w:before="100"/>
        <w:rPr>
          <w:sz w:val="16"/>
          <w:szCs w:val="16"/>
          <w:lang w:val="es-CO"/>
        </w:rPr>
      </w:pPr>
      <w:r w:rsidRPr="007206F3">
        <w:rPr>
          <w:rStyle w:val="Refdenotaalpie"/>
          <w:lang w:val="es-CO"/>
        </w:rPr>
        <w:footnoteRef/>
      </w:r>
      <w:r w:rsidRPr="007206F3">
        <w:rPr>
          <w:sz w:val="16"/>
          <w:szCs w:val="16"/>
          <w:lang w:val="es-CO"/>
        </w:rPr>
        <w:t xml:space="preserve"> </w:t>
      </w:r>
      <w:r w:rsidRPr="007206F3">
        <w:rPr>
          <w:sz w:val="16"/>
          <w:szCs w:val="16"/>
          <w:lang w:val="es-CO"/>
        </w:rPr>
        <w:tab/>
      </w:r>
      <w:r w:rsidRPr="007206F3">
        <w:rPr>
          <w:i/>
          <w:sz w:val="16"/>
          <w:szCs w:val="16"/>
          <w:lang w:val="es-CO"/>
        </w:rPr>
        <w:t>Cfr.</w:t>
      </w:r>
      <w:r w:rsidRPr="007206F3">
        <w:rPr>
          <w:sz w:val="16"/>
          <w:szCs w:val="16"/>
          <w:lang w:val="es-CO"/>
        </w:rPr>
        <w:t xml:space="preserve"> </w:t>
      </w:r>
      <w:r w:rsidRPr="009809CE">
        <w:rPr>
          <w:i/>
          <w:sz w:val="16"/>
          <w:szCs w:val="16"/>
          <w:lang w:val="es-CO"/>
        </w:rPr>
        <w:t>Caso Fermín Ramírez Vs. Guatemala. Fondo, Reparaciones y Costas.</w:t>
      </w:r>
      <w:r w:rsidRPr="007206F3">
        <w:rPr>
          <w:sz w:val="16"/>
          <w:szCs w:val="16"/>
          <w:lang w:val="es-CO"/>
        </w:rPr>
        <w:t xml:space="preserve"> Sentencia de 20 de junio de 2005. Serie C No. 126, párr. 67, y </w:t>
      </w:r>
      <w:r w:rsidRPr="009809CE">
        <w:rPr>
          <w:i/>
          <w:sz w:val="16"/>
          <w:szCs w:val="16"/>
          <w:lang w:val="es-CO"/>
        </w:rPr>
        <w:t>Caso Urrutia Laubreaux Vs. Chile</w:t>
      </w:r>
      <w:r>
        <w:rPr>
          <w:i/>
          <w:sz w:val="16"/>
          <w:szCs w:val="16"/>
          <w:lang w:val="es-CO"/>
        </w:rPr>
        <w:t>, supra</w:t>
      </w:r>
      <w:r w:rsidRPr="007206F3">
        <w:rPr>
          <w:sz w:val="16"/>
          <w:szCs w:val="16"/>
          <w:lang w:val="es-CO"/>
        </w:rPr>
        <w:t>, párr. 113.</w:t>
      </w:r>
    </w:p>
  </w:footnote>
  <w:footnote w:id="53">
    <w:p w14:paraId="2717C674" w14:textId="77777777" w:rsidR="0039102A" w:rsidRPr="007F328B" w:rsidRDefault="0039102A" w:rsidP="000461DD">
      <w:pPr>
        <w:pStyle w:val="Textonotapie"/>
        <w:spacing w:before="100"/>
      </w:pPr>
      <w:r>
        <w:rPr>
          <w:rStyle w:val="Refdenotaalpie"/>
        </w:rPr>
        <w:footnoteRef/>
      </w:r>
      <w:r w:rsidRPr="00292EF3">
        <w:t xml:space="preserve"> </w:t>
      </w:r>
      <w:r w:rsidRPr="00292EF3">
        <w:tab/>
      </w:r>
      <w:r w:rsidRPr="00292EF3">
        <w:rPr>
          <w:i/>
          <w:sz w:val="16"/>
        </w:rPr>
        <w:t xml:space="preserve">Caso Barreto Leiva Vs. </w:t>
      </w:r>
      <w:r w:rsidRPr="007F328B">
        <w:rPr>
          <w:i/>
          <w:sz w:val="16"/>
        </w:rPr>
        <w:t>Venezuela. Fondo, Reparaciones y Costas.</w:t>
      </w:r>
      <w:r w:rsidRPr="007F328B">
        <w:rPr>
          <w:sz w:val="16"/>
        </w:rPr>
        <w:t xml:space="preserve"> Sentencia de 17 de noviembre de 2009. Serie C No. 206, párr. 28.</w:t>
      </w:r>
    </w:p>
  </w:footnote>
  <w:footnote w:id="54">
    <w:p w14:paraId="56252136" w14:textId="77777777" w:rsidR="0039102A" w:rsidRPr="009809CE" w:rsidRDefault="0039102A" w:rsidP="000461DD">
      <w:pPr>
        <w:pStyle w:val="Textonotapie"/>
        <w:spacing w:before="100"/>
        <w:rPr>
          <w:sz w:val="16"/>
          <w:szCs w:val="16"/>
          <w:lang w:val="es-CO"/>
        </w:rPr>
      </w:pPr>
      <w:r w:rsidRPr="007F328B">
        <w:rPr>
          <w:rStyle w:val="Refdenotaalpie"/>
          <w:lang w:val="es-CO"/>
        </w:rPr>
        <w:footnoteRef/>
      </w:r>
      <w:r w:rsidRPr="00802F45">
        <w:rPr>
          <w:sz w:val="16"/>
        </w:rPr>
        <w:t xml:space="preserve"> </w:t>
      </w:r>
      <w:r w:rsidRPr="00802F45">
        <w:rPr>
          <w:sz w:val="16"/>
        </w:rPr>
        <w:tab/>
      </w:r>
      <w:r w:rsidRPr="00802F45">
        <w:rPr>
          <w:i/>
          <w:sz w:val="16"/>
        </w:rPr>
        <w:t xml:space="preserve">Cfr. Mutatis Mutandi, Caso Palamara Iribarne Vs. </w:t>
      </w:r>
      <w:r w:rsidRPr="009809CE">
        <w:rPr>
          <w:i/>
          <w:sz w:val="16"/>
        </w:rPr>
        <w:t xml:space="preserve">Chile. Fondo, Reparaciones y Costas. </w:t>
      </w:r>
      <w:r w:rsidRPr="009809CE">
        <w:rPr>
          <w:sz w:val="16"/>
        </w:rPr>
        <w:t>Sentencia de 22 de noviembre de 2005. Serie C No. 135</w:t>
      </w:r>
      <w:r w:rsidRPr="001D38D9">
        <w:rPr>
          <w:i/>
          <w:sz w:val="16"/>
          <w:szCs w:val="16"/>
          <w:lang w:val="es-CO"/>
        </w:rPr>
        <w:t>,</w:t>
      </w:r>
      <w:r w:rsidRPr="001D38D9">
        <w:rPr>
          <w:sz w:val="16"/>
          <w:szCs w:val="16"/>
          <w:lang w:val="es-CO"/>
        </w:rPr>
        <w:t xml:space="preserve"> párr. 178 y </w:t>
      </w:r>
      <w:r w:rsidRPr="009809CE">
        <w:rPr>
          <w:i/>
          <w:sz w:val="16"/>
          <w:szCs w:val="16"/>
          <w:lang w:val="es-CO"/>
        </w:rPr>
        <w:t xml:space="preserve">Caso Álvarez Ramos Vs. Venezuela. Excepción Preliminar, Fondo, Reparaciones y Costas. </w:t>
      </w:r>
      <w:r w:rsidRPr="009809CE">
        <w:rPr>
          <w:sz w:val="16"/>
          <w:szCs w:val="16"/>
          <w:lang w:val="es-CO"/>
        </w:rPr>
        <w:t xml:space="preserve">Sentencia de 30 de agosto de 2019. Serie C No. 380, párr. </w:t>
      </w:r>
      <w:r>
        <w:rPr>
          <w:sz w:val="16"/>
          <w:szCs w:val="16"/>
          <w:lang w:val="es-CO"/>
        </w:rPr>
        <w:t>153.</w:t>
      </w:r>
    </w:p>
  </w:footnote>
  <w:footnote w:id="55">
    <w:p w14:paraId="697802FC" w14:textId="77777777" w:rsidR="0039102A" w:rsidRPr="001D38D9" w:rsidRDefault="0039102A" w:rsidP="000461DD">
      <w:pPr>
        <w:pStyle w:val="Textonotapie"/>
        <w:spacing w:before="100"/>
        <w:rPr>
          <w:sz w:val="16"/>
          <w:szCs w:val="16"/>
        </w:rPr>
      </w:pPr>
      <w:r w:rsidRPr="001D38D9">
        <w:rPr>
          <w:rStyle w:val="Refdenotaalpie"/>
        </w:rPr>
        <w:footnoteRef/>
      </w:r>
      <w:r w:rsidRPr="001D38D9">
        <w:rPr>
          <w:sz w:val="16"/>
          <w:szCs w:val="16"/>
        </w:rPr>
        <w:t xml:space="preserve"> </w:t>
      </w:r>
      <w:r w:rsidRPr="001D38D9">
        <w:rPr>
          <w:sz w:val="16"/>
          <w:szCs w:val="16"/>
        </w:rPr>
        <w:tab/>
      </w:r>
      <w:r w:rsidRPr="005F2D6A">
        <w:rPr>
          <w:i/>
          <w:sz w:val="16"/>
          <w:szCs w:val="16"/>
        </w:rPr>
        <w:t>Cfr. Mutatis Mutandi,</w:t>
      </w:r>
      <w:r w:rsidRPr="001D38D9">
        <w:rPr>
          <w:sz w:val="16"/>
          <w:szCs w:val="16"/>
        </w:rPr>
        <w:t xml:space="preserve"> </w:t>
      </w:r>
      <w:r w:rsidRPr="009809CE">
        <w:rPr>
          <w:i/>
          <w:sz w:val="16"/>
          <w:szCs w:val="16"/>
        </w:rPr>
        <w:t>Caso Álvarez Ramos Vs. Venezuela</w:t>
      </w:r>
      <w:r>
        <w:rPr>
          <w:i/>
          <w:sz w:val="16"/>
          <w:szCs w:val="16"/>
        </w:rPr>
        <w:t xml:space="preserve">, supra, </w:t>
      </w:r>
      <w:r>
        <w:rPr>
          <w:sz w:val="16"/>
          <w:szCs w:val="16"/>
        </w:rPr>
        <w:t>p</w:t>
      </w:r>
      <w:r w:rsidRPr="001D38D9">
        <w:rPr>
          <w:sz w:val="16"/>
          <w:szCs w:val="16"/>
        </w:rPr>
        <w:t xml:space="preserve">árr. 154. </w:t>
      </w:r>
    </w:p>
  </w:footnote>
  <w:footnote w:id="56">
    <w:p w14:paraId="3C176CBE" w14:textId="77777777" w:rsidR="0039102A" w:rsidRPr="001D38D9" w:rsidRDefault="0039102A" w:rsidP="000461DD">
      <w:pPr>
        <w:pStyle w:val="Textonotapie"/>
        <w:spacing w:before="100"/>
        <w:rPr>
          <w:sz w:val="16"/>
          <w:szCs w:val="16"/>
          <w:lang w:val="es-CO"/>
        </w:rPr>
      </w:pPr>
      <w:r w:rsidRPr="001D38D9">
        <w:rPr>
          <w:rStyle w:val="Refdenotaalpie"/>
          <w:lang w:val="es-CO"/>
        </w:rPr>
        <w:footnoteRef/>
      </w:r>
      <w:r w:rsidRPr="001D38D9">
        <w:rPr>
          <w:rFonts w:cstheme="minorHAnsi"/>
          <w:sz w:val="16"/>
          <w:szCs w:val="16"/>
          <w:lang w:val="es-CO"/>
        </w:rPr>
        <w:t xml:space="preserve"> </w:t>
      </w:r>
      <w:r w:rsidRPr="001D38D9">
        <w:rPr>
          <w:rFonts w:cstheme="minorHAnsi"/>
          <w:sz w:val="16"/>
          <w:szCs w:val="16"/>
          <w:lang w:val="es-CO"/>
        </w:rPr>
        <w:tab/>
      </w:r>
      <w:r w:rsidRPr="001D38D9">
        <w:rPr>
          <w:rFonts w:cstheme="minorHAnsi"/>
          <w:i/>
          <w:sz w:val="16"/>
          <w:szCs w:val="16"/>
          <w:lang w:val="es-CO"/>
        </w:rPr>
        <w:t xml:space="preserve">Cfr. </w:t>
      </w:r>
      <w:r>
        <w:rPr>
          <w:rFonts w:cstheme="minorHAnsi"/>
          <w:sz w:val="16"/>
          <w:szCs w:val="16"/>
          <w:lang w:val="es-CO"/>
        </w:rPr>
        <w:t>Decreto Supremo N° 003-82-JUS</w:t>
      </w:r>
      <w:r w:rsidRPr="001D38D9">
        <w:rPr>
          <w:rFonts w:cstheme="minorHAnsi"/>
          <w:sz w:val="16"/>
          <w:szCs w:val="16"/>
          <w:lang w:val="es-CO"/>
        </w:rPr>
        <w:t xml:space="preserve"> de 12 de enero de 1982 (expediente de prueba, folio 11)</w:t>
      </w:r>
      <w:r w:rsidRPr="001D38D9">
        <w:rPr>
          <w:rFonts w:cstheme="minorHAnsi"/>
          <w:b/>
          <w:sz w:val="16"/>
          <w:szCs w:val="16"/>
          <w:lang w:val="es-CO"/>
        </w:rPr>
        <w:t>.</w:t>
      </w:r>
    </w:p>
  </w:footnote>
  <w:footnote w:id="57">
    <w:p w14:paraId="69B37DC7" w14:textId="77777777" w:rsidR="0039102A" w:rsidRPr="001D38D9" w:rsidRDefault="0039102A" w:rsidP="000461DD">
      <w:pPr>
        <w:pStyle w:val="Textonotapie"/>
        <w:spacing w:before="100"/>
        <w:rPr>
          <w:rFonts w:cstheme="minorHAnsi"/>
          <w:sz w:val="16"/>
          <w:szCs w:val="16"/>
          <w:lang w:val="es-CO"/>
        </w:rPr>
      </w:pPr>
      <w:r w:rsidRPr="001D38D9">
        <w:rPr>
          <w:rStyle w:val="Refdenotaalpie"/>
          <w:lang w:val="es-CO"/>
        </w:rPr>
        <w:footnoteRef/>
      </w:r>
      <w:r w:rsidRPr="001D38D9">
        <w:rPr>
          <w:rFonts w:cstheme="minorHAnsi"/>
          <w:sz w:val="16"/>
          <w:szCs w:val="16"/>
          <w:lang w:val="es-CO"/>
        </w:rPr>
        <w:t xml:space="preserve"> </w:t>
      </w:r>
      <w:r w:rsidRPr="001D38D9">
        <w:rPr>
          <w:rFonts w:cstheme="minorHAnsi"/>
          <w:sz w:val="16"/>
          <w:szCs w:val="16"/>
          <w:lang w:val="es-CO"/>
        </w:rPr>
        <w:tab/>
      </w:r>
      <w:r w:rsidRPr="001D38D9">
        <w:rPr>
          <w:rFonts w:cstheme="minorHAnsi"/>
          <w:i/>
          <w:sz w:val="16"/>
          <w:szCs w:val="16"/>
          <w:lang w:val="es-CO"/>
        </w:rPr>
        <w:t xml:space="preserve">Cfr. </w:t>
      </w:r>
      <w:r w:rsidRPr="001D38D9">
        <w:rPr>
          <w:rFonts w:cstheme="minorHAnsi"/>
          <w:sz w:val="16"/>
          <w:szCs w:val="16"/>
          <w:lang w:val="es-CO"/>
        </w:rPr>
        <w:t xml:space="preserve">Acta de entrevista personal de 12 de agosto de 1982 (expediente de prueba, folio 727). </w:t>
      </w:r>
    </w:p>
  </w:footnote>
  <w:footnote w:id="58">
    <w:p w14:paraId="25ED2372" w14:textId="77777777" w:rsidR="0039102A" w:rsidRPr="001D38D9" w:rsidRDefault="0039102A" w:rsidP="000461DD">
      <w:pPr>
        <w:pStyle w:val="Textonotapie"/>
        <w:spacing w:before="100"/>
        <w:rPr>
          <w:rFonts w:cstheme="minorHAnsi"/>
          <w:sz w:val="16"/>
          <w:szCs w:val="16"/>
          <w:lang w:val="es-CO"/>
        </w:rPr>
      </w:pPr>
      <w:r w:rsidRPr="001D38D9">
        <w:rPr>
          <w:rStyle w:val="Refdenotaalpie"/>
          <w:lang w:val="es-CO"/>
        </w:rPr>
        <w:footnoteRef/>
      </w:r>
      <w:r w:rsidRPr="001D38D9">
        <w:rPr>
          <w:rFonts w:cstheme="minorHAnsi"/>
          <w:sz w:val="16"/>
          <w:szCs w:val="16"/>
          <w:lang w:val="es-CO"/>
        </w:rPr>
        <w:t xml:space="preserve"> </w:t>
      </w:r>
      <w:r w:rsidRPr="001D38D9">
        <w:rPr>
          <w:rFonts w:cstheme="minorHAnsi"/>
          <w:sz w:val="16"/>
          <w:szCs w:val="16"/>
          <w:lang w:val="es-CO"/>
        </w:rPr>
        <w:tab/>
      </w:r>
      <w:r w:rsidRPr="001D38D9">
        <w:rPr>
          <w:rFonts w:cstheme="minorHAnsi"/>
          <w:i/>
          <w:sz w:val="16"/>
          <w:szCs w:val="16"/>
          <w:lang w:val="es-CO"/>
        </w:rPr>
        <w:t xml:space="preserve">Cfr. </w:t>
      </w:r>
      <w:r w:rsidRPr="001D38D9">
        <w:rPr>
          <w:rFonts w:cstheme="minorHAnsi"/>
          <w:sz w:val="16"/>
          <w:szCs w:val="16"/>
          <w:lang w:val="es-CO"/>
        </w:rPr>
        <w:t>Acta de la Comisión de Ratificaciones de 26 de agosto de 1982 (expediente de prueba, folios 729 a 730).</w:t>
      </w:r>
    </w:p>
  </w:footnote>
  <w:footnote w:id="59">
    <w:p w14:paraId="15759253" w14:textId="77777777" w:rsidR="0039102A" w:rsidRPr="001D38D9" w:rsidRDefault="0039102A" w:rsidP="000461DD">
      <w:pPr>
        <w:pStyle w:val="Textonotapie"/>
        <w:spacing w:before="100"/>
        <w:rPr>
          <w:rFonts w:cstheme="minorHAnsi"/>
          <w:sz w:val="16"/>
          <w:szCs w:val="16"/>
          <w:lang w:val="es-CO"/>
        </w:rPr>
      </w:pPr>
      <w:r w:rsidRPr="001D38D9">
        <w:rPr>
          <w:rStyle w:val="Refdenotaalpie"/>
          <w:lang w:val="es-CO"/>
        </w:rPr>
        <w:footnoteRef/>
      </w:r>
      <w:r w:rsidRPr="001D38D9">
        <w:rPr>
          <w:rFonts w:cstheme="minorHAnsi"/>
          <w:sz w:val="16"/>
          <w:szCs w:val="16"/>
          <w:lang w:val="es-CO"/>
        </w:rPr>
        <w:t xml:space="preserve"> </w:t>
      </w:r>
      <w:r w:rsidRPr="001D38D9">
        <w:rPr>
          <w:rFonts w:cstheme="minorHAnsi"/>
          <w:sz w:val="16"/>
          <w:szCs w:val="16"/>
          <w:lang w:val="es-CO"/>
        </w:rPr>
        <w:tab/>
      </w:r>
      <w:r w:rsidRPr="001D38D9">
        <w:rPr>
          <w:rFonts w:cstheme="minorHAnsi"/>
          <w:i/>
          <w:sz w:val="16"/>
          <w:szCs w:val="16"/>
          <w:lang w:val="es-CO"/>
        </w:rPr>
        <w:t xml:space="preserve">Cfr. </w:t>
      </w:r>
      <w:r w:rsidRPr="001D38D9">
        <w:rPr>
          <w:rFonts w:cstheme="minorHAnsi"/>
          <w:sz w:val="16"/>
          <w:szCs w:val="16"/>
          <w:lang w:val="es-CO"/>
        </w:rPr>
        <w:t>Resumen de los informes obtenidos para la ratificación de los Secretarios</w:t>
      </w:r>
      <w:r w:rsidRPr="001D38D9">
        <w:rPr>
          <w:rFonts w:cstheme="minorHAnsi"/>
          <w:i/>
          <w:sz w:val="16"/>
          <w:szCs w:val="16"/>
          <w:lang w:val="es-CO"/>
        </w:rPr>
        <w:t xml:space="preserve"> </w:t>
      </w:r>
      <w:r w:rsidRPr="001D38D9">
        <w:rPr>
          <w:rFonts w:cstheme="minorHAnsi"/>
          <w:sz w:val="16"/>
          <w:szCs w:val="16"/>
          <w:lang w:val="es-CO"/>
        </w:rPr>
        <w:t>(expediente de prueba, folio 732).</w:t>
      </w:r>
    </w:p>
  </w:footnote>
  <w:footnote w:id="60">
    <w:p w14:paraId="5A7B3FAF" w14:textId="77777777" w:rsidR="0039102A" w:rsidRPr="001D38D9" w:rsidRDefault="0039102A" w:rsidP="000461DD">
      <w:pPr>
        <w:pStyle w:val="Textonotapie"/>
        <w:spacing w:before="100"/>
        <w:rPr>
          <w:rFonts w:cstheme="minorHAnsi"/>
          <w:sz w:val="16"/>
          <w:szCs w:val="16"/>
          <w:lang w:val="es-CO"/>
        </w:rPr>
      </w:pPr>
      <w:r w:rsidRPr="001D38D9">
        <w:rPr>
          <w:rStyle w:val="Refdenotaalpie"/>
          <w:lang w:val="es-CO"/>
        </w:rPr>
        <w:footnoteRef/>
      </w:r>
      <w:r w:rsidRPr="001D38D9">
        <w:rPr>
          <w:rFonts w:cstheme="minorHAnsi"/>
          <w:sz w:val="16"/>
          <w:szCs w:val="16"/>
          <w:lang w:val="es-CO"/>
        </w:rPr>
        <w:t xml:space="preserve"> </w:t>
      </w:r>
      <w:r w:rsidRPr="001D38D9">
        <w:rPr>
          <w:rFonts w:cstheme="minorHAnsi"/>
          <w:sz w:val="16"/>
          <w:szCs w:val="16"/>
          <w:lang w:val="es-CO"/>
        </w:rPr>
        <w:tab/>
      </w:r>
      <w:r w:rsidRPr="001D38D9">
        <w:rPr>
          <w:rFonts w:cstheme="minorHAnsi"/>
          <w:i/>
          <w:sz w:val="16"/>
          <w:szCs w:val="16"/>
          <w:lang w:val="es-CO"/>
        </w:rPr>
        <w:t>Caso Chaparro Álvarez y Lapo Íñiguez. Vs. Ecuador. Excepción Preliminar, Fondo, Reparaciones y Costas</w:t>
      </w:r>
      <w:r w:rsidRPr="001D38D9">
        <w:rPr>
          <w:rFonts w:cstheme="minorHAnsi"/>
          <w:sz w:val="16"/>
          <w:szCs w:val="16"/>
          <w:lang w:val="es-CO"/>
        </w:rPr>
        <w:t>. Sentencia de 21 de noviembre de 2007. Serie C No. 170, párr. 107</w:t>
      </w:r>
      <w:r>
        <w:rPr>
          <w:rFonts w:cstheme="minorHAnsi"/>
          <w:i/>
          <w:sz w:val="16"/>
          <w:szCs w:val="16"/>
          <w:lang w:val="es-CO"/>
        </w:rPr>
        <w:t>.</w:t>
      </w:r>
    </w:p>
  </w:footnote>
  <w:footnote w:id="61">
    <w:p w14:paraId="45470BFE" w14:textId="77777777" w:rsidR="0039102A" w:rsidRPr="001D38D9" w:rsidRDefault="0039102A" w:rsidP="000461DD">
      <w:pPr>
        <w:pStyle w:val="Textonotapie"/>
        <w:spacing w:before="100"/>
        <w:rPr>
          <w:rFonts w:cstheme="minorHAnsi"/>
          <w:sz w:val="16"/>
          <w:szCs w:val="16"/>
          <w:lang w:val="es-CO"/>
        </w:rPr>
      </w:pPr>
      <w:r w:rsidRPr="001D38D9">
        <w:rPr>
          <w:rStyle w:val="Refdenotaalpie"/>
          <w:lang w:val="es-CO"/>
        </w:rPr>
        <w:footnoteRef/>
      </w:r>
      <w:r w:rsidRPr="001D38D9">
        <w:rPr>
          <w:rFonts w:cstheme="minorHAnsi"/>
          <w:sz w:val="16"/>
          <w:szCs w:val="16"/>
          <w:lang w:val="es-CO"/>
        </w:rPr>
        <w:t xml:space="preserve"> </w:t>
      </w:r>
      <w:r w:rsidRPr="001D38D9">
        <w:rPr>
          <w:rFonts w:cstheme="minorHAnsi"/>
          <w:sz w:val="16"/>
          <w:szCs w:val="16"/>
          <w:lang w:val="es-CO"/>
        </w:rPr>
        <w:tab/>
      </w:r>
      <w:r w:rsidRPr="001D38D9">
        <w:rPr>
          <w:rFonts w:cstheme="minorHAnsi"/>
          <w:i/>
          <w:sz w:val="16"/>
          <w:szCs w:val="16"/>
          <w:lang w:val="es-CO"/>
        </w:rPr>
        <w:t>Cfr.</w:t>
      </w:r>
      <w:r w:rsidRPr="001D38D9">
        <w:rPr>
          <w:rFonts w:cstheme="minorHAnsi"/>
          <w:sz w:val="16"/>
          <w:szCs w:val="16"/>
          <w:lang w:val="es-CO"/>
        </w:rPr>
        <w:t xml:space="preserve"> </w:t>
      </w:r>
      <w:r w:rsidRPr="001D38D9">
        <w:rPr>
          <w:rFonts w:cstheme="minorHAnsi"/>
          <w:i/>
          <w:sz w:val="16"/>
          <w:szCs w:val="16"/>
          <w:lang w:val="es-CO"/>
        </w:rPr>
        <w:t>Caso Apitz Barbera y otros (“Corte Primera de lo Contencioso Administrativo”) Vs. Venezuela</w:t>
      </w:r>
      <w:r>
        <w:rPr>
          <w:rFonts w:cstheme="minorHAnsi"/>
          <w:i/>
          <w:sz w:val="16"/>
          <w:szCs w:val="16"/>
          <w:lang w:val="es-CO"/>
        </w:rPr>
        <w:t>.</w:t>
      </w:r>
      <w:r w:rsidRPr="001D38D9">
        <w:rPr>
          <w:rFonts w:cstheme="minorHAnsi"/>
          <w:sz w:val="16"/>
          <w:szCs w:val="16"/>
          <w:lang w:val="es-CO"/>
        </w:rPr>
        <w:t xml:space="preserve"> </w:t>
      </w:r>
      <w:r w:rsidRPr="00535F55">
        <w:rPr>
          <w:rFonts w:cstheme="minorHAnsi"/>
          <w:i/>
          <w:sz w:val="16"/>
          <w:szCs w:val="16"/>
          <w:lang w:val="es-CO"/>
        </w:rPr>
        <w:t xml:space="preserve">Excepción Preliminar, Fondo, Reparaciones y Costas. </w:t>
      </w:r>
      <w:r w:rsidRPr="00535F55">
        <w:rPr>
          <w:rFonts w:cstheme="minorHAnsi"/>
          <w:sz w:val="16"/>
          <w:szCs w:val="16"/>
          <w:lang w:val="es-CO"/>
        </w:rPr>
        <w:t xml:space="preserve">Sentencia de 5 de </w:t>
      </w:r>
      <w:r>
        <w:rPr>
          <w:rFonts w:cstheme="minorHAnsi"/>
          <w:sz w:val="16"/>
          <w:szCs w:val="16"/>
          <w:lang w:val="es-CO"/>
        </w:rPr>
        <w:t>agosto de 2008. Serie C No. 182,</w:t>
      </w:r>
      <w:r w:rsidRPr="001D38D9">
        <w:rPr>
          <w:rFonts w:cstheme="minorHAnsi"/>
          <w:sz w:val="16"/>
          <w:szCs w:val="16"/>
          <w:lang w:val="es-CO"/>
        </w:rPr>
        <w:t xml:space="preserve"> párr. 77</w:t>
      </w:r>
      <w:r>
        <w:rPr>
          <w:rFonts w:cstheme="minorHAnsi"/>
          <w:sz w:val="16"/>
          <w:szCs w:val="16"/>
          <w:lang w:val="es-CO"/>
        </w:rPr>
        <w:t>,</w:t>
      </w:r>
      <w:r w:rsidRPr="001D38D9">
        <w:rPr>
          <w:rFonts w:cstheme="minorHAnsi"/>
          <w:sz w:val="16"/>
          <w:szCs w:val="16"/>
          <w:lang w:val="es-CO"/>
        </w:rPr>
        <w:t xml:space="preserve"> y </w:t>
      </w:r>
      <w:r w:rsidRPr="001D7958">
        <w:rPr>
          <w:rFonts w:cstheme="minorHAnsi"/>
          <w:i/>
          <w:sz w:val="16"/>
          <w:szCs w:val="16"/>
          <w:lang w:val="es-CO"/>
        </w:rPr>
        <w:t xml:space="preserve">Caso Casa Nina Vs. Perú. Excepciones Preliminares, Fondo, Reparaciones y Costas. </w:t>
      </w:r>
      <w:r w:rsidRPr="001D7958">
        <w:rPr>
          <w:rFonts w:cstheme="minorHAnsi"/>
          <w:sz w:val="16"/>
          <w:szCs w:val="16"/>
          <w:lang w:val="es-CO"/>
        </w:rPr>
        <w:t>Sentencia de 24 de noviembre de 2020. Serie C No. 419, párr. 89</w:t>
      </w:r>
      <w:r>
        <w:rPr>
          <w:rFonts w:cstheme="minorHAnsi"/>
          <w:sz w:val="16"/>
          <w:szCs w:val="16"/>
          <w:lang w:val="es-CO"/>
        </w:rPr>
        <w:t>.</w:t>
      </w:r>
      <w:r>
        <w:rPr>
          <w:rFonts w:cstheme="minorHAnsi"/>
          <w:i/>
          <w:sz w:val="16"/>
          <w:szCs w:val="16"/>
          <w:lang w:val="es-CO"/>
        </w:rPr>
        <w:t xml:space="preserve"> </w:t>
      </w:r>
    </w:p>
  </w:footnote>
  <w:footnote w:id="62">
    <w:p w14:paraId="51A3ECEF" w14:textId="77777777" w:rsidR="0039102A" w:rsidRPr="001D38D9" w:rsidRDefault="0039102A" w:rsidP="000461DD">
      <w:pPr>
        <w:pStyle w:val="Textonotapie"/>
        <w:spacing w:before="100"/>
        <w:rPr>
          <w:rFonts w:cstheme="minorHAnsi"/>
          <w:i/>
          <w:sz w:val="16"/>
          <w:szCs w:val="16"/>
          <w:lang w:val="es-CO"/>
        </w:rPr>
      </w:pPr>
      <w:r w:rsidRPr="001D38D9">
        <w:rPr>
          <w:rStyle w:val="Refdenotaalpie"/>
          <w:lang w:val="es-CO"/>
        </w:rPr>
        <w:footnoteRef/>
      </w:r>
      <w:r w:rsidRPr="001D38D9">
        <w:rPr>
          <w:rFonts w:cstheme="minorHAnsi"/>
          <w:sz w:val="16"/>
          <w:szCs w:val="16"/>
          <w:lang w:val="es-CO"/>
        </w:rPr>
        <w:t xml:space="preserve"> </w:t>
      </w:r>
      <w:r w:rsidRPr="001D38D9">
        <w:rPr>
          <w:rFonts w:cstheme="minorHAnsi"/>
          <w:sz w:val="16"/>
          <w:szCs w:val="16"/>
          <w:lang w:val="es-CO"/>
        </w:rPr>
        <w:tab/>
      </w:r>
      <w:r w:rsidRPr="001D38D9">
        <w:rPr>
          <w:rFonts w:cstheme="minorHAnsi"/>
          <w:i/>
          <w:sz w:val="16"/>
          <w:szCs w:val="16"/>
          <w:lang w:val="es-CO"/>
        </w:rPr>
        <w:t xml:space="preserve">Cfr. Caso Yatama Vs. Nicaragua, Excepciones Preliminares, Fondo, Reparaciones y Costas. </w:t>
      </w:r>
      <w:r w:rsidRPr="001D38D9">
        <w:rPr>
          <w:rFonts w:cstheme="minorHAnsi"/>
          <w:sz w:val="16"/>
          <w:szCs w:val="16"/>
          <w:lang w:val="es-CO"/>
        </w:rPr>
        <w:t xml:space="preserve">Sentencia de 23 de junio de 2005. Serie C No. 127, párrs. 152 y 153 y </w:t>
      </w:r>
      <w:r w:rsidRPr="001D7958">
        <w:rPr>
          <w:rFonts w:cstheme="minorHAnsi"/>
          <w:i/>
          <w:sz w:val="16"/>
          <w:szCs w:val="16"/>
          <w:lang w:val="es-CO"/>
        </w:rPr>
        <w:t>Caso Casa Nina Vs. Perú</w:t>
      </w:r>
      <w:r>
        <w:rPr>
          <w:rFonts w:cstheme="minorHAnsi"/>
          <w:i/>
          <w:sz w:val="16"/>
          <w:szCs w:val="16"/>
          <w:lang w:val="es-CO"/>
        </w:rPr>
        <w:t>, supra</w:t>
      </w:r>
      <w:r w:rsidRPr="001D7958">
        <w:rPr>
          <w:rFonts w:cstheme="minorHAnsi"/>
          <w:sz w:val="16"/>
          <w:szCs w:val="16"/>
          <w:lang w:val="es-CO"/>
        </w:rPr>
        <w:t>, párr. 89</w:t>
      </w:r>
      <w:r>
        <w:rPr>
          <w:rFonts w:cstheme="minorHAnsi"/>
          <w:sz w:val="16"/>
          <w:szCs w:val="16"/>
          <w:lang w:val="es-CO"/>
        </w:rPr>
        <w:t xml:space="preserve">. </w:t>
      </w:r>
    </w:p>
  </w:footnote>
  <w:footnote w:id="63">
    <w:p w14:paraId="18C5689D" w14:textId="77777777" w:rsidR="0039102A" w:rsidRPr="001D38D9" w:rsidRDefault="0039102A" w:rsidP="000461DD">
      <w:pPr>
        <w:pStyle w:val="Textonotapie"/>
        <w:spacing w:before="100"/>
        <w:rPr>
          <w:rFonts w:cstheme="minorHAnsi"/>
          <w:sz w:val="16"/>
          <w:szCs w:val="16"/>
          <w:lang w:val="es-CO"/>
        </w:rPr>
      </w:pPr>
      <w:r w:rsidRPr="001D38D9">
        <w:rPr>
          <w:rStyle w:val="Refdenotaalpie"/>
          <w:lang w:val="es-CO"/>
        </w:rPr>
        <w:footnoteRef/>
      </w:r>
      <w:r w:rsidRPr="001D38D9">
        <w:rPr>
          <w:rFonts w:cstheme="minorHAnsi"/>
          <w:sz w:val="16"/>
          <w:szCs w:val="16"/>
          <w:lang w:val="es-CO"/>
        </w:rPr>
        <w:t xml:space="preserve"> </w:t>
      </w:r>
      <w:r w:rsidRPr="001D38D9">
        <w:rPr>
          <w:rFonts w:cstheme="minorHAnsi"/>
          <w:sz w:val="16"/>
          <w:szCs w:val="16"/>
          <w:lang w:val="es-CO"/>
        </w:rPr>
        <w:tab/>
      </w:r>
      <w:r w:rsidRPr="001D38D9">
        <w:rPr>
          <w:rFonts w:cstheme="minorHAnsi"/>
          <w:i/>
          <w:sz w:val="16"/>
          <w:szCs w:val="16"/>
          <w:lang w:val="es-CO"/>
        </w:rPr>
        <w:t>Cfr. Caso Apitz Barbera y otros (“Corte Primera de lo Contencioso Administrativo”) Vs. Venezuela, supra</w:t>
      </w:r>
      <w:r>
        <w:rPr>
          <w:rFonts w:cstheme="minorHAnsi"/>
          <w:i/>
          <w:sz w:val="16"/>
          <w:szCs w:val="16"/>
          <w:lang w:val="es-CO"/>
        </w:rPr>
        <w:t>,</w:t>
      </w:r>
      <w:r w:rsidRPr="001D38D9">
        <w:rPr>
          <w:rFonts w:cstheme="minorHAnsi"/>
          <w:i/>
          <w:sz w:val="16"/>
          <w:szCs w:val="16"/>
          <w:lang w:val="es-CO"/>
        </w:rPr>
        <w:t xml:space="preserve"> </w:t>
      </w:r>
      <w:r w:rsidRPr="001D38D9">
        <w:rPr>
          <w:rFonts w:cstheme="minorHAnsi"/>
          <w:sz w:val="16"/>
          <w:szCs w:val="16"/>
          <w:lang w:val="es-CO"/>
        </w:rPr>
        <w:t xml:space="preserve">párr. 78 y </w:t>
      </w:r>
      <w:r w:rsidRPr="001D7958">
        <w:rPr>
          <w:rFonts w:cstheme="minorHAnsi"/>
          <w:i/>
          <w:sz w:val="16"/>
          <w:szCs w:val="16"/>
          <w:lang w:val="es-CO"/>
        </w:rPr>
        <w:t>Caso Casa Nina Vs. Perú</w:t>
      </w:r>
      <w:r>
        <w:rPr>
          <w:rFonts w:cstheme="minorHAnsi"/>
          <w:i/>
          <w:sz w:val="16"/>
          <w:szCs w:val="16"/>
          <w:lang w:val="es-CO"/>
        </w:rPr>
        <w:t>, supra</w:t>
      </w:r>
      <w:r w:rsidRPr="001D7958">
        <w:rPr>
          <w:rFonts w:cstheme="minorHAnsi"/>
          <w:sz w:val="16"/>
          <w:szCs w:val="16"/>
          <w:lang w:val="es-CO"/>
        </w:rPr>
        <w:t>, párr. 89</w:t>
      </w:r>
      <w:r>
        <w:rPr>
          <w:rFonts w:cstheme="minorHAnsi"/>
          <w:sz w:val="16"/>
          <w:szCs w:val="16"/>
          <w:lang w:val="es-CO"/>
        </w:rPr>
        <w:t xml:space="preserve">. </w:t>
      </w:r>
    </w:p>
  </w:footnote>
  <w:footnote w:id="64">
    <w:p w14:paraId="684B1611" w14:textId="77777777" w:rsidR="0039102A" w:rsidRPr="001D38D9" w:rsidRDefault="0039102A" w:rsidP="000461DD">
      <w:pPr>
        <w:pStyle w:val="Textonotapie"/>
        <w:spacing w:before="100"/>
        <w:rPr>
          <w:rFonts w:cstheme="minorHAnsi"/>
          <w:sz w:val="16"/>
          <w:szCs w:val="16"/>
          <w:lang w:val="es-CO"/>
        </w:rPr>
      </w:pPr>
      <w:r w:rsidRPr="001D38D9">
        <w:rPr>
          <w:rStyle w:val="Refdenotaalpie"/>
          <w:lang w:val="es-CO"/>
        </w:rPr>
        <w:footnoteRef/>
      </w:r>
      <w:r w:rsidRPr="001D38D9">
        <w:rPr>
          <w:rFonts w:cstheme="minorHAnsi"/>
          <w:sz w:val="16"/>
          <w:szCs w:val="16"/>
          <w:lang w:val="es-CO"/>
        </w:rPr>
        <w:t xml:space="preserve"> </w:t>
      </w:r>
      <w:r w:rsidRPr="001D38D9">
        <w:rPr>
          <w:rFonts w:cstheme="minorHAnsi"/>
          <w:sz w:val="16"/>
          <w:szCs w:val="16"/>
          <w:lang w:val="es-CO"/>
        </w:rPr>
        <w:tab/>
      </w:r>
      <w:r w:rsidRPr="001D38D9">
        <w:rPr>
          <w:rFonts w:cstheme="minorHAnsi"/>
          <w:i/>
          <w:sz w:val="16"/>
          <w:szCs w:val="16"/>
          <w:lang w:val="es-CO"/>
        </w:rPr>
        <w:t>Cfr. Caso Claude Reyes y otros Vs. Chile</w:t>
      </w:r>
      <w:r>
        <w:rPr>
          <w:rFonts w:cstheme="minorHAnsi"/>
          <w:i/>
          <w:sz w:val="16"/>
          <w:szCs w:val="16"/>
          <w:lang w:val="es-CO"/>
        </w:rPr>
        <w:t>, supra</w:t>
      </w:r>
      <w:r w:rsidRPr="001D38D9">
        <w:rPr>
          <w:rFonts w:cstheme="minorHAnsi"/>
          <w:sz w:val="16"/>
          <w:szCs w:val="16"/>
          <w:lang w:val="es-CO"/>
        </w:rPr>
        <w:t xml:space="preserve">, párr. 122 y </w:t>
      </w:r>
      <w:r w:rsidRPr="001D7958">
        <w:rPr>
          <w:rFonts w:cstheme="minorHAnsi"/>
          <w:i/>
          <w:sz w:val="16"/>
          <w:szCs w:val="16"/>
          <w:lang w:val="es-CO"/>
        </w:rPr>
        <w:t>Caso Casa Nina Vs. Perú</w:t>
      </w:r>
      <w:r>
        <w:rPr>
          <w:rFonts w:cstheme="minorHAnsi"/>
          <w:i/>
          <w:sz w:val="16"/>
          <w:szCs w:val="16"/>
          <w:lang w:val="es-CO"/>
        </w:rPr>
        <w:t>, supra</w:t>
      </w:r>
      <w:r w:rsidRPr="001D7958">
        <w:rPr>
          <w:rFonts w:cstheme="minorHAnsi"/>
          <w:sz w:val="16"/>
          <w:szCs w:val="16"/>
          <w:lang w:val="es-CO"/>
        </w:rPr>
        <w:t>, párr. 89</w:t>
      </w:r>
      <w:r w:rsidRPr="001D38D9">
        <w:rPr>
          <w:rFonts w:cstheme="minorHAnsi"/>
          <w:sz w:val="16"/>
          <w:szCs w:val="16"/>
          <w:lang w:val="es-CO"/>
        </w:rPr>
        <w:t>.</w:t>
      </w:r>
    </w:p>
  </w:footnote>
  <w:footnote w:id="65">
    <w:p w14:paraId="239A6B82" w14:textId="77777777" w:rsidR="0039102A" w:rsidRPr="001D38D9" w:rsidRDefault="0039102A" w:rsidP="000461DD">
      <w:pPr>
        <w:pStyle w:val="Textonotapie"/>
        <w:spacing w:before="100"/>
        <w:rPr>
          <w:rFonts w:cstheme="minorHAnsi"/>
          <w:sz w:val="16"/>
          <w:szCs w:val="16"/>
          <w:lang w:val="es-CO"/>
        </w:rPr>
      </w:pPr>
      <w:r w:rsidRPr="001D38D9">
        <w:rPr>
          <w:rStyle w:val="Refdenotaalpie"/>
          <w:lang w:val="es-CO"/>
        </w:rPr>
        <w:footnoteRef/>
      </w:r>
      <w:r w:rsidRPr="001D38D9">
        <w:rPr>
          <w:rFonts w:cstheme="minorHAnsi"/>
          <w:sz w:val="16"/>
          <w:szCs w:val="16"/>
          <w:lang w:val="es-CO"/>
        </w:rPr>
        <w:t xml:space="preserve"> </w:t>
      </w:r>
      <w:r w:rsidRPr="001D38D9">
        <w:rPr>
          <w:rFonts w:cstheme="minorHAnsi"/>
          <w:sz w:val="16"/>
          <w:szCs w:val="16"/>
          <w:lang w:val="es-CO"/>
        </w:rPr>
        <w:tab/>
        <w:t xml:space="preserve">“Que, en la visita realizada por la Comisión de Ratificaciones de este Tribunal, a la Secretaria doña Norka Moya Solís de Rocha, comunicando deficiencias en la tramitación de los expedientes a su cargo, tales como los N° 1152-82, 1025-81, 3084-81, 3121-81, 1040-81, 3120-81 y 3117-81; Que el informe emitido por el Juez a cargo del Décimo Juzgado referente a dicha Secretaria, no ha sido favorable; Que, habiéndose impuesto sanción disciplinaria de apercibimiento por el tribunal, en la Resolución de la casusa N° 2568-81, interpuso su recurso de reconsideración, en escrito dirigido al Presidente de la Sala, presentándola por Mesa de Partes y con firma de letrado patrocinante, el que fue resuelto por la Presidencia, declarándola inadmisible, llamándose severamente la atención de la Secretaria Moya Solís de Rocha; Que, durante el ejercicio del cargo, la Secretaria mencionada ha sido amonestada; Que, los cargos expuestos en las consideraciones precedentes no han sido desvirtuados por la Secretaria; Con el Informe emitido por la Comisión de Ratificaciones, estando a lo acordado en sesión Extraordinaria de Sala Plena, de fecha 10 de setiembre de 1982, y de conformidad con los dispuesto por la Ley N° 23369, SE RESUELVE: ARTÍCULO ÚNICO: NO RATIFICAR en el cargo de Secretaria del Décimo Juzgado Privativo de Trabajo y Comunidades Laborales a doña NORKA MOYA SOLIS DE ROCHA”. </w:t>
      </w:r>
      <w:r w:rsidRPr="001D38D9">
        <w:rPr>
          <w:rFonts w:cstheme="minorHAnsi"/>
          <w:i/>
          <w:sz w:val="16"/>
          <w:szCs w:val="16"/>
          <w:lang w:val="es-CO"/>
        </w:rPr>
        <w:t>Cfr.</w:t>
      </w:r>
      <w:r w:rsidRPr="001D38D9">
        <w:rPr>
          <w:rFonts w:cstheme="minorHAnsi"/>
          <w:sz w:val="16"/>
          <w:szCs w:val="16"/>
          <w:lang w:val="es-CO"/>
        </w:rPr>
        <w:t xml:space="preserve"> Resolución N° 0015-82-TT de 13 de septiembre de 1982 (expediente de prueba, folio 756). </w:t>
      </w:r>
    </w:p>
  </w:footnote>
  <w:footnote w:id="66">
    <w:p w14:paraId="761B3230" w14:textId="77777777" w:rsidR="0039102A" w:rsidRPr="001D38D9" w:rsidRDefault="0039102A" w:rsidP="000461DD">
      <w:pPr>
        <w:pStyle w:val="Textonotapie"/>
        <w:spacing w:before="100"/>
        <w:rPr>
          <w:sz w:val="16"/>
          <w:szCs w:val="16"/>
        </w:rPr>
      </w:pPr>
      <w:r w:rsidRPr="001D38D9">
        <w:rPr>
          <w:rStyle w:val="Refdenotaalpie"/>
        </w:rPr>
        <w:footnoteRef/>
      </w:r>
      <w:r w:rsidRPr="001D38D9">
        <w:rPr>
          <w:sz w:val="16"/>
          <w:szCs w:val="16"/>
        </w:rPr>
        <w:t xml:space="preserve"> </w:t>
      </w:r>
      <w:r w:rsidRPr="001D38D9">
        <w:rPr>
          <w:sz w:val="16"/>
          <w:szCs w:val="16"/>
        </w:rPr>
        <w:tab/>
        <w:t>Al respecto, el testigo Jaime Gómez Valverde, propuesto por el Estado afirm</w:t>
      </w:r>
      <w:r>
        <w:rPr>
          <w:sz w:val="16"/>
          <w:szCs w:val="16"/>
        </w:rPr>
        <w:t>ó</w:t>
      </w:r>
      <w:r w:rsidRPr="001D38D9">
        <w:rPr>
          <w:sz w:val="16"/>
          <w:szCs w:val="16"/>
        </w:rPr>
        <w:t xml:space="preserve"> que “los hechos evidencian que la señora Norka Moya sí habría sido notificada por escrito con el acto de no ratificación, porque tomando conocimiento de su no ratificación formuló el recurso de revisión previsto en el DS 003-82-JUS, ejercitando de esta manera su derecho de defensa y a la doble instancia” (Expediente de prueba, folio 1002).</w:t>
      </w:r>
    </w:p>
  </w:footnote>
  <w:footnote w:id="67">
    <w:p w14:paraId="0C616516" w14:textId="77777777" w:rsidR="0039102A" w:rsidRPr="00533BD6" w:rsidRDefault="0039102A" w:rsidP="00BA571D">
      <w:pPr>
        <w:pStyle w:val="Textonotapie"/>
        <w:spacing w:before="100"/>
        <w:rPr>
          <w:sz w:val="16"/>
          <w:szCs w:val="16"/>
          <w:lang w:val="es-ES"/>
        </w:rPr>
      </w:pPr>
      <w:r w:rsidRPr="001D38D9">
        <w:rPr>
          <w:rStyle w:val="Refdenotaalpie"/>
        </w:rPr>
        <w:footnoteRef/>
      </w:r>
      <w:r w:rsidRPr="001D38D9">
        <w:rPr>
          <w:sz w:val="16"/>
          <w:szCs w:val="16"/>
        </w:rPr>
        <w:t xml:space="preserve"> </w:t>
      </w:r>
      <w:r w:rsidRPr="001D38D9">
        <w:rPr>
          <w:sz w:val="16"/>
          <w:szCs w:val="16"/>
          <w:lang w:val="es-ES"/>
        </w:rPr>
        <w:tab/>
        <w:t>Sobre este asunto, el testigo Jaime Gómez Valverde, propuesto por el Estado, indicó que “si en el Acta de la Sesión de fecha 10 de septiembre de 1982 (a la que se hace referencia en la Resolución emitida por el Tribunal de Trabajo) se efectuaron 10 votos, ello fue porque la Sala Plena del Tribunal de Trabajo y Comunidades Laborales estaba compuest</w:t>
      </w:r>
      <w:r>
        <w:rPr>
          <w:sz w:val="16"/>
          <w:szCs w:val="16"/>
          <w:lang w:val="es-ES"/>
        </w:rPr>
        <w:t>a</w:t>
      </w:r>
      <w:r w:rsidRPr="001D38D9">
        <w:rPr>
          <w:sz w:val="16"/>
          <w:szCs w:val="16"/>
          <w:lang w:val="es-ES"/>
        </w:rPr>
        <w:t xml:space="preserve"> por 10 Vocales (3 vocales por Tres Tribunales de Trabajo, 1 Presidente del Fuero)” (expediente de </w:t>
      </w:r>
      <w:r w:rsidRPr="00533BD6">
        <w:rPr>
          <w:sz w:val="16"/>
          <w:szCs w:val="16"/>
          <w:lang w:val="es-ES"/>
        </w:rPr>
        <w:t>prueba, folio 998).</w:t>
      </w:r>
    </w:p>
  </w:footnote>
  <w:footnote w:id="68">
    <w:p w14:paraId="0F6FA408" w14:textId="77777777" w:rsidR="0039102A" w:rsidRPr="009C3FC1" w:rsidRDefault="0039102A" w:rsidP="000461DD">
      <w:pPr>
        <w:pStyle w:val="Textonotapie"/>
        <w:spacing w:before="100"/>
        <w:rPr>
          <w:rFonts w:cstheme="minorHAnsi"/>
          <w:spacing w:val="-4"/>
          <w:sz w:val="16"/>
          <w:szCs w:val="16"/>
          <w:highlight w:val="lightGray"/>
          <w:lang w:val="es-CO"/>
        </w:rPr>
      </w:pPr>
      <w:r w:rsidRPr="00533BD6">
        <w:rPr>
          <w:rStyle w:val="Refdenotaalpie"/>
          <w:lang w:val="es-CO"/>
        </w:rPr>
        <w:footnoteRef/>
      </w:r>
      <w:r w:rsidRPr="00533BD6">
        <w:rPr>
          <w:rFonts w:cstheme="minorHAnsi"/>
          <w:spacing w:val="-4"/>
          <w:sz w:val="16"/>
          <w:szCs w:val="16"/>
          <w:lang w:val="es-CO"/>
        </w:rPr>
        <w:t xml:space="preserve"> </w:t>
      </w:r>
      <w:r w:rsidRPr="00533BD6">
        <w:rPr>
          <w:rFonts w:cstheme="minorHAnsi"/>
          <w:spacing w:val="-4"/>
          <w:sz w:val="16"/>
          <w:szCs w:val="16"/>
          <w:lang w:val="es-CO"/>
        </w:rPr>
        <w:tab/>
      </w:r>
      <w:r w:rsidRPr="00533BD6">
        <w:rPr>
          <w:rFonts w:cstheme="minorHAnsi"/>
          <w:i/>
          <w:spacing w:val="-4"/>
          <w:sz w:val="16"/>
          <w:szCs w:val="16"/>
          <w:lang w:val="es-CO"/>
        </w:rPr>
        <w:t>Cfr. Caso Baena Ricardo y otros Vs. Panamá,</w:t>
      </w:r>
      <w:r>
        <w:rPr>
          <w:rFonts w:cstheme="minorHAnsi"/>
          <w:i/>
          <w:spacing w:val="-4"/>
          <w:sz w:val="16"/>
          <w:szCs w:val="16"/>
          <w:lang w:val="es-CO"/>
        </w:rPr>
        <w:t xml:space="preserve"> </w:t>
      </w:r>
      <w:r w:rsidRPr="00535F55">
        <w:rPr>
          <w:rFonts w:cstheme="minorHAnsi"/>
          <w:i/>
          <w:spacing w:val="-4"/>
          <w:sz w:val="16"/>
          <w:szCs w:val="16"/>
          <w:lang w:val="es-CO"/>
        </w:rPr>
        <w:t>supra</w:t>
      </w:r>
      <w:r w:rsidRPr="00B06958">
        <w:rPr>
          <w:rFonts w:cstheme="minorHAnsi"/>
          <w:spacing w:val="-4"/>
          <w:sz w:val="16"/>
          <w:szCs w:val="16"/>
          <w:lang w:val="es-CO"/>
        </w:rPr>
        <w:t>,</w:t>
      </w:r>
      <w:r w:rsidRPr="00533BD6">
        <w:rPr>
          <w:rFonts w:cstheme="minorHAnsi"/>
          <w:spacing w:val="-4"/>
          <w:sz w:val="16"/>
          <w:szCs w:val="16"/>
          <w:lang w:val="es-CO"/>
        </w:rPr>
        <w:t xml:space="preserve"> párr. 106, y</w:t>
      </w:r>
      <w:r w:rsidRPr="00533BD6">
        <w:rPr>
          <w:rFonts w:cstheme="minorHAnsi"/>
          <w:bCs/>
          <w:i/>
          <w:spacing w:val="-4"/>
          <w:sz w:val="16"/>
          <w:szCs w:val="16"/>
          <w:lang w:val="es-CO"/>
        </w:rPr>
        <w:t xml:space="preserve"> </w:t>
      </w:r>
      <w:r w:rsidRPr="00292EF3">
        <w:rPr>
          <w:rFonts w:cstheme="minorHAnsi"/>
          <w:bCs/>
          <w:i/>
          <w:spacing w:val="-4"/>
          <w:sz w:val="16"/>
          <w:szCs w:val="16"/>
          <w:lang w:val="es-CO"/>
        </w:rPr>
        <w:t>Caso Urrutia Laubreaux Vs. Chile</w:t>
      </w:r>
      <w:r>
        <w:rPr>
          <w:rFonts w:cstheme="minorHAnsi"/>
          <w:bCs/>
          <w:i/>
          <w:spacing w:val="-4"/>
          <w:sz w:val="16"/>
          <w:szCs w:val="16"/>
          <w:lang w:val="es-CO"/>
        </w:rPr>
        <w:t xml:space="preserve">, supra, </w:t>
      </w:r>
      <w:r w:rsidRPr="00533BD6">
        <w:rPr>
          <w:rFonts w:cstheme="minorHAnsi"/>
          <w:bCs/>
          <w:spacing w:val="-4"/>
          <w:sz w:val="16"/>
          <w:szCs w:val="16"/>
          <w:lang w:val="es-CO"/>
        </w:rPr>
        <w:t>párr. 129.</w:t>
      </w:r>
    </w:p>
  </w:footnote>
  <w:footnote w:id="69">
    <w:p w14:paraId="48F492BC" w14:textId="77777777" w:rsidR="0039102A" w:rsidRPr="002A57E9" w:rsidRDefault="0039102A" w:rsidP="000461DD">
      <w:pPr>
        <w:pStyle w:val="Textonotapie"/>
        <w:spacing w:before="100"/>
        <w:rPr>
          <w:rFonts w:cstheme="minorHAnsi"/>
          <w:sz w:val="16"/>
          <w:szCs w:val="16"/>
          <w:lang w:val="es-CO"/>
        </w:rPr>
      </w:pPr>
      <w:r w:rsidRPr="002A57E9">
        <w:rPr>
          <w:rStyle w:val="Refdenotaalpie"/>
          <w:lang w:val="es-CO"/>
        </w:rPr>
        <w:footnoteRef/>
      </w:r>
      <w:r w:rsidRPr="002A57E9">
        <w:rPr>
          <w:rFonts w:cstheme="minorHAnsi"/>
          <w:sz w:val="16"/>
          <w:szCs w:val="16"/>
          <w:lang w:val="es-CO"/>
        </w:rPr>
        <w:t xml:space="preserve"> </w:t>
      </w:r>
      <w:r w:rsidRPr="002A57E9">
        <w:rPr>
          <w:rFonts w:cstheme="minorHAnsi"/>
          <w:sz w:val="16"/>
          <w:szCs w:val="16"/>
          <w:lang w:val="es-CO"/>
        </w:rPr>
        <w:tab/>
      </w:r>
      <w:r w:rsidRPr="002A57E9">
        <w:rPr>
          <w:rFonts w:cstheme="minorHAnsi"/>
          <w:i/>
          <w:sz w:val="16"/>
          <w:szCs w:val="16"/>
          <w:lang w:val="es-CO"/>
        </w:rPr>
        <w:t xml:space="preserve">Cfr. </w:t>
      </w:r>
      <w:r w:rsidRPr="00B06958">
        <w:rPr>
          <w:rFonts w:cstheme="minorHAnsi"/>
          <w:i/>
          <w:sz w:val="16"/>
          <w:szCs w:val="16"/>
          <w:lang w:val="es-CO"/>
        </w:rPr>
        <w:t>Caso Baena Ricardo y otros Vs. Panamá</w:t>
      </w:r>
      <w:r>
        <w:rPr>
          <w:rFonts w:cstheme="minorHAnsi"/>
          <w:i/>
          <w:sz w:val="16"/>
          <w:szCs w:val="16"/>
          <w:lang w:val="es-CO"/>
        </w:rPr>
        <w:t>, supra</w:t>
      </w:r>
      <w:r>
        <w:rPr>
          <w:rFonts w:cstheme="minorHAnsi"/>
          <w:sz w:val="16"/>
          <w:szCs w:val="16"/>
          <w:lang w:val="es-CO"/>
        </w:rPr>
        <w:t xml:space="preserve">, párr. 106, y </w:t>
      </w:r>
      <w:r w:rsidRPr="00B06958">
        <w:rPr>
          <w:rFonts w:cstheme="minorHAnsi"/>
          <w:i/>
          <w:sz w:val="16"/>
          <w:szCs w:val="16"/>
          <w:lang w:val="es-CO"/>
        </w:rPr>
        <w:t>Caso Maldonado Ordóñez Vs. Guatemala</w:t>
      </w:r>
      <w:r>
        <w:rPr>
          <w:rFonts w:cstheme="minorHAnsi"/>
          <w:i/>
          <w:sz w:val="16"/>
          <w:szCs w:val="16"/>
          <w:lang w:val="es-CO"/>
        </w:rPr>
        <w:t>, supra</w:t>
      </w:r>
      <w:r w:rsidRPr="00B06958">
        <w:rPr>
          <w:rFonts w:cstheme="minorHAnsi"/>
          <w:sz w:val="16"/>
          <w:szCs w:val="16"/>
          <w:lang w:val="es-CO"/>
        </w:rPr>
        <w:t xml:space="preserve">, </w:t>
      </w:r>
      <w:r>
        <w:rPr>
          <w:rFonts w:cstheme="minorHAnsi"/>
          <w:sz w:val="16"/>
          <w:szCs w:val="16"/>
          <w:lang w:val="es-CO"/>
        </w:rPr>
        <w:t>párr.</w:t>
      </w:r>
      <w:r w:rsidRPr="00B06958">
        <w:rPr>
          <w:rFonts w:cstheme="minorHAnsi"/>
          <w:sz w:val="16"/>
          <w:szCs w:val="16"/>
          <w:lang w:val="es-CO"/>
        </w:rPr>
        <w:t xml:space="preserve"> 89</w:t>
      </w:r>
    </w:p>
  </w:footnote>
  <w:footnote w:id="70">
    <w:p w14:paraId="69AE093E" w14:textId="77777777" w:rsidR="0039102A" w:rsidRPr="002A57E9" w:rsidRDefault="0039102A" w:rsidP="000461DD">
      <w:pPr>
        <w:pStyle w:val="Textonotapie"/>
        <w:spacing w:before="100"/>
        <w:rPr>
          <w:rFonts w:cstheme="minorHAnsi"/>
          <w:sz w:val="16"/>
          <w:szCs w:val="16"/>
          <w:lang w:val="es-CO"/>
        </w:rPr>
      </w:pPr>
      <w:r w:rsidRPr="002A57E9">
        <w:rPr>
          <w:rStyle w:val="Refdenotaalpie"/>
          <w:lang w:val="es-CO"/>
        </w:rPr>
        <w:footnoteRef/>
      </w:r>
      <w:r w:rsidRPr="002A57E9">
        <w:rPr>
          <w:rFonts w:cstheme="minorHAnsi"/>
          <w:sz w:val="16"/>
          <w:szCs w:val="16"/>
          <w:lang w:val="es-CO"/>
        </w:rPr>
        <w:t xml:space="preserve"> </w:t>
      </w:r>
      <w:r w:rsidRPr="002A57E9">
        <w:rPr>
          <w:rFonts w:cstheme="minorHAnsi"/>
          <w:sz w:val="16"/>
          <w:szCs w:val="16"/>
          <w:lang w:val="es-CO"/>
        </w:rPr>
        <w:tab/>
        <w:t xml:space="preserve">En relación con las obligaciones de los secretarios de juzgados, el artículo 233 </w:t>
      </w:r>
      <w:r>
        <w:rPr>
          <w:rFonts w:cstheme="minorHAnsi"/>
          <w:sz w:val="16"/>
          <w:szCs w:val="16"/>
          <w:lang w:val="es-CO"/>
        </w:rPr>
        <w:t xml:space="preserve">de la Ley Orgánica del Poder Judicial </w:t>
      </w:r>
      <w:r w:rsidRPr="002A57E9">
        <w:rPr>
          <w:rFonts w:cstheme="minorHAnsi"/>
          <w:sz w:val="16"/>
          <w:szCs w:val="16"/>
          <w:lang w:val="es-CO"/>
        </w:rPr>
        <w:t>señalaba:</w:t>
      </w:r>
    </w:p>
    <w:p w14:paraId="54A56C49" w14:textId="77777777" w:rsidR="0039102A" w:rsidRPr="002A57E9" w:rsidRDefault="0039102A" w:rsidP="000461DD">
      <w:pPr>
        <w:jc w:val="both"/>
        <w:rPr>
          <w:rFonts w:ascii="Verdana" w:hAnsi="Verdana"/>
          <w:sz w:val="16"/>
          <w:szCs w:val="16"/>
          <w:lang w:val="es-CO"/>
        </w:rPr>
      </w:pPr>
      <w:r w:rsidRPr="002A57E9">
        <w:rPr>
          <w:rFonts w:ascii="Verdana" w:hAnsi="Verdana" w:cstheme="minorHAnsi"/>
          <w:sz w:val="16"/>
          <w:szCs w:val="16"/>
          <w:lang w:val="es-CO"/>
        </w:rPr>
        <w:t>“</w:t>
      </w:r>
      <w:r w:rsidRPr="002A57E9">
        <w:rPr>
          <w:rFonts w:ascii="Verdana" w:hAnsi="Verdana"/>
          <w:sz w:val="16"/>
          <w:szCs w:val="16"/>
          <w:lang w:val="es-CO"/>
        </w:rPr>
        <w:t>ARTÍCULO 233º. - Son obligaciones de los Secretarios de Juzgado:</w:t>
      </w:r>
    </w:p>
    <w:p w14:paraId="69380169" w14:textId="77777777" w:rsidR="0039102A" w:rsidRPr="002A57E9" w:rsidRDefault="0039102A" w:rsidP="000461DD">
      <w:pPr>
        <w:jc w:val="both"/>
        <w:rPr>
          <w:rFonts w:ascii="Verdana" w:hAnsi="Verdana"/>
          <w:sz w:val="16"/>
          <w:szCs w:val="16"/>
          <w:lang w:val="es-CO"/>
        </w:rPr>
      </w:pPr>
      <w:r w:rsidRPr="002A57E9">
        <w:rPr>
          <w:rFonts w:ascii="Verdana" w:hAnsi="Verdana"/>
          <w:sz w:val="16"/>
          <w:szCs w:val="16"/>
          <w:lang w:val="es-CO"/>
        </w:rPr>
        <w:t>1.-Actuar únicamente en el Juzgado en el que están adscritos y tener su oficina en la sede del Juzgado;</w:t>
      </w:r>
    </w:p>
    <w:p w14:paraId="249B11A2" w14:textId="77777777" w:rsidR="0039102A" w:rsidRPr="002A57E9" w:rsidRDefault="0039102A" w:rsidP="000461DD">
      <w:pPr>
        <w:jc w:val="both"/>
        <w:rPr>
          <w:rFonts w:ascii="Verdana" w:hAnsi="Verdana"/>
          <w:sz w:val="16"/>
          <w:szCs w:val="16"/>
          <w:lang w:val="es-CO"/>
        </w:rPr>
      </w:pPr>
      <w:r w:rsidRPr="002A57E9">
        <w:rPr>
          <w:rFonts w:ascii="Verdana" w:hAnsi="Verdana"/>
          <w:sz w:val="16"/>
          <w:szCs w:val="16"/>
          <w:lang w:val="es-CO"/>
        </w:rPr>
        <w:t>2.-Entregar los procesos, en caso de impedimento o de recusación, al Secretario que debe reemplazarlo en el término de dos días contados a partir de la notificación respectiva;</w:t>
      </w:r>
    </w:p>
    <w:p w14:paraId="6C002A52" w14:textId="77777777" w:rsidR="0039102A" w:rsidRPr="002A57E9" w:rsidRDefault="0039102A" w:rsidP="000461DD">
      <w:pPr>
        <w:jc w:val="both"/>
        <w:rPr>
          <w:rFonts w:ascii="Verdana" w:hAnsi="Verdana"/>
          <w:sz w:val="16"/>
          <w:szCs w:val="16"/>
          <w:lang w:val="es-CO"/>
        </w:rPr>
      </w:pPr>
      <w:r w:rsidRPr="002A57E9">
        <w:rPr>
          <w:rFonts w:ascii="Verdana" w:hAnsi="Verdana"/>
          <w:sz w:val="16"/>
          <w:szCs w:val="16"/>
          <w:lang w:val="es-CO"/>
        </w:rPr>
        <w:t>3.-Mantener en secreto las opiniones que hubieran oído emitir al Juez acerca de los asuntos de su conocimiento;</w:t>
      </w:r>
    </w:p>
    <w:p w14:paraId="5D648E03" w14:textId="77777777" w:rsidR="0039102A" w:rsidRPr="002A57E9" w:rsidRDefault="0039102A" w:rsidP="000461DD">
      <w:pPr>
        <w:jc w:val="both"/>
        <w:rPr>
          <w:rFonts w:ascii="Verdana" w:hAnsi="Verdana"/>
          <w:sz w:val="16"/>
          <w:szCs w:val="16"/>
          <w:lang w:val="es-CO"/>
        </w:rPr>
      </w:pPr>
      <w:r w:rsidRPr="002A57E9">
        <w:rPr>
          <w:rFonts w:ascii="Verdana" w:hAnsi="Verdana"/>
          <w:sz w:val="16"/>
          <w:szCs w:val="16"/>
          <w:lang w:val="es-CO"/>
        </w:rPr>
        <w:t>4.-Anotar o sellar al margen de los escritos y recursos el día en que los reciban, firmando tal constancia cuando el sello no indique automáticamente la hora;</w:t>
      </w:r>
    </w:p>
    <w:p w14:paraId="75A8FD9A" w14:textId="77777777" w:rsidR="0039102A" w:rsidRPr="002A57E9" w:rsidRDefault="0039102A" w:rsidP="000461DD">
      <w:pPr>
        <w:jc w:val="both"/>
        <w:rPr>
          <w:rFonts w:ascii="Verdana" w:hAnsi="Verdana"/>
          <w:sz w:val="16"/>
          <w:szCs w:val="16"/>
          <w:lang w:val="es-CO"/>
        </w:rPr>
      </w:pPr>
      <w:r w:rsidRPr="002A57E9">
        <w:rPr>
          <w:rFonts w:ascii="Verdana" w:hAnsi="Verdana"/>
          <w:sz w:val="16"/>
          <w:szCs w:val="16"/>
          <w:lang w:val="es-CO"/>
        </w:rPr>
        <w:t>5.-Presentar al Juez dichos recursos y escritos dentro de las veinticuatro horas de su recepción;</w:t>
      </w:r>
    </w:p>
    <w:p w14:paraId="6F15E817" w14:textId="77777777" w:rsidR="0039102A" w:rsidRPr="002A57E9" w:rsidRDefault="0039102A" w:rsidP="000461DD">
      <w:pPr>
        <w:jc w:val="both"/>
        <w:rPr>
          <w:rFonts w:ascii="Verdana" w:hAnsi="Verdana"/>
          <w:sz w:val="16"/>
          <w:szCs w:val="16"/>
          <w:lang w:val="es-CO"/>
        </w:rPr>
      </w:pPr>
      <w:r w:rsidRPr="002A57E9">
        <w:rPr>
          <w:rFonts w:ascii="Verdana" w:hAnsi="Verdana"/>
          <w:sz w:val="16"/>
          <w:szCs w:val="16"/>
          <w:lang w:val="es-CO"/>
        </w:rPr>
        <w:t>6.-Autorizar las diligencias procesales y las resoluciones que expida el Juez;</w:t>
      </w:r>
    </w:p>
    <w:p w14:paraId="3675B0F8" w14:textId="77777777" w:rsidR="0039102A" w:rsidRPr="002A57E9" w:rsidRDefault="0039102A" w:rsidP="000461DD">
      <w:pPr>
        <w:jc w:val="both"/>
        <w:rPr>
          <w:rFonts w:ascii="Verdana" w:hAnsi="Verdana"/>
          <w:sz w:val="16"/>
          <w:szCs w:val="16"/>
          <w:lang w:val="es-CO"/>
        </w:rPr>
      </w:pPr>
      <w:r w:rsidRPr="002A57E9">
        <w:rPr>
          <w:rFonts w:ascii="Verdana" w:hAnsi="Verdana"/>
          <w:sz w:val="16"/>
          <w:szCs w:val="16"/>
          <w:lang w:val="es-CO"/>
        </w:rPr>
        <w:t>7.-Actuar personalmente las diligencias a que están obligados bajo responsabilidad, salvo las indicadas en el art. 247º dando las comisiones a los Escribanos Diligencias;</w:t>
      </w:r>
    </w:p>
    <w:p w14:paraId="5C12E240" w14:textId="77777777" w:rsidR="0039102A" w:rsidRPr="002A57E9" w:rsidRDefault="0039102A" w:rsidP="000461DD">
      <w:pPr>
        <w:jc w:val="both"/>
        <w:rPr>
          <w:rFonts w:ascii="Verdana" w:hAnsi="Verdana"/>
          <w:sz w:val="16"/>
          <w:szCs w:val="16"/>
          <w:lang w:val="es-CO"/>
        </w:rPr>
      </w:pPr>
      <w:r w:rsidRPr="002A57E9">
        <w:rPr>
          <w:rFonts w:ascii="Verdana" w:hAnsi="Verdana"/>
          <w:sz w:val="16"/>
          <w:szCs w:val="16"/>
          <w:lang w:val="es-CO"/>
        </w:rPr>
        <w:t>8.-Notificar con arreglo a ley las resoluciones del Juzgado al día siguiente de su expedición, salvo cuando se trate de resoluciones extensas, caso en el cual la notificación de ellas se hará dentro de dos días;</w:t>
      </w:r>
    </w:p>
    <w:p w14:paraId="5B7E8804" w14:textId="77777777" w:rsidR="0039102A" w:rsidRPr="002A57E9" w:rsidRDefault="0039102A" w:rsidP="000461DD">
      <w:pPr>
        <w:jc w:val="both"/>
        <w:rPr>
          <w:rFonts w:ascii="Verdana" w:hAnsi="Verdana"/>
          <w:sz w:val="16"/>
          <w:szCs w:val="16"/>
          <w:lang w:val="es-CO"/>
        </w:rPr>
      </w:pPr>
      <w:r w:rsidRPr="002A57E9">
        <w:rPr>
          <w:rFonts w:ascii="Verdana" w:hAnsi="Verdana"/>
          <w:sz w:val="16"/>
          <w:szCs w:val="16"/>
          <w:lang w:val="es-CO"/>
        </w:rPr>
        <w:t>9.-Realizar bajo cargo la primera notificación, la citación para la confesión y el juramento decisorio, sus requerimientos, y el pedido de autos para sentencia; así como las notificaciones que deban hacerse por intermedio de Procurador;</w:t>
      </w:r>
    </w:p>
    <w:p w14:paraId="2034E855" w14:textId="77777777" w:rsidR="0039102A" w:rsidRPr="002A57E9" w:rsidRDefault="0039102A" w:rsidP="000461DD">
      <w:pPr>
        <w:jc w:val="both"/>
        <w:rPr>
          <w:rFonts w:ascii="Verdana" w:hAnsi="Verdana"/>
          <w:sz w:val="16"/>
          <w:szCs w:val="16"/>
          <w:lang w:val="es-CO"/>
        </w:rPr>
      </w:pPr>
      <w:r w:rsidRPr="002A57E9">
        <w:rPr>
          <w:rFonts w:ascii="Verdana" w:hAnsi="Verdana"/>
          <w:sz w:val="16"/>
          <w:szCs w:val="16"/>
          <w:lang w:val="es-CO"/>
        </w:rPr>
        <w:t>10.-Emitir las razones e informes que les ordenen sus superiores;</w:t>
      </w:r>
    </w:p>
    <w:p w14:paraId="28C1C76B" w14:textId="77777777" w:rsidR="0039102A" w:rsidRPr="002A57E9" w:rsidRDefault="0039102A" w:rsidP="000461DD">
      <w:pPr>
        <w:jc w:val="both"/>
        <w:rPr>
          <w:rFonts w:ascii="Verdana" w:hAnsi="Verdana"/>
          <w:sz w:val="16"/>
          <w:szCs w:val="16"/>
          <w:lang w:val="es-CO"/>
        </w:rPr>
      </w:pPr>
      <w:r w:rsidRPr="002A57E9">
        <w:rPr>
          <w:rFonts w:ascii="Verdana" w:hAnsi="Verdana"/>
          <w:sz w:val="16"/>
          <w:szCs w:val="16"/>
          <w:lang w:val="es-CO"/>
        </w:rPr>
        <w:t>11.-Dar a las partes, cuando así lo soliciten, constancia de la recepción de los escritos y documentos;</w:t>
      </w:r>
    </w:p>
    <w:p w14:paraId="2D0C12BD" w14:textId="77777777" w:rsidR="0039102A" w:rsidRPr="002A57E9" w:rsidRDefault="0039102A" w:rsidP="000461DD">
      <w:pPr>
        <w:jc w:val="both"/>
        <w:rPr>
          <w:rFonts w:ascii="Verdana" w:hAnsi="Verdana"/>
          <w:sz w:val="16"/>
          <w:szCs w:val="16"/>
          <w:lang w:val="es-CO"/>
        </w:rPr>
      </w:pPr>
      <w:r w:rsidRPr="002A57E9">
        <w:rPr>
          <w:rFonts w:ascii="Verdana" w:hAnsi="Verdana"/>
          <w:sz w:val="16"/>
          <w:szCs w:val="16"/>
          <w:lang w:val="es-CO"/>
        </w:rPr>
        <w:t>12.-No admitir en los expedientes papel que no sea el sellado que corresponda;</w:t>
      </w:r>
    </w:p>
    <w:p w14:paraId="43379F59" w14:textId="77777777" w:rsidR="0039102A" w:rsidRPr="002A57E9" w:rsidRDefault="0039102A" w:rsidP="000461DD">
      <w:pPr>
        <w:jc w:val="both"/>
        <w:rPr>
          <w:rFonts w:ascii="Verdana" w:hAnsi="Verdana"/>
          <w:sz w:val="16"/>
          <w:szCs w:val="16"/>
          <w:lang w:val="es-CO"/>
        </w:rPr>
      </w:pPr>
      <w:r w:rsidRPr="002A57E9">
        <w:rPr>
          <w:rFonts w:ascii="Verdana" w:hAnsi="Verdana"/>
          <w:sz w:val="16"/>
          <w:szCs w:val="16"/>
          <w:lang w:val="es-CO"/>
        </w:rPr>
        <w:t>13.-Cuidar de que con todo recurso se presente el número de copias simples que corresponda y de los recaudos, si los tuviere, y en caso que así no suceda dejar constancia de la omisión al pie del recurso al momento de recibirlo;</w:t>
      </w:r>
    </w:p>
    <w:p w14:paraId="47E8E622" w14:textId="77777777" w:rsidR="0039102A" w:rsidRPr="002A57E9" w:rsidRDefault="0039102A" w:rsidP="000461DD">
      <w:pPr>
        <w:jc w:val="both"/>
        <w:rPr>
          <w:rFonts w:ascii="Verdana" w:hAnsi="Verdana"/>
          <w:sz w:val="16"/>
          <w:szCs w:val="16"/>
          <w:lang w:val="es-CO"/>
        </w:rPr>
      </w:pPr>
      <w:r w:rsidRPr="002A57E9">
        <w:rPr>
          <w:rFonts w:ascii="Verdana" w:hAnsi="Verdana"/>
          <w:sz w:val="16"/>
          <w:szCs w:val="16"/>
          <w:lang w:val="es-CO"/>
        </w:rPr>
        <w:t>14.-Facilitar el conocimiento a cualquier persona que lo solicite, de los procesos que tengan archivados: y exhibir los que se encuentren en tramitación sólo cuando a su juicio medie interés legítimo del solicitante, consultando al Juez o Tribunal en caso de reclamación;</w:t>
      </w:r>
    </w:p>
    <w:p w14:paraId="4CD18729" w14:textId="77777777" w:rsidR="0039102A" w:rsidRPr="002A57E9" w:rsidRDefault="0039102A" w:rsidP="000461DD">
      <w:pPr>
        <w:jc w:val="both"/>
        <w:rPr>
          <w:rFonts w:ascii="Verdana" w:hAnsi="Verdana"/>
          <w:sz w:val="16"/>
          <w:szCs w:val="16"/>
          <w:lang w:val="es-CO"/>
        </w:rPr>
      </w:pPr>
      <w:r w:rsidRPr="002A57E9">
        <w:rPr>
          <w:rFonts w:ascii="Verdana" w:hAnsi="Verdana"/>
          <w:sz w:val="16"/>
          <w:szCs w:val="16"/>
          <w:lang w:val="es-CO"/>
        </w:rPr>
        <w:t>15.-Remitir los expedientes fenecidos, después de diez años, al archivo del Juzgado;</w:t>
      </w:r>
    </w:p>
    <w:p w14:paraId="1D3AFD73" w14:textId="77777777" w:rsidR="0039102A" w:rsidRPr="002A57E9" w:rsidRDefault="0039102A" w:rsidP="000461DD">
      <w:pPr>
        <w:jc w:val="both"/>
        <w:rPr>
          <w:rFonts w:ascii="Verdana" w:hAnsi="Verdana"/>
          <w:sz w:val="16"/>
          <w:szCs w:val="16"/>
          <w:lang w:val="es-CO"/>
        </w:rPr>
      </w:pPr>
      <w:r w:rsidRPr="002A57E9">
        <w:rPr>
          <w:rFonts w:ascii="Verdana" w:hAnsi="Verdana"/>
          <w:sz w:val="16"/>
          <w:szCs w:val="16"/>
          <w:lang w:val="es-CO"/>
        </w:rPr>
        <w:t>16.-No admitir en consignación dinero en efectivo o cheque, salvo autorización especial del Juez, que contendrá, al mismo tiempo la orden para que el Secretario formalice el empoce en la Caja de Depósitos y Consignaciones o entidad autorizada para ella, el primer día útil;</w:t>
      </w:r>
    </w:p>
    <w:p w14:paraId="7B19D82D" w14:textId="77777777" w:rsidR="0039102A" w:rsidRPr="002A57E9" w:rsidRDefault="0039102A" w:rsidP="000461DD">
      <w:pPr>
        <w:jc w:val="both"/>
        <w:rPr>
          <w:rFonts w:ascii="Verdana" w:hAnsi="Verdana"/>
          <w:sz w:val="16"/>
          <w:szCs w:val="16"/>
          <w:lang w:val="es-CO"/>
        </w:rPr>
      </w:pPr>
      <w:r w:rsidRPr="002A57E9">
        <w:rPr>
          <w:rFonts w:ascii="Verdana" w:hAnsi="Verdana"/>
          <w:sz w:val="16"/>
          <w:szCs w:val="16"/>
          <w:lang w:val="es-CO"/>
        </w:rPr>
        <w:t>17.-Poner en cada expediente una carátula en que se exprese el nombre de las partes, el Juez que conoce del asunto, la naturaleza y objeto de éste, la fecha en que comienza y el número que le corresponde en el libro de ingresos de causas.</w:t>
      </w:r>
    </w:p>
    <w:p w14:paraId="2987276B" w14:textId="77777777" w:rsidR="0039102A" w:rsidRPr="002A57E9" w:rsidRDefault="0039102A" w:rsidP="000461DD">
      <w:pPr>
        <w:jc w:val="both"/>
        <w:rPr>
          <w:rFonts w:ascii="Verdana" w:hAnsi="Verdana"/>
          <w:sz w:val="16"/>
          <w:szCs w:val="16"/>
          <w:lang w:val="es-CO"/>
        </w:rPr>
      </w:pPr>
      <w:r w:rsidRPr="002A57E9">
        <w:rPr>
          <w:rFonts w:ascii="Verdana" w:hAnsi="Verdana"/>
          <w:sz w:val="16"/>
          <w:szCs w:val="16"/>
          <w:lang w:val="es-CO"/>
        </w:rPr>
        <w:t>18.-Examinar los procesos cuando les sean devueltos, y si advierten que faltan hojas o tienen algún otro defecto, dar cuenta inmediatamente y por escrito al Juez;</w:t>
      </w:r>
    </w:p>
    <w:p w14:paraId="40FFEB18" w14:textId="77777777" w:rsidR="0039102A" w:rsidRPr="002A57E9" w:rsidRDefault="0039102A" w:rsidP="000461DD">
      <w:pPr>
        <w:jc w:val="both"/>
        <w:rPr>
          <w:rFonts w:ascii="Verdana" w:hAnsi="Verdana"/>
          <w:sz w:val="16"/>
          <w:szCs w:val="16"/>
          <w:lang w:val="es-CO"/>
        </w:rPr>
      </w:pPr>
      <w:r w:rsidRPr="002A57E9">
        <w:rPr>
          <w:rFonts w:ascii="Verdana" w:hAnsi="Verdana"/>
          <w:sz w:val="16"/>
          <w:szCs w:val="16"/>
          <w:lang w:val="es-CO"/>
        </w:rPr>
        <w:t>19.-Anotar al margen de las declaraciones, el nombre de los declarantes y las fojas donde están absueltas las citas que resulten:</w:t>
      </w:r>
    </w:p>
    <w:p w14:paraId="34EACC8A" w14:textId="77777777" w:rsidR="0039102A" w:rsidRPr="002A57E9" w:rsidRDefault="0039102A" w:rsidP="000461DD">
      <w:pPr>
        <w:jc w:val="both"/>
        <w:rPr>
          <w:rFonts w:ascii="Verdana" w:hAnsi="Verdana"/>
          <w:sz w:val="16"/>
          <w:szCs w:val="16"/>
          <w:lang w:val="es-CO"/>
        </w:rPr>
      </w:pPr>
      <w:r w:rsidRPr="002A57E9">
        <w:rPr>
          <w:rFonts w:ascii="Verdana" w:hAnsi="Verdana"/>
          <w:sz w:val="16"/>
          <w:szCs w:val="16"/>
          <w:lang w:val="es-CO"/>
        </w:rPr>
        <w:t>20.-Cuidar de los expedientes y los documentos que giren a su cargo, conservándolos y custodiándolos, siendo responsable por su pérdida o por mutilaciones y alteraciones que en ellos se hicieran:</w:t>
      </w:r>
    </w:p>
    <w:p w14:paraId="2EB5954A" w14:textId="77777777" w:rsidR="0039102A" w:rsidRPr="002A57E9" w:rsidRDefault="0039102A" w:rsidP="000461DD">
      <w:pPr>
        <w:jc w:val="both"/>
        <w:rPr>
          <w:rFonts w:ascii="Verdana" w:hAnsi="Verdana"/>
          <w:sz w:val="16"/>
          <w:szCs w:val="16"/>
          <w:lang w:val="es-CO"/>
        </w:rPr>
      </w:pPr>
      <w:r w:rsidRPr="002A57E9">
        <w:rPr>
          <w:rFonts w:ascii="Verdana" w:hAnsi="Verdana"/>
          <w:sz w:val="16"/>
          <w:szCs w:val="16"/>
          <w:lang w:val="es-CO"/>
        </w:rPr>
        <w:t>21.-No poner en conocimiento de una de las partes los escritos presentados por la otra, antes de estar proveídos;</w:t>
      </w:r>
    </w:p>
    <w:p w14:paraId="072CF27B" w14:textId="77777777" w:rsidR="0039102A" w:rsidRPr="002A57E9" w:rsidRDefault="0039102A" w:rsidP="000461DD">
      <w:pPr>
        <w:jc w:val="both"/>
        <w:rPr>
          <w:rFonts w:ascii="Verdana" w:hAnsi="Verdana"/>
          <w:sz w:val="16"/>
          <w:szCs w:val="16"/>
          <w:lang w:val="es-CO"/>
        </w:rPr>
      </w:pPr>
      <w:r w:rsidRPr="002A57E9">
        <w:rPr>
          <w:rFonts w:ascii="Verdana" w:hAnsi="Verdana"/>
          <w:sz w:val="16"/>
          <w:szCs w:val="16"/>
          <w:lang w:val="es-CO"/>
        </w:rPr>
        <w:t>22.-Cuidar de que la foliación de los expedientes se haga por orden sucesivo de presentación de los escritos y documentos; y que las resoluciones se numeren en orden correlativo;</w:t>
      </w:r>
    </w:p>
    <w:p w14:paraId="625F0DCE" w14:textId="77777777" w:rsidR="0039102A" w:rsidRPr="002A57E9" w:rsidRDefault="0039102A" w:rsidP="000461DD">
      <w:pPr>
        <w:jc w:val="both"/>
        <w:rPr>
          <w:rFonts w:ascii="Verdana" w:hAnsi="Verdana"/>
          <w:sz w:val="16"/>
          <w:szCs w:val="16"/>
          <w:lang w:val="es-CO"/>
        </w:rPr>
      </w:pPr>
      <w:r w:rsidRPr="002A57E9">
        <w:rPr>
          <w:rFonts w:ascii="Verdana" w:hAnsi="Verdana"/>
          <w:sz w:val="16"/>
          <w:szCs w:val="16"/>
          <w:lang w:val="es-CO"/>
        </w:rPr>
        <w:t>23.-Anotar al reverso de la carátula los incidentes derivados del cuaderno principal, a medida que aquellos se formen, numerándolos;</w:t>
      </w:r>
    </w:p>
    <w:p w14:paraId="73A18FB8" w14:textId="77777777" w:rsidR="0039102A" w:rsidRPr="002A57E9" w:rsidRDefault="0039102A" w:rsidP="000461DD">
      <w:pPr>
        <w:jc w:val="both"/>
        <w:rPr>
          <w:rFonts w:ascii="Verdana" w:hAnsi="Verdana"/>
          <w:sz w:val="16"/>
          <w:szCs w:val="16"/>
          <w:lang w:val="es-CO"/>
        </w:rPr>
      </w:pPr>
      <w:r w:rsidRPr="002A57E9">
        <w:rPr>
          <w:rFonts w:ascii="Verdana" w:hAnsi="Verdana"/>
          <w:sz w:val="16"/>
          <w:szCs w:val="16"/>
          <w:lang w:val="es-CO"/>
        </w:rPr>
        <w:t>24.-Llevar los siguientes libros:</w:t>
      </w:r>
    </w:p>
    <w:p w14:paraId="181377AA" w14:textId="77777777" w:rsidR="0039102A" w:rsidRPr="002A57E9" w:rsidRDefault="0039102A" w:rsidP="000461DD">
      <w:pPr>
        <w:ind w:left="708"/>
        <w:jc w:val="both"/>
        <w:rPr>
          <w:rFonts w:ascii="Verdana" w:hAnsi="Verdana"/>
          <w:sz w:val="16"/>
          <w:szCs w:val="16"/>
          <w:lang w:val="es-CO"/>
        </w:rPr>
      </w:pPr>
      <w:r w:rsidRPr="002A57E9">
        <w:rPr>
          <w:rFonts w:ascii="Verdana" w:hAnsi="Verdana"/>
          <w:sz w:val="16"/>
          <w:szCs w:val="16"/>
          <w:lang w:val="es-CO"/>
        </w:rPr>
        <w:t>a)-De cargos de los expedientes entregados a la Corte Superior, al Ministerio Publico, a las oficinas administrativas, a procuradores y abogados, a otros Jueces, al Correo y al archivo del Juzgado;</w:t>
      </w:r>
    </w:p>
    <w:p w14:paraId="3DE264F0" w14:textId="77777777" w:rsidR="0039102A" w:rsidRPr="002A57E9" w:rsidRDefault="0039102A" w:rsidP="000461DD">
      <w:pPr>
        <w:ind w:left="708"/>
        <w:jc w:val="both"/>
        <w:rPr>
          <w:rFonts w:ascii="Verdana" w:hAnsi="Verdana"/>
          <w:sz w:val="16"/>
          <w:szCs w:val="16"/>
          <w:lang w:val="es-CO"/>
        </w:rPr>
      </w:pPr>
      <w:r w:rsidRPr="002A57E9">
        <w:rPr>
          <w:rFonts w:ascii="Verdana" w:hAnsi="Verdana"/>
          <w:sz w:val="16"/>
          <w:szCs w:val="16"/>
          <w:lang w:val="es-CO"/>
        </w:rPr>
        <w:t>b)-De tomas de razón en que se copien, cronológicamente, las sentencias y autos que ante ellos se expidan, con indicación de su numeración y de las causas a que se refieren;</w:t>
      </w:r>
    </w:p>
    <w:p w14:paraId="31471D29" w14:textId="77777777" w:rsidR="0039102A" w:rsidRPr="002A57E9" w:rsidRDefault="0039102A" w:rsidP="000461DD">
      <w:pPr>
        <w:ind w:left="708"/>
        <w:jc w:val="both"/>
        <w:rPr>
          <w:rFonts w:ascii="Verdana" w:hAnsi="Verdana"/>
          <w:sz w:val="16"/>
          <w:szCs w:val="16"/>
          <w:lang w:val="es-CO"/>
        </w:rPr>
      </w:pPr>
      <w:r w:rsidRPr="002A57E9">
        <w:rPr>
          <w:rFonts w:ascii="Verdana" w:hAnsi="Verdana"/>
          <w:sz w:val="16"/>
          <w:szCs w:val="16"/>
          <w:lang w:val="es-CO"/>
        </w:rPr>
        <w:t>c)-De inventarios, en que anoten los expedientes en que intervengan;</w:t>
      </w:r>
    </w:p>
    <w:p w14:paraId="10367CCC" w14:textId="77777777" w:rsidR="0039102A" w:rsidRPr="002A57E9" w:rsidRDefault="0039102A" w:rsidP="000461DD">
      <w:pPr>
        <w:jc w:val="both"/>
        <w:rPr>
          <w:rFonts w:ascii="Verdana" w:hAnsi="Verdana"/>
          <w:sz w:val="16"/>
          <w:szCs w:val="16"/>
          <w:lang w:val="es-CO"/>
        </w:rPr>
      </w:pPr>
      <w:r w:rsidRPr="002A57E9">
        <w:rPr>
          <w:rFonts w:ascii="Verdana" w:hAnsi="Verdana"/>
          <w:sz w:val="16"/>
          <w:szCs w:val="16"/>
          <w:lang w:val="es-CO"/>
        </w:rPr>
        <w:t>25.-Guardar los archivos que por orden judicial reciban de otros Secretarios;</w:t>
      </w:r>
    </w:p>
    <w:p w14:paraId="155E5BDA" w14:textId="77777777" w:rsidR="0039102A" w:rsidRPr="002A57E9" w:rsidRDefault="0039102A" w:rsidP="000461DD">
      <w:pPr>
        <w:jc w:val="both"/>
        <w:rPr>
          <w:rFonts w:ascii="Verdana" w:hAnsi="Verdana"/>
          <w:sz w:val="16"/>
          <w:szCs w:val="16"/>
          <w:lang w:val="es-CO"/>
        </w:rPr>
      </w:pPr>
      <w:r w:rsidRPr="002A57E9">
        <w:rPr>
          <w:rFonts w:ascii="Verdana" w:hAnsi="Verdana"/>
          <w:sz w:val="16"/>
          <w:szCs w:val="16"/>
          <w:lang w:val="es-CO"/>
        </w:rPr>
        <w:t>26.-Entregar bajo recibo los expedientes a su cargo, al Secretario designado al efecto; y a los Procuradores o abogados de las partes únicamente cuando la ley lo autoriza, bajo responsabilidad;</w:t>
      </w:r>
    </w:p>
    <w:p w14:paraId="5FF68772" w14:textId="77777777" w:rsidR="0039102A" w:rsidRPr="002A57E9" w:rsidRDefault="0039102A" w:rsidP="000461DD">
      <w:pPr>
        <w:jc w:val="both"/>
        <w:rPr>
          <w:rFonts w:ascii="Verdana" w:hAnsi="Verdana"/>
          <w:sz w:val="16"/>
          <w:szCs w:val="16"/>
          <w:lang w:val="es-CO"/>
        </w:rPr>
      </w:pPr>
      <w:r w:rsidRPr="002A57E9">
        <w:rPr>
          <w:rFonts w:ascii="Verdana" w:hAnsi="Verdana"/>
          <w:sz w:val="16"/>
          <w:szCs w:val="16"/>
          <w:lang w:val="es-CO"/>
        </w:rPr>
        <w:t>27.- Expedir copias certificadas sólo por orden judicial;</w:t>
      </w:r>
    </w:p>
    <w:p w14:paraId="0FB704AC" w14:textId="77777777" w:rsidR="0039102A" w:rsidRPr="002A57E9" w:rsidRDefault="0039102A" w:rsidP="000461DD">
      <w:pPr>
        <w:jc w:val="both"/>
        <w:rPr>
          <w:rFonts w:ascii="Verdana" w:hAnsi="Verdana"/>
          <w:sz w:val="16"/>
          <w:szCs w:val="16"/>
          <w:lang w:val="es-CO"/>
        </w:rPr>
      </w:pPr>
      <w:r w:rsidRPr="002A57E9">
        <w:rPr>
          <w:rFonts w:ascii="Verdana" w:hAnsi="Verdana"/>
          <w:sz w:val="16"/>
          <w:szCs w:val="16"/>
          <w:lang w:val="es-CO"/>
        </w:rPr>
        <w:t>28.-Mantener abierta su oficina cuando menos tres horas diarias en las mañanas y durante el despacho judicial, debiendo indicar el horario en un aviso fijado en la puerta de su oficina;</w:t>
      </w:r>
    </w:p>
    <w:p w14:paraId="7B3AEF4E" w14:textId="77777777" w:rsidR="0039102A" w:rsidRPr="002A57E9" w:rsidRDefault="0039102A" w:rsidP="000461DD">
      <w:pPr>
        <w:jc w:val="both"/>
        <w:rPr>
          <w:rFonts w:ascii="Verdana" w:hAnsi="Verdana"/>
          <w:sz w:val="16"/>
          <w:szCs w:val="16"/>
          <w:lang w:val="es-CO"/>
        </w:rPr>
      </w:pPr>
      <w:r w:rsidRPr="002A57E9">
        <w:rPr>
          <w:rFonts w:ascii="Verdana" w:hAnsi="Verdana"/>
          <w:sz w:val="16"/>
          <w:szCs w:val="16"/>
          <w:lang w:val="es-CO"/>
        </w:rPr>
        <w:t>29.-Concurrir al local del Juzgado durante las horas en que les corresponda despachar, o en las que deban realizar diligencias;</w:t>
      </w:r>
    </w:p>
    <w:p w14:paraId="1EFB85B7" w14:textId="77777777" w:rsidR="0039102A" w:rsidRPr="002A57E9" w:rsidRDefault="0039102A" w:rsidP="000461DD">
      <w:pPr>
        <w:jc w:val="both"/>
        <w:rPr>
          <w:rFonts w:ascii="Verdana" w:hAnsi="Verdana"/>
          <w:sz w:val="16"/>
          <w:szCs w:val="16"/>
          <w:lang w:val="es-CO"/>
        </w:rPr>
      </w:pPr>
      <w:r w:rsidRPr="002A57E9">
        <w:rPr>
          <w:rFonts w:ascii="Verdana" w:hAnsi="Verdana"/>
          <w:sz w:val="16"/>
          <w:szCs w:val="16"/>
          <w:lang w:val="es-CO"/>
        </w:rPr>
        <w:t>30.-Intervenir en la entrega de las consignaciones; insertando el acta respectiva en el proceso, que firmará la persona que reciba la consignación;</w:t>
      </w:r>
    </w:p>
    <w:p w14:paraId="3245730E" w14:textId="77777777" w:rsidR="0039102A" w:rsidRPr="002A57E9" w:rsidRDefault="0039102A" w:rsidP="000461DD">
      <w:pPr>
        <w:jc w:val="both"/>
        <w:rPr>
          <w:rFonts w:ascii="Verdana" w:hAnsi="Verdana"/>
          <w:sz w:val="16"/>
          <w:szCs w:val="16"/>
          <w:lang w:val="es-CO"/>
        </w:rPr>
      </w:pPr>
      <w:r w:rsidRPr="002A57E9">
        <w:rPr>
          <w:rFonts w:ascii="Verdana" w:hAnsi="Verdana"/>
          <w:sz w:val="16"/>
          <w:szCs w:val="16"/>
          <w:lang w:val="es-CO"/>
        </w:rPr>
        <w:t>31.-Dar a la Caja de Depósitos y Consignaciones y entidades que hagan entregas como comprobante de pago, copia certificada, total o parcial del acta respectiva;</w:t>
      </w:r>
    </w:p>
    <w:p w14:paraId="2D5BB50E" w14:textId="77777777" w:rsidR="0039102A" w:rsidRPr="002A57E9" w:rsidRDefault="0039102A" w:rsidP="000461DD">
      <w:pPr>
        <w:jc w:val="both"/>
        <w:rPr>
          <w:rFonts w:ascii="Verdana" w:hAnsi="Verdana"/>
          <w:sz w:val="16"/>
          <w:szCs w:val="16"/>
          <w:lang w:val="es-CO"/>
        </w:rPr>
      </w:pPr>
      <w:r w:rsidRPr="002A57E9">
        <w:rPr>
          <w:rFonts w:ascii="Verdana" w:hAnsi="Verdana"/>
          <w:sz w:val="16"/>
          <w:szCs w:val="16"/>
          <w:lang w:val="es-CO"/>
        </w:rPr>
        <w:t>32.-Fijar ante su oficina a la vista del público un ejemplar del Arancel Judicial;</w:t>
      </w:r>
    </w:p>
    <w:p w14:paraId="323DB32D" w14:textId="77777777" w:rsidR="0039102A" w:rsidRPr="002A57E9" w:rsidRDefault="0039102A" w:rsidP="000461DD">
      <w:pPr>
        <w:jc w:val="both"/>
        <w:rPr>
          <w:rFonts w:ascii="Verdana" w:hAnsi="Verdana"/>
          <w:sz w:val="16"/>
          <w:szCs w:val="16"/>
          <w:lang w:val="es-CO"/>
        </w:rPr>
      </w:pPr>
      <w:r w:rsidRPr="002A57E9">
        <w:rPr>
          <w:rFonts w:ascii="Verdana" w:hAnsi="Verdana"/>
          <w:sz w:val="16"/>
          <w:szCs w:val="16"/>
          <w:lang w:val="es-CO"/>
        </w:rPr>
        <w:t>33.-Conservar los expedientes debidamente registrados en casilleros o archivos, clasificándolos por orden alfabético siguiendo el primer apellido del demandante;</w:t>
      </w:r>
    </w:p>
    <w:p w14:paraId="040F9E11" w14:textId="77777777" w:rsidR="0039102A" w:rsidRPr="002A57E9" w:rsidRDefault="0039102A" w:rsidP="000461DD">
      <w:pPr>
        <w:jc w:val="both"/>
        <w:rPr>
          <w:rFonts w:ascii="Verdana" w:hAnsi="Verdana"/>
          <w:sz w:val="16"/>
          <w:szCs w:val="16"/>
          <w:lang w:val="es-CO"/>
        </w:rPr>
      </w:pPr>
      <w:r w:rsidRPr="002A57E9">
        <w:rPr>
          <w:rFonts w:ascii="Verdana" w:hAnsi="Verdana"/>
          <w:sz w:val="16"/>
          <w:szCs w:val="16"/>
          <w:lang w:val="es-CO"/>
        </w:rPr>
        <w:t xml:space="preserve">34.-Agregar un diez por ciento a las costas procesales que regulen, que· se descontará preferentemente de las primeras sumas que entregue el obligado, y remitirlo a la Asociación Mutualista Judicial, con el correspondiente oficio del Juzgado; debiendo proceder en igual forma con el diez por ciento de recargo sobre las costas personales y honorarios mandados pagar judicialmente, que deba remitirse al Colegio de Abogados del Distrito correspondiente; y </w:t>
      </w:r>
    </w:p>
    <w:p w14:paraId="662FA80C" w14:textId="77777777" w:rsidR="0039102A" w:rsidRPr="007206F3" w:rsidRDefault="0039102A" w:rsidP="000461DD">
      <w:pPr>
        <w:jc w:val="both"/>
        <w:rPr>
          <w:rFonts w:ascii="Verdana" w:hAnsi="Verdana"/>
          <w:sz w:val="16"/>
          <w:szCs w:val="16"/>
          <w:lang w:val="es-CO"/>
        </w:rPr>
      </w:pPr>
      <w:r w:rsidRPr="002A57E9">
        <w:rPr>
          <w:rFonts w:ascii="Verdana" w:hAnsi="Verdana"/>
          <w:sz w:val="16"/>
          <w:szCs w:val="16"/>
          <w:lang w:val="es-CO"/>
        </w:rPr>
        <w:t>35.-Cumplir las demás obligaciones que les impone la ley</w:t>
      </w:r>
      <w:r w:rsidRPr="002A57E9">
        <w:rPr>
          <w:rFonts w:ascii="Verdana" w:hAnsi="Verdana" w:cstheme="minorHAnsi"/>
          <w:sz w:val="16"/>
          <w:szCs w:val="16"/>
          <w:lang w:val="es-CO"/>
        </w:rPr>
        <w:t>”. Decreto Ley No. 14605 de 25 de julio de 1963. Ley Orgánica del Poder Judicial (expediente de prueba, folios 684 a 686).</w:t>
      </w:r>
    </w:p>
  </w:footnote>
  <w:footnote w:id="71">
    <w:p w14:paraId="4D4EC533" w14:textId="77777777" w:rsidR="0039102A" w:rsidRPr="0010537C" w:rsidRDefault="0039102A" w:rsidP="000461DD">
      <w:pPr>
        <w:pStyle w:val="FootnotesrefssChar1Char"/>
        <w:spacing w:before="100"/>
        <w:rPr>
          <w:vertAlign w:val="baseline"/>
        </w:rPr>
      </w:pPr>
      <w:r w:rsidRPr="001D38D9">
        <w:rPr>
          <w:rStyle w:val="Refdenotaalpie"/>
        </w:rPr>
        <w:footnoteRef/>
      </w:r>
      <w:r w:rsidRPr="001D38D9">
        <w:t xml:space="preserve"> </w:t>
      </w:r>
      <w:r>
        <w:t xml:space="preserve"> </w:t>
      </w:r>
      <w:r>
        <w:tab/>
      </w:r>
      <w:r>
        <w:rPr>
          <w:vertAlign w:val="baseline"/>
        </w:rPr>
        <w:t xml:space="preserve">Artículos 8.1 y 25 de la Convención Americana.  </w:t>
      </w:r>
    </w:p>
  </w:footnote>
  <w:footnote w:id="72">
    <w:p w14:paraId="61F0247F" w14:textId="77777777" w:rsidR="0039102A" w:rsidRPr="001D38D9" w:rsidRDefault="0039102A" w:rsidP="000461DD">
      <w:pPr>
        <w:pStyle w:val="Textonotapie"/>
        <w:spacing w:before="100"/>
        <w:rPr>
          <w:sz w:val="16"/>
          <w:szCs w:val="16"/>
        </w:rPr>
      </w:pPr>
      <w:r w:rsidRPr="001D38D9">
        <w:rPr>
          <w:rStyle w:val="Refdenotaalpie"/>
        </w:rPr>
        <w:footnoteRef/>
      </w:r>
      <w:r w:rsidRPr="001D38D9">
        <w:rPr>
          <w:sz w:val="16"/>
          <w:szCs w:val="16"/>
        </w:rPr>
        <w:t xml:space="preserve"> </w:t>
      </w:r>
      <w:r w:rsidRPr="001D38D9">
        <w:rPr>
          <w:sz w:val="16"/>
          <w:szCs w:val="16"/>
        </w:rPr>
        <w:tab/>
      </w:r>
      <w:r w:rsidRPr="001D38D9">
        <w:rPr>
          <w:i/>
          <w:sz w:val="16"/>
          <w:szCs w:val="16"/>
        </w:rPr>
        <w:t>Cfr.</w:t>
      </w:r>
      <w:r w:rsidRPr="001D38D9">
        <w:rPr>
          <w:sz w:val="16"/>
          <w:szCs w:val="16"/>
        </w:rPr>
        <w:t xml:space="preserve"> </w:t>
      </w:r>
      <w:r w:rsidRPr="00533BD6">
        <w:rPr>
          <w:i/>
          <w:sz w:val="16"/>
          <w:szCs w:val="16"/>
        </w:rPr>
        <w:t>Caso Mejía Idrovo Vs. Ecuador. Excepciones Preliminares, Fondo, Reparaciones y Costas.</w:t>
      </w:r>
      <w:r w:rsidRPr="001D38D9">
        <w:rPr>
          <w:sz w:val="16"/>
          <w:szCs w:val="16"/>
        </w:rPr>
        <w:t xml:space="preserve"> Sentencia de 5 de julio de 2</w:t>
      </w:r>
      <w:r>
        <w:rPr>
          <w:sz w:val="16"/>
          <w:szCs w:val="16"/>
        </w:rPr>
        <w:t xml:space="preserve">011. Serie C No. 228, párr. 105, y </w:t>
      </w:r>
      <w:r w:rsidRPr="00533BD6">
        <w:rPr>
          <w:i/>
          <w:sz w:val="16"/>
          <w:szCs w:val="16"/>
        </w:rPr>
        <w:t>Caso de los Empleados de la Fábrica de Fuegos de Santo Antônio de Jesus Vs. Brasil. Excepciones Preliminares, Fondo, Reparaciones y Costas.</w:t>
      </w:r>
      <w:r w:rsidRPr="00533BD6">
        <w:rPr>
          <w:sz w:val="16"/>
          <w:szCs w:val="16"/>
        </w:rPr>
        <w:t xml:space="preserve"> Sentencia de 15 de</w:t>
      </w:r>
      <w:r>
        <w:rPr>
          <w:sz w:val="16"/>
          <w:szCs w:val="16"/>
        </w:rPr>
        <w:t xml:space="preserve"> julio de 2020. Serie C No. 407, párr. 243. </w:t>
      </w:r>
    </w:p>
  </w:footnote>
  <w:footnote w:id="73">
    <w:p w14:paraId="54B4F659" w14:textId="77777777" w:rsidR="0039102A" w:rsidRPr="001D38D9" w:rsidRDefault="0039102A" w:rsidP="000461DD">
      <w:pPr>
        <w:pStyle w:val="Textonotapie"/>
        <w:spacing w:before="100"/>
        <w:rPr>
          <w:sz w:val="16"/>
          <w:szCs w:val="16"/>
        </w:rPr>
      </w:pPr>
      <w:r w:rsidRPr="00533BD6">
        <w:rPr>
          <w:rStyle w:val="Refdenotaalpie"/>
        </w:rPr>
        <w:footnoteRef/>
      </w:r>
      <w:r w:rsidRPr="00533BD6">
        <w:rPr>
          <w:sz w:val="16"/>
          <w:szCs w:val="16"/>
          <w:vertAlign w:val="superscript"/>
        </w:rPr>
        <w:t xml:space="preserve"> </w:t>
      </w:r>
      <w:r w:rsidRPr="001D38D9">
        <w:rPr>
          <w:sz w:val="16"/>
          <w:szCs w:val="16"/>
        </w:rPr>
        <w:tab/>
      </w:r>
      <w:r w:rsidRPr="001D38D9">
        <w:rPr>
          <w:i/>
          <w:sz w:val="16"/>
          <w:szCs w:val="16"/>
        </w:rPr>
        <w:t xml:space="preserve">Cfr. </w:t>
      </w:r>
      <w:r w:rsidRPr="001D38D9">
        <w:rPr>
          <w:sz w:val="16"/>
          <w:szCs w:val="16"/>
        </w:rPr>
        <w:t>Resolución de 4 de agosto de 1986 (expediente de prueba, folio 43)</w:t>
      </w:r>
      <w:r w:rsidRPr="001D38D9">
        <w:rPr>
          <w:b/>
          <w:sz w:val="16"/>
          <w:szCs w:val="16"/>
        </w:rPr>
        <w:t>.</w:t>
      </w:r>
    </w:p>
  </w:footnote>
  <w:footnote w:id="74">
    <w:p w14:paraId="3D5BA8D9" w14:textId="77777777" w:rsidR="0039102A" w:rsidRPr="001D38D9" w:rsidRDefault="0039102A" w:rsidP="000461DD">
      <w:pPr>
        <w:pStyle w:val="Textonotapie"/>
        <w:spacing w:before="100"/>
        <w:rPr>
          <w:rFonts w:cstheme="minorHAnsi"/>
          <w:sz w:val="16"/>
          <w:szCs w:val="16"/>
          <w:lang w:val="es-CO"/>
        </w:rPr>
      </w:pPr>
      <w:r w:rsidRPr="001D38D9">
        <w:rPr>
          <w:rStyle w:val="Refdenotaalpie"/>
          <w:lang w:val="es-CO"/>
        </w:rPr>
        <w:footnoteRef/>
      </w:r>
      <w:r w:rsidRPr="001D38D9">
        <w:rPr>
          <w:rFonts w:cstheme="minorHAnsi"/>
          <w:sz w:val="16"/>
          <w:szCs w:val="16"/>
          <w:lang w:val="es-CO"/>
        </w:rPr>
        <w:t xml:space="preserve"> </w:t>
      </w:r>
      <w:r w:rsidRPr="001D38D9">
        <w:rPr>
          <w:rFonts w:cstheme="minorHAnsi"/>
          <w:sz w:val="16"/>
          <w:szCs w:val="16"/>
          <w:lang w:val="es-CO"/>
        </w:rPr>
        <w:tab/>
      </w:r>
      <w:r w:rsidRPr="001D38D9">
        <w:rPr>
          <w:rFonts w:cstheme="minorHAnsi"/>
          <w:i/>
          <w:sz w:val="16"/>
          <w:szCs w:val="16"/>
          <w:lang w:val="es-CO"/>
        </w:rPr>
        <w:t>Cfr.</w:t>
      </w:r>
      <w:r w:rsidRPr="001D38D9">
        <w:rPr>
          <w:rFonts w:cstheme="minorHAnsi"/>
          <w:sz w:val="16"/>
          <w:szCs w:val="16"/>
          <w:lang w:val="es-CO"/>
        </w:rPr>
        <w:t xml:space="preserve"> Voto disidente del Juez Casti</w:t>
      </w:r>
      <w:r>
        <w:rPr>
          <w:rFonts w:cstheme="minorHAnsi"/>
          <w:sz w:val="16"/>
          <w:szCs w:val="16"/>
          <w:lang w:val="es-CO"/>
        </w:rPr>
        <w:t>llo La Rosa Sánchez al fallo de</w:t>
      </w:r>
      <w:r w:rsidRPr="001D38D9">
        <w:rPr>
          <w:rFonts w:cstheme="minorHAnsi"/>
          <w:sz w:val="16"/>
          <w:szCs w:val="16"/>
          <w:lang w:val="es-CO"/>
        </w:rPr>
        <w:t xml:space="preserve"> 29 de octubre de 1998 (expediente de prueba, folios 90 a 91).   </w:t>
      </w:r>
    </w:p>
  </w:footnote>
  <w:footnote w:id="75">
    <w:p w14:paraId="0069519F" w14:textId="77777777" w:rsidR="0039102A" w:rsidRPr="001D38D9" w:rsidRDefault="0039102A" w:rsidP="000461DD">
      <w:pPr>
        <w:pStyle w:val="Textonotapie"/>
        <w:spacing w:before="100"/>
        <w:rPr>
          <w:rFonts w:cstheme="minorHAnsi"/>
          <w:sz w:val="16"/>
          <w:szCs w:val="16"/>
          <w:lang w:val="es-CO"/>
        </w:rPr>
      </w:pPr>
      <w:r w:rsidRPr="001D38D9">
        <w:rPr>
          <w:rStyle w:val="Refdenotaalpie"/>
          <w:lang w:val="es-CO"/>
        </w:rPr>
        <w:footnoteRef/>
      </w:r>
      <w:r w:rsidRPr="001D38D9">
        <w:rPr>
          <w:rFonts w:cstheme="minorHAnsi"/>
          <w:sz w:val="16"/>
          <w:szCs w:val="16"/>
          <w:lang w:val="es-CO"/>
        </w:rPr>
        <w:t xml:space="preserve">  </w:t>
      </w:r>
      <w:r w:rsidRPr="001D38D9">
        <w:rPr>
          <w:rFonts w:cstheme="minorHAnsi"/>
          <w:sz w:val="16"/>
          <w:szCs w:val="16"/>
          <w:lang w:val="es-CO"/>
        </w:rPr>
        <w:tab/>
      </w:r>
      <w:r w:rsidRPr="001D38D9">
        <w:rPr>
          <w:rFonts w:cstheme="minorHAnsi"/>
          <w:i/>
          <w:sz w:val="16"/>
          <w:szCs w:val="16"/>
          <w:lang w:val="es-CO"/>
        </w:rPr>
        <w:t>Cfr.</w:t>
      </w:r>
      <w:r w:rsidRPr="001D38D9">
        <w:rPr>
          <w:rFonts w:cstheme="minorHAnsi"/>
          <w:sz w:val="16"/>
          <w:szCs w:val="16"/>
          <w:lang w:val="es-CO"/>
        </w:rPr>
        <w:t xml:space="preserve"> </w:t>
      </w:r>
      <w:r w:rsidRPr="002D7898">
        <w:rPr>
          <w:rFonts w:cstheme="minorHAnsi"/>
          <w:i/>
          <w:sz w:val="16"/>
          <w:szCs w:val="16"/>
          <w:lang w:val="es-CO"/>
        </w:rPr>
        <w:t xml:space="preserve">Caso Suárez Rosero Vs. Ecuador. Fondo. </w:t>
      </w:r>
      <w:r w:rsidRPr="002D7898">
        <w:rPr>
          <w:rFonts w:cstheme="minorHAnsi"/>
          <w:sz w:val="16"/>
          <w:szCs w:val="16"/>
          <w:lang w:val="es-CO"/>
        </w:rPr>
        <w:t>Sentencia de 12 de noviembre de 1997. Serie C No. 35,</w:t>
      </w:r>
      <w:r w:rsidRPr="001D38D9">
        <w:rPr>
          <w:rFonts w:cstheme="minorHAnsi"/>
          <w:sz w:val="16"/>
          <w:szCs w:val="16"/>
          <w:lang w:val="es-CO"/>
        </w:rPr>
        <w:t xml:space="preserve"> párr. 71, y</w:t>
      </w:r>
      <w:r w:rsidRPr="001D38D9">
        <w:rPr>
          <w:rFonts w:cstheme="minorHAnsi"/>
          <w:spacing w:val="-2"/>
          <w:sz w:val="16"/>
          <w:szCs w:val="16"/>
          <w:lang w:val="es-CO"/>
        </w:rPr>
        <w:t xml:space="preserve"> </w:t>
      </w:r>
      <w:r w:rsidRPr="001D38D9">
        <w:rPr>
          <w:rFonts w:cstheme="minorHAnsi"/>
          <w:i/>
          <w:sz w:val="16"/>
          <w:szCs w:val="16"/>
          <w:lang w:val="es-CO"/>
        </w:rPr>
        <w:t xml:space="preserve">Caso Mota Abarullo y otros Vs. Venezuela. Fondo, Reparaciones y Costas. </w:t>
      </w:r>
      <w:r w:rsidRPr="003C1F25">
        <w:rPr>
          <w:rFonts w:cstheme="minorHAnsi"/>
          <w:sz w:val="16"/>
          <w:szCs w:val="16"/>
          <w:lang w:val="es-CO"/>
        </w:rPr>
        <w:t xml:space="preserve">Sentencia de 18 de noviembre de 2020. Serie C No. 417. </w:t>
      </w:r>
      <w:r w:rsidRPr="001D38D9">
        <w:rPr>
          <w:rFonts w:cstheme="minorHAnsi"/>
          <w:sz w:val="16"/>
          <w:szCs w:val="16"/>
          <w:lang w:val="es-CO"/>
        </w:rPr>
        <w:t>párr. 122.</w:t>
      </w:r>
    </w:p>
  </w:footnote>
  <w:footnote w:id="76">
    <w:p w14:paraId="636CEA7F" w14:textId="77777777" w:rsidR="0039102A" w:rsidRPr="001D38D9" w:rsidRDefault="0039102A" w:rsidP="000461DD">
      <w:pPr>
        <w:pStyle w:val="Textonotapie"/>
        <w:spacing w:before="100"/>
        <w:rPr>
          <w:sz w:val="16"/>
          <w:szCs w:val="16"/>
        </w:rPr>
      </w:pPr>
      <w:r w:rsidRPr="001D38D9">
        <w:rPr>
          <w:rStyle w:val="Refdenotaalpie"/>
        </w:rPr>
        <w:footnoteRef/>
      </w:r>
      <w:r w:rsidRPr="005B6F78">
        <w:rPr>
          <w:sz w:val="16"/>
          <w:szCs w:val="16"/>
        </w:rPr>
        <w:t xml:space="preserve"> </w:t>
      </w:r>
      <w:r w:rsidRPr="005B6F78">
        <w:rPr>
          <w:sz w:val="16"/>
          <w:szCs w:val="16"/>
        </w:rPr>
        <w:tab/>
      </w:r>
      <w:r w:rsidRPr="005B6F78">
        <w:rPr>
          <w:i/>
          <w:sz w:val="16"/>
          <w:szCs w:val="16"/>
        </w:rPr>
        <w:t>Cfr.</w:t>
      </w:r>
      <w:r w:rsidRPr="005B6F78">
        <w:rPr>
          <w:sz w:val="16"/>
          <w:szCs w:val="16"/>
        </w:rPr>
        <w:t xml:space="preserve"> </w:t>
      </w:r>
      <w:r w:rsidRPr="005B6F78">
        <w:rPr>
          <w:i/>
          <w:sz w:val="16"/>
          <w:szCs w:val="16"/>
        </w:rPr>
        <w:t xml:space="preserve">Caso Genie Lacayo Vs. Nicaragua. </w:t>
      </w:r>
      <w:r w:rsidRPr="002D7898">
        <w:rPr>
          <w:i/>
          <w:sz w:val="16"/>
          <w:szCs w:val="16"/>
        </w:rPr>
        <w:t>Fondo, Reparaciones y Costas.</w:t>
      </w:r>
      <w:r w:rsidRPr="002D7898">
        <w:rPr>
          <w:sz w:val="16"/>
          <w:szCs w:val="16"/>
        </w:rPr>
        <w:t xml:space="preserve"> Sentencia de 29 d</w:t>
      </w:r>
      <w:r>
        <w:rPr>
          <w:sz w:val="16"/>
          <w:szCs w:val="16"/>
        </w:rPr>
        <w:t>e enero de 1997. Serie C No. 30, pár. 78</w:t>
      </w:r>
      <w:r w:rsidRPr="001D38D9">
        <w:rPr>
          <w:sz w:val="16"/>
          <w:szCs w:val="16"/>
        </w:rPr>
        <w:t xml:space="preserve">, y </w:t>
      </w:r>
      <w:r w:rsidRPr="001D38D9">
        <w:rPr>
          <w:i/>
          <w:sz w:val="16"/>
          <w:szCs w:val="16"/>
        </w:rPr>
        <w:t>Caso de los Empleados de la Fábrica de Fuegos de Santo Antônio de Jesus Vs. Brasil</w:t>
      </w:r>
      <w:r>
        <w:rPr>
          <w:i/>
          <w:sz w:val="16"/>
          <w:szCs w:val="16"/>
        </w:rPr>
        <w:t>, supra</w:t>
      </w:r>
      <w:r w:rsidRPr="001D38D9">
        <w:rPr>
          <w:sz w:val="16"/>
          <w:szCs w:val="16"/>
        </w:rPr>
        <w:t xml:space="preserve">, párr. 223. </w:t>
      </w:r>
    </w:p>
  </w:footnote>
  <w:footnote w:id="77">
    <w:p w14:paraId="646CEAA5" w14:textId="77777777" w:rsidR="0039102A" w:rsidRPr="001D38D9" w:rsidRDefault="0039102A" w:rsidP="000461DD">
      <w:pPr>
        <w:pStyle w:val="FootnotesrefssChar1Char"/>
        <w:spacing w:before="100"/>
        <w:rPr>
          <w:lang w:val="es-CO"/>
        </w:rPr>
      </w:pPr>
      <w:r w:rsidRPr="001D38D9">
        <w:rPr>
          <w:rStyle w:val="Refdenotaalpie"/>
          <w:lang w:val="es-CO"/>
        </w:rPr>
        <w:footnoteRef/>
      </w:r>
      <w:r w:rsidRPr="001D38D9">
        <w:rPr>
          <w:lang w:val="es-CO"/>
        </w:rPr>
        <w:t xml:space="preserve"> </w:t>
      </w:r>
      <w:r w:rsidRPr="001D38D9">
        <w:rPr>
          <w:lang w:val="es-CO"/>
        </w:rPr>
        <w:tab/>
      </w:r>
      <w:r w:rsidRPr="001D38D9">
        <w:rPr>
          <w:vertAlign w:val="baseline"/>
          <w:lang w:val="es-CO"/>
        </w:rPr>
        <w:t xml:space="preserve">Artículo 23 de la Convención Americana. </w:t>
      </w:r>
      <w:r w:rsidRPr="001D38D9">
        <w:rPr>
          <w:lang w:val="es-CO"/>
        </w:rPr>
        <w:t xml:space="preserve"> </w:t>
      </w:r>
    </w:p>
  </w:footnote>
  <w:footnote w:id="78">
    <w:p w14:paraId="4172A25E" w14:textId="77777777" w:rsidR="0039102A" w:rsidRPr="001D38D9" w:rsidRDefault="0039102A" w:rsidP="000461DD">
      <w:pPr>
        <w:pStyle w:val="Textonotapie"/>
        <w:tabs>
          <w:tab w:val="left" w:pos="540"/>
          <w:tab w:val="left" w:pos="567"/>
        </w:tabs>
        <w:spacing w:before="100"/>
        <w:rPr>
          <w:rFonts w:cstheme="minorHAnsi"/>
          <w:sz w:val="16"/>
          <w:szCs w:val="16"/>
          <w:lang w:val="es-CO"/>
        </w:rPr>
      </w:pPr>
      <w:r w:rsidRPr="001D38D9">
        <w:rPr>
          <w:rStyle w:val="Refdenotaalpie"/>
          <w:lang w:val="es-CO"/>
        </w:rPr>
        <w:footnoteRef/>
      </w:r>
      <w:r w:rsidRPr="001D38D9">
        <w:rPr>
          <w:rFonts w:cstheme="minorHAnsi"/>
          <w:sz w:val="16"/>
          <w:szCs w:val="16"/>
          <w:lang w:val="es-CO"/>
        </w:rPr>
        <w:t xml:space="preserve"> </w:t>
      </w:r>
      <w:r w:rsidRPr="001D38D9">
        <w:rPr>
          <w:rFonts w:cstheme="minorHAnsi"/>
          <w:sz w:val="16"/>
          <w:szCs w:val="16"/>
          <w:lang w:val="es-CO"/>
        </w:rPr>
        <w:tab/>
      </w:r>
      <w:r w:rsidRPr="001D38D9">
        <w:rPr>
          <w:rFonts w:cstheme="minorHAnsi"/>
          <w:i/>
          <w:sz w:val="16"/>
          <w:szCs w:val="16"/>
          <w:lang w:val="es-CO"/>
        </w:rPr>
        <w:t>Cfr.</w:t>
      </w:r>
      <w:r w:rsidRPr="001D38D9">
        <w:rPr>
          <w:rFonts w:cstheme="minorHAnsi"/>
          <w:sz w:val="16"/>
          <w:szCs w:val="16"/>
          <w:lang w:val="es-CO"/>
        </w:rPr>
        <w:t xml:space="preserve"> </w:t>
      </w:r>
      <w:r w:rsidRPr="001D38D9">
        <w:rPr>
          <w:rFonts w:cstheme="minorHAnsi"/>
          <w:bCs/>
          <w:i/>
          <w:sz w:val="16"/>
          <w:szCs w:val="16"/>
          <w:lang w:val="es-CO"/>
        </w:rPr>
        <w:t>Caso Reverón Trujillo Vs. Venezuela. Excepción Preliminar, Fondo, Reparaciones y Costas</w:t>
      </w:r>
      <w:r w:rsidRPr="001D38D9">
        <w:rPr>
          <w:rFonts w:cstheme="minorHAnsi"/>
          <w:bCs/>
          <w:sz w:val="16"/>
          <w:szCs w:val="16"/>
          <w:lang w:val="es-CO"/>
        </w:rPr>
        <w:t>. Sentencia de 30 de junio de 2009. Serie C No. 197</w:t>
      </w:r>
      <w:r w:rsidRPr="001D38D9">
        <w:rPr>
          <w:rFonts w:cstheme="minorHAnsi"/>
          <w:sz w:val="16"/>
          <w:szCs w:val="16"/>
          <w:lang w:val="es-CO"/>
        </w:rPr>
        <w:t xml:space="preserve">, párr. 138, y </w:t>
      </w:r>
      <w:r w:rsidRPr="001D38D9">
        <w:rPr>
          <w:rFonts w:cstheme="minorHAnsi"/>
          <w:i/>
          <w:sz w:val="16"/>
          <w:szCs w:val="16"/>
          <w:lang w:val="es-CO"/>
        </w:rPr>
        <w:t>Caso Casa Nina Vs. Perú</w:t>
      </w:r>
      <w:r>
        <w:rPr>
          <w:rFonts w:cstheme="minorHAnsi"/>
          <w:i/>
          <w:sz w:val="16"/>
          <w:szCs w:val="16"/>
          <w:lang w:val="es-CO"/>
        </w:rPr>
        <w:t>, supra</w:t>
      </w:r>
      <w:r w:rsidRPr="001D38D9">
        <w:rPr>
          <w:rFonts w:cstheme="minorHAnsi"/>
          <w:sz w:val="16"/>
          <w:szCs w:val="16"/>
          <w:lang w:val="es-CO"/>
        </w:rPr>
        <w:t>, párr. 97.</w:t>
      </w:r>
    </w:p>
  </w:footnote>
  <w:footnote w:id="79">
    <w:p w14:paraId="65CBD599" w14:textId="77777777" w:rsidR="0039102A" w:rsidRPr="001D38D9" w:rsidRDefault="0039102A" w:rsidP="000461DD">
      <w:pPr>
        <w:pStyle w:val="Textonotapie"/>
        <w:spacing w:before="100"/>
        <w:rPr>
          <w:sz w:val="16"/>
          <w:szCs w:val="16"/>
        </w:rPr>
      </w:pPr>
      <w:r w:rsidRPr="001D38D9">
        <w:rPr>
          <w:rStyle w:val="Refdenotaalpie"/>
        </w:rPr>
        <w:footnoteRef/>
      </w:r>
      <w:r w:rsidRPr="001D38D9">
        <w:rPr>
          <w:sz w:val="16"/>
          <w:szCs w:val="16"/>
        </w:rPr>
        <w:t xml:space="preserve"> </w:t>
      </w:r>
      <w:r w:rsidRPr="001D38D9">
        <w:rPr>
          <w:sz w:val="16"/>
          <w:szCs w:val="16"/>
        </w:rPr>
        <w:tab/>
      </w:r>
      <w:r w:rsidRPr="001D38D9">
        <w:rPr>
          <w:i/>
          <w:sz w:val="16"/>
          <w:szCs w:val="16"/>
        </w:rPr>
        <w:t xml:space="preserve">Cfr. </w:t>
      </w:r>
      <w:r w:rsidRPr="001D38D9">
        <w:rPr>
          <w:sz w:val="16"/>
          <w:szCs w:val="16"/>
        </w:rPr>
        <w:t xml:space="preserve">Comité de Derechos Humanos. </w:t>
      </w:r>
      <w:r>
        <w:rPr>
          <w:sz w:val="16"/>
          <w:szCs w:val="16"/>
        </w:rPr>
        <w:t xml:space="preserve">Caso </w:t>
      </w:r>
      <w:r w:rsidRPr="001D38D9">
        <w:rPr>
          <w:sz w:val="16"/>
          <w:szCs w:val="16"/>
        </w:rPr>
        <w:t>Soratha Bandaranayake c. Sri Lanka</w:t>
      </w:r>
      <w:r>
        <w:rPr>
          <w:sz w:val="16"/>
          <w:szCs w:val="16"/>
        </w:rPr>
        <w:t xml:space="preserve"> (</w:t>
      </w:r>
      <w:r w:rsidRPr="001D38D9">
        <w:rPr>
          <w:sz w:val="16"/>
          <w:szCs w:val="16"/>
        </w:rPr>
        <w:t>Comunicación No. 1376/2005</w:t>
      </w:r>
      <w:r>
        <w:rPr>
          <w:sz w:val="16"/>
          <w:szCs w:val="16"/>
        </w:rPr>
        <w:t xml:space="preserve">), UN Doc. </w:t>
      </w:r>
      <w:r w:rsidRPr="007972C1">
        <w:rPr>
          <w:sz w:val="16"/>
          <w:szCs w:val="16"/>
        </w:rPr>
        <w:t>CCPR/C/93/D/1376/2005</w:t>
      </w:r>
      <w:r>
        <w:rPr>
          <w:sz w:val="16"/>
          <w:szCs w:val="16"/>
        </w:rPr>
        <w:t xml:space="preserve">, 4 de agosto de 2008, </w:t>
      </w:r>
      <w:r w:rsidRPr="001D38D9">
        <w:rPr>
          <w:sz w:val="16"/>
          <w:szCs w:val="16"/>
        </w:rPr>
        <w:t>párr. 7.1</w:t>
      </w:r>
      <w:r>
        <w:rPr>
          <w:sz w:val="16"/>
          <w:szCs w:val="16"/>
        </w:rPr>
        <w:t>.</w:t>
      </w:r>
    </w:p>
  </w:footnote>
  <w:footnote w:id="80">
    <w:p w14:paraId="57CE4C89" w14:textId="77777777" w:rsidR="0039102A" w:rsidRPr="001D38D9" w:rsidRDefault="0039102A" w:rsidP="000461DD">
      <w:pPr>
        <w:pStyle w:val="Textonotapie"/>
        <w:spacing w:before="100"/>
        <w:rPr>
          <w:sz w:val="16"/>
          <w:szCs w:val="16"/>
        </w:rPr>
      </w:pPr>
      <w:r w:rsidRPr="001D38D9">
        <w:rPr>
          <w:rStyle w:val="Refdenotaalpie"/>
        </w:rPr>
        <w:footnoteRef/>
      </w:r>
      <w:r w:rsidRPr="001D38D9">
        <w:rPr>
          <w:sz w:val="16"/>
          <w:szCs w:val="16"/>
        </w:rPr>
        <w:t xml:space="preserve"> </w:t>
      </w:r>
      <w:r w:rsidRPr="001D38D9">
        <w:rPr>
          <w:sz w:val="16"/>
          <w:szCs w:val="16"/>
        </w:rPr>
        <w:tab/>
      </w:r>
      <w:r w:rsidRPr="001D38D9">
        <w:rPr>
          <w:i/>
          <w:sz w:val="16"/>
          <w:szCs w:val="16"/>
        </w:rPr>
        <w:t>Cfr.</w:t>
      </w:r>
      <w:r w:rsidRPr="001D38D9">
        <w:rPr>
          <w:sz w:val="16"/>
          <w:szCs w:val="16"/>
        </w:rPr>
        <w:t xml:space="preserve"> </w:t>
      </w:r>
      <w:r w:rsidRPr="002D7898">
        <w:rPr>
          <w:i/>
          <w:sz w:val="16"/>
          <w:szCs w:val="16"/>
        </w:rPr>
        <w:t>Caso Reverón Trujillo Vs. Venezuela</w:t>
      </w:r>
      <w:r>
        <w:rPr>
          <w:i/>
          <w:sz w:val="16"/>
          <w:szCs w:val="16"/>
        </w:rPr>
        <w:t>, supra</w:t>
      </w:r>
      <w:r w:rsidRPr="001D38D9">
        <w:rPr>
          <w:sz w:val="16"/>
          <w:szCs w:val="16"/>
        </w:rPr>
        <w:t>, párr. 138</w:t>
      </w:r>
      <w:r>
        <w:rPr>
          <w:sz w:val="16"/>
          <w:szCs w:val="16"/>
        </w:rPr>
        <w:t xml:space="preserve">, y </w:t>
      </w:r>
      <w:r w:rsidRPr="002D7898">
        <w:rPr>
          <w:i/>
          <w:sz w:val="16"/>
          <w:szCs w:val="16"/>
        </w:rPr>
        <w:t>Caso Colindres Schonenberg Vs. El Salvador. Fondo, Reparaciones y Costas.</w:t>
      </w:r>
      <w:r w:rsidRPr="001D38D9">
        <w:rPr>
          <w:sz w:val="16"/>
          <w:szCs w:val="16"/>
        </w:rPr>
        <w:t xml:space="preserve"> Sentencia de 4 de febrero de 2019. Serie C No. 373, párr. 93</w:t>
      </w:r>
      <w:r>
        <w:rPr>
          <w:sz w:val="16"/>
          <w:szCs w:val="16"/>
        </w:rPr>
        <w:t>.</w:t>
      </w:r>
    </w:p>
  </w:footnote>
  <w:footnote w:id="81">
    <w:p w14:paraId="205B0A93" w14:textId="77777777" w:rsidR="0039102A" w:rsidRPr="001D38D9" w:rsidRDefault="0039102A" w:rsidP="000461DD">
      <w:pPr>
        <w:pStyle w:val="Textonotapie"/>
        <w:spacing w:before="100"/>
        <w:rPr>
          <w:sz w:val="16"/>
          <w:szCs w:val="16"/>
        </w:rPr>
      </w:pPr>
      <w:r w:rsidRPr="001D38D9">
        <w:rPr>
          <w:rStyle w:val="Refdenotaalpie"/>
        </w:rPr>
        <w:footnoteRef/>
      </w:r>
      <w:r w:rsidRPr="001D38D9">
        <w:rPr>
          <w:sz w:val="16"/>
          <w:szCs w:val="16"/>
        </w:rPr>
        <w:t xml:space="preserve"> </w:t>
      </w:r>
      <w:r w:rsidRPr="001D38D9">
        <w:rPr>
          <w:sz w:val="16"/>
          <w:szCs w:val="16"/>
        </w:rPr>
        <w:tab/>
      </w:r>
      <w:r w:rsidRPr="001D38D9">
        <w:rPr>
          <w:i/>
          <w:sz w:val="16"/>
          <w:szCs w:val="16"/>
        </w:rPr>
        <w:t>Cfr.</w:t>
      </w:r>
      <w:r w:rsidRPr="001D38D9">
        <w:rPr>
          <w:sz w:val="16"/>
          <w:szCs w:val="16"/>
        </w:rPr>
        <w:t xml:space="preserve"> </w:t>
      </w:r>
      <w:r w:rsidRPr="002D7898">
        <w:rPr>
          <w:i/>
          <w:sz w:val="16"/>
          <w:szCs w:val="16"/>
        </w:rPr>
        <w:t>Caso Martínez Esqu</w:t>
      </w:r>
      <w:r>
        <w:rPr>
          <w:i/>
          <w:sz w:val="16"/>
          <w:szCs w:val="16"/>
        </w:rPr>
        <w:t>ivia Vs. Colombia, supra</w:t>
      </w:r>
      <w:r w:rsidRPr="001D38D9">
        <w:rPr>
          <w:sz w:val="16"/>
          <w:szCs w:val="16"/>
        </w:rPr>
        <w:t>, párr. 115</w:t>
      </w:r>
      <w:r>
        <w:rPr>
          <w:sz w:val="16"/>
          <w:szCs w:val="16"/>
        </w:rPr>
        <w:t xml:space="preserve">, y </w:t>
      </w:r>
      <w:r w:rsidRPr="002D7898">
        <w:rPr>
          <w:i/>
          <w:sz w:val="16"/>
          <w:szCs w:val="16"/>
        </w:rPr>
        <w:t>Caso Casa Nina Vs. Perú</w:t>
      </w:r>
      <w:r>
        <w:rPr>
          <w:i/>
          <w:sz w:val="16"/>
          <w:szCs w:val="16"/>
        </w:rPr>
        <w:t>, supra</w:t>
      </w:r>
      <w:r w:rsidRPr="001D38D9">
        <w:rPr>
          <w:sz w:val="16"/>
          <w:szCs w:val="16"/>
        </w:rPr>
        <w:t>, párr. 97</w:t>
      </w:r>
      <w:r>
        <w:rPr>
          <w:sz w:val="16"/>
          <w:szCs w:val="16"/>
        </w:rPr>
        <w:t>.</w:t>
      </w:r>
    </w:p>
  </w:footnote>
  <w:footnote w:id="82">
    <w:p w14:paraId="5FB164F8" w14:textId="77777777" w:rsidR="0039102A" w:rsidRPr="007206F3" w:rsidRDefault="0039102A" w:rsidP="000461DD">
      <w:pPr>
        <w:pStyle w:val="Textonotapie"/>
        <w:spacing w:before="100"/>
        <w:rPr>
          <w:sz w:val="16"/>
          <w:szCs w:val="16"/>
        </w:rPr>
      </w:pPr>
      <w:r w:rsidRPr="007206F3">
        <w:rPr>
          <w:rStyle w:val="Refdenotaalpie"/>
        </w:rPr>
        <w:footnoteRef/>
      </w:r>
      <w:r w:rsidRPr="007206F3">
        <w:rPr>
          <w:sz w:val="16"/>
          <w:szCs w:val="16"/>
        </w:rPr>
        <w:t xml:space="preserve"> </w:t>
      </w:r>
      <w:r w:rsidRPr="007206F3">
        <w:rPr>
          <w:sz w:val="16"/>
          <w:szCs w:val="16"/>
        </w:rPr>
        <w:tab/>
      </w:r>
      <w:r w:rsidRPr="002D7898">
        <w:rPr>
          <w:i/>
          <w:sz w:val="16"/>
          <w:szCs w:val="16"/>
        </w:rPr>
        <w:t xml:space="preserve">Cfr. </w:t>
      </w:r>
      <w:r>
        <w:rPr>
          <w:i/>
          <w:sz w:val="16"/>
          <w:szCs w:val="16"/>
        </w:rPr>
        <w:t>C</w:t>
      </w:r>
      <w:r w:rsidRPr="00164410">
        <w:rPr>
          <w:i/>
          <w:sz w:val="16"/>
          <w:szCs w:val="16"/>
        </w:rPr>
        <w:t>aso Reverón Trujillo Vs. Venezuela</w:t>
      </w:r>
      <w:r>
        <w:rPr>
          <w:i/>
          <w:sz w:val="16"/>
          <w:szCs w:val="16"/>
        </w:rPr>
        <w:t xml:space="preserve">, supra, </w:t>
      </w:r>
      <w:r w:rsidRPr="00164410">
        <w:rPr>
          <w:sz w:val="16"/>
          <w:szCs w:val="16"/>
        </w:rPr>
        <w:t>p</w:t>
      </w:r>
      <w:r>
        <w:rPr>
          <w:sz w:val="16"/>
          <w:szCs w:val="16"/>
        </w:rPr>
        <w:t>árr. 138</w:t>
      </w:r>
      <w:r w:rsidRPr="007206F3">
        <w:rPr>
          <w:sz w:val="16"/>
          <w:szCs w:val="16"/>
        </w:rPr>
        <w:t xml:space="preserve">, y </w:t>
      </w:r>
      <w:r w:rsidRPr="007206F3">
        <w:rPr>
          <w:rFonts w:cstheme="minorHAnsi"/>
          <w:i/>
          <w:sz w:val="16"/>
          <w:szCs w:val="16"/>
          <w:lang w:val="es-CO"/>
        </w:rPr>
        <w:t>Caso Casa Nina Vs. Perú</w:t>
      </w:r>
      <w:r>
        <w:rPr>
          <w:rFonts w:cstheme="minorHAnsi"/>
          <w:i/>
          <w:sz w:val="16"/>
          <w:szCs w:val="16"/>
          <w:lang w:val="es-CO"/>
        </w:rPr>
        <w:t>, supra</w:t>
      </w:r>
      <w:r w:rsidRPr="007206F3">
        <w:rPr>
          <w:rFonts w:cstheme="minorHAnsi"/>
          <w:sz w:val="16"/>
          <w:szCs w:val="16"/>
          <w:lang w:val="es-CO"/>
        </w:rPr>
        <w:t>, párr. 98.</w:t>
      </w:r>
    </w:p>
  </w:footnote>
  <w:footnote w:id="83">
    <w:p w14:paraId="337B6772" w14:textId="77777777" w:rsidR="0039102A" w:rsidRPr="007206F3" w:rsidRDefault="0039102A" w:rsidP="000461DD">
      <w:pPr>
        <w:pStyle w:val="Textonotapie"/>
        <w:tabs>
          <w:tab w:val="left" w:pos="540"/>
          <w:tab w:val="left" w:pos="567"/>
        </w:tabs>
        <w:spacing w:before="100"/>
        <w:rPr>
          <w:rFonts w:cstheme="minorHAnsi"/>
          <w:sz w:val="16"/>
          <w:szCs w:val="16"/>
          <w:lang w:val="es-CO"/>
        </w:rPr>
      </w:pPr>
      <w:r w:rsidRPr="007206F3">
        <w:rPr>
          <w:rStyle w:val="Refdenotaalpie"/>
        </w:rPr>
        <w:footnoteRef/>
      </w:r>
      <w:r w:rsidRPr="007206F3">
        <w:rPr>
          <w:sz w:val="16"/>
          <w:szCs w:val="16"/>
        </w:rPr>
        <w:t xml:space="preserve"> </w:t>
      </w:r>
      <w:r w:rsidRPr="007206F3">
        <w:rPr>
          <w:sz w:val="16"/>
          <w:szCs w:val="16"/>
        </w:rPr>
        <w:tab/>
      </w:r>
      <w:r w:rsidRPr="002D7898">
        <w:rPr>
          <w:i/>
          <w:sz w:val="16"/>
          <w:szCs w:val="16"/>
        </w:rPr>
        <w:t>Cfr. Mutatis mutandis, Caso Reverón Trujillo Vs. Venezuela,</w:t>
      </w:r>
      <w:r w:rsidRPr="007206F3">
        <w:rPr>
          <w:sz w:val="16"/>
          <w:szCs w:val="16"/>
        </w:rPr>
        <w:t xml:space="preserve"> </w:t>
      </w:r>
      <w:r w:rsidRPr="0064419E">
        <w:rPr>
          <w:i/>
          <w:sz w:val="16"/>
          <w:szCs w:val="16"/>
        </w:rPr>
        <w:t>supra,</w:t>
      </w:r>
      <w:r w:rsidRPr="007206F3">
        <w:rPr>
          <w:sz w:val="16"/>
          <w:szCs w:val="16"/>
        </w:rPr>
        <w:t xml:space="preserve"> párr. 72, y </w:t>
      </w:r>
      <w:r w:rsidRPr="007206F3">
        <w:rPr>
          <w:rFonts w:cstheme="minorHAnsi"/>
          <w:i/>
          <w:sz w:val="16"/>
          <w:szCs w:val="16"/>
          <w:lang w:val="es-CO"/>
        </w:rPr>
        <w:t>Caso Casa Nina Vs. Perú</w:t>
      </w:r>
      <w:r>
        <w:rPr>
          <w:rFonts w:cstheme="minorHAnsi"/>
          <w:i/>
          <w:sz w:val="16"/>
          <w:szCs w:val="16"/>
          <w:lang w:val="es-CO"/>
        </w:rPr>
        <w:t>, supra</w:t>
      </w:r>
      <w:r w:rsidRPr="007206F3">
        <w:rPr>
          <w:rFonts w:cstheme="minorHAnsi"/>
          <w:sz w:val="16"/>
          <w:szCs w:val="16"/>
          <w:lang w:val="es-CO"/>
        </w:rPr>
        <w:t>, párr. 9</w:t>
      </w:r>
      <w:r>
        <w:rPr>
          <w:rFonts w:cstheme="minorHAnsi"/>
          <w:sz w:val="16"/>
          <w:szCs w:val="16"/>
          <w:lang w:val="es-CO"/>
        </w:rPr>
        <w:t>8</w:t>
      </w:r>
      <w:r w:rsidRPr="007206F3">
        <w:rPr>
          <w:rFonts w:cstheme="minorHAnsi"/>
          <w:sz w:val="16"/>
          <w:szCs w:val="16"/>
          <w:lang w:val="es-CO"/>
        </w:rPr>
        <w:t>.</w:t>
      </w:r>
    </w:p>
  </w:footnote>
  <w:footnote w:id="84">
    <w:p w14:paraId="203C42BA" w14:textId="77777777" w:rsidR="0039102A" w:rsidRPr="007206F3" w:rsidRDefault="0039102A" w:rsidP="000461DD">
      <w:pPr>
        <w:spacing w:before="100"/>
        <w:jc w:val="both"/>
        <w:rPr>
          <w:rFonts w:ascii="Verdana" w:hAnsi="Verdana"/>
          <w:sz w:val="16"/>
          <w:szCs w:val="16"/>
          <w:lang w:val="es-CO"/>
        </w:rPr>
      </w:pPr>
      <w:r w:rsidRPr="007206F3">
        <w:rPr>
          <w:rStyle w:val="Refdenotaalpie"/>
        </w:rPr>
        <w:footnoteRef/>
      </w:r>
      <w:r w:rsidRPr="007206F3">
        <w:rPr>
          <w:rFonts w:ascii="Verdana" w:hAnsi="Verdana"/>
          <w:sz w:val="16"/>
          <w:szCs w:val="16"/>
          <w:lang w:val="es-CR"/>
        </w:rPr>
        <w:t xml:space="preserve"> </w:t>
      </w:r>
      <w:r w:rsidRPr="007206F3">
        <w:rPr>
          <w:rFonts w:ascii="Verdana" w:hAnsi="Verdana"/>
          <w:sz w:val="16"/>
          <w:szCs w:val="16"/>
          <w:lang w:val="es-CR"/>
        </w:rPr>
        <w:tab/>
      </w:r>
      <w:r w:rsidRPr="002D7898">
        <w:rPr>
          <w:rFonts w:ascii="Verdana" w:hAnsi="Verdana"/>
          <w:i/>
          <w:sz w:val="16"/>
          <w:szCs w:val="16"/>
          <w:lang w:val="es-CR"/>
        </w:rPr>
        <w:t>Cfr.</w:t>
      </w:r>
      <w:r w:rsidRPr="007206F3">
        <w:rPr>
          <w:rFonts w:ascii="Verdana" w:hAnsi="Verdana"/>
          <w:sz w:val="16"/>
          <w:szCs w:val="16"/>
          <w:lang w:val="es-CR"/>
        </w:rPr>
        <w:t xml:space="preserve"> </w:t>
      </w:r>
      <w:r>
        <w:rPr>
          <w:rFonts w:ascii="Verdana" w:hAnsi="Verdana"/>
          <w:sz w:val="16"/>
          <w:szCs w:val="16"/>
          <w:lang w:val="es-CR"/>
        </w:rPr>
        <w:t xml:space="preserve">Artículo 233. </w:t>
      </w:r>
      <w:r w:rsidRPr="007206F3">
        <w:rPr>
          <w:rFonts w:ascii="Verdana" w:hAnsi="Verdana" w:cstheme="minorHAnsi"/>
          <w:sz w:val="16"/>
          <w:szCs w:val="16"/>
          <w:lang w:val="es-CO"/>
        </w:rPr>
        <w:t>Decreto Ley No. 14605 de 25 de julio de 1963. Ley Orgánica del Poder Judicial (expediente de prueba, folios 684 a 686).</w:t>
      </w:r>
    </w:p>
  </w:footnote>
  <w:footnote w:id="85">
    <w:p w14:paraId="42D8A9E5" w14:textId="77777777" w:rsidR="0039102A" w:rsidRPr="001D38D9" w:rsidRDefault="0039102A" w:rsidP="000461DD">
      <w:pPr>
        <w:pStyle w:val="Textonotapie"/>
        <w:tabs>
          <w:tab w:val="left" w:pos="540"/>
        </w:tabs>
        <w:spacing w:before="100"/>
        <w:rPr>
          <w:sz w:val="16"/>
          <w:szCs w:val="16"/>
        </w:rPr>
      </w:pPr>
      <w:r w:rsidRPr="001D38D9">
        <w:rPr>
          <w:rStyle w:val="Refdenotaalpie"/>
        </w:rPr>
        <w:footnoteRef/>
      </w:r>
      <w:r w:rsidRPr="001D38D9">
        <w:rPr>
          <w:sz w:val="16"/>
          <w:szCs w:val="16"/>
        </w:rPr>
        <w:t xml:space="preserve"> </w:t>
      </w:r>
      <w:r w:rsidRPr="001D38D9">
        <w:rPr>
          <w:sz w:val="16"/>
          <w:szCs w:val="16"/>
        </w:rPr>
        <w:tab/>
      </w:r>
      <w:r w:rsidRPr="001D38D9">
        <w:rPr>
          <w:i/>
          <w:iCs/>
          <w:sz w:val="16"/>
          <w:szCs w:val="16"/>
        </w:rPr>
        <w:t>Cfr. Caso Velásquez Rodríguez Vs. Honduras. Reparaciones y Costas</w:t>
      </w:r>
      <w:r w:rsidRPr="001D38D9">
        <w:rPr>
          <w:sz w:val="16"/>
          <w:szCs w:val="16"/>
        </w:rPr>
        <w:t xml:space="preserve">. Sentencia de 21 de julio de 1989. Serie C No. 7, párrs. 24 y 25, y </w:t>
      </w:r>
      <w:r w:rsidRPr="00290387">
        <w:rPr>
          <w:i/>
          <w:iCs/>
          <w:sz w:val="16"/>
          <w:szCs w:val="16"/>
        </w:rPr>
        <w:t>Caso Casa Nina Vs. Perú</w:t>
      </w:r>
      <w:r>
        <w:rPr>
          <w:i/>
          <w:iCs/>
          <w:sz w:val="16"/>
          <w:szCs w:val="16"/>
        </w:rPr>
        <w:t>, supra</w:t>
      </w:r>
      <w:r w:rsidRPr="00290387">
        <w:rPr>
          <w:iCs/>
          <w:sz w:val="16"/>
          <w:szCs w:val="16"/>
        </w:rPr>
        <w:t>, párr. 126</w:t>
      </w:r>
      <w:r w:rsidRPr="001D38D9">
        <w:rPr>
          <w:sz w:val="16"/>
          <w:szCs w:val="16"/>
        </w:rPr>
        <w:t>.</w:t>
      </w:r>
    </w:p>
  </w:footnote>
  <w:footnote w:id="86">
    <w:p w14:paraId="0CFA853F" w14:textId="77777777" w:rsidR="0039102A" w:rsidRPr="001D38D9" w:rsidRDefault="0039102A" w:rsidP="000461DD">
      <w:pPr>
        <w:pStyle w:val="Textonotapie"/>
        <w:tabs>
          <w:tab w:val="left" w:pos="540"/>
        </w:tabs>
        <w:spacing w:before="100"/>
        <w:rPr>
          <w:sz w:val="16"/>
          <w:szCs w:val="16"/>
        </w:rPr>
      </w:pPr>
      <w:r w:rsidRPr="001D38D9">
        <w:rPr>
          <w:rStyle w:val="Refdenotaalpie"/>
        </w:rPr>
        <w:footnoteRef/>
      </w:r>
      <w:r w:rsidRPr="001D38D9">
        <w:rPr>
          <w:sz w:val="16"/>
          <w:szCs w:val="16"/>
          <w:vertAlign w:val="superscript"/>
        </w:rPr>
        <w:t xml:space="preserve"> </w:t>
      </w:r>
      <w:r w:rsidRPr="001D38D9">
        <w:rPr>
          <w:sz w:val="16"/>
          <w:szCs w:val="16"/>
        </w:rPr>
        <w:tab/>
      </w:r>
      <w:r w:rsidRPr="001D38D9">
        <w:rPr>
          <w:i/>
          <w:iCs/>
          <w:sz w:val="16"/>
          <w:szCs w:val="16"/>
        </w:rPr>
        <w:t>Cfr. Caso Ticona Estrada y otros Vs. Bolivia. Fondo, Reparaciones y Costas.</w:t>
      </w:r>
      <w:r w:rsidRPr="001D38D9">
        <w:rPr>
          <w:sz w:val="16"/>
          <w:szCs w:val="16"/>
        </w:rPr>
        <w:t xml:space="preserve"> Sentencia de 27 de noviembre de 2008. Serie C No. 191, párr. 110, y </w:t>
      </w:r>
      <w:r w:rsidRPr="00290387">
        <w:rPr>
          <w:i/>
          <w:iCs/>
          <w:sz w:val="16"/>
          <w:szCs w:val="16"/>
        </w:rPr>
        <w:t>Caso Casa Nina Vs. Perú</w:t>
      </w:r>
      <w:r>
        <w:rPr>
          <w:i/>
          <w:iCs/>
          <w:sz w:val="16"/>
          <w:szCs w:val="16"/>
        </w:rPr>
        <w:t>, supra</w:t>
      </w:r>
      <w:r w:rsidRPr="00290387">
        <w:rPr>
          <w:iCs/>
          <w:sz w:val="16"/>
          <w:szCs w:val="16"/>
        </w:rPr>
        <w:t>, párr. 126</w:t>
      </w:r>
      <w:r>
        <w:rPr>
          <w:sz w:val="16"/>
          <w:szCs w:val="16"/>
        </w:rPr>
        <w:t>.</w:t>
      </w:r>
    </w:p>
  </w:footnote>
  <w:footnote w:id="87">
    <w:p w14:paraId="01D66735" w14:textId="77777777" w:rsidR="0039102A" w:rsidRPr="001D38D9" w:rsidRDefault="0039102A" w:rsidP="000461DD">
      <w:pPr>
        <w:pStyle w:val="Textonotapie"/>
        <w:tabs>
          <w:tab w:val="left" w:pos="540"/>
        </w:tabs>
        <w:spacing w:before="100"/>
        <w:rPr>
          <w:sz w:val="16"/>
          <w:szCs w:val="16"/>
        </w:rPr>
      </w:pPr>
      <w:r w:rsidRPr="001D38D9">
        <w:rPr>
          <w:rStyle w:val="Refdenotaalpie"/>
        </w:rPr>
        <w:footnoteRef/>
      </w:r>
      <w:r w:rsidRPr="001D38D9">
        <w:rPr>
          <w:sz w:val="16"/>
          <w:szCs w:val="16"/>
          <w:vertAlign w:val="superscript"/>
          <w:lang w:val="es-ES"/>
        </w:rPr>
        <w:t xml:space="preserve"> </w:t>
      </w:r>
      <w:r w:rsidRPr="001D38D9">
        <w:rPr>
          <w:sz w:val="16"/>
          <w:szCs w:val="16"/>
          <w:lang w:val="es-ES"/>
        </w:rPr>
        <w:tab/>
      </w:r>
      <w:r w:rsidRPr="001D38D9">
        <w:rPr>
          <w:i/>
          <w:iCs/>
          <w:sz w:val="16"/>
          <w:szCs w:val="16"/>
          <w:lang w:val="es-ES"/>
        </w:rPr>
        <w:t>Cfr. Caso Velásquez Rodríguez Vs. Honduras. Reparaciones y Costas, supra</w:t>
      </w:r>
      <w:r w:rsidRPr="001D38D9">
        <w:rPr>
          <w:sz w:val="16"/>
          <w:szCs w:val="16"/>
          <w:lang w:val="es-ES"/>
        </w:rPr>
        <w:t xml:space="preserve">, párrs. 25 y 26, y </w:t>
      </w:r>
      <w:r w:rsidRPr="00154FA0">
        <w:rPr>
          <w:i/>
          <w:iCs/>
          <w:sz w:val="16"/>
          <w:szCs w:val="16"/>
          <w:lang w:val="es-ES"/>
        </w:rPr>
        <w:t xml:space="preserve">Caso Montesinos Mejía Vs. Ecuador. Excepciones Preliminares, Fondo, Reparaciones y Costas. </w:t>
      </w:r>
      <w:r w:rsidRPr="00154FA0">
        <w:rPr>
          <w:iCs/>
          <w:sz w:val="16"/>
          <w:szCs w:val="16"/>
          <w:lang w:val="es-ES"/>
        </w:rPr>
        <w:t>Sentencia de 27 de</w:t>
      </w:r>
      <w:r>
        <w:rPr>
          <w:iCs/>
          <w:sz w:val="16"/>
          <w:szCs w:val="16"/>
          <w:lang w:val="es-ES"/>
        </w:rPr>
        <w:t xml:space="preserve"> enero de 2020. Serie C No. 398,</w:t>
      </w:r>
      <w:r w:rsidRPr="001D38D9">
        <w:rPr>
          <w:sz w:val="16"/>
          <w:szCs w:val="16"/>
          <w:lang w:val="es-ES"/>
        </w:rPr>
        <w:t xml:space="preserve"> párr. 220.</w:t>
      </w:r>
    </w:p>
  </w:footnote>
  <w:footnote w:id="88">
    <w:p w14:paraId="1941FAE7" w14:textId="77777777" w:rsidR="0039102A" w:rsidRPr="007206F3" w:rsidRDefault="0039102A" w:rsidP="000461DD">
      <w:pPr>
        <w:pStyle w:val="Textonotapie"/>
        <w:spacing w:before="100"/>
        <w:rPr>
          <w:sz w:val="16"/>
          <w:szCs w:val="16"/>
        </w:rPr>
      </w:pPr>
      <w:r w:rsidRPr="007206F3">
        <w:rPr>
          <w:rStyle w:val="Refdenotaalpie"/>
        </w:rPr>
        <w:footnoteRef/>
      </w:r>
      <w:r w:rsidRPr="007206F3">
        <w:rPr>
          <w:sz w:val="16"/>
          <w:szCs w:val="16"/>
        </w:rPr>
        <w:t xml:space="preserve"> </w:t>
      </w:r>
      <w:r w:rsidRPr="007206F3">
        <w:rPr>
          <w:sz w:val="16"/>
          <w:szCs w:val="16"/>
        </w:rPr>
        <w:tab/>
      </w:r>
      <w:r w:rsidRPr="007206F3">
        <w:rPr>
          <w:i/>
          <w:sz w:val="16"/>
          <w:szCs w:val="16"/>
        </w:rPr>
        <w:t>Cfr</w:t>
      </w:r>
      <w:r w:rsidRPr="007206F3">
        <w:rPr>
          <w:sz w:val="16"/>
          <w:szCs w:val="16"/>
        </w:rPr>
        <w:t xml:space="preserve">. </w:t>
      </w:r>
      <w:r w:rsidRPr="00290387">
        <w:rPr>
          <w:i/>
          <w:sz w:val="16"/>
          <w:szCs w:val="16"/>
        </w:rPr>
        <w:t>Caso Cantoral Benavides Vs. Perú. Reparaciones y Costas.</w:t>
      </w:r>
      <w:r w:rsidRPr="007206F3">
        <w:rPr>
          <w:sz w:val="16"/>
          <w:szCs w:val="16"/>
        </w:rPr>
        <w:t xml:space="preserve"> Sentencia de 3 de diciembre de 2001. Serie C No. 88, párr. 79, </w:t>
      </w:r>
      <w:r w:rsidRPr="00290387">
        <w:rPr>
          <w:i/>
          <w:sz w:val="16"/>
          <w:szCs w:val="16"/>
        </w:rPr>
        <w:t>y Caso Casa Nina Vs. Perú</w:t>
      </w:r>
      <w:r>
        <w:rPr>
          <w:i/>
          <w:sz w:val="16"/>
          <w:szCs w:val="16"/>
        </w:rPr>
        <w:t>, supra</w:t>
      </w:r>
      <w:r w:rsidRPr="007206F3">
        <w:rPr>
          <w:sz w:val="16"/>
          <w:szCs w:val="16"/>
        </w:rPr>
        <w:t xml:space="preserve">, párr. 133. </w:t>
      </w:r>
    </w:p>
  </w:footnote>
  <w:footnote w:id="89">
    <w:p w14:paraId="13432E90" w14:textId="77777777" w:rsidR="0039102A" w:rsidRPr="007206F3" w:rsidRDefault="0039102A" w:rsidP="000461DD">
      <w:pPr>
        <w:pStyle w:val="Textonotapie"/>
        <w:spacing w:before="100"/>
        <w:rPr>
          <w:sz w:val="16"/>
          <w:szCs w:val="16"/>
        </w:rPr>
      </w:pPr>
      <w:r w:rsidRPr="007206F3">
        <w:rPr>
          <w:rStyle w:val="Refdenotaalpie"/>
        </w:rPr>
        <w:footnoteRef/>
      </w:r>
      <w:r w:rsidRPr="007206F3">
        <w:rPr>
          <w:sz w:val="16"/>
          <w:szCs w:val="16"/>
        </w:rPr>
        <w:t xml:space="preserve"> </w:t>
      </w:r>
      <w:r w:rsidRPr="007206F3">
        <w:rPr>
          <w:sz w:val="16"/>
          <w:szCs w:val="16"/>
        </w:rPr>
        <w:tab/>
      </w:r>
      <w:r w:rsidRPr="00470B4E">
        <w:rPr>
          <w:i/>
          <w:sz w:val="16"/>
          <w:szCs w:val="16"/>
        </w:rPr>
        <w:t>Cfr.</w:t>
      </w:r>
      <w:r w:rsidRPr="00470B4E">
        <w:rPr>
          <w:sz w:val="16"/>
          <w:szCs w:val="16"/>
        </w:rPr>
        <w:t xml:space="preserve"> </w:t>
      </w:r>
      <w:r w:rsidRPr="00470B4E">
        <w:rPr>
          <w:i/>
          <w:sz w:val="16"/>
          <w:szCs w:val="16"/>
        </w:rPr>
        <w:t>Caso Apitz Barbera y otros (“Corte Primera de lo Contencioso Administrat</w:t>
      </w:r>
      <w:r>
        <w:rPr>
          <w:i/>
          <w:sz w:val="16"/>
          <w:szCs w:val="16"/>
        </w:rPr>
        <w:t>ivo”) Vs. Venezuela, supra</w:t>
      </w:r>
      <w:r w:rsidRPr="00470B4E">
        <w:rPr>
          <w:sz w:val="16"/>
          <w:szCs w:val="16"/>
        </w:rPr>
        <w:t xml:space="preserve">, párr. 250, y </w:t>
      </w:r>
      <w:r w:rsidRPr="00292EF3">
        <w:rPr>
          <w:i/>
          <w:sz w:val="16"/>
          <w:szCs w:val="16"/>
        </w:rPr>
        <w:t>Caso Urrutia Laubreaux Vs. Chile</w:t>
      </w:r>
      <w:r>
        <w:rPr>
          <w:i/>
          <w:sz w:val="16"/>
          <w:szCs w:val="16"/>
        </w:rPr>
        <w:t xml:space="preserve">, supra, </w:t>
      </w:r>
      <w:r>
        <w:rPr>
          <w:sz w:val="16"/>
          <w:szCs w:val="16"/>
        </w:rPr>
        <w:t>párr. 154</w:t>
      </w:r>
      <w:r w:rsidRPr="00F37179">
        <w:rPr>
          <w:sz w:val="16"/>
          <w:szCs w:val="16"/>
        </w:rPr>
        <w:t>.</w:t>
      </w:r>
    </w:p>
  </w:footnote>
  <w:footnote w:id="90">
    <w:p w14:paraId="135E0F1A" w14:textId="77777777" w:rsidR="0039102A" w:rsidRPr="006A588E" w:rsidRDefault="0039102A" w:rsidP="00FE2587">
      <w:pPr>
        <w:pStyle w:val="Textonotapie"/>
        <w:spacing w:before="100"/>
        <w:rPr>
          <w:sz w:val="16"/>
        </w:rPr>
      </w:pPr>
      <w:r>
        <w:rPr>
          <w:rStyle w:val="Refdenotaalpie"/>
        </w:rPr>
        <w:footnoteRef/>
      </w:r>
      <w:r>
        <w:t xml:space="preserve"> </w:t>
      </w:r>
      <w:r>
        <w:tab/>
      </w:r>
      <w:r w:rsidRPr="006A588E">
        <w:rPr>
          <w:i/>
          <w:sz w:val="16"/>
        </w:rPr>
        <w:t>Cfr. Caso Bámaca Velásquez Vs. Guatemala. Reparaciones y Costas.</w:t>
      </w:r>
      <w:r w:rsidRPr="006A588E">
        <w:rPr>
          <w:sz w:val="16"/>
        </w:rPr>
        <w:t xml:space="preserve"> Sentencia de 22 de febrero de 2002.</w:t>
      </w:r>
      <w:r>
        <w:rPr>
          <w:sz w:val="16"/>
        </w:rPr>
        <w:t xml:space="preserve"> </w:t>
      </w:r>
      <w:r w:rsidRPr="006A588E">
        <w:rPr>
          <w:sz w:val="16"/>
        </w:rPr>
        <w:t>Serie C No. 91, párr. 43, y</w:t>
      </w:r>
      <w:r>
        <w:rPr>
          <w:sz w:val="16"/>
        </w:rPr>
        <w:t xml:space="preserve"> </w:t>
      </w:r>
      <w:r w:rsidRPr="0064419E">
        <w:rPr>
          <w:i/>
          <w:sz w:val="16"/>
        </w:rPr>
        <w:t>Caso Casa Nina Vs. Perú</w:t>
      </w:r>
      <w:r>
        <w:rPr>
          <w:i/>
          <w:sz w:val="16"/>
        </w:rPr>
        <w:t>, supra</w:t>
      </w:r>
      <w:r>
        <w:rPr>
          <w:sz w:val="16"/>
        </w:rPr>
        <w:t>, párr. 143.</w:t>
      </w:r>
    </w:p>
  </w:footnote>
  <w:footnote w:id="91">
    <w:p w14:paraId="1A76022F" w14:textId="77777777" w:rsidR="0039102A" w:rsidRPr="007206F3" w:rsidRDefault="0039102A" w:rsidP="00FE2587">
      <w:pPr>
        <w:pStyle w:val="Textonotapie"/>
        <w:spacing w:before="100"/>
        <w:rPr>
          <w:sz w:val="16"/>
          <w:szCs w:val="16"/>
        </w:rPr>
      </w:pPr>
      <w:r w:rsidRPr="007206F3">
        <w:rPr>
          <w:rStyle w:val="Refdenotaalpie"/>
        </w:rPr>
        <w:footnoteRef/>
      </w:r>
      <w:r w:rsidRPr="007206F3">
        <w:rPr>
          <w:sz w:val="16"/>
          <w:szCs w:val="16"/>
        </w:rPr>
        <w:t xml:space="preserve"> </w:t>
      </w:r>
      <w:r w:rsidRPr="007206F3">
        <w:rPr>
          <w:sz w:val="16"/>
          <w:szCs w:val="16"/>
        </w:rPr>
        <w:tab/>
      </w:r>
      <w:r w:rsidRPr="007206F3">
        <w:rPr>
          <w:i/>
          <w:sz w:val="16"/>
          <w:szCs w:val="16"/>
        </w:rPr>
        <w:t>Cfr.</w:t>
      </w:r>
      <w:r w:rsidRPr="007206F3">
        <w:rPr>
          <w:sz w:val="16"/>
          <w:szCs w:val="16"/>
        </w:rPr>
        <w:t xml:space="preserve"> </w:t>
      </w:r>
      <w:r w:rsidRPr="00E86071">
        <w:rPr>
          <w:i/>
          <w:sz w:val="16"/>
          <w:szCs w:val="16"/>
        </w:rPr>
        <w:t xml:space="preserve">Caso de los “Niños de la Calle” (Villagrán Morales y otros) Vs. Guatemala. Reparaciones y Costas. </w:t>
      </w:r>
      <w:r w:rsidRPr="007206F3">
        <w:rPr>
          <w:sz w:val="16"/>
          <w:szCs w:val="16"/>
        </w:rPr>
        <w:t xml:space="preserve">Sentencia de 26 de mayo de 2001. Serie C No. 77, párr. 84, y </w:t>
      </w:r>
      <w:r w:rsidRPr="00E86071">
        <w:rPr>
          <w:i/>
          <w:sz w:val="16"/>
          <w:szCs w:val="16"/>
        </w:rPr>
        <w:t>Caso Casa Nina Vs. Perú</w:t>
      </w:r>
      <w:r>
        <w:rPr>
          <w:i/>
          <w:sz w:val="16"/>
          <w:szCs w:val="16"/>
        </w:rPr>
        <w:t>, supra</w:t>
      </w:r>
      <w:r w:rsidRPr="007206F3">
        <w:rPr>
          <w:sz w:val="16"/>
          <w:szCs w:val="16"/>
        </w:rPr>
        <w:t>, párr. 151.</w:t>
      </w:r>
    </w:p>
  </w:footnote>
  <w:footnote w:id="92">
    <w:p w14:paraId="3C3E7F38" w14:textId="77777777" w:rsidR="0039102A" w:rsidRDefault="0039102A" w:rsidP="00FE2587">
      <w:pPr>
        <w:pStyle w:val="Textonotapie"/>
        <w:spacing w:before="100"/>
      </w:pPr>
      <w:r>
        <w:rPr>
          <w:rStyle w:val="Refdenotaalpie"/>
        </w:rPr>
        <w:footnoteRef/>
      </w:r>
      <w:r>
        <w:t xml:space="preserve"> </w:t>
      </w:r>
      <w:r>
        <w:tab/>
      </w:r>
      <w:r w:rsidRPr="007206F3">
        <w:rPr>
          <w:i/>
          <w:sz w:val="16"/>
          <w:szCs w:val="16"/>
        </w:rPr>
        <w:t>Cfr.</w:t>
      </w:r>
      <w:r w:rsidRPr="007206F3">
        <w:rPr>
          <w:sz w:val="16"/>
          <w:szCs w:val="16"/>
        </w:rPr>
        <w:t xml:space="preserve"> </w:t>
      </w:r>
      <w:r w:rsidRPr="00E86071">
        <w:rPr>
          <w:i/>
          <w:sz w:val="16"/>
          <w:szCs w:val="16"/>
        </w:rPr>
        <w:t>Caso de los “Niños de la Calle” (Villagrán Morales y otros) Vs. Guatemala. Reparaciones y Costas</w:t>
      </w:r>
      <w:r>
        <w:rPr>
          <w:i/>
          <w:sz w:val="16"/>
          <w:szCs w:val="16"/>
        </w:rPr>
        <w:t>,</w:t>
      </w:r>
      <w:r w:rsidRPr="00E86071">
        <w:rPr>
          <w:i/>
          <w:sz w:val="16"/>
          <w:szCs w:val="16"/>
        </w:rPr>
        <w:t xml:space="preserve"> </w:t>
      </w:r>
      <w:r w:rsidRPr="00FE2587">
        <w:rPr>
          <w:i/>
          <w:sz w:val="16"/>
          <w:szCs w:val="16"/>
        </w:rPr>
        <w:t>supra,</w:t>
      </w:r>
      <w:r w:rsidRPr="007206F3">
        <w:rPr>
          <w:sz w:val="16"/>
          <w:szCs w:val="16"/>
        </w:rPr>
        <w:t xml:space="preserve"> párr. 84,</w:t>
      </w:r>
      <w:r>
        <w:rPr>
          <w:sz w:val="16"/>
          <w:szCs w:val="16"/>
        </w:rPr>
        <w:t xml:space="preserve"> y </w:t>
      </w:r>
      <w:r w:rsidRPr="00FE2587">
        <w:rPr>
          <w:i/>
          <w:sz w:val="16"/>
          <w:szCs w:val="16"/>
        </w:rPr>
        <w:t>Caso Carranza Alarcón Vs. Ecuador. Excepciones Preliminares, Fondo, Reparaciones y Costas.</w:t>
      </w:r>
      <w:r w:rsidRPr="00FE2587">
        <w:rPr>
          <w:sz w:val="16"/>
          <w:szCs w:val="16"/>
        </w:rPr>
        <w:t xml:space="preserve"> Sentencia de 3 de febrero de 2020. Serie C No. 399, </w:t>
      </w:r>
      <w:r>
        <w:rPr>
          <w:sz w:val="16"/>
          <w:szCs w:val="16"/>
        </w:rPr>
        <w:t xml:space="preserve">párr. </w:t>
      </w:r>
      <w:r w:rsidRPr="00FE2587">
        <w:rPr>
          <w:sz w:val="16"/>
          <w:szCs w:val="16"/>
        </w:rPr>
        <w:t>108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C1E75" w14:textId="77777777" w:rsidR="0039102A" w:rsidRDefault="0039102A" w:rsidP="00423EB7">
    <w:pPr>
      <w:pStyle w:val="Encabezado"/>
    </w:pPr>
  </w:p>
  <w:p w14:paraId="45D94B31" w14:textId="77777777" w:rsidR="0039102A" w:rsidRDefault="0039102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A87BB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F3E4A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0F6A5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35639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6303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88E0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EF80D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CE44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8463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BF810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3F6B66"/>
    <w:multiLevelType w:val="hybridMultilevel"/>
    <w:tmpl w:val="701A39A8"/>
    <w:lvl w:ilvl="0" w:tplc="6E6474B6">
      <w:start w:val="1"/>
      <w:numFmt w:val="decimal"/>
      <w:pStyle w:val="PrrafodeSentencia"/>
      <w:lvlText w:val="%1."/>
      <w:lvlJc w:val="left"/>
      <w:pPr>
        <w:ind w:left="5130" w:hanging="360"/>
      </w:pPr>
      <w:rPr>
        <w:rFonts w:ascii="Verdana" w:hAnsi="Verdana" w:hint="default"/>
        <w:b w:val="0"/>
        <w:i w:val="0"/>
        <w:strike w:val="0"/>
        <w:dstrike w:val="0"/>
        <w:color w:val="auto"/>
        <w:sz w:val="20"/>
        <w:szCs w:val="20"/>
        <w:u w:val="none"/>
        <w:effect w:val="none"/>
        <w:vertAlign w:val="baseline"/>
        <w:lang w:val="es-CO"/>
      </w:rPr>
    </w:lvl>
    <w:lvl w:ilvl="1" w:tplc="06F2E728">
      <w:start w:val="1"/>
      <w:numFmt w:val="upp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1" w15:restartNumberingAfterBreak="0">
    <w:nsid w:val="1D0D2289"/>
    <w:multiLevelType w:val="hybridMultilevel"/>
    <w:tmpl w:val="39FA83F4"/>
    <w:styleLink w:val="ImportedStyle1"/>
    <w:lvl w:ilvl="0" w:tplc="B60695AA">
      <w:start w:val="1"/>
      <w:numFmt w:val="upperLetter"/>
      <w:lvlText w:val="%1."/>
      <w:lvlJc w:val="left"/>
      <w:pPr>
        <w:ind w:left="72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1" w:tplc="3EF24688">
      <w:start w:val="1"/>
      <w:numFmt w:val="lowerLetter"/>
      <w:lvlText w:val="%2."/>
      <w:lvlJc w:val="left"/>
      <w:pPr>
        <w:ind w:left="144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2" w:tplc="24507420">
      <w:start w:val="1"/>
      <w:numFmt w:val="lowerRoman"/>
      <w:lvlText w:val="%3."/>
      <w:lvlJc w:val="left"/>
      <w:pPr>
        <w:ind w:left="2160" w:hanging="322"/>
      </w:pPr>
      <w:rPr>
        <w:rFonts w:hAnsi="Arial Unicode MS"/>
        <w:b/>
        <w:bCs/>
        <w:i/>
        <w:iCs/>
        <w:caps w:val="0"/>
        <w:smallCaps w:val="0"/>
        <w:strike w:val="0"/>
        <w:dstrike w:val="0"/>
        <w:outline w:val="0"/>
        <w:emboss w:val="0"/>
        <w:imprint w:val="0"/>
        <w:spacing w:val="0"/>
        <w:w w:val="100"/>
        <w:kern w:val="0"/>
        <w:position w:val="0"/>
        <w:highlight w:val="none"/>
        <w:vertAlign w:val="baseline"/>
      </w:rPr>
    </w:lvl>
    <w:lvl w:ilvl="3" w:tplc="7C2C189E">
      <w:start w:val="1"/>
      <w:numFmt w:val="decimal"/>
      <w:lvlText w:val="%4."/>
      <w:lvlJc w:val="left"/>
      <w:pPr>
        <w:ind w:left="288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4" w:tplc="E3D614B2">
      <w:start w:val="1"/>
      <w:numFmt w:val="lowerLetter"/>
      <w:lvlText w:val="%5."/>
      <w:lvlJc w:val="left"/>
      <w:pPr>
        <w:ind w:left="360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5" w:tplc="3F005AB8">
      <w:start w:val="1"/>
      <w:numFmt w:val="lowerRoman"/>
      <w:lvlText w:val="%6."/>
      <w:lvlJc w:val="left"/>
      <w:pPr>
        <w:ind w:left="4320" w:hanging="322"/>
      </w:pPr>
      <w:rPr>
        <w:rFonts w:hAnsi="Arial Unicode MS"/>
        <w:b/>
        <w:bCs/>
        <w:i/>
        <w:iCs/>
        <w:caps w:val="0"/>
        <w:smallCaps w:val="0"/>
        <w:strike w:val="0"/>
        <w:dstrike w:val="0"/>
        <w:outline w:val="0"/>
        <w:emboss w:val="0"/>
        <w:imprint w:val="0"/>
        <w:spacing w:val="0"/>
        <w:w w:val="100"/>
        <w:kern w:val="0"/>
        <w:position w:val="0"/>
        <w:highlight w:val="none"/>
        <w:vertAlign w:val="baseline"/>
      </w:rPr>
    </w:lvl>
    <w:lvl w:ilvl="6" w:tplc="E272DA7E">
      <w:start w:val="1"/>
      <w:numFmt w:val="decimal"/>
      <w:lvlText w:val="%7."/>
      <w:lvlJc w:val="left"/>
      <w:pPr>
        <w:ind w:left="504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7" w:tplc="963C0D68">
      <w:start w:val="1"/>
      <w:numFmt w:val="lowerLetter"/>
      <w:lvlText w:val="%8."/>
      <w:lvlJc w:val="left"/>
      <w:pPr>
        <w:ind w:left="576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8" w:tplc="926A5A40">
      <w:start w:val="1"/>
      <w:numFmt w:val="lowerRoman"/>
      <w:lvlText w:val="%9."/>
      <w:lvlJc w:val="left"/>
      <w:pPr>
        <w:ind w:left="6480" w:hanging="322"/>
      </w:pPr>
      <w:rPr>
        <w:rFonts w:hAnsi="Arial Unicode MS"/>
        <w:b/>
        <w:bCs/>
        <w:i/>
        <w:i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A3C545B"/>
    <w:multiLevelType w:val="hybridMultilevel"/>
    <w:tmpl w:val="BAB2EE70"/>
    <w:styleLink w:val="ImportedStyle13"/>
    <w:lvl w:ilvl="0" w:tplc="D57A388A">
      <w:start w:val="1"/>
      <w:numFmt w:val="upperLetter"/>
      <w:lvlText w:val="%1."/>
      <w:lvlJc w:val="left"/>
      <w:pPr>
        <w:ind w:left="72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1" w:tplc="978C62A8">
      <w:start w:val="1"/>
      <w:numFmt w:val="lowerLetter"/>
      <w:lvlText w:val="%2."/>
      <w:lvlJc w:val="left"/>
      <w:pPr>
        <w:ind w:left="144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2" w:tplc="3EACAA5C">
      <w:start w:val="1"/>
      <w:numFmt w:val="lowerRoman"/>
      <w:lvlText w:val="%3."/>
      <w:lvlJc w:val="left"/>
      <w:pPr>
        <w:ind w:left="2160" w:hanging="322"/>
      </w:pPr>
      <w:rPr>
        <w:rFonts w:hAnsi="Arial Unicode MS"/>
        <w:b/>
        <w:bCs/>
        <w:i/>
        <w:iCs/>
        <w:caps w:val="0"/>
        <w:smallCaps w:val="0"/>
        <w:strike w:val="0"/>
        <w:dstrike w:val="0"/>
        <w:outline w:val="0"/>
        <w:emboss w:val="0"/>
        <w:imprint w:val="0"/>
        <w:spacing w:val="0"/>
        <w:w w:val="100"/>
        <w:kern w:val="0"/>
        <w:position w:val="0"/>
        <w:highlight w:val="none"/>
        <w:vertAlign w:val="baseline"/>
      </w:rPr>
    </w:lvl>
    <w:lvl w:ilvl="3" w:tplc="F8A0D4B2">
      <w:start w:val="1"/>
      <w:numFmt w:val="decimal"/>
      <w:lvlText w:val="%4."/>
      <w:lvlJc w:val="left"/>
      <w:pPr>
        <w:ind w:left="288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4" w:tplc="3DAE999A">
      <w:start w:val="1"/>
      <w:numFmt w:val="lowerLetter"/>
      <w:lvlText w:val="%5."/>
      <w:lvlJc w:val="left"/>
      <w:pPr>
        <w:ind w:left="360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5" w:tplc="1AF800F2">
      <w:start w:val="1"/>
      <w:numFmt w:val="lowerRoman"/>
      <w:lvlText w:val="%6."/>
      <w:lvlJc w:val="left"/>
      <w:pPr>
        <w:ind w:left="4320" w:hanging="322"/>
      </w:pPr>
      <w:rPr>
        <w:rFonts w:hAnsi="Arial Unicode MS"/>
        <w:b/>
        <w:bCs/>
        <w:i/>
        <w:iCs/>
        <w:caps w:val="0"/>
        <w:smallCaps w:val="0"/>
        <w:strike w:val="0"/>
        <w:dstrike w:val="0"/>
        <w:outline w:val="0"/>
        <w:emboss w:val="0"/>
        <w:imprint w:val="0"/>
        <w:spacing w:val="0"/>
        <w:w w:val="100"/>
        <w:kern w:val="0"/>
        <w:position w:val="0"/>
        <w:highlight w:val="none"/>
        <w:vertAlign w:val="baseline"/>
      </w:rPr>
    </w:lvl>
    <w:lvl w:ilvl="6" w:tplc="ADF4FCD4">
      <w:start w:val="1"/>
      <w:numFmt w:val="decimal"/>
      <w:lvlText w:val="%7."/>
      <w:lvlJc w:val="left"/>
      <w:pPr>
        <w:ind w:left="504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7" w:tplc="EED4BB2C">
      <w:start w:val="1"/>
      <w:numFmt w:val="lowerLetter"/>
      <w:lvlText w:val="%8."/>
      <w:lvlJc w:val="left"/>
      <w:pPr>
        <w:ind w:left="576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8" w:tplc="1BC252F0">
      <w:start w:val="1"/>
      <w:numFmt w:val="lowerRoman"/>
      <w:lvlText w:val="%9."/>
      <w:lvlJc w:val="left"/>
      <w:pPr>
        <w:ind w:left="6480" w:hanging="322"/>
      </w:pPr>
      <w:rPr>
        <w:rFonts w:hAnsi="Arial Unicode MS"/>
        <w:b/>
        <w:bCs/>
        <w:i/>
        <w:iC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DBA5394"/>
    <w:multiLevelType w:val="hybridMultilevel"/>
    <w:tmpl w:val="9A46F3D4"/>
    <w:lvl w:ilvl="0" w:tplc="A69C1C0E">
      <w:numFmt w:val="bullet"/>
      <w:lvlText w:val="-"/>
      <w:lvlJc w:val="left"/>
      <w:pPr>
        <w:ind w:left="720" w:hanging="360"/>
      </w:pPr>
      <w:rPr>
        <w:rFonts w:ascii="Verdana" w:eastAsia="Batang" w:hAnsi="Verdana"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43943C5C"/>
    <w:multiLevelType w:val="multilevel"/>
    <w:tmpl w:val="FAB484C4"/>
    <w:lvl w:ilvl="0">
      <w:start w:val="1"/>
      <w:numFmt w:val="upperRoman"/>
      <w:lvlText w:val="%1."/>
      <w:lvlJc w:val="right"/>
      <w:pPr>
        <w:ind w:left="720" w:hanging="360"/>
      </w:pPr>
    </w:lvl>
    <w:lvl w:ilvl="1">
      <w:start w:val="2"/>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9444462"/>
    <w:multiLevelType w:val="hybridMultilevel"/>
    <w:tmpl w:val="1CF2F874"/>
    <w:lvl w:ilvl="0" w:tplc="078601A6">
      <w:start w:val="1"/>
      <w:numFmt w:val="decimal"/>
      <w:lvlText w:val="%1."/>
      <w:lvlJc w:val="left"/>
      <w:pPr>
        <w:ind w:left="1800" w:hanging="360"/>
      </w:pPr>
      <w:rPr>
        <w:rFonts w:hint="default"/>
      </w:rPr>
    </w:lvl>
    <w:lvl w:ilvl="1" w:tplc="140A0019" w:tentative="1">
      <w:start w:val="1"/>
      <w:numFmt w:val="lowerLetter"/>
      <w:lvlText w:val="%2."/>
      <w:lvlJc w:val="left"/>
      <w:pPr>
        <w:ind w:left="2520" w:hanging="360"/>
      </w:pPr>
    </w:lvl>
    <w:lvl w:ilvl="2" w:tplc="140A001B" w:tentative="1">
      <w:start w:val="1"/>
      <w:numFmt w:val="lowerRoman"/>
      <w:lvlText w:val="%3."/>
      <w:lvlJc w:val="right"/>
      <w:pPr>
        <w:ind w:left="3240" w:hanging="180"/>
      </w:pPr>
    </w:lvl>
    <w:lvl w:ilvl="3" w:tplc="140A000F" w:tentative="1">
      <w:start w:val="1"/>
      <w:numFmt w:val="decimal"/>
      <w:lvlText w:val="%4."/>
      <w:lvlJc w:val="left"/>
      <w:pPr>
        <w:ind w:left="3960" w:hanging="360"/>
      </w:pPr>
    </w:lvl>
    <w:lvl w:ilvl="4" w:tplc="140A0019" w:tentative="1">
      <w:start w:val="1"/>
      <w:numFmt w:val="lowerLetter"/>
      <w:lvlText w:val="%5."/>
      <w:lvlJc w:val="left"/>
      <w:pPr>
        <w:ind w:left="4680" w:hanging="360"/>
      </w:pPr>
    </w:lvl>
    <w:lvl w:ilvl="5" w:tplc="140A001B" w:tentative="1">
      <w:start w:val="1"/>
      <w:numFmt w:val="lowerRoman"/>
      <w:lvlText w:val="%6."/>
      <w:lvlJc w:val="right"/>
      <w:pPr>
        <w:ind w:left="5400" w:hanging="180"/>
      </w:pPr>
    </w:lvl>
    <w:lvl w:ilvl="6" w:tplc="140A000F" w:tentative="1">
      <w:start w:val="1"/>
      <w:numFmt w:val="decimal"/>
      <w:lvlText w:val="%7."/>
      <w:lvlJc w:val="left"/>
      <w:pPr>
        <w:ind w:left="6120" w:hanging="360"/>
      </w:pPr>
    </w:lvl>
    <w:lvl w:ilvl="7" w:tplc="140A0019" w:tentative="1">
      <w:start w:val="1"/>
      <w:numFmt w:val="lowerLetter"/>
      <w:lvlText w:val="%8."/>
      <w:lvlJc w:val="left"/>
      <w:pPr>
        <w:ind w:left="6840" w:hanging="360"/>
      </w:pPr>
    </w:lvl>
    <w:lvl w:ilvl="8" w:tplc="140A001B" w:tentative="1">
      <w:start w:val="1"/>
      <w:numFmt w:val="lowerRoman"/>
      <w:lvlText w:val="%9."/>
      <w:lvlJc w:val="right"/>
      <w:pPr>
        <w:ind w:left="7560" w:hanging="180"/>
      </w:pPr>
    </w:lvl>
  </w:abstractNum>
  <w:abstractNum w:abstractNumId="16" w15:restartNumberingAfterBreak="0">
    <w:nsid w:val="5D29349D"/>
    <w:multiLevelType w:val="hybridMultilevel"/>
    <w:tmpl w:val="1E201A18"/>
    <w:lvl w:ilvl="0" w:tplc="5FBE601A">
      <w:start w:val="1"/>
      <w:numFmt w:val="upperLetter"/>
      <w:pStyle w:val="Ttulo2"/>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D7068DE"/>
    <w:multiLevelType w:val="hybridMultilevel"/>
    <w:tmpl w:val="59CC6C2E"/>
    <w:lvl w:ilvl="0" w:tplc="A49430CC">
      <w:numFmt w:val="bullet"/>
      <w:lvlText w:val="-"/>
      <w:lvlJc w:val="left"/>
      <w:pPr>
        <w:ind w:left="720" w:hanging="360"/>
      </w:pPr>
      <w:rPr>
        <w:rFonts w:ascii="Verdana" w:eastAsia="Batang" w:hAnsi="Verdana"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60C36F90"/>
    <w:multiLevelType w:val="hybridMultilevel"/>
    <w:tmpl w:val="2594FBB4"/>
    <w:lvl w:ilvl="0" w:tplc="4EE4FD04">
      <w:start w:val="1"/>
      <w:numFmt w:val="lowerLetter"/>
      <w:lvlText w:val="%1)"/>
      <w:lvlJc w:val="left"/>
      <w:pPr>
        <w:ind w:left="1080" w:hanging="360"/>
      </w:pPr>
      <w:rPr>
        <w:rFonts w:eastAsiaTheme="minorHAnsi" w:cs="Arial" w:hint="default"/>
        <w:sz w:val="16"/>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9" w15:restartNumberingAfterBreak="0">
    <w:nsid w:val="68FD7D50"/>
    <w:multiLevelType w:val="multilevel"/>
    <w:tmpl w:val="C360E0FA"/>
    <w:lvl w:ilvl="0">
      <w:start w:val="1"/>
      <w:numFmt w:val="decimal"/>
      <w:lvlText w:val="%1."/>
      <w:lvlJc w:val="left"/>
      <w:pPr>
        <w:ind w:left="5078" w:hanging="825"/>
      </w:pPr>
      <w:rPr>
        <w:b w:val="0"/>
        <w:i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92A2CD2"/>
    <w:multiLevelType w:val="hybridMultilevel"/>
    <w:tmpl w:val="5F442AB6"/>
    <w:lvl w:ilvl="0" w:tplc="04090019">
      <w:start w:val="1"/>
      <w:numFmt w:val="lowerLetter"/>
      <w:lvlText w:val="%1."/>
      <w:lvlJc w:val="left"/>
      <w:pPr>
        <w:ind w:left="5130" w:hanging="360"/>
      </w:pPr>
      <w:rPr>
        <w:rFonts w:hint="default"/>
        <w:b w:val="0"/>
        <w:i w:val="0"/>
        <w:strike w:val="0"/>
        <w:dstrike w:val="0"/>
        <w:color w:val="auto"/>
        <w:sz w:val="20"/>
        <w:szCs w:val="20"/>
        <w:u w:val="none"/>
        <w:effect w:val="none"/>
        <w:vertAlign w:val="baseline"/>
        <w:lang w:val="es-CR"/>
      </w:rPr>
    </w:lvl>
    <w:lvl w:ilvl="1" w:tplc="CEA4ED48">
      <w:start w:val="1"/>
      <w:numFmt w:val="upp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1" w15:restartNumberingAfterBreak="0">
    <w:nsid w:val="71C1485F"/>
    <w:multiLevelType w:val="hybridMultilevel"/>
    <w:tmpl w:val="2B4A263A"/>
    <w:lvl w:ilvl="0" w:tplc="6E38ED7A">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7CE64D32"/>
    <w:multiLevelType w:val="hybridMultilevel"/>
    <w:tmpl w:val="E318B012"/>
    <w:lvl w:ilvl="0" w:tplc="BF6C087C">
      <w:start w:val="1"/>
      <w:numFmt w:val="decimal"/>
      <w:lvlText w:val="%1."/>
      <w:lvlJc w:val="left"/>
      <w:pPr>
        <w:tabs>
          <w:tab w:val="num" w:pos="11028"/>
        </w:tabs>
      </w:pPr>
      <w:rPr>
        <w:rFonts w:ascii="Verdana" w:eastAsia="Times New Roman" w:hAnsi="Verdana"/>
        <w:b w:val="0"/>
        <w:bCs w:val="0"/>
        <w:i w:val="0"/>
        <w:iCs w:val="0"/>
        <w:strike w:val="0"/>
        <w:color w:val="auto"/>
        <w:sz w:val="20"/>
        <w:szCs w:val="20"/>
        <w:lang w:val="es-CR"/>
      </w:rPr>
    </w:lvl>
    <w:lvl w:ilvl="1" w:tplc="140A0019">
      <w:start w:val="1"/>
      <w:numFmt w:val="lowerLetter"/>
      <w:lvlText w:val="%2)"/>
      <w:lvlJc w:val="left"/>
      <w:pPr>
        <w:tabs>
          <w:tab w:val="num" w:pos="1080"/>
        </w:tabs>
        <w:ind w:left="1080" w:hanging="360"/>
      </w:pPr>
      <w:rPr>
        <w:rFonts w:hint="default"/>
        <w:b w:val="0"/>
        <w:bCs w:val="0"/>
        <w:i w:val="0"/>
        <w:iCs w:val="0"/>
        <w:sz w:val="20"/>
        <w:szCs w:val="20"/>
      </w:rPr>
    </w:lvl>
    <w:lvl w:ilvl="2" w:tplc="140A001B">
      <w:start w:val="1"/>
      <w:numFmt w:val="lowerRoman"/>
      <w:lvlText w:val="%3."/>
      <w:lvlJc w:val="right"/>
      <w:pPr>
        <w:tabs>
          <w:tab w:val="num" w:pos="1530"/>
        </w:tabs>
        <w:ind w:left="1530" w:hanging="180"/>
      </w:pPr>
      <w:rPr>
        <w:b w:val="0"/>
        <w:strike w:val="0"/>
      </w:rPr>
    </w:lvl>
    <w:lvl w:ilvl="3" w:tplc="140A000F">
      <w:start w:val="1"/>
      <w:numFmt w:val="decimal"/>
      <w:lvlText w:val="%4."/>
      <w:lvlJc w:val="left"/>
      <w:pPr>
        <w:tabs>
          <w:tab w:val="num" w:pos="2880"/>
        </w:tabs>
        <w:ind w:left="2880" w:hanging="360"/>
      </w:pPr>
    </w:lvl>
    <w:lvl w:ilvl="4" w:tplc="140A0019">
      <w:start w:val="1"/>
      <w:numFmt w:val="lowerLetter"/>
      <w:pStyle w:val="Ttulo6"/>
      <w:lvlText w:val="%5."/>
      <w:lvlJc w:val="left"/>
      <w:pPr>
        <w:tabs>
          <w:tab w:val="num" w:pos="3600"/>
        </w:tabs>
        <w:ind w:left="3600" w:hanging="360"/>
      </w:pPr>
    </w:lvl>
    <w:lvl w:ilvl="5" w:tplc="140A001B">
      <w:start w:val="1"/>
      <w:numFmt w:val="lowerRoman"/>
      <w:lvlText w:val="%6."/>
      <w:lvlJc w:val="right"/>
      <w:pPr>
        <w:tabs>
          <w:tab w:val="num" w:pos="4320"/>
        </w:tabs>
        <w:ind w:left="4320" w:hanging="180"/>
      </w:pPr>
    </w:lvl>
    <w:lvl w:ilvl="6" w:tplc="140A000F">
      <w:start w:val="1"/>
      <w:numFmt w:val="decimal"/>
      <w:lvlText w:val="%7."/>
      <w:lvlJc w:val="left"/>
      <w:pPr>
        <w:tabs>
          <w:tab w:val="num" w:pos="5040"/>
        </w:tabs>
        <w:ind w:left="5040" w:hanging="360"/>
      </w:pPr>
    </w:lvl>
    <w:lvl w:ilvl="7" w:tplc="140A0019">
      <w:start w:val="1"/>
      <w:numFmt w:val="lowerLetter"/>
      <w:lvlText w:val="%8."/>
      <w:lvlJc w:val="left"/>
      <w:pPr>
        <w:tabs>
          <w:tab w:val="num" w:pos="5760"/>
        </w:tabs>
        <w:ind w:left="5760" w:hanging="360"/>
      </w:pPr>
    </w:lvl>
    <w:lvl w:ilvl="8" w:tplc="140A001B">
      <w:start w:val="1"/>
      <w:numFmt w:val="lowerRoman"/>
      <w:lvlText w:val="%9."/>
      <w:lvlJc w:val="right"/>
      <w:pPr>
        <w:tabs>
          <w:tab w:val="num" w:pos="6480"/>
        </w:tabs>
        <w:ind w:left="6480" w:hanging="180"/>
      </w:pPr>
    </w:lvl>
  </w:abstractNum>
  <w:num w:numId="1">
    <w:abstractNumId w:val="22"/>
  </w:num>
  <w:num w:numId="2">
    <w:abstractNumId w:val="10"/>
  </w:num>
  <w:num w:numId="3">
    <w:abstractNumId w:val="19"/>
  </w:num>
  <w:num w:numId="4">
    <w:abstractNumId w:val="12"/>
  </w:num>
  <w:num w:numId="5">
    <w:abstractNumId w:val="16"/>
  </w:num>
  <w:num w:numId="6">
    <w:abstractNumId w:val="16"/>
    <w:lvlOverride w:ilvl="0">
      <w:startOverride w:val="1"/>
    </w:lvlOverride>
  </w:num>
  <w:num w:numId="7">
    <w:abstractNumId w:val="18"/>
  </w:num>
  <w:num w:numId="8">
    <w:abstractNumId w:val="16"/>
    <w:lvlOverride w:ilvl="0">
      <w:startOverride w:val="1"/>
    </w:lvlOverride>
  </w:num>
  <w:num w:numId="9">
    <w:abstractNumId w:val="21"/>
  </w:num>
  <w:num w:numId="10">
    <w:abstractNumId w:val="16"/>
  </w:num>
  <w:num w:numId="11">
    <w:abstractNumId w:val="16"/>
    <w:lvlOverride w:ilvl="0">
      <w:startOverride w:val="1"/>
    </w:lvlOverride>
  </w:num>
  <w:num w:numId="12">
    <w:abstractNumId w:val="16"/>
    <w:lvlOverride w:ilvl="0">
      <w:startOverride w:val="1"/>
    </w:lvlOverride>
  </w:num>
  <w:num w:numId="13">
    <w:abstractNumId w:val="16"/>
  </w:num>
  <w:num w:numId="14">
    <w:abstractNumId w:val="14"/>
  </w:num>
  <w:num w:numId="15">
    <w:abstractNumId w:val="20"/>
  </w:num>
  <w:num w:numId="16">
    <w:abstractNumId w:val="15"/>
    <w:lvlOverride w:ilvl="0">
      <w:startOverride w:val="1"/>
    </w:lvlOverride>
  </w:num>
  <w:num w:numId="17">
    <w:abstractNumId w:val="17"/>
  </w:num>
  <w:num w:numId="18">
    <w:abstractNumId w:val="13"/>
  </w:num>
  <w:num w:numId="19">
    <w:abstractNumId w:val="16"/>
    <w:lvlOverride w:ilvl="0">
      <w:startOverride w:val="1"/>
    </w:lvlOverride>
  </w:num>
  <w:num w:numId="20">
    <w:abstractNumId w:val="16"/>
    <w:lvlOverride w:ilvl="0">
      <w:startOverride w:val="1"/>
    </w:lvlOverride>
  </w:num>
  <w:num w:numId="21">
    <w:abstractNumId w:val="16"/>
    <w:lvlOverride w:ilvl="0">
      <w:startOverride w:val="1"/>
    </w:lvlOverride>
  </w:num>
  <w:num w:numId="22">
    <w:abstractNumId w:val="16"/>
    <w:lvlOverride w:ilvl="0">
      <w:startOverride w:val="1"/>
    </w:lvlOverride>
  </w:num>
  <w:num w:numId="23">
    <w:abstractNumId w:val="16"/>
  </w:num>
  <w:num w:numId="24">
    <w:abstractNumId w:val="16"/>
    <w:lvlOverride w:ilvl="0">
      <w:startOverride w:val="1"/>
    </w:lvlOverride>
  </w:num>
  <w:num w:numId="25">
    <w:abstractNumId w:val="11"/>
  </w:num>
  <w:num w:numId="26">
    <w:abstractNumId w:val="16"/>
    <w:lvlOverride w:ilvl="0">
      <w:startOverride w:val="1"/>
    </w:lvlOverride>
  </w:num>
  <w:num w:numId="27">
    <w:abstractNumId w:val="16"/>
    <w:lvlOverride w:ilvl="0">
      <w:startOverride w:val="1"/>
    </w:lvlOverride>
  </w:num>
  <w:num w:numId="28">
    <w:abstractNumId w:val="8"/>
  </w:num>
  <w:num w:numId="29">
    <w:abstractNumId w:val="3"/>
  </w:num>
  <w:num w:numId="30">
    <w:abstractNumId w:val="2"/>
  </w:num>
  <w:num w:numId="31">
    <w:abstractNumId w:val="1"/>
  </w:num>
  <w:num w:numId="32">
    <w:abstractNumId w:val="0"/>
  </w:num>
  <w:num w:numId="33">
    <w:abstractNumId w:val="9"/>
  </w:num>
  <w:num w:numId="34">
    <w:abstractNumId w:val="7"/>
  </w:num>
  <w:num w:numId="35">
    <w:abstractNumId w:val="6"/>
  </w:num>
  <w:num w:numId="36">
    <w:abstractNumId w:val="5"/>
  </w:num>
  <w:num w:numId="37">
    <w:abstractNumId w:val="4"/>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num>
  <w:num w:numId="40">
    <w:abstractNumId w:val="10"/>
    <w:lvlOverride w:ilvl="0">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092"/>
    <w:rsid w:val="00001F21"/>
    <w:rsid w:val="00002258"/>
    <w:rsid w:val="00002E08"/>
    <w:rsid w:val="00005141"/>
    <w:rsid w:val="000074B0"/>
    <w:rsid w:val="0001049D"/>
    <w:rsid w:val="0001215C"/>
    <w:rsid w:val="000122EC"/>
    <w:rsid w:val="00017EA5"/>
    <w:rsid w:val="00020516"/>
    <w:rsid w:val="00023ACE"/>
    <w:rsid w:val="0003198F"/>
    <w:rsid w:val="0003218F"/>
    <w:rsid w:val="00033607"/>
    <w:rsid w:val="0003730F"/>
    <w:rsid w:val="00041A9E"/>
    <w:rsid w:val="000461DD"/>
    <w:rsid w:val="000502E8"/>
    <w:rsid w:val="000529F6"/>
    <w:rsid w:val="00060A1C"/>
    <w:rsid w:val="000636E8"/>
    <w:rsid w:val="000639B8"/>
    <w:rsid w:val="00073EC4"/>
    <w:rsid w:val="000777DF"/>
    <w:rsid w:val="000819F6"/>
    <w:rsid w:val="00082A06"/>
    <w:rsid w:val="0008407F"/>
    <w:rsid w:val="00087970"/>
    <w:rsid w:val="0009585A"/>
    <w:rsid w:val="00096081"/>
    <w:rsid w:val="0009664F"/>
    <w:rsid w:val="000974A4"/>
    <w:rsid w:val="00097AD7"/>
    <w:rsid w:val="000A5576"/>
    <w:rsid w:val="000A5DA8"/>
    <w:rsid w:val="000A6BC5"/>
    <w:rsid w:val="000A7FF5"/>
    <w:rsid w:val="000B06F8"/>
    <w:rsid w:val="000B32C4"/>
    <w:rsid w:val="000B52C3"/>
    <w:rsid w:val="000B634D"/>
    <w:rsid w:val="000C0485"/>
    <w:rsid w:val="000C08BB"/>
    <w:rsid w:val="000C3A73"/>
    <w:rsid w:val="000C3E7E"/>
    <w:rsid w:val="000C42CD"/>
    <w:rsid w:val="000D2B83"/>
    <w:rsid w:val="000D404F"/>
    <w:rsid w:val="000D5EE1"/>
    <w:rsid w:val="000D6FC7"/>
    <w:rsid w:val="000E416C"/>
    <w:rsid w:val="000F36BD"/>
    <w:rsid w:val="000F3BE2"/>
    <w:rsid w:val="000F3CB6"/>
    <w:rsid w:val="000F512F"/>
    <w:rsid w:val="000F6B03"/>
    <w:rsid w:val="00100090"/>
    <w:rsid w:val="00103BF8"/>
    <w:rsid w:val="0010537C"/>
    <w:rsid w:val="00105E99"/>
    <w:rsid w:val="001101B6"/>
    <w:rsid w:val="0011038B"/>
    <w:rsid w:val="00111E5A"/>
    <w:rsid w:val="00114335"/>
    <w:rsid w:val="001158EA"/>
    <w:rsid w:val="001167C6"/>
    <w:rsid w:val="001209BA"/>
    <w:rsid w:val="0012158B"/>
    <w:rsid w:val="0012320B"/>
    <w:rsid w:val="001233F5"/>
    <w:rsid w:val="00123701"/>
    <w:rsid w:val="00126821"/>
    <w:rsid w:val="00133082"/>
    <w:rsid w:val="001336DA"/>
    <w:rsid w:val="00134900"/>
    <w:rsid w:val="0013560C"/>
    <w:rsid w:val="00136742"/>
    <w:rsid w:val="0014348B"/>
    <w:rsid w:val="00144F70"/>
    <w:rsid w:val="00144FB2"/>
    <w:rsid w:val="00145508"/>
    <w:rsid w:val="00145DF7"/>
    <w:rsid w:val="001465FC"/>
    <w:rsid w:val="00147CF4"/>
    <w:rsid w:val="001504DE"/>
    <w:rsid w:val="00154E13"/>
    <w:rsid w:val="00154FA0"/>
    <w:rsid w:val="0015603C"/>
    <w:rsid w:val="00157C62"/>
    <w:rsid w:val="00164410"/>
    <w:rsid w:val="00164C09"/>
    <w:rsid w:val="00164DD9"/>
    <w:rsid w:val="0016711D"/>
    <w:rsid w:val="001745CF"/>
    <w:rsid w:val="00175366"/>
    <w:rsid w:val="00177C83"/>
    <w:rsid w:val="00185EB8"/>
    <w:rsid w:val="00190EBB"/>
    <w:rsid w:val="001911F8"/>
    <w:rsid w:val="00195743"/>
    <w:rsid w:val="001A08B0"/>
    <w:rsid w:val="001A2A1A"/>
    <w:rsid w:val="001A52EA"/>
    <w:rsid w:val="001B2DC2"/>
    <w:rsid w:val="001B6F5C"/>
    <w:rsid w:val="001C076F"/>
    <w:rsid w:val="001C3061"/>
    <w:rsid w:val="001C51D4"/>
    <w:rsid w:val="001C52A3"/>
    <w:rsid w:val="001C548E"/>
    <w:rsid w:val="001C5F95"/>
    <w:rsid w:val="001D0ACB"/>
    <w:rsid w:val="001D1109"/>
    <w:rsid w:val="001D1AC6"/>
    <w:rsid w:val="001D1E02"/>
    <w:rsid w:val="001D2E20"/>
    <w:rsid w:val="001D38D9"/>
    <w:rsid w:val="001D6B14"/>
    <w:rsid w:val="001D7958"/>
    <w:rsid w:val="001E0DC1"/>
    <w:rsid w:val="001E1C47"/>
    <w:rsid w:val="001E1FD6"/>
    <w:rsid w:val="001E57C4"/>
    <w:rsid w:val="001E7450"/>
    <w:rsid w:val="00200ED8"/>
    <w:rsid w:val="002024D4"/>
    <w:rsid w:val="0021288B"/>
    <w:rsid w:val="00214A7B"/>
    <w:rsid w:val="00217C95"/>
    <w:rsid w:val="00221CC4"/>
    <w:rsid w:val="00221F08"/>
    <w:rsid w:val="002267B7"/>
    <w:rsid w:val="00233BED"/>
    <w:rsid w:val="0023512B"/>
    <w:rsid w:val="00236CE3"/>
    <w:rsid w:val="00237FC6"/>
    <w:rsid w:val="00241BBF"/>
    <w:rsid w:val="00246DBA"/>
    <w:rsid w:val="00246EBD"/>
    <w:rsid w:val="002515D4"/>
    <w:rsid w:val="0025206E"/>
    <w:rsid w:val="00256976"/>
    <w:rsid w:val="002571DD"/>
    <w:rsid w:val="0025772B"/>
    <w:rsid w:val="00257A7B"/>
    <w:rsid w:val="002665FE"/>
    <w:rsid w:val="00277EF8"/>
    <w:rsid w:val="00281CAE"/>
    <w:rsid w:val="00285696"/>
    <w:rsid w:val="00285A0A"/>
    <w:rsid w:val="00290387"/>
    <w:rsid w:val="00292AA7"/>
    <w:rsid w:val="00292EF3"/>
    <w:rsid w:val="00294BC1"/>
    <w:rsid w:val="00296F88"/>
    <w:rsid w:val="00297F53"/>
    <w:rsid w:val="002A03C1"/>
    <w:rsid w:val="002A296A"/>
    <w:rsid w:val="002A40BE"/>
    <w:rsid w:val="002A5279"/>
    <w:rsid w:val="002A57E9"/>
    <w:rsid w:val="002A66E7"/>
    <w:rsid w:val="002A7C0F"/>
    <w:rsid w:val="002B53E3"/>
    <w:rsid w:val="002C1427"/>
    <w:rsid w:val="002C19CD"/>
    <w:rsid w:val="002C1B38"/>
    <w:rsid w:val="002C1F84"/>
    <w:rsid w:val="002C5A15"/>
    <w:rsid w:val="002D070A"/>
    <w:rsid w:val="002D2F51"/>
    <w:rsid w:val="002D3922"/>
    <w:rsid w:val="002D4E7A"/>
    <w:rsid w:val="002D54E0"/>
    <w:rsid w:val="002D7898"/>
    <w:rsid w:val="002E35B1"/>
    <w:rsid w:val="002E3E09"/>
    <w:rsid w:val="002F0E14"/>
    <w:rsid w:val="002F1F08"/>
    <w:rsid w:val="002F2786"/>
    <w:rsid w:val="002F4734"/>
    <w:rsid w:val="002F4C41"/>
    <w:rsid w:val="00300F27"/>
    <w:rsid w:val="0030102C"/>
    <w:rsid w:val="003021DF"/>
    <w:rsid w:val="00305F85"/>
    <w:rsid w:val="00312111"/>
    <w:rsid w:val="003134D0"/>
    <w:rsid w:val="00313760"/>
    <w:rsid w:val="003171FD"/>
    <w:rsid w:val="003213CD"/>
    <w:rsid w:val="00323AEB"/>
    <w:rsid w:val="00323BD4"/>
    <w:rsid w:val="0032455A"/>
    <w:rsid w:val="00324C59"/>
    <w:rsid w:val="0032559A"/>
    <w:rsid w:val="00331754"/>
    <w:rsid w:val="00332FAF"/>
    <w:rsid w:val="00333328"/>
    <w:rsid w:val="00334841"/>
    <w:rsid w:val="00334BFF"/>
    <w:rsid w:val="00335014"/>
    <w:rsid w:val="0034167D"/>
    <w:rsid w:val="00343C9A"/>
    <w:rsid w:val="00344B1A"/>
    <w:rsid w:val="00344F30"/>
    <w:rsid w:val="00345681"/>
    <w:rsid w:val="00346EEF"/>
    <w:rsid w:val="0034763B"/>
    <w:rsid w:val="0034784F"/>
    <w:rsid w:val="003565A0"/>
    <w:rsid w:val="00357C03"/>
    <w:rsid w:val="00357DB8"/>
    <w:rsid w:val="00357F6F"/>
    <w:rsid w:val="003609ED"/>
    <w:rsid w:val="00361D79"/>
    <w:rsid w:val="003622C6"/>
    <w:rsid w:val="00364241"/>
    <w:rsid w:val="00366E49"/>
    <w:rsid w:val="003670C7"/>
    <w:rsid w:val="00367891"/>
    <w:rsid w:val="0037311A"/>
    <w:rsid w:val="003735F8"/>
    <w:rsid w:val="003770FE"/>
    <w:rsid w:val="003800AB"/>
    <w:rsid w:val="00382C28"/>
    <w:rsid w:val="00386BE2"/>
    <w:rsid w:val="0039102A"/>
    <w:rsid w:val="003938E9"/>
    <w:rsid w:val="003943B6"/>
    <w:rsid w:val="00396A55"/>
    <w:rsid w:val="003A1952"/>
    <w:rsid w:val="003A32FB"/>
    <w:rsid w:val="003A5411"/>
    <w:rsid w:val="003A7F17"/>
    <w:rsid w:val="003C1F25"/>
    <w:rsid w:val="003C2D7C"/>
    <w:rsid w:val="003D0647"/>
    <w:rsid w:val="003D0DA4"/>
    <w:rsid w:val="003D687D"/>
    <w:rsid w:val="003D7840"/>
    <w:rsid w:val="003E1D5A"/>
    <w:rsid w:val="003E2360"/>
    <w:rsid w:val="003E4823"/>
    <w:rsid w:val="003E6BC2"/>
    <w:rsid w:val="003F12A9"/>
    <w:rsid w:val="003F30FB"/>
    <w:rsid w:val="003F4A96"/>
    <w:rsid w:val="003F50F3"/>
    <w:rsid w:val="003F6978"/>
    <w:rsid w:val="0040030B"/>
    <w:rsid w:val="00400F54"/>
    <w:rsid w:val="00403778"/>
    <w:rsid w:val="00406E36"/>
    <w:rsid w:val="00407425"/>
    <w:rsid w:val="00410AF1"/>
    <w:rsid w:val="00410E4C"/>
    <w:rsid w:val="00411855"/>
    <w:rsid w:val="00416AAE"/>
    <w:rsid w:val="00416DC8"/>
    <w:rsid w:val="00421977"/>
    <w:rsid w:val="00423EB7"/>
    <w:rsid w:val="00425B5F"/>
    <w:rsid w:val="00430109"/>
    <w:rsid w:val="004342A1"/>
    <w:rsid w:val="004405B9"/>
    <w:rsid w:val="0044092B"/>
    <w:rsid w:val="00441946"/>
    <w:rsid w:val="00442A4B"/>
    <w:rsid w:val="004454AF"/>
    <w:rsid w:val="00446BB9"/>
    <w:rsid w:val="00447490"/>
    <w:rsid w:val="00450644"/>
    <w:rsid w:val="00452C86"/>
    <w:rsid w:val="00453BEF"/>
    <w:rsid w:val="00455405"/>
    <w:rsid w:val="0045570C"/>
    <w:rsid w:val="00460A63"/>
    <w:rsid w:val="004629BF"/>
    <w:rsid w:val="004657F0"/>
    <w:rsid w:val="0046661F"/>
    <w:rsid w:val="00467254"/>
    <w:rsid w:val="00467FD3"/>
    <w:rsid w:val="00470B4E"/>
    <w:rsid w:val="00481112"/>
    <w:rsid w:val="00483A9F"/>
    <w:rsid w:val="00485322"/>
    <w:rsid w:val="00490A94"/>
    <w:rsid w:val="00492621"/>
    <w:rsid w:val="004A0296"/>
    <w:rsid w:val="004A10AF"/>
    <w:rsid w:val="004A4F45"/>
    <w:rsid w:val="004B18EB"/>
    <w:rsid w:val="004B7363"/>
    <w:rsid w:val="004C212C"/>
    <w:rsid w:val="004C4551"/>
    <w:rsid w:val="004D1A06"/>
    <w:rsid w:val="004D25D1"/>
    <w:rsid w:val="004D4328"/>
    <w:rsid w:val="004D7EAE"/>
    <w:rsid w:val="004F05DC"/>
    <w:rsid w:val="004F1488"/>
    <w:rsid w:val="004F148E"/>
    <w:rsid w:val="004F3FFF"/>
    <w:rsid w:val="004F4CAE"/>
    <w:rsid w:val="004F6199"/>
    <w:rsid w:val="004F7636"/>
    <w:rsid w:val="004F7705"/>
    <w:rsid w:val="004F787E"/>
    <w:rsid w:val="00502740"/>
    <w:rsid w:val="00504A3C"/>
    <w:rsid w:val="00505B81"/>
    <w:rsid w:val="005108E9"/>
    <w:rsid w:val="005138CB"/>
    <w:rsid w:val="00513BE3"/>
    <w:rsid w:val="00515245"/>
    <w:rsid w:val="0052471F"/>
    <w:rsid w:val="00524D94"/>
    <w:rsid w:val="005255FC"/>
    <w:rsid w:val="00527C44"/>
    <w:rsid w:val="00533BD6"/>
    <w:rsid w:val="00535F55"/>
    <w:rsid w:val="00537AAE"/>
    <w:rsid w:val="00545D1C"/>
    <w:rsid w:val="00547758"/>
    <w:rsid w:val="00552F1B"/>
    <w:rsid w:val="00554AA6"/>
    <w:rsid w:val="0056078A"/>
    <w:rsid w:val="00562222"/>
    <w:rsid w:val="005626D3"/>
    <w:rsid w:val="00564639"/>
    <w:rsid w:val="00566531"/>
    <w:rsid w:val="00566A39"/>
    <w:rsid w:val="00571B93"/>
    <w:rsid w:val="00573038"/>
    <w:rsid w:val="00573A15"/>
    <w:rsid w:val="00573D74"/>
    <w:rsid w:val="005812DA"/>
    <w:rsid w:val="0058192E"/>
    <w:rsid w:val="00582A93"/>
    <w:rsid w:val="00582EF7"/>
    <w:rsid w:val="00586397"/>
    <w:rsid w:val="0058710D"/>
    <w:rsid w:val="0059056B"/>
    <w:rsid w:val="0059143E"/>
    <w:rsid w:val="005922D4"/>
    <w:rsid w:val="005958F7"/>
    <w:rsid w:val="00596260"/>
    <w:rsid w:val="005A02C2"/>
    <w:rsid w:val="005A12DE"/>
    <w:rsid w:val="005A1B46"/>
    <w:rsid w:val="005A2865"/>
    <w:rsid w:val="005A406F"/>
    <w:rsid w:val="005A7644"/>
    <w:rsid w:val="005B20C1"/>
    <w:rsid w:val="005B2DAB"/>
    <w:rsid w:val="005B4153"/>
    <w:rsid w:val="005B5B9B"/>
    <w:rsid w:val="005B6F78"/>
    <w:rsid w:val="005C385D"/>
    <w:rsid w:val="005C69D6"/>
    <w:rsid w:val="005D1175"/>
    <w:rsid w:val="005D2108"/>
    <w:rsid w:val="005D33DE"/>
    <w:rsid w:val="005D480B"/>
    <w:rsid w:val="005D5D70"/>
    <w:rsid w:val="005E29C4"/>
    <w:rsid w:val="005E536B"/>
    <w:rsid w:val="005F00A2"/>
    <w:rsid w:val="005F2D6A"/>
    <w:rsid w:val="00604ABE"/>
    <w:rsid w:val="0060676D"/>
    <w:rsid w:val="0061514E"/>
    <w:rsid w:val="006225F1"/>
    <w:rsid w:val="00622D0D"/>
    <w:rsid w:val="0062344F"/>
    <w:rsid w:val="00624D23"/>
    <w:rsid w:val="006261CE"/>
    <w:rsid w:val="00626404"/>
    <w:rsid w:val="0062709B"/>
    <w:rsid w:val="00634722"/>
    <w:rsid w:val="00635C73"/>
    <w:rsid w:val="00636AB7"/>
    <w:rsid w:val="006373F2"/>
    <w:rsid w:val="0064145D"/>
    <w:rsid w:val="00642757"/>
    <w:rsid w:val="0064419E"/>
    <w:rsid w:val="006452A3"/>
    <w:rsid w:val="00654D19"/>
    <w:rsid w:val="006551EA"/>
    <w:rsid w:val="006557CF"/>
    <w:rsid w:val="006570C2"/>
    <w:rsid w:val="00657A87"/>
    <w:rsid w:val="00663DBA"/>
    <w:rsid w:val="00665B3E"/>
    <w:rsid w:val="0067172F"/>
    <w:rsid w:val="00672434"/>
    <w:rsid w:val="0067244E"/>
    <w:rsid w:val="00673943"/>
    <w:rsid w:val="00677FF5"/>
    <w:rsid w:val="00682982"/>
    <w:rsid w:val="0068540E"/>
    <w:rsid w:val="00686D8D"/>
    <w:rsid w:val="00690AE7"/>
    <w:rsid w:val="006917C9"/>
    <w:rsid w:val="00692B49"/>
    <w:rsid w:val="00693D89"/>
    <w:rsid w:val="00693FE0"/>
    <w:rsid w:val="00694654"/>
    <w:rsid w:val="0069498A"/>
    <w:rsid w:val="006967B6"/>
    <w:rsid w:val="006A0596"/>
    <w:rsid w:val="006A1058"/>
    <w:rsid w:val="006A2988"/>
    <w:rsid w:val="006A588E"/>
    <w:rsid w:val="006B0127"/>
    <w:rsid w:val="006B4FEC"/>
    <w:rsid w:val="006B60E4"/>
    <w:rsid w:val="006C442A"/>
    <w:rsid w:val="006D3A04"/>
    <w:rsid w:val="006D45C1"/>
    <w:rsid w:val="006E0314"/>
    <w:rsid w:val="006E2E2F"/>
    <w:rsid w:val="006E3AE4"/>
    <w:rsid w:val="006F180F"/>
    <w:rsid w:val="006F3449"/>
    <w:rsid w:val="006F4791"/>
    <w:rsid w:val="006F4DFC"/>
    <w:rsid w:val="006F5DBC"/>
    <w:rsid w:val="00700383"/>
    <w:rsid w:val="00702904"/>
    <w:rsid w:val="00702E1A"/>
    <w:rsid w:val="00703F5E"/>
    <w:rsid w:val="007054E6"/>
    <w:rsid w:val="00711317"/>
    <w:rsid w:val="007113AE"/>
    <w:rsid w:val="0071230E"/>
    <w:rsid w:val="0071344E"/>
    <w:rsid w:val="007206F3"/>
    <w:rsid w:val="00723A17"/>
    <w:rsid w:val="007312FD"/>
    <w:rsid w:val="00732083"/>
    <w:rsid w:val="007357A0"/>
    <w:rsid w:val="0073746E"/>
    <w:rsid w:val="00741D02"/>
    <w:rsid w:val="00745443"/>
    <w:rsid w:val="00753E25"/>
    <w:rsid w:val="00767230"/>
    <w:rsid w:val="00773B3C"/>
    <w:rsid w:val="00773E0E"/>
    <w:rsid w:val="00775B91"/>
    <w:rsid w:val="007809E2"/>
    <w:rsid w:val="00782CF6"/>
    <w:rsid w:val="0078569F"/>
    <w:rsid w:val="00790297"/>
    <w:rsid w:val="007951F7"/>
    <w:rsid w:val="00795C23"/>
    <w:rsid w:val="00795CA5"/>
    <w:rsid w:val="00796C5C"/>
    <w:rsid w:val="00797229"/>
    <w:rsid w:val="007972C1"/>
    <w:rsid w:val="007A470F"/>
    <w:rsid w:val="007B1F29"/>
    <w:rsid w:val="007B4B2A"/>
    <w:rsid w:val="007B5C91"/>
    <w:rsid w:val="007C03CA"/>
    <w:rsid w:val="007C3CF1"/>
    <w:rsid w:val="007D1E69"/>
    <w:rsid w:val="007D446F"/>
    <w:rsid w:val="007D5FF3"/>
    <w:rsid w:val="007D685F"/>
    <w:rsid w:val="007D6A94"/>
    <w:rsid w:val="007E0D3E"/>
    <w:rsid w:val="007E2CE7"/>
    <w:rsid w:val="007E7253"/>
    <w:rsid w:val="007F0302"/>
    <w:rsid w:val="007F0F0F"/>
    <w:rsid w:val="007F328B"/>
    <w:rsid w:val="007F3CB5"/>
    <w:rsid w:val="007F7350"/>
    <w:rsid w:val="00800673"/>
    <w:rsid w:val="00802F45"/>
    <w:rsid w:val="008050B2"/>
    <w:rsid w:val="008052F4"/>
    <w:rsid w:val="00810E02"/>
    <w:rsid w:val="0081376E"/>
    <w:rsid w:val="00825395"/>
    <w:rsid w:val="00833617"/>
    <w:rsid w:val="00833963"/>
    <w:rsid w:val="008345C1"/>
    <w:rsid w:val="00835395"/>
    <w:rsid w:val="0083769A"/>
    <w:rsid w:val="008426CE"/>
    <w:rsid w:val="0084282D"/>
    <w:rsid w:val="008440DA"/>
    <w:rsid w:val="008443A0"/>
    <w:rsid w:val="00846016"/>
    <w:rsid w:val="00850086"/>
    <w:rsid w:val="008509DA"/>
    <w:rsid w:val="00850DC6"/>
    <w:rsid w:val="00855BAC"/>
    <w:rsid w:val="0085691E"/>
    <w:rsid w:val="00857BA8"/>
    <w:rsid w:val="008615A6"/>
    <w:rsid w:val="00862782"/>
    <w:rsid w:val="008635D1"/>
    <w:rsid w:val="00864A66"/>
    <w:rsid w:val="00864A9E"/>
    <w:rsid w:val="00870198"/>
    <w:rsid w:val="00870E00"/>
    <w:rsid w:val="008738D0"/>
    <w:rsid w:val="00873A89"/>
    <w:rsid w:val="00875943"/>
    <w:rsid w:val="008812A7"/>
    <w:rsid w:val="00882FA1"/>
    <w:rsid w:val="008843BF"/>
    <w:rsid w:val="0088561C"/>
    <w:rsid w:val="0088606F"/>
    <w:rsid w:val="00886994"/>
    <w:rsid w:val="00890092"/>
    <w:rsid w:val="008909F7"/>
    <w:rsid w:val="00890F3C"/>
    <w:rsid w:val="00891A66"/>
    <w:rsid w:val="00892B6B"/>
    <w:rsid w:val="00895657"/>
    <w:rsid w:val="00896C86"/>
    <w:rsid w:val="00896CD5"/>
    <w:rsid w:val="0089788C"/>
    <w:rsid w:val="008A070C"/>
    <w:rsid w:val="008A4454"/>
    <w:rsid w:val="008A4BFD"/>
    <w:rsid w:val="008A4F91"/>
    <w:rsid w:val="008A6D81"/>
    <w:rsid w:val="008B1CC9"/>
    <w:rsid w:val="008B5EB9"/>
    <w:rsid w:val="008B6BF1"/>
    <w:rsid w:val="008B77E6"/>
    <w:rsid w:val="008C3848"/>
    <w:rsid w:val="008C4512"/>
    <w:rsid w:val="008C55D7"/>
    <w:rsid w:val="008C6D52"/>
    <w:rsid w:val="008D22BE"/>
    <w:rsid w:val="008D45E7"/>
    <w:rsid w:val="008D4828"/>
    <w:rsid w:val="008E1776"/>
    <w:rsid w:val="008F3557"/>
    <w:rsid w:val="008F426F"/>
    <w:rsid w:val="008F574A"/>
    <w:rsid w:val="008F747A"/>
    <w:rsid w:val="009032F0"/>
    <w:rsid w:val="0090628D"/>
    <w:rsid w:val="009111D9"/>
    <w:rsid w:val="009135DF"/>
    <w:rsid w:val="00913D58"/>
    <w:rsid w:val="00913DA7"/>
    <w:rsid w:val="009167EE"/>
    <w:rsid w:val="009169A6"/>
    <w:rsid w:val="00920209"/>
    <w:rsid w:val="00921090"/>
    <w:rsid w:val="0092212E"/>
    <w:rsid w:val="00922658"/>
    <w:rsid w:val="00932923"/>
    <w:rsid w:val="009347BD"/>
    <w:rsid w:val="00935F47"/>
    <w:rsid w:val="00937934"/>
    <w:rsid w:val="00944C12"/>
    <w:rsid w:val="009455BA"/>
    <w:rsid w:val="00951CFA"/>
    <w:rsid w:val="00952E58"/>
    <w:rsid w:val="00954D63"/>
    <w:rsid w:val="00956FDE"/>
    <w:rsid w:val="009670FE"/>
    <w:rsid w:val="0097190E"/>
    <w:rsid w:val="00973B2C"/>
    <w:rsid w:val="00974B5E"/>
    <w:rsid w:val="00977573"/>
    <w:rsid w:val="009809CE"/>
    <w:rsid w:val="009816FE"/>
    <w:rsid w:val="00983ECB"/>
    <w:rsid w:val="0098570F"/>
    <w:rsid w:val="00986135"/>
    <w:rsid w:val="009868C0"/>
    <w:rsid w:val="00990207"/>
    <w:rsid w:val="0099067C"/>
    <w:rsid w:val="009914DB"/>
    <w:rsid w:val="00994B3C"/>
    <w:rsid w:val="00994CBD"/>
    <w:rsid w:val="009952EF"/>
    <w:rsid w:val="009A03FA"/>
    <w:rsid w:val="009A081D"/>
    <w:rsid w:val="009A3F57"/>
    <w:rsid w:val="009A7064"/>
    <w:rsid w:val="009B06F8"/>
    <w:rsid w:val="009B7841"/>
    <w:rsid w:val="009B7F0E"/>
    <w:rsid w:val="009C251E"/>
    <w:rsid w:val="009C3FC1"/>
    <w:rsid w:val="009C44CB"/>
    <w:rsid w:val="009C7416"/>
    <w:rsid w:val="009D24EB"/>
    <w:rsid w:val="009D3B1C"/>
    <w:rsid w:val="009E071D"/>
    <w:rsid w:val="009E3E4E"/>
    <w:rsid w:val="009E64A2"/>
    <w:rsid w:val="009F087B"/>
    <w:rsid w:val="009F0B53"/>
    <w:rsid w:val="009F19F3"/>
    <w:rsid w:val="009F1AEC"/>
    <w:rsid w:val="009F1C41"/>
    <w:rsid w:val="009F2908"/>
    <w:rsid w:val="009F291E"/>
    <w:rsid w:val="009F45AD"/>
    <w:rsid w:val="009F5BD3"/>
    <w:rsid w:val="00A0066F"/>
    <w:rsid w:val="00A006E7"/>
    <w:rsid w:val="00A0079C"/>
    <w:rsid w:val="00A017AF"/>
    <w:rsid w:val="00A022A1"/>
    <w:rsid w:val="00A025E7"/>
    <w:rsid w:val="00A03E71"/>
    <w:rsid w:val="00A04417"/>
    <w:rsid w:val="00A10127"/>
    <w:rsid w:val="00A1124A"/>
    <w:rsid w:val="00A115DA"/>
    <w:rsid w:val="00A13845"/>
    <w:rsid w:val="00A14659"/>
    <w:rsid w:val="00A14F1A"/>
    <w:rsid w:val="00A1501C"/>
    <w:rsid w:val="00A165E1"/>
    <w:rsid w:val="00A16A63"/>
    <w:rsid w:val="00A2101D"/>
    <w:rsid w:val="00A21371"/>
    <w:rsid w:val="00A213B0"/>
    <w:rsid w:val="00A23836"/>
    <w:rsid w:val="00A239C2"/>
    <w:rsid w:val="00A23F62"/>
    <w:rsid w:val="00A25A40"/>
    <w:rsid w:val="00A3236E"/>
    <w:rsid w:val="00A4040F"/>
    <w:rsid w:val="00A47AC0"/>
    <w:rsid w:val="00A57C08"/>
    <w:rsid w:val="00A61482"/>
    <w:rsid w:val="00A62458"/>
    <w:rsid w:val="00A64683"/>
    <w:rsid w:val="00A65C15"/>
    <w:rsid w:val="00A70CE0"/>
    <w:rsid w:val="00A72857"/>
    <w:rsid w:val="00A7410B"/>
    <w:rsid w:val="00A747AB"/>
    <w:rsid w:val="00A776A0"/>
    <w:rsid w:val="00A83F8A"/>
    <w:rsid w:val="00A871B5"/>
    <w:rsid w:val="00A8738C"/>
    <w:rsid w:val="00A91EBF"/>
    <w:rsid w:val="00A9572F"/>
    <w:rsid w:val="00AA0966"/>
    <w:rsid w:val="00AA116B"/>
    <w:rsid w:val="00AA64BC"/>
    <w:rsid w:val="00AA6AAA"/>
    <w:rsid w:val="00AA78D1"/>
    <w:rsid w:val="00AA798C"/>
    <w:rsid w:val="00AA7CD2"/>
    <w:rsid w:val="00AB0F76"/>
    <w:rsid w:val="00AB2D66"/>
    <w:rsid w:val="00AB3B3D"/>
    <w:rsid w:val="00AB4CAE"/>
    <w:rsid w:val="00AB596B"/>
    <w:rsid w:val="00AB7259"/>
    <w:rsid w:val="00AC03FC"/>
    <w:rsid w:val="00AC1995"/>
    <w:rsid w:val="00AC5A2A"/>
    <w:rsid w:val="00AC6BDC"/>
    <w:rsid w:val="00AC6ECD"/>
    <w:rsid w:val="00AD02AF"/>
    <w:rsid w:val="00AD15AC"/>
    <w:rsid w:val="00AD19BD"/>
    <w:rsid w:val="00AD3C3F"/>
    <w:rsid w:val="00AE31D1"/>
    <w:rsid w:val="00AE5B63"/>
    <w:rsid w:val="00AF15BB"/>
    <w:rsid w:val="00AF4DBC"/>
    <w:rsid w:val="00AF58DB"/>
    <w:rsid w:val="00B00DF4"/>
    <w:rsid w:val="00B0160D"/>
    <w:rsid w:val="00B0253C"/>
    <w:rsid w:val="00B05B1E"/>
    <w:rsid w:val="00B06958"/>
    <w:rsid w:val="00B06A94"/>
    <w:rsid w:val="00B1087C"/>
    <w:rsid w:val="00B1147E"/>
    <w:rsid w:val="00B14802"/>
    <w:rsid w:val="00B20E11"/>
    <w:rsid w:val="00B25108"/>
    <w:rsid w:val="00B324F1"/>
    <w:rsid w:val="00B32940"/>
    <w:rsid w:val="00B33B37"/>
    <w:rsid w:val="00B34E47"/>
    <w:rsid w:val="00B34EAC"/>
    <w:rsid w:val="00B3597B"/>
    <w:rsid w:val="00B402CE"/>
    <w:rsid w:val="00B414E1"/>
    <w:rsid w:val="00B426CB"/>
    <w:rsid w:val="00B44B85"/>
    <w:rsid w:val="00B60F22"/>
    <w:rsid w:val="00B61CD4"/>
    <w:rsid w:val="00B648C7"/>
    <w:rsid w:val="00B65510"/>
    <w:rsid w:val="00B73297"/>
    <w:rsid w:val="00B733A3"/>
    <w:rsid w:val="00B75BC3"/>
    <w:rsid w:val="00B772E6"/>
    <w:rsid w:val="00B77341"/>
    <w:rsid w:val="00B80801"/>
    <w:rsid w:val="00B815DA"/>
    <w:rsid w:val="00B84005"/>
    <w:rsid w:val="00B858FD"/>
    <w:rsid w:val="00B859FE"/>
    <w:rsid w:val="00B87EB4"/>
    <w:rsid w:val="00B900D0"/>
    <w:rsid w:val="00B9146F"/>
    <w:rsid w:val="00B93920"/>
    <w:rsid w:val="00BA0444"/>
    <w:rsid w:val="00BA571D"/>
    <w:rsid w:val="00BA7BD7"/>
    <w:rsid w:val="00BB12B4"/>
    <w:rsid w:val="00BB1B46"/>
    <w:rsid w:val="00BB3801"/>
    <w:rsid w:val="00BB6B65"/>
    <w:rsid w:val="00BB6E5A"/>
    <w:rsid w:val="00BC3413"/>
    <w:rsid w:val="00BC65D0"/>
    <w:rsid w:val="00BD3DFC"/>
    <w:rsid w:val="00BD43CE"/>
    <w:rsid w:val="00BD4F69"/>
    <w:rsid w:val="00BD69E0"/>
    <w:rsid w:val="00BD6CE3"/>
    <w:rsid w:val="00BE0CFD"/>
    <w:rsid w:val="00BE0F0D"/>
    <w:rsid w:val="00BE31F1"/>
    <w:rsid w:val="00BE4D0B"/>
    <w:rsid w:val="00BF1D24"/>
    <w:rsid w:val="00BF2BF9"/>
    <w:rsid w:val="00BF3CB5"/>
    <w:rsid w:val="00BF6D9B"/>
    <w:rsid w:val="00C0224A"/>
    <w:rsid w:val="00C02C97"/>
    <w:rsid w:val="00C0354D"/>
    <w:rsid w:val="00C059CA"/>
    <w:rsid w:val="00C063E5"/>
    <w:rsid w:val="00C07A00"/>
    <w:rsid w:val="00C154A7"/>
    <w:rsid w:val="00C213CB"/>
    <w:rsid w:val="00C21DD1"/>
    <w:rsid w:val="00C23B4D"/>
    <w:rsid w:val="00C27745"/>
    <w:rsid w:val="00C3003F"/>
    <w:rsid w:val="00C33E7E"/>
    <w:rsid w:val="00C3452B"/>
    <w:rsid w:val="00C346AE"/>
    <w:rsid w:val="00C45318"/>
    <w:rsid w:val="00C46FFC"/>
    <w:rsid w:val="00C52032"/>
    <w:rsid w:val="00C560E4"/>
    <w:rsid w:val="00C5695D"/>
    <w:rsid w:val="00C668B1"/>
    <w:rsid w:val="00C67BB8"/>
    <w:rsid w:val="00C67D1D"/>
    <w:rsid w:val="00C70E89"/>
    <w:rsid w:val="00C7152F"/>
    <w:rsid w:val="00C725F2"/>
    <w:rsid w:val="00C726FF"/>
    <w:rsid w:val="00C742E2"/>
    <w:rsid w:val="00C74C9D"/>
    <w:rsid w:val="00C75795"/>
    <w:rsid w:val="00C76928"/>
    <w:rsid w:val="00C85102"/>
    <w:rsid w:val="00C854FF"/>
    <w:rsid w:val="00C873B7"/>
    <w:rsid w:val="00C90F85"/>
    <w:rsid w:val="00C92802"/>
    <w:rsid w:val="00C936C5"/>
    <w:rsid w:val="00C96642"/>
    <w:rsid w:val="00CA2DDE"/>
    <w:rsid w:val="00CA4EE4"/>
    <w:rsid w:val="00CA539E"/>
    <w:rsid w:val="00CB2880"/>
    <w:rsid w:val="00CB51D6"/>
    <w:rsid w:val="00CB7480"/>
    <w:rsid w:val="00CC0C31"/>
    <w:rsid w:val="00CC1FCB"/>
    <w:rsid w:val="00CC47C2"/>
    <w:rsid w:val="00CC497A"/>
    <w:rsid w:val="00CC49E6"/>
    <w:rsid w:val="00CC6E6B"/>
    <w:rsid w:val="00CC7098"/>
    <w:rsid w:val="00CD150B"/>
    <w:rsid w:val="00CD3FEC"/>
    <w:rsid w:val="00CD75E0"/>
    <w:rsid w:val="00CD787B"/>
    <w:rsid w:val="00CE240E"/>
    <w:rsid w:val="00CE2C31"/>
    <w:rsid w:val="00CE75FB"/>
    <w:rsid w:val="00CF027F"/>
    <w:rsid w:val="00CF1353"/>
    <w:rsid w:val="00CF2423"/>
    <w:rsid w:val="00CF28C4"/>
    <w:rsid w:val="00CF4F5D"/>
    <w:rsid w:val="00CF5204"/>
    <w:rsid w:val="00CF67C5"/>
    <w:rsid w:val="00CF76BF"/>
    <w:rsid w:val="00CF7B67"/>
    <w:rsid w:val="00D00E30"/>
    <w:rsid w:val="00D04BCF"/>
    <w:rsid w:val="00D04D4E"/>
    <w:rsid w:val="00D05673"/>
    <w:rsid w:val="00D07D0F"/>
    <w:rsid w:val="00D10C08"/>
    <w:rsid w:val="00D10CFE"/>
    <w:rsid w:val="00D11A14"/>
    <w:rsid w:val="00D12320"/>
    <w:rsid w:val="00D128EA"/>
    <w:rsid w:val="00D12BCB"/>
    <w:rsid w:val="00D14745"/>
    <w:rsid w:val="00D15478"/>
    <w:rsid w:val="00D16089"/>
    <w:rsid w:val="00D2180F"/>
    <w:rsid w:val="00D27858"/>
    <w:rsid w:val="00D279CE"/>
    <w:rsid w:val="00D30048"/>
    <w:rsid w:val="00D35FE7"/>
    <w:rsid w:val="00D361A0"/>
    <w:rsid w:val="00D409AF"/>
    <w:rsid w:val="00D46920"/>
    <w:rsid w:val="00D469F9"/>
    <w:rsid w:val="00D46B42"/>
    <w:rsid w:val="00D50565"/>
    <w:rsid w:val="00D53C0E"/>
    <w:rsid w:val="00D558DE"/>
    <w:rsid w:val="00D5630A"/>
    <w:rsid w:val="00D606A7"/>
    <w:rsid w:val="00D60A72"/>
    <w:rsid w:val="00D6191C"/>
    <w:rsid w:val="00D701CC"/>
    <w:rsid w:val="00D7097D"/>
    <w:rsid w:val="00D768F9"/>
    <w:rsid w:val="00D7722E"/>
    <w:rsid w:val="00D806AB"/>
    <w:rsid w:val="00D80D45"/>
    <w:rsid w:val="00D81D7F"/>
    <w:rsid w:val="00D82600"/>
    <w:rsid w:val="00D82BDE"/>
    <w:rsid w:val="00D83460"/>
    <w:rsid w:val="00D83E90"/>
    <w:rsid w:val="00D86837"/>
    <w:rsid w:val="00D87505"/>
    <w:rsid w:val="00D90E19"/>
    <w:rsid w:val="00D94CA3"/>
    <w:rsid w:val="00D956CB"/>
    <w:rsid w:val="00DA018A"/>
    <w:rsid w:val="00DA23DA"/>
    <w:rsid w:val="00DA3590"/>
    <w:rsid w:val="00DA36B3"/>
    <w:rsid w:val="00DA3909"/>
    <w:rsid w:val="00DA4231"/>
    <w:rsid w:val="00DA5A13"/>
    <w:rsid w:val="00DB199C"/>
    <w:rsid w:val="00DB1A91"/>
    <w:rsid w:val="00DB40F6"/>
    <w:rsid w:val="00DB46D2"/>
    <w:rsid w:val="00DB6F22"/>
    <w:rsid w:val="00DB7D67"/>
    <w:rsid w:val="00DD1E8E"/>
    <w:rsid w:val="00DD339F"/>
    <w:rsid w:val="00DD3620"/>
    <w:rsid w:val="00DD429F"/>
    <w:rsid w:val="00DD4CC8"/>
    <w:rsid w:val="00DE0748"/>
    <w:rsid w:val="00DE627F"/>
    <w:rsid w:val="00DE7244"/>
    <w:rsid w:val="00DF0CE6"/>
    <w:rsid w:val="00DF29EC"/>
    <w:rsid w:val="00DF2CD4"/>
    <w:rsid w:val="00DF5DC6"/>
    <w:rsid w:val="00DF5FB3"/>
    <w:rsid w:val="00DF6A51"/>
    <w:rsid w:val="00E015AF"/>
    <w:rsid w:val="00E02AF6"/>
    <w:rsid w:val="00E0543D"/>
    <w:rsid w:val="00E0546B"/>
    <w:rsid w:val="00E063BF"/>
    <w:rsid w:val="00E06CA7"/>
    <w:rsid w:val="00E209B8"/>
    <w:rsid w:val="00E213AA"/>
    <w:rsid w:val="00E260FD"/>
    <w:rsid w:val="00E2693D"/>
    <w:rsid w:val="00E272C8"/>
    <w:rsid w:val="00E319A3"/>
    <w:rsid w:val="00E33ED2"/>
    <w:rsid w:val="00E36583"/>
    <w:rsid w:val="00E36C6C"/>
    <w:rsid w:val="00E41F66"/>
    <w:rsid w:val="00E52580"/>
    <w:rsid w:val="00E54FAB"/>
    <w:rsid w:val="00E56617"/>
    <w:rsid w:val="00E57098"/>
    <w:rsid w:val="00E61E14"/>
    <w:rsid w:val="00E6525D"/>
    <w:rsid w:val="00E722C6"/>
    <w:rsid w:val="00E73D20"/>
    <w:rsid w:val="00E77623"/>
    <w:rsid w:val="00E82A34"/>
    <w:rsid w:val="00E82CAC"/>
    <w:rsid w:val="00E83019"/>
    <w:rsid w:val="00E86071"/>
    <w:rsid w:val="00E86351"/>
    <w:rsid w:val="00E87F40"/>
    <w:rsid w:val="00E90B0E"/>
    <w:rsid w:val="00E9201D"/>
    <w:rsid w:val="00E92DC1"/>
    <w:rsid w:val="00EA0625"/>
    <w:rsid w:val="00EB39CD"/>
    <w:rsid w:val="00EB47A2"/>
    <w:rsid w:val="00EB5853"/>
    <w:rsid w:val="00EB65B8"/>
    <w:rsid w:val="00EB6621"/>
    <w:rsid w:val="00EB692B"/>
    <w:rsid w:val="00EC5530"/>
    <w:rsid w:val="00ED1042"/>
    <w:rsid w:val="00ED2CB8"/>
    <w:rsid w:val="00ED2E36"/>
    <w:rsid w:val="00ED3EAF"/>
    <w:rsid w:val="00ED6BA4"/>
    <w:rsid w:val="00ED79D6"/>
    <w:rsid w:val="00EE04D0"/>
    <w:rsid w:val="00EE05E6"/>
    <w:rsid w:val="00EF053A"/>
    <w:rsid w:val="00EF1C05"/>
    <w:rsid w:val="00EF24AC"/>
    <w:rsid w:val="00EF29FC"/>
    <w:rsid w:val="00EF2C99"/>
    <w:rsid w:val="00EF351A"/>
    <w:rsid w:val="00F0060C"/>
    <w:rsid w:val="00F0183B"/>
    <w:rsid w:val="00F0232C"/>
    <w:rsid w:val="00F02C99"/>
    <w:rsid w:val="00F0609E"/>
    <w:rsid w:val="00F11FFB"/>
    <w:rsid w:val="00F13BA3"/>
    <w:rsid w:val="00F206CB"/>
    <w:rsid w:val="00F2232A"/>
    <w:rsid w:val="00F25E87"/>
    <w:rsid w:val="00F266B8"/>
    <w:rsid w:val="00F30B22"/>
    <w:rsid w:val="00F311DD"/>
    <w:rsid w:val="00F3157E"/>
    <w:rsid w:val="00F32369"/>
    <w:rsid w:val="00F34CAC"/>
    <w:rsid w:val="00F37179"/>
    <w:rsid w:val="00F43B46"/>
    <w:rsid w:val="00F44B71"/>
    <w:rsid w:val="00F50ACB"/>
    <w:rsid w:val="00F522E2"/>
    <w:rsid w:val="00F568B2"/>
    <w:rsid w:val="00F61362"/>
    <w:rsid w:val="00F6140F"/>
    <w:rsid w:val="00F62E47"/>
    <w:rsid w:val="00F635AE"/>
    <w:rsid w:val="00F65A0A"/>
    <w:rsid w:val="00F67866"/>
    <w:rsid w:val="00F70969"/>
    <w:rsid w:val="00F717BD"/>
    <w:rsid w:val="00F76358"/>
    <w:rsid w:val="00F808A2"/>
    <w:rsid w:val="00F84FB5"/>
    <w:rsid w:val="00F85CF0"/>
    <w:rsid w:val="00F86612"/>
    <w:rsid w:val="00F916A0"/>
    <w:rsid w:val="00F91707"/>
    <w:rsid w:val="00F91920"/>
    <w:rsid w:val="00F93E44"/>
    <w:rsid w:val="00F97CCA"/>
    <w:rsid w:val="00FA1DA9"/>
    <w:rsid w:val="00FA22CB"/>
    <w:rsid w:val="00FB0482"/>
    <w:rsid w:val="00FB069B"/>
    <w:rsid w:val="00FB0850"/>
    <w:rsid w:val="00FB197B"/>
    <w:rsid w:val="00FB501B"/>
    <w:rsid w:val="00FB565B"/>
    <w:rsid w:val="00FC23CC"/>
    <w:rsid w:val="00FC5CAF"/>
    <w:rsid w:val="00FC5FAA"/>
    <w:rsid w:val="00FC5FCD"/>
    <w:rsid w:val="00FC6581"/>
    <w:rsid w:val="00FD2E5A"/>
    <w:rsid w:val="00FD5481"/>
    <w:rsid w:val="00FE2587"/>
    <w:rsid w:val="00FE3CEE"/>
    <w:rsid w:val="00FE5098"/>
    <w:rsid w:val="00FE6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52A066"/>
  <w14:defaultImageDpi w14:val="32767"/>
  <w15:chartTrackingRefBased/>
  <w15:docId w15:val="{7BA31406-8B8F-C348-A8B4-0AF6F75B2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845"/>
    <w:rPr>
      <w:rFonts w:ascii="Times New Roman" w:eastAsia="Times New Roman" w:hAnsi="Times New Roman" w:cs="Times New Roman"/>
    </w:rPr>
  </w:style>
  <w:style w:type="paragraph" w:styleId="Ttulo1">
    <w:name w:val="heading 1"/>
    <w:basedOn w:val="Normal"/>
    <w:next w:val="Normal"/>
    <w:link w:val="Ttulo1Car"/>
    <w:uiPriority w:val="9"/>
    <w:qFormat/>
    <w:rsid w:val="00FC23CC"/>
    <w:pPr>
      <w:shd w:val="clear" w:color="auto" w:fill="FFFFFF"/>
      <w:jc w:val="center"/>
      <w:outlineLvl w:val="0"/>
    </w:pPr>
    <w:rPr>
      <w:rFonts w:ascii="Calibri" w:eastAsia="Calibri" w:hAnsi="Calibri" w:cs="Calibri"/>
      <w:b/>
      <w:color w:val="000000"/>
      <w:lang w:val="es-419"/>
    </w:rPr>
  </w:style>
  <w:style w:type="paragraph" w:styleId="Ttulo2">
    <w:name w:val="heading 2"/>
    <w:basedOn w:val="Prrafodelista"/>
    <w:next w:val="Normal"/>
    <w:link w:val="Ttulo2Car"/>
    <w:uiPriority w:val="9"/>
    <w:unhideWhenUsed/>
    <w:qFormat/>
    <w:rsid w:val="001D1E02"/>
    <w:pPr>
      <w:widowControl w:val="0"/>
      <w:numPr>
        <w:numId w:val="23"/>
      </w:numPr>
      <w:tabs>
        <w:tab w:val="left" w:pos="567"/>
      </w:tabs>
      <w:adjustRightInd w:val="0"/>
      <w:spacing w:line="276" w:lineRule="auto"/>
      <w:textAlignment w:val="baseline"/>
      <w:outlineLvl w:val="1"/>
    </w:pPr>
    <w:rPr>
      <w:rFonts w:eastAsia="Batang"/>
      <w:b/>
      <w:lang w:val="es-CO"/>
    </w:rPr>
  </w:style>
  <w:style w:type="paragraph" w:styleId="Ttulo3">
    <w:name w:val="heading 3"/>
    <w:basedOn w:val="Prrafodelista"/>
    <w:next w:val="Normal"/>
    <w:link w:val="Ttulo3Car"/>
    <w:uiPriority w:val="9"/>
    <w:unhideWhenUsed/>
    <w:qFormat/>
    <w:rsid w:val="00324C59"/>
    <w:pPr>
      <w:autoSpaceDE w:val="0"/>
      <w:autoSpaceDN w:val="0"/>
      <w:adjustRightInd w:val="0"/>
      <w:ind w:left="720"/>
      <w:contextualSpacing/>
      <w:outlineLvl w:val="2"/>
    </w:pPr>
    <w:rPr>
      <w:b/>
      <w:i/>
      <w:lang w:val="es-CO"/>
    </w:rPr>
  </w:style>
  <w:style w:type="paragraph" w:styleId="Ttulo4">
    <w:name w:val="heading 4"/>
    <w:basedOn w:val="Normal"/>
    <w:next w:val="Normal"/>
    <w:link w:val="Ttulo4Car"/>
    <w:unhideWhenUsed/>
    <w:qFormat/>
    <w:rsid w:val="00890092"/>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890092"/>
    <w:pPr>
      <w:keepNext/>
      <w:keepLines/>
      <w:spacing w:before="40"/>
      <w:outlineLvl w:val="4"/>
    </w:pPr>
    <w:rPr>
      <w:rFonts w:asciiTheme="majorHAnsi" w:eastAsiaTheme="majorEastAsia" w:hAnsiTheme="majorHAnsi" w:cstheme="majorBidi"/>
      <w:color w:val="2F5496" w:themeColor="accent1" w:themeShade="BF"/>
    </w:rPr>
  </w:style>
  <w:style w:type="paragraph" w:styleId="Ttulo6">
    <w:name w:val="heading 6"/>
    <w:basedOn w:val="Ttulo5"/>
    <w:next w:val="Normal"/>
    <w:link w:val="Ttulo6Car"/>
    <w:uiPriority w:val="9"/>
    <w:unhideWhenUsed/>
    <w:qFormat/>
    <w:rsid w:val="00890092"/>
    <w:pPr>
      <w:keepNext w:val="0"/>
      <w:keepLines w:val="0"/>
      <w:numPr>
        <w:ilvl w:val="4"/>
        <w:numId w:val="1"/>
      </w:numPr>
      <w:spacing w:before="0"/>
      <w:jc w:val="both"/>
      <w:outlineLvl w:val="5"/>
    </w:pPr>
    <w:rPr>
      <w:rFonts w:ascii="Verdana" w:eastAsia="Times New Roman" w:hAnsi="Verdana" w:cs="Times New Roman"/>
      <w:color w:val="auto"/>
      <w:spacing w:val="-2"/>
      <w:sz w:val="20"/>
      <w:szCs w:val="20"/>
      <w:lang w:val="es-ES_tradnl"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C23CC"/>
    <w:rPr>
      <w:rFonts w:ascii="Calibri" w:eastAsia="Calibri" w:hAnsi="Calibri" w:cs="Calibri"/>
      <w:b/>
      <w:color w:val="000000"/>
      <w:shd w:val="clear" w:color="auto" w:fill="FFFFFF"/>
      <w:lang w:val="es-419"/>
    </w:rPr>
  </w:style>
  <w:style w:type="paragraph" w:styleId="Prrafodelista">
    <w:name w:val="List Paragraph"/>
    <w:aliases w:val="Párrafo de lista1,List Paragraph1,List Paragraph2,Lista vistosa - Énfasis 11,Colorful List - Accent 11,Subtle Emphasis1,Footnote1,List Paragraph11,Parrafos,Footnote"/>
    <w:basedOn w:val="Normal"/>
    <w:link w:val="PrrafodelistaCar"/>
    <w:uiPriority w:val="1"/>
    <w:qFormat/>
    <w:rsid w:val="00890092"/>
    <w:pPr>
      <w:ind w:left="708"/>
      <w:jc w:val="both"/>
    </w:pPr>
    <w:rPr>
      <w:rFonts w:ascii="Verdana" w:eastAsia="Calibri" w:hAnsi="Verdana"/>
      <w:sz w:val="20"/>
      <w:szCs w:val="20"/>
      <w:lang w:val="es-CR"/>
    </w:rPr>
  </w:style>
  <w:style w:type="character" w:customStyle="1" w:styleId="PrrafodelistaCar">
    <w:name w:val="Párrafo de lista Car"/>
    <w:aliases w:val="Párrafo de lista1 Car,List Paragraph1 Car,List Paragraph2 Car,Lista vistosa - Énfasis 11 Car,Colorful List - Accent 11 Car,Subtle Emphasis1 Car,Footnote1 Car,List Paragraph11 Car,Parrafos Car,Footnote Car"/>
    <w:link w:val="Prrafodelista"/>
    <w:uiPriority w:val="1"/>
    <w:rsid w:val="00890092"/>
    <w:rPr>
      <w:rFonts w:ascii="Verdana" w:eastAsia="Calibri" w:hAnsi="Verdana" w:cs="Times New Roman"/>
      <w:sz w:val="20"/>
      <w:szCs w:val="20"/>
      <w:lang w:val="es-CR"/>
    </w:rPr>
  </w:style>
  <w:style w:type="character" w:customStyle="1" w:styleId="Ttulo2Car">
    <w:name w:val="Título 2 Car"/>
    <w:basedOn w:val="Fuentedeprrafopredeter"/>
    <w:link w:val="Ttulo2"/>
    <w:uiPriority w:val="9"/>
    <w:rsid w:val="001D1E02"/>
    <w:rPr>
      <w:rFonts w:ascii="Verdana" w:eastAsia="Batang" w:hAnsi="Verdana" w:cs="Times New Roman"/>
      <w:b/>
      <w:sz w:val="20"/>
      <w:szCs w:val="20"/>
      <w:lang w:val="es-CO"/>
    </w:rPr>
  </w:style>
  <w:style w:type="character" w:customStyle="1" w:styleId="Ttulo3Car">
    <w:name w:val="Título 3 Car"/>
    <w:basedOn w:val="Fuentedeprrafopredeter"/>
    <w:link w:val="Ttulo3"/>
    <w:uiPriority w:val="9"/>
    <w:rsid w:val="00324C59"/>
    <w:rPr>
      <w:rFonts w:ascii="Verdana" w:eastAsia="Calibri" w:hAnsi="Verdana" w:cs="Times New Roman"/>
      <w:b/>
      <w:i/>
      <w:sz w:val="20"/>
      <w:szCs w:val="20"/>
      <w:lang w:val="es-CO"/>
    </w:rPr>
  </w:style>
  <w:style w:type="character" w:customStyle="1" w:styleId="Ttulo4Car">
    <w:name w:val="Título 4 Car"/>
    <w:basedOn w:val="Fuentedeprrafopredeter"/>
    <w:link w:val="Ttulo4"/>
    <w:uiPriority w:val="9"/>
    <w:semiHidden/>
    <w:rsid w:val="00890092"/>
    <w:rPr>
      <w:rFonts w:asciiTheme="majorHAnsi" w:eastAsiaTheme="majorEastAsia" w:hAnsiTheme="majorHAnsi" w:cstheme="majorBidi"/>
      <w:i/>
      <w:iCs/>
      <w:color w:val="2F5496" w:themeColor="accent1" w:themeShade="BF"/>
      <w:lang w:val="es-ES"/>
    </w:rPr>
  </w:style>
  <w:style w:type="paragraph" w:styleId="Textonotapie">
    <w:name w:val="footnote text"/>
    <w:aliases w:val="Footnote Text Char Char Char Char Char,Footnote Text Char Char Char Char,Footnote reference,FA Fu,Footnote Text Char Char Char,footnote text,Footnote Text Cha,FA Fußnotentext,FA Fuﬂnotentext,Texto nota pie Car,Footnote Text Char Char,Car"/>
    <w:basedOn w:val="Normal"/>
    <w:link w:val="TextonotapieCar1"/>
    <w:uiPriority w:val="99"/>
    <w:qFormat/>
    <w:rsid w:val="00890092"/>
    <w:pPr>
      <w:jc w:val="both"/>
    </w:pPr>
    <w:rPr>
      <w:rFonts w:ascii="Verdana" w:eastAsia="Calibri" w:hAnsi="Verdana"/>
      <w:sz w:val="20"/>
      <w:szCs w:val="20"/>
      <w:lang w:val="es-CR"/>
    </w:rPr>
  </w:style>
  <w:style w:type="character" w:customStyle="1" w:styleId="TextonotapieCar1">
    <w:name w:val="Texto nota pie Car1"/>
    <w:aliases w:val="Footnote Text Char Char Char Char Char Car,Footnote Text Char Char Char Char Car,Footnote reference Car,FA Fu Car,Footnote Text Char Char Char Car,footnote text Car,Footnote Text Cha Car,FA Fußnotentext Car,FA Fuﬂnotentext Car"/>
    <w:basedOn w:val="Fuentedeprrafopredeter"/>
    <w:link w:val="Textonotapie"/>
    <w:uiPriority w:val="99"/>
    <w:qFormat/>
    <w:rsid w:val="00890092"/>
    <w:rPr>
      <w:rFonts w:ascii="Verdana" w:eastAsia="Calibri" w:hAnsi="Verdana" w:cs="Times New Roman"/>
      <w:sz w:val="20"/>
      <w:szCs w:val="20"/>
      <w:lang w:val="es-CR"/>
    </w:rPr>
  </w:style>
  <w:style w:type="character" w:styleId="Refdenotaalpie">
    <w:name w:val="footnote reference"/>
    <w:aliases w:val="Footnotes refss Char1 Char Car,Texto de nota al pie Char1 Char Car,Appel note de bas de page Char1 Char Car,Footnote number Char1 Char Car,referencia nota al pie Char1 Char Car,BVI fnr Char1 Char Car,f Char1 Char Car,4_G Char1 Char C"/>
    <w:basedOn w:val="Fuentedeprrafopredeter"/>
    <w:link w:val="FootnotesrefssChar1Char"/>
    <w:qFormat/>
    <w:rsid w:val="0069498A"/>
    <w:rPr>
      <w:rFonts w:ascii="Verdana" w:eastAsia="Calibri" w:hAnsi="Verdana" w:cstheme="minorHAnsi"/>
      <w:sz w:val="16"/>
      <w:szCs w:val="16"/>
      <w:vertAlign w:val="superscript"/>
      <w:lang w:val="es-CR"/>
    </w:rPr>
  </w:style>
  <w:style w:type="paragraph" w:styleId="Sinespaciado">
    <w:name w:val="No Spacing"/>
    <w:basedOn w:val="Normal"/>
    <w:uiPriority w:val="1"/>
    <w:qFormat/>
    <w:rsid w:val="00C346AE"/>
    <w:rPr>
      <w:rFonts w:ascii="Verdana" w:eastAsia="Calibri" w:hAnsi="Verdana"/>
      <w:sz w:val="20"/>
      <w:szCs w:val="20"/>
      <w:lang w:val="es-419"/>
    </w:rPr>
  </w:style>
  <w:style w:type="character" w:customStyle="1" w:styleId="Ttulo6Car">
    <w:name w:val="Título 6 Car"/>
    <w:basedOn w:val="Fuentedeprrafopredeter"/>
    <w:link w:val="Ttulo6"/>
    <w:uiPriority w:val="9"/>
    <w:rsid w:val="00890092"/>
    <w:rPr>
      <w:rFonts w:ascii="Verdana" w:eastAsia="Times New Roman" w:hAnsi="Verdana" w:cs="Times New Roman"/>
      <w:spacing w:val="-2"/>
      <w:sz w:val="20"/>
      <w:szCs w:val="20"/>
      <w:lang w:val="es-ES_tradnl" w:eastAsia="es-CR"/>
    </w:rPr>
  </w:style>
  <w:style w:type="character" w:customStyle="1" w:styleId="Ttulo5Car">
    <w:name w:val="Título 5 Car"/>
    <w:basedOn w:val="Fuentedeprrafopredeter"/>
    <w:link w:val="Ttulo5"/>
    <w:uiPriority w:val="9"/>
    <w:semiHidden/>
    <w:rsid w:val="00890092"/>
    <w:rPr>
      <w:rFonts w:asciiTheme="majorHAnsi" w:eastAsiaTheme="majorEastAsia" w:hAnsiTheme="majorHAnsi" w:cstheme="majorBidi"/>
      <w:color w:val="2F5496" w:themeColor="accent1" w:themeShade="BF"/>
      <w:lang w:val="es-ES"/>
    </w:rPr>
  </w:style>
  <w:style w:type="paragraph" w:customStyle="1" w:styleId="PrrafodeSentencia">
    <w:name w:val="*. Párrafo de Sentencia"/>
    <w:basedOn w:val="Normal"/>
    <w:next w:val="Normal"/>
    <w:link w:val="PrrafodeSentenciaChar"/>
    <w:qFormat/>
    <w:rsid w:val="00C346AE"/>
    <w:pPr>
      <w:numPr>
        <w:numId w:val="2"/>
      </w:numPr>
      <w:tabs>
        <w:tab w:val="left" w:pos="567"/>
      </w:tabs>
      <w:spacing w:line="276" w:lineRule="auto"/>
      <w:ind w:left="0" w:firstLine="0"/>
      <w:jc w:val="both"/>
    </w:pPr>
    <w:rPr>
      <w:rFonts w:ascii="Verdana" w:eastAsia="Batang" w:hAnsi="Verdana"/>
      <w:spacing w:val="-4"/>
      <w:sz w:val="20"/>
      <w:szCs w:val="20"/>
      <w:lang w:val="es-CO" w:eastAsia="es-MX"/>
    </w:rPr>
  </w:style>
  <w:style w:type="character" w:customStyle="1" w:styleId="PrrafodeSentenciaChar">
    <w:name w:val="*. Párrafo de Sentencia Char"/>
    <w:link w:val="PrrafodeSentencia"/>
    <w:locked/>
    <w:rsid w:val="00C346AE"/>
    <w:rPr>
      <w:rFonts w:ascii="Verdana" w:eastAsia="Batang" w:hAnsi="Verdana" w:cs="Times New Roman"/>
      <w:spacing w:val="-4"/>
      <w:sz w:val="20"/>
      <w:szCs w:val="20"/>
      <w:lang w:val="es-CO" w:eastAsia="es-MX"/>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Textonotapie"/>
    <w:link w:val="Refdenotaalpie"/>
    <w:autoRedefine/>
    <w:uiPriority w:val="99"/>
    <w:qFormat/>
    <w:rsid w:val="0069498A"/>
    <w:rPr>
      <w:rFonts w:cstheme="minorHAnsi"/>
      <w:sz w:val="16"/>
      <w:szCs w:val="16"/>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qFormat/>
    <w:rsid w:val="00850086"/>
    <w:pPr>
      <w:jc w:val="both"/>
    </w:pPr>
    <w:rPr>
      <w:sz w:val="22"/>
      <w:szCs w:val="22"/>
      <w:vertAlign w:val="superscript"/>
    </w:rPr>
  </w:style>
  <w:style w:type="character" w:styleId="Refdecomentario">
    <w:name w:val="annotation reference"/>
    <w:basedOn w:val="Fuentedeprrafopredeter"/>
    <w:uiPriority w:val="99"/>
    <w:semiHidden/>
    <w:unhideWhenUsed/>
    <w:rsid w:val="004A4F45"/>
    <w:rPr>
      <w:sz w:val="16"/>
      <w:szCs w:val="16"/>
    </w:rPr>
  </w:style>
  <w:style w:type="paragraph" w:styleId="Textocomentario">
    <w:name w:val="annotation text"/>
    <w:basedOn w:val="Normal"/>
    <w:link w:val="TextocomentarioCar"/>
    <w:uiPriority w:val="99"/>
    <w:unhideWhenUsed/>
    <w:rsid w:val="004A4F45"/>
    <w:pPr>
      <w:spacing w:after="200"/>
    </w:pPr>
    <w:rPr>
      <w:sz w:val="20"/>
      <w:szCs w:val="20"/>
    </w:rPr>
  </w:style>
  <w:style w:type="character" w:customStyle="1" w:styleId="TextocomentarioCar">
    <w:name w:val="Texto comentario Car"/>
    <w:basedOn w:val="Fuentedeprrafopredeter"/>
    <w:link w:val="Textocomentario"/>
    <w:uiPriority w:val="99"/>
    <w:rsid w:val="004A4F45"/>
    <w:rPr>
      <w:sz w:val="20"/>
      <w:szCs w:val="20"/>
    </w:rPr>
  </w:style>
  <w:style w:type="paragraph" w:styleId="Textodeglobo">
    <w:name w:val="Balloon Text"/>
    <w:basedOn w:val="Normal"/>
    <w:link w:val="TextodegloboCar"/>
    <w:uiPriority w:val="99"/>
    <w:semiHidden/>
    <w:unhideWhenUsed/>
    <w:rsid w:val="004A4F45"/>
    <w:rPr>
      <w:sz w:val="18"/>
      <w:szCs w:val="18"/>
    </w:rPr>
  </w:style>
  <w:style w:type="character" w:customStyle="1" w:styleId="TextodegloboCar">
    <w:name w:val="Texto de globo Car"/>
    <w:basedOn w:val="Fuentedeprrafopredeter"/>
    <w:link w:val="Textodeglobo"/>
    <w:uiPriority w:val="99"/>
    <w:semiHidden/>
    <w:rsid w:val="004A4F45"/>
    <w:rPr>
      <w:rFonts w:ascii="Times New Roman" w:hAnsi="Times New Roman" w:cs="Times New Roman"/>
      <w:sz w:val="18"/>
      <w:szCs w:val="18"/>
      <w:lang w:val="es-ES"/>
    </w:rPr>
  </w:style>
  <w:style w:type="character" w:styleId="Hipervnculo">
    <w:name w:val="Hyperlink"/>
    <w:basedOn w:val="Fuentedeprrafopredeter"/>
    <w:uiPriority w:val="99"/>
    <w:unhideWhenUsed/>
    <w:rsid w:val="006F3449"/>
    <w:rPr>
      <w:color w:val="0563C1" w:themeColor="hyperlink"/>
      <w:u w:val="single"/>
    </w:rPr>
  </w:style>
  <w:style w:type="paragraph" w:styleId="TDC1">
    <w:name w:val="toc 1"/>
    <w:basedOn w:val="Normal"/>
    <w:next w:val="Normal"/>
    <w:autoRedefine/>
    <w:uiPriority w:val="39"/>
    <w:unhideWhenUsed/>
    <w:rsid w:val="006F3449"/>
    <w:pPr>
      <w:spacing w:before="360"/>
    </w:pPr>
    <w:rPr>
      <w:rFonts w:asciiTheme="majorHAnsi" w:hAnsiTheme="majorHAnsi" w:cstheme="majorHAnsi"/>
      <w:b/>
      <w:bCs/>
      <w:caps/>
    </w:rPr>
  </w:style>
  <w:style w:type="paragraph" w:styleId="Encabezado">
    <w:name w:val="header"/>
    <w:basedOn w:val="Normal"/>
    <w:link w:val="EncabezadoCar"/>
    <w:uiPriority w:val="99"/>
    <w:unhideWhenUsed/>
    <w:rsid w:val="006F3449"/>
    <w:pPr>
      <w:tabs>
        <w:tab w:val="center" w:pos="4419"/>
        <w:tab w:val="right" w:pos="8838"/>
      </w:tabs>
    </w:pPr>
  </w:style>
  <w:style w:type="character" w:customStyle="1" w:styleId="EncabezadoCar">
    <w:name w:val="Encabezado Car"/>
    <w:basedOn w:val="Fuentedeprrafopredeter"/>
    <w:link w:val="Encabezado"/>
    <w:uiPriority w:val="99"/>
    <w:rsid w:val="006F3449"/>
    <w:rPr>
      <w:rFonts w:ascii="Times New Roman" w:eastAsia="Times New Roman" w:hAnsi="Times New Roman" w:cs="Times New Roman"/>
    </w:rPr>
  </w:style>
  <w:style w:type="paragraph" w:styleId="Piedepgina">
    <w:name w:val="footer"/>
    <w:basedOn w:val="Normal"/>
    <w:link w:val="PiedepginaCar"/>
    <w:uiPriority w:val="99"/>
    <w:unhideWhenUsed/>
    <w:rsid w:val="006F3449"/>
    <w:pPr>
      <w:tabs>
        <w:tab w:val="center" w:pos="4419"/>
        <w:tab w:val="right" w:pos="8838"/>
      </w:tabs>
    </w:pPr>
  </w:style>
  <w:style w:type="character" w:customStyle="1" w:styleId="PiedepginaCar">
    <w:name w:val="Pie de página Car"/>
    <w:basedOn w:val="Fuentedeprrafopredeter"/>
    <w:link w:val="Piedepgina"/>
    <w:uiPriority w:val="99"/>
    <w:rsid w:val="006F3449"/>
    <w:rPr>
      <w:rFonts w:ascii="Times New Roman" w:eastAsia="Times New Roman" w:hAnsi="Times New Roman" w:cs="Times New Roman"/>
    </w:rPr>
  </w:style>
  <w:style w:type="character" w:customStyle="1" w:styleId="None">
    <w:name w:val="None"/>
    <w:rsid w:val="00481112"/>
  </w:style>
  <w:style w:type="numbering" w:customStyle="1" w:styleId="ImportedStyle13">
    <w:name w:val="Imported Style 13"/>
    <w:rsid w:val="00481112"/>
    <w:pPr>
      <w:numPr>
        <w:numId w:val="4"/>
      </w:numPr>
    </w:pPr>
  </w:style>
  <w:style w:type="paragraph" w:customStyle="1" w:styleId="BodyA">
    <w:name w:val="Body A"/>
    <w:rsid w:val="00481112"/>
    <w:pPr>
      <w:widowControl w:val="0"/>
      <w:pBdr>
        <w:top w:val="nil"/>
        <w:left w:val="nil"/>
        <w:bottom w:val="nil"/>
        <w:right w:val="nil"/>
        <w:between w:val="nil"/>
        <w:bar w:val="nil"/>
      </w:pBdr>
      <w:spacing w:line="360" w:lineRule="atLeast"/>
      <w:jc w:val="both"/>
    </w:pPr>
    <w:rPr>
      <w:rFonts w:ascii="Verdana" w:hAnsi="Verdana" w:cs="Arial Unicode MS"/>
      <w:color w:val="000000"/>
      <w:u w:color="000000"/>
      <w:bdr w:val="nil"/>
      <w:lang w:val="pt-PT" w:eastAsia="es-CR"/>
      <w14:textOutline w14:w="12700" w14:cap="flat" w14:cmpd="sng" w14:algn="ctr">
        <w14:noFill/>
        <w14:prstDash w14:val="solid"/>
        <w14:miter w14:lim="400000"/>
      </w14:textOutline>
    </w:rPr>
  </w:style>
  <w:style w:type="paragraph" w:styleId="Textoindependiente">
    <w:name w:val="Body Text"/>
    <w:basedOn w:val="Normal"/>
    <w:link w:val="TextoindependienteCar"/>
    <w:rsid w:val="008D4828"/>
    <w:pPr>
      <w:widowControl w:val="0"/>
      <w:jc w:val="both"/>
    </w:pPr>
    <w:rPr>
      <w:rFonts w:ascii="Garamond" w:hAnsi="Garamond"/>
      <w:szCs w:val="20"/>
      <w:lang w:val="es-ES_tradnl"/>
    </w:rPr>
  </w:style>
  <w:style w:type="character" w:customStyle="1" w:styleId="TextoindependienteCar">
    <w:name w:val="Texto independiente Car"/>
    <w:basedOn w:val="Fuentedeprrafopredeter"/>
    <w:link w:val="Textoindependiente"/>
    <w:rsid w:val="008D4828"/>
    <w:rPr>
      <w:rFonts w:ascii="Garamond" w:eastAsia="Times New Roman" w:hAnsi="Garamond" w:cs="Times New Roman"/>
      <w:szCs w:val="20"/>
      <w:lang w:val="es-ES_tradnl"/>
    </w:rPr>
  </w:style>
  <w:style w:type="paragraph" w:styleId="Asuntodelcomentario">
    <w:name w:val="annotation subject"/>
    <w:basedOn w:val="Textocomentario"/>
    <w:next w:val="Textocomentario"/>
    <w:link w:val="AsuntodelcomentarioCar"/>
    <w:uiPriority w:val="99"/>
    <w:semiHidden/>
    <w:unhideWhenUsed/>
    <w:rsid w:val="005A406F"/>
    <w:pPr>
      <w:spacing w:after="0"/>
    </w:pPr>
    <w:rPr>
      <w:b/>
      <w:bCs/>
    </w:rPr>
  </w:style>
  <w:style w:type="character" w:customStyle="1" w:styleId="AsuntodelcomentarioCar">
    <w:name w:val="Asunto del comentario Car"/>
    <w:basedOn w:val="TextocomentarioCar"/>
    <w:link w:val="Asuntodelcomentario"/>
    <w:uiPriority w:val="99"/>
    <w:semiHidden/>
    <w:rsid w:val="005A406F"/>
    <w:rPr>
      <w:rFonts w:ascii="Times New Roman" w:eastAsia="Times New Roman" w:hAnsi="Times New Roman" w:cs="Times New Roman"/>
      <w:b/>
      <w:bCs/>
      <w:sz w:val="20"/>
      <w:szCs w:val="20"/>
    </w:rPr>
  </w:style>
  <w:style w:type="character" w:customStyle="1" w:styleId="normal--char">
    <w:name w:val="normal--char"/>
    <w:basedOn w:val="Fuentedeprrafopredeter"/>
    <w:rsid w:val="001D1E02"/>
  </w:style>
  <w:style w:type="table" w:styleId="Tablaconcuadrcula">
    <w:name w:val="Table Grid"/>
    <w:basedOn w:val="Tablanormal"/>
    <w:uiPriority w:val="39"/>
    <w:rsid w:val="005D4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1">
    <w:name w:val="Imported Style 1"/>
    <w:rsid w:val="00EC5530"/>
    <w:pPr>
      <w:numPr>
        <w:numId w:val="25"/>
      </w:numPr>
    </w:pPr>
  </w:style>
  <w:style w:type="paragraph" w:styleId="TDC2">
    <w:name w:val="toc 2"/>
    <w:basedOn w:val="Normal"/>
    <w:next w:val="Normal"/>
    <w:autoRedefine/>
    <w:uiPriority w:val="39"/>
    <w:unhideWhenUsed/>
    <w:rsid w:val="00573A15"/>
    <w:pPr>
      <w:spacing w:before="240"/>
    </w:pPr>
    <w:rPr>
      <w:rFonts w:asciiTheme="minorHAnsi" w:hAnsiTheme="minorHAnsi" w:cstheme="minorHAnsi"/>
      <w:b/>
      <w:bCs/>
      <w:sz w:val="20"/>
      <w:szCs w:val="20"/>
    </w:rPr>
  </w:style>
  <w:style w:type="paragraph" w:styleId="TDC3">
    <w:name w:val="toc 3"/>
    <w:basedOn w:val="Normal"/>
    <w:next w:val="Normal"/>
    <w:autoRedefine/>
    <w:uiPriority w:val="39"/>
    <w:unhideWhenUsed/>
    <w:rsid w:val="00573A15"/>
    <w:pPr>
      <w:ind w:left="240"/>
    </w:pPr>
    <w:rPr>
      <w:rFonts w:asciiTheme="minorHAnsi" w:hAnsiTheme="minorHAnsi" w:cstheme="minorHAnsi"/>
      <w:sz w:val="20"/>
      <w:szCs w:val="20"/>
    </w:rPr>
  </w:style>
  <w:style w:type="paragraph" w:styleId="TDC4">
    <w:name w:val="toc 4"/>
    <w:basedOn w:val="Normal"/>
    <w:next w:val="Normal"/>
    <w:autoRedefine/>
    <w:uiPriority w:val="39"/>
    <w:unhideWhenUsed/>
    <w:rsid w:val="00573A15"/>
    <w:pPr>
      <w:ind w:left="480"/>
    </w:pPr>
    <w:rPr>
      <w:rFonts w:asciiTheme="minorHAnsi" w:hAnsiTheme="minorHAnsi" w:cstheme="minorHAnsi"/>
      <w:sz w:val="20"/>
      <w:szCs w:val="20"/>
    </w:rPr>
  </w:style>
  <w:style w:type="paragraph" w:styleId="TDC5">
    <w:name w:val="toc 5"/>
    <w:basedOn w:val="Normal"/>
    <w:next w:val="Normal"/>
    <w:autoRedefine/>
    <w:uiPriority w:val="39"/>
    <w:unhideWhenUsed/>
    <w:rsid w:val="00573A15"/>
    <w:pPr>
      <w:ind w:left="720"/>
    </w:pPr>
    <w:rPr>
      <w:rFonts w:asciiTheme="minorHAnsi" w:hAnsiTheme="minorHAnsi" w:cstheme="minorHAnsi"/>
      <w:sz w:val="20"/>
      <w:szCs w:val="20"/>
    </w:rPr>
  </w:style>
  <w:style w:type="paragraph" w:styleId="TDC6">
    <w:name w:val="toc 6"/>
    <w:basedOn w:val="Normal"/>
    <w:next w:val="Normal"/>
    <w:autoRedefine/>
    <w:uiPriority w:val="39"/>
    <w:unhideWhenUsed/>
    <w:rsid w:val="00573A15"/>
    <w:pPr>
      <w:ind w:left="960"/>
    </w:pPr>
    <w:rPr>
      <w:rFonts w:asciiTheme="minorHAnsi" w:hAnsiTheme="minorHAnsi" w:cstheme="minorHAnsi"/>
      <w:sz w:val="20"/>
      <w:szCs w:val="20"/>
    </w:rPr>
  </w:style>
  <w:style w:type="paragraph" w:styleId="TDC7">
    <w:name w:val="toc 7"/>
    <w:basedOn w:val="Normal"/>
    <w:next w:val="Normal"/>
    <w:autoRedefine/>
    <w:uiPriority w:val="39"/>
    <w:unhideWhenUsed/>
    <w:rsid w:val="00573A15"/>
    <w:pPr>
      <w:ind w:left="1200"/>
    </w:pPr>
    <w:rPr>
      <w:rFonts w:asciiTheme="minorHAnsi" w:hAnsiTheme="minorHAnsi" w:cstheme="minorHAnsi"/>
      <w:sz w:val="20"/>
      <w:szCs w:val="20"/>
    </w:rPr>
  </w:style>
  <w:style w:type="paragraph" w:styleId="TDC8">
    <w:name w:val="toc 8"/>
    <w:basedOn w:val="Normal"/>
    <w:next w:val="Normal"/>
    <w:autoRedefine/>
    <w:uiPriority w:val="39"/>
    <w:unhideWhenUsed/>
    <w:rsid w:val="00573A15"/>
    <w:pPr>
      <w:ind w:left="1440"/>
    </w:pPr>
    <w:rPr>
      <w:rFonts w:asciiTheme="minorHAnsi" w:hAnsiTheme="minorHAnsi" w:cstheme="minorHAnsi"/>
      <w:sz w:val="20"/>
      <w:szCs w:val="20"/>
    </w:rPr>
  </w:style>
  <w:style w:type="paragraph" w:styleId="TDC9">
    <w:name w:val="toc 9"/>
    <w:basedOn w:val="Normal"/>
    <w:next w:val="Normal"/>
    <w:autoRedefine/>
    <w:uiPriority w:val="39"/>
    <w:unhideWhenUsed/>
    <w:rsid w:val="00573A15"/>
    <w:pPr>
      <w:ind w:left="1680"/>
    </w:pPr>
    <w:rPr>
      <w:rFonts w:asciiTheme="minorHAnsi" w:hAnsiTheme="minorHAnsi" w:cstheme="minorHAnsi"/>
      <w:sz w:val="20"/>
      <w:szCs w:val="20"/>
    </w:rPr>
  </w:style>
  <w:style w:type="character" w:styleId="Nmerodelnea">
    <w:name w:val="line number"/>
    <w:basedOn w:val="Fuentedeprrafopredeter"/>
    <w:uiPriority w:val="99"/>
    <w:semiHidden/>
    <w:unhideWhenUsed/>
    <w:rsid w:val="00A13845"/>
    <w:rPr>
      <w:rFonts w:asciiTheme="majorHAnsi" w:hAnsiTheme="majorHAnsi"/>
      <w:sz w:val="22"/>
    </w:rPr>
  </w:style>
  <w:style w:type="character" w:styleId="Hipervnculovisitado">
    <w:name w:val="FollowedHyperlink"/>
    <w:basedOn w:val="Fuentedeprrafopredeter"/>
    <w:uiPriority w:val="99"/>
    <w:semiHidden/>
    <w:unhideWhenUsed/>
    <w:rsid w:val="007972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947379">
      <w:bodyDiv w:val="1"/>
      <w:marLeft w:val="0"/>
      <w:marRight w:val="0"/>
      <w:marTop w:val="0"/>
      <w:marBottom w:val="0"/>
      <w:divBdr>
        <w:top w:val="none" w:sz="0" w:space="0" w:color="auto"/>
        <w:left w:val="none" w:sz="0" w:space="0" w:color="auto"/>
        <w:bottom w:val="none" w:sz="0" w:space="0" w:color="auto"/>
        <w:right w:val="none" w:sz="0" w:space="0" w:color="auto"/>
      </w:divBdr>
    </w:div>
    <w:div w:id="660349871">
      <w:bodyDiv w:val="1"/>
      <w:marLeft w:val="0"/>
      <w:marRight w:val="0"/>
      <w:marTop w:val="0"/>
      <w:marBottom w:val="0"/>
      <w:divBdr>
        <w:top w:val="none" w:sz="0" w:space="0" w:color="auto"/>
        <w:left w:val="none" w:sz="0" w:space="0" w:color="auto"/>
        <w:bottom w:val="none" w:sz="0" w:space="0" w:color="auto"/>
        <w:right w:val="none" w:sz="0" w:space="0" w:color="auto"/>
      </w:divBdr>
    </w:div>
    <w:div w:id="732847321">
      <w:bodyDiv w:val="1"/>
      <w:marLeft w:val="0"/>
      <w:marRight w:val="0"/>
      <w:marTop w:val="0"/>
      <w:marBottom w:val="0"/>
      <w:divBdr>
        <w:top w:val="none" w:sz="0" w:space="0" w:color="auto"/>
        <w:left w:val="none" w:sz="0" w:space="0" w:color="auto"/>
        <w:bottom w:val="none" w:sz="0" w:space="0" w:color="auto"/>
        <w:right w:val="none" w:sz="0" w:space="0" w:color="auto"/>
      </w:divBdr>
    </w:div>
    <w:div w:id="1032657880">
      <w:bodyDiv w:val="1"/>
      <w:marLeft w:val="0"/>
      <w:marRight w:val="0"/>
      <w:marTop w:val="0"/>
      <w:marBottom w:val="0"/>
      <w:divBdr>
        <w:top w:val="none" w:sz="0" w:space="0" w:color="auto"/>
        <w:left w:val="none" w:sz="0" w:space="0" w:color="auto"/>
        <w:bottom w:val="none" w:sz="0" w:space="0" w:color="auto"/>
        <w:right w:val="none" w:sz="0" w:space="0" w:color="auto"/>
      </w:divBdr>
    </w:div>
    <w:div w:id="1503351101">
      <w:bodyDiv w:val="1"/>
      <w:marLeft w:val="0"/>
      <w:marRight w:val="0"/>
      <w:marTop w:val="0"/>
      <w:marBottom w:val="0"/>
      <w:divBdr>
        <w:top w:val="none" w:sz="0" w:space="0" w:color="auto"/>
        <w:left w:val="none" w:sz="0" w:space="0" w:color="auto"/>
        <w:bottom w:val="none" w:sz="0" w:space="0" w:color="auto"/>
        <w:right w:val="none" w:sz="0" w:space="0" w:color="auto"/>
      </w:divBdr>
    </w:div>
    <w:div w:id="1813518558">
      <w:bodyDiv w:val="1"/>
      <w:marLeft w:val="0"/>
      <w:marRight w:val="0"/>
      <w:marTop w:val="0"/>
      <w:marBottom w:val="0"/>
      <w:divBdr>
        <w:top w:val="none" w:sz="0" w:space="0" w:color="auto"/>
        <w:left w:val="none" w:sz="0" w:space="0" w:color="auto"/>
        <w:bottom w:val="none" w:sz="0" w:space="0" w:color="auto"/>
        <w:right w:val="none" w:sz="0" w:space="0" w:color="auto"/>
      </w:divBdr>
    </w:div>
    <w:div w:id="201097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corteidh.or.cr/docs/asuntos/moya_solis_1_02_20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0E275-0226-4277-9C66-84A6A19FC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16886</Words>
  <Characters>92873</Characters>
  <Application>Microsoft Office Word</Application>
  <DocSecurity>0</DocSecurity>
  <Lines>773</Lines>
  <Paragraphs>219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dcterms:created xsi:type="dcterms:W3CDTF">2021-07-23T15:30:00Z</dcterms:created>
  <dcterms:modified xsi:type="dcterms:W3CDTF">2021-07-23T15:30:00Z</dcterms:modified>
</cp:coreProperties>
</file>